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9F9D" w14:textId="414867F0" w:rsidR="009A4DA0" w:rsidRDefault="00EB7D8D" w:rsidP="00942E7D">
      <w:r>
        <w:rPr>
          <w:noProof/>
        </w:rPr>
        <w:drawing>
          <wp:anchor distT="0" distB="0" distL="114300" distR="114300" simplePos="0" relativeHeight="251658240" behindDoc="1" locked="0" layoutInCell="1" allowOverlap="1" wp14:anchorId="058134EC" wp14:editId="11D5D8B2">
            <wp:simplePos x="0" y="0"/>
            <wp:positionH relativeFrom="page">
              <wp:posOffset>0</wp:posOffset>
            </wp:positionH>
            <wp:positionV relativeFrom="page">
              <wp:posOffset>0</wp:posOffset>
            </wp:positionV>
            <wp:extent cx="7558405" cy="10690860"/>
            <wp:effectExtent l="0" t="0" r="444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margin">
              <wp14:pctWidth>0</wp14:pctWidth>
            </wp14:sizeRelH>
            <wp14:sizeRelV relativeFrom="margin">
              <wp14:pctHeight>0</wp14:pctHeight>
            </wp14:sizeRelV>
          </wp:anchor>
        </w:drawing>
      </w:r>
    </w:p>
    <w:p w14:paraId="3B6125D3" w14:textId="77777777" w:rsidR="009A4DA0" w:rsidRDefault="009A4DA0" w:rsidP="009A4DA0"/>
    <w:p w14:paraId="18F4D6B0" w14:textId="77777777" w:rsidR="009A4DA0" w:rsidRDefault="009A4DA0" w:rsidP="009A4DA0"/>
    <w:p w14:paraId="03DCD8E9" w14:textId="607345C4" w:rsidR="009A4DA0" w:rsidRPr="009250E6" w:rsidRDefault="009A4DA0" w:rsidP="009A4DA0">
      <w:pPr>
        <w:pStyle w:val="Title"/>
      </w:pPr>
      <w:bookmarkStart w:id="0" w:name="_Hlk139633837"/>
      <w:r>
        <w:t xml:space="preserve">Barriers to Institutional Investment, Finance and Innovation in Housing </w:t>
      </w:r>
    </w:p>
    <w:bookmarkEnd w:id="0"/>
    <w:p w14:paraId="4A7A143F" w14:textId="77777777" w:rsidR="009A4DA0" w:rsidRPr="006923DF" w:rsidRDefault="009A4DA0" w:rsidP="009A4DA0">
      <w:pPr>
        <w:pStyle w:val="Subtitle"/>
        <w:spacing w:after="360"/>
      </w:pPr>
      <w:r>
        <w:t>Report</w:t>
      </w:r>
    </w:p>
    <w:p w14:paraId="4867982B" w14:textId="77777777" w:rsidR="009A4DA0" w:rsidRPr="00586605" w:rsidRDefault="009A4DA0" w:rsidP="009A4DA0">
      <w:pPr>
        <w:pStyle w:val="ReportDate"/>
      </w:pPr>
      <w:r>
        <w:rPr>
          <w:rStyle w:val="ReportDateChar"/>
        </w:rPr>
        <w:t>July 2023</w:t>
      </w:r>
    </w:p>
    <w:p w14:paraId="494576F2" w14:textId="77777777" w:rsidR="009A4DA0" w:rsidRDefault="009A4DA0" w:rsidP="009A4DA0">
      <w:pPr>
        <w:rPr>
          <w:noProof/>
        </w:rPr>
      </w:pPr>
    </w:p>
    <w:p w14:paraId="08F10D24" w14:textId="77777777" w:rsidR="009A4DA0" w:rsidRPr="002F26A5" w:rsidRDefault="009A4DA0" w:rsidP="009A4DA0"/>
    <w:p w14:paraId="2291CEC9" w14:textId="77777777" w:rsidR="009A4DA0" w:rsidRPr="002F26A5" w:rsidRDefault="009A4DA0" w:rsidP="009A4DA0">
      <w:pPr>
        <w:sectPr w:rsidR="009A4DA0" w:rsidRPr="002F26A5" w:rsidSect="00EB6442">
          <w:headerReference w:type="first" r:id="rId8"/>
          <w:pgSz w:w="11906" w:h="16838" w:code="9"/>
          <w:pgMar w:top="1843" w:right="1418" w:bottom="1418" w:left="1418" w:header="709" w:footer="709" w:gutter="0"/>
          <w:pgNumType w:fmt="lowerRoman" w:start="1"/>
          <w:cols w:space="708"/>
          <w:vAlign w:val="center"/>
          <w:titlePg/>
          <w:docGrid w:linePitch="360"/>
        </w:sectPr>
      </w:pPr>
    </w:p>
    <w:p w14:paraId="4EB6AB0B" w14:textId="77777777" w:rsidR="009A4DA0" w:rsidRPr="00B06F81" w:rsidRDefault="009A4DA0" w:rsidP="00953EC3">
      <w:pPr>
        <w:spacing w:before="140" w:after="140"/>
      </w:pPr>
      <w:r w:rsidRPr="00B06F81">
        <w:lastRenderedPageBreak/>
        <w:t>© Commonwealth of Australia 2023</w:t>
      </w:r>
    </w:p>
    <w:p w14:paraId="50CC9D69" w14:textId="4A332E96" w:rsidR="009A4DA0" w:rsidRPr="00B06F81" w:rsidRDefault="009A4DA0" w:rsidP="00953EC3">
      <w:pPr>
        <w:spacing w:before="140" w:after="140"/>
        <w:rPr>
          <w:noProof/>
        </w:rPr>
      </w:pPr>
      <w:r w:rsidRPr="00B06F81">
        <w:t xml:space="preserve">ISBN: </w:t>
      </w:r>
      <w:r w:rsidR="00342241" w:rsidRPr="00342241">
        <w:t>978</w:t>
      </w:r>
      <w:r w:rsidR="00563A2B">
        <w:noBreakHyphen/>
      </w:r>
      <w:r w:rsidR="00342241" w:rsidRPr="00342241">
        <w:t>1</w:t>
      </w:r>
      <w:r w:rsidR="00563A2B">
        <w:noBreakHyphen/>
      </w:r>
      <w:r w:rsidR="00342241" w:rsidRPr="00342241">
        <w:t>925832</w:t>
      </w:r>
      <w:r w:rsidR="00563A2B">
        <w:noBreakHyphen/>
      </w:r>
      <w:r w:rsidR="00342241" w:rsidRPr="00342241">
        <w:t>79</w:t>
      </w:r>
      <w:r w:rsidR="00563A2B">
        <w:noBreakHyphen/>
      </w:r>
      <w:r w:rsidR="00342241" w:rsidRPr="00342241">
        <w:t>2</w:t>
      </w:r>
    </w:p>
    <w:p w14:paraId="54BFABDF" w14:textId="77777777" w:rsidR="009A4DA0" w:rsidRPr="00EB3386" w:rsidRDefault="009A4DA0" w:rsidP="00953EC3">
      <w:pPr>
        <w:spacing w:before="140" w:after="140"/>
        <w:rPr>
          <w:rStyle w:val="Hyperlink"/>
        </w:rPr>
      </w:pPr>
      <w:r w:rsidRPr="00B06F81">
        <w:t>This publication is available for your use under a</w:t>
      </w:r>
      <w:r w:rsidRPr="00B06F81">
        <w:rPr>
          <w:rFonts w:cstheme="minorHAnsi"/>
        </w:rPr>
        <w:t xml:space="preserve"> </w:t>
      </w:r>
      <w:hyperlink r:id="rId9" w:history="1">
        <w:r w:rsidRPr="00EB3386">
          <w:rPr>
            <w:rStyle w:val="Hyperlink"/>
          </w:rPr>
          <w:t>Creative Commons Attribution 3.0 Australia</w:t>
        </w:r>
      </w:hyperlink>
      <w:r w:rsidRPr="00B06F81">
        <w:rPr>
          <w:rFonts w:cstheme="minorHAnsi"/>
        </w:rPr>
        <w:t xml:space="preserve"> </w:t>
      </w:r>
      <w:r w:rsidRPr="00B06F81">
        <w:t xml:space="preserve">licence, with the exception of the Commonwealth Coat of Arms, the interim National Housing Supply and Affordability Council logo, photographs, images, signatures and where otherwise stated. The full licence terms are available </w:t>
      </w:r>
      <w:r w:rsidRPr="00EB3386">
        <w:rPr>
          <w:rStyle w:val="Hyperlink"/>
        </w:rPr>
        <w:t xml:space="preserve">from </w:t>
      </w:r>
      <w:hyperlink r:id="rId10" w:history="1">
        <w:r w:rsidRPr="00EB3386">
          <w:rPr>
            <w:rStyle w:val="Hyperlink"/>
          </w:rPr>
          <w:t>http://creativecommons.org/licenses/by/3.0/au/legalcode</w:t>
        </w:r>
      </w:hyperlink>
      <w:r w:rsidRPr="00EB3386">
        <w:rPr>
          <w:rStyle w:val="Hyperlink"/>
        </w:rPr>
        <w:t xml:space="preserve">. </w:t>
      </w:r>
    </w:p>
    <w:p w14:paraId="583164F9" w14:textId="77777777" w:rsidR="009A4DA0" w:rsidRPr="00B06F81" w:rsidRDefault="009A4DA0" w:rsidP="00953EC3">
      <w:pPr>
        <w:pStyle w:val="ChartGraphic"/>
        <w:spacing w:before="140" w:after="140"/>
        <w:jc w:val="left"/>
      </w:pPr>
      <w:r w:rsidRPr="00B06F81">
        <w:rPr>
          <w:noProof/>
        </w:rPr>
        <w:drawing>
          <wp:inline distT="0" distB="0" distL="0" distR="0" wp14:anchorId="1DB383A4" wp14:editId="5A5448C9">
            <wp:extent cx="809625" cy="283368"/>
            <wp:effectExtent l="0" t="0" r="0"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9625" cy="283368"/>
                    </a:xfrm>
                    <a:prstGeom prst="rect">
                      <a:avLst/>
                    </a:prstGeom>
                    <a:noFill/>
                    <a:ln w="9525">
                      <a:noFill/>
                      <a:miter lim="800000"/>
                      <a:headEnd/>
                      <a:tailEnd/>
                    </a:ln>
                  </pic:spPr>
                </pic:pic>
              </a:graphicData>
            </a:graphic>
          </wp:inline>
        </w:drawing>
      </w:r>
    </w:p>
    <w:p w14:paraId="79FB91ED" w14:textId="77777777" w:rsidR="009A4DA0" w:rsidRPr="00B06F81" w:rsidRDefault="009A4DA0" w:rsidP="00953EC3">
      <w:pPr>
        <w:spacing w:before="140" w:after="140"/>
      </w:pPr>
      <w:r w:rsidRPr="00B06F81">
        <w:t>Use of the interim National Housing Supply and Affordability Council material under a</w:t>
      </w:r>
      <w:r w:rsidRPr="00B06F81">
        <w:rPr>
          <w:rFonts w:cstheme="minorHAnsi"/>
        </w:rPr>
        <w:t xml:space="preserve"> </w:t>
      </w:r>
      <w:hyperlink r:id="rId12" w:history="1">
        <w:r w:rsidRPr="00EB3386">
          <w:rPr>
            <w:rStyle w:val="Hyperlink"/>
          </w:rPr>
          <w:t>Creative Commons Attribution 3.0 Australia</w:t>
        </w:r>
      </w:hyperlink>
      <w:r w:rsidRPr="00B06F81">
        <w:rPr>
          <w:rStyle w:val="Hyperlink"/>
          <w:sz w:val="20"/>
        </w:rPr>
        <w:t xml:space="preserve"> </w:t>
      </w:r>
      <w:r w:rsidRPr="00B06F81">
        <w:t>licence requires you to attribute the work (but not in any way that suggests that the interim National Housing Supply and Affordability Council endorses you or your use of the work).</w:t>
      </w:r>
    </w:p>
    <w:p w14:paraId="431A1966" w14:textId="0E37FE63" w:rsidR="009A4DA0" w:rsidRPr="00EB3386" w:rsidRDefault="009A4DA0" w:rsidP="00953EC3">
      <w:pPr>
        <w:spacing w:before="140" w:after="140"/>
        <w:rPr>
          <w:b/>
          <w:bCs/>
        </w:rPr>
      </w:pPr>
      <w:r w:rsidRPr="00EB3386">
        <w:rPr>
          <w:b/>
          <w:bCs/>
        </w:rPr>
        <w:t xml:space="preserve">The interim National Housing Supply and Affordability Council material used </w:t>
      </w:r>
      <w:r w:rsidR="00563A2B">
        <w:rPr>
          <w:b/>
          <w:bCs/>
        </w:rPr>
        <w:t>‘</w:t>
      </w:r>
      <w:r w:rsidRPr="00EB3386">
        <w:rPr>
          <w:b/>
          <w:bCs/>
        </w:rPr>
        <w:t>as supplied</w:t>
      </w:r>
      <w:r w:rsidR="00563A2B">
        <w:rPr>
          <w:b/>
          <w:bCs/>
        </w:rPr>
        <w:t>’</w:t>
      </w:r>
      <w:r w:rsidRPr="00EB3386">
        <w:rPr>
          <w:b/>
          <w:bCs/>
        </w:rPr>
        <w:t>.</w:t>
      </w:r>
    </w:p>
    <w:p w14:paraId="5B4D31E6" w14:textId="405C4E7F" w:rsidR="009A4DA0" w:rsidRPr="00B06F81" w:rsidRDefault="009A4DA0" w:rsidP="00953EC3">
      <w:pPr>
        <w:spacing w:before="140" w:after="140"/>
      </w:pPr>
      <w:r w:rsidRPr="00B06F81">
        <w:t>Provided you have not modified or transformed the interim National Housing Supply and Affordability Council material in any way including, for example, by changing the interim National Housing Supply and Affordability Council text; calculating percentage changes; graphing or charting data; or deriving new statistics from published the interim National Housing Supply and Affordability Council statistics</w:t>
      </w:r>
      <w:r w:rsidR="00EB496D">
        <w:t xml:space="preserve"> – </w:t>
      </w:r>
      <w:r w:rsidRPr="00B06F81">
        <w:t>then the interim National Housing Supply and Affordability Council prefers the following attribution:</w:t>
      </w:r>
    </w:p>
    <w:p w14:paraId="3B802836" w14:textId="77777777" w:rsidR="009A4DA0" w:rsidRPr="00B06F81" w:rsidRDefault="009A4DA0" w:rsidP="00953EC3">
      <w:pPr>
        <w:spacing w:before="140" w:after="140"/>
        <w:ind w:left="720"/>
      </w:pPr>
      <w:r w:rsidRPr="00B06F81">
        <w:t>Source: The interim National Housing Supply and Affordability Council</w:t>
      </w:r>
    </w:p>
    <w:p w14:paraId="3E93696C" w14:textId="77777777" w:rsidR="009A4DA0" w:rsidRPr="00EB3386" w:rsidRDefault="009A4DA0" w:rsidP="00953EC3">
      <w:pPr>
        <w:spacing w:before="140" w:after="140"/>
        <w:rPr>
          <w:b/>
          <w:bCs/>
        </w:rPr>
      </w:pPr>
      <w:r w:rsidRPr="00EB3386">
        <w:rPr>
          <w:b/>
          <w:bCs/>
        </w:rPr>
        <w:t>Derivative material</w:t>
      </w:r>
    </w:p>
    <w:p w14:paraId="38402ADA" w14:textId="77777777" w:rsidR="009A4DA0" w:rsidRPr="00B06F81" w:rsidRDefault="009A4DA0" w:rsidP="00953EC3">
      <w:pPr>
        <w:spacing w:before="140" w:after="140"/>
      </w:pPr>
      <w:r w:rsidRPr="00B06F81">
        <w:t xml:space="preserve">If you have modified or transformed the interim National Housing Supply and Affordability Council material, or derived new material from those of the interim National Housing Supply and Affordability Council in any way, then the interim National Housing Supply and Affordability Council prefers the following attribution: </w:t>
      </w:r>
    </w:p>
    <w:p w14:paraId="10B8C623" w14:textId="77777777" w:rsidR="009A4DA0" w:rsidRPr="00B06F81" w:rsidRDefault="009A4DA0" w:rsidP="00953EC3">
      <w:pPr>
        <w:spacing w:before="140" w:after="140"/>
        <w:ind w:left="720"/>
      </w:pPr>
      <w:r w:rsidRPr="00B06F81">
        <w:t xml:space="preserve">Based on the interim National Housing Supply and Affordability Council data </w:t>
      </w:r>
    </w:p>
    <w:p w14:paraId="1B95F77F" w14:textId="77777777" w:rsidR="009A4DA0" w:rsidRPr="00EB3386" w:rsidRDefault="009A4DA0" w:rsidP="00953EC3">
      <w:pPr>
        <w:spacing w:before="140" w:after="140"/>
        <w:rPr>
          <w:b/>
          <w:bCs/>
        </w:rPr>
      </w:pPr>
      <w:r w:rsidRPr="00EB3386">
        <w:rPr>
          <w:b/>
          <w:bCs/>
        </w:rPr>
        <w:t>Use of the Coat of Arms</w:t>
      </w:r>
    </w:p>
    <w:p w14:paraId="63448140" w14:textId="6903A729" w:rsidR="009A4DA0" w:rsidRPr="00EB3386" w:rsidRDefault="009A4DA0" w:rsidP="00953EC3">
      <w:pPr>
        <w:spacing w:before="140" w:after="140"/>
      </w:pPr>
      <w:r w:rsidRPr="00B06F81">
        <w:t>The terms under which the Coat of Arms can be used are set out on the Department of the Prime Minister and Cabinet website (</w:t>
      </w:r>
      <w:r w:rsidRPr="00EB3386">
        <w:t xml:space="preserve">see </w:t>
      </w:r>
      <w:hyperlink r:id="rId13" w:history="1">
        <w:r w:rsidRPr="00EB3386">
          <w:rPr>
            <w:rStyle w:val="Hyperlink"/>
          </w:rPr>
          <w:t>https://www.pmc.gov.au/honours</w:t>
        </w:r>
        <w:r w:rsidR="00563A2B">
          <w:rPr>
            <w:rStyle w:val="Hyperlink"/>
          </w:rPr>
          <w:noBreakHyphen/>
        </w:r>
        <w:r w:rsidRPr="00EB3386">
          <w:rPr>
            <w:rStyle w:val="Hyperlink"/>
          </w:rPr>
          <w:t>and</w:t>
        </w:r>
        <w:r w:rsidR="00563A2B">
          <w:rPr>
            <w:rStyle w:val="Hyperlink"/>
          </w:rPr>
          <w:noBreakHyphen/>
        </w:r>
        <w:r w:rsidRPr="00EB3386">
          <w:rPr>
            <w:rStyle w:val="Hyperlink"/>
          </w:rPr>
          <w:t>symbols/commonwealth</w:t>
        </w:r>
        <w:r w:rsidR="00563A2B">
          <w:rPr>
            <w:rStyle w:val="Hyperlink"/>
          </w:rPr>
          <w:noBreakHyphen/>
        </w:r>
        <w:r w:rsidRPr="00EB3386">
          <w:rPr>
            <w:rStyle w:val="Hyperlink"/>
          </w:rPr>
          <w:t>coat</w:t>
        </w:r>
        <w:r w:rsidR="00563A2B">
          <w:rPr>
            <w:rStyle w:val="Hyperlink"/>
          </w:rPr>
          <w:noBreakHyphen/>
        </w:r>
        <w:r w:rsidRPr="00EB3386">
          <w:rPr>
            <w:rStyle w:val="Hyperlink"/>
          </w:rPr>
          <w:t>arms</w:t>
        </w:r>
      </w:hyperlink>
      <w:r w:rsidRPr="00EB3386">
        <w:t>).</w:t>
      </w:r>
    </w:p>
    <w:p w14:paraId="561F6457" w14:textId="77777777" w:rsidR="009A4DA0" w:rsidRPr="00EB3386" w:rsidRDefault="009A4DA0" w:rsidP="00953EC3">
      <w:pPr>
        <w:spacing w:before="140" w:after="140"/>
        <w:rPr>
          <w:b/>
          <w:bCs/>
        </w:rPr>
      </w:pPr>
      <w:r w:rsidRPr="00EB3386">
        <w:rPr>
          <w:b/>
          <w:bCs/>
        </w:rPr>
        <w:t>Other uses</w:t>
      </w:r>
    </w:p>
    <w:p w14:paraId="0D59539F" w14:textId="77777777" w:rsidR="009A4DA0" w:rsidRPr="00B06F81" w:rsidRDefault="009A4DA0" w:rsidP="00953EC3">
      <w:pPr>
        <w:spacing w:before="140" w:after="140"/>
      </w:pPr>
      <w:r w:rsidRPr="00B06F81">
        <w:t>Enquiries regarding this licence and any other use of this document are welcome at:</w:t>
      </w:r>
    </w:p>
    <w:p w14:paraId="2F482D11" w14:textId="63C91BFE" w:rsidR="009A4DA0" w:rsidRDefault="009A4DA0" w:rsidP="00953EC3">
      <w:pPr>
        <w:spacing w:before="140" w:after="140"/>
        <w:ind w:left="720"/>
        <w:rPr>
          <w:rStyle w:val="Hyperlink"/>
        </w:rPr>
      </w:pPr>
      <w:r w:rsidRPr="00B06F81">
        <w:t xml:space="preserve">Office of the National Housing Supply and Affordability Council </w:t>
      </w:r>
      <w:r w:rsidR="00EB3386">
        <w:br/>
      </w:r>
      <w:r w:rsidRPr="00EB3386">
        <w:t xml:space="preserve">Email </w:t>
      </w:r>
      <w:hyperlink r:id="rId14" w:history="1">
        <w:r w:rsidR="00A02EFE">
          <w:rPr>
            <w:rStyle w:val="Hyperlink"/>
          </w:rPr>
          <w:t>enquiries@nhsac.gov.au</w:t>
        </w:r>
      </w:hyperlink>
    </w:p>
    <w:p w14:paraId="6BA179EC" w14:textId="77777777" w:rsidR="009637D5" w:rsidRPr="00EB3386" w:rsidRDefault="009637D5" w:rsidP="009637D5">
      <w:pPr>
        <w:pStyle w:val="SingleParagraph"/>
      </w:pPr>
    </w:p>
    <w:tbl>
      <w:tblPr>
        <w:tblpPr w:leftFromText="181" w:rightFromText="181" w:vertAnchor="text" w:tblpY="1"/>
        <w:tblOverlap w:val="never"/>
        <w:tblW w:w="5000" w:type="pct"/>
        <w:shd w:val="clear" w:color="auto" w:fill="F2E3C7" w:themeFill="background2"/>
        <w:tblCellMar>
          <w:top w:w="284" w:type="dxa"/>
          <w:left w:w="284" w:type="dxa"/>
          <w:bottom w:w="284" w:type="dxa"/>
          <w:right w:w="284" w:type="dxa"/>
        </w:tblCellMar>
        <w:tblLook w:val="0600" w:firstRow="0" w:lastRow="0" w:firstColumn="0" w:lastColumn="0" w:noHBand="1" w:noVBand="1"/>
      </w:tblPr>
      <w:tblGrid>
        <w:gridCol w:w="9070"/>
      </w:tblGrid>
      <w:tr w:rsidR="00EB6442" w14:paraId="21D26885" w14:textId="77777777" w:rsidTr="001424A3">
        <w:trPr>
          <w:tblHeader/>
        </w:trPr>
        <w:tc>
          <w:tcPr>
            <w:tcW w:w="5000" w:type="pct"/>
            <w:shd w:val="clear" w:color="auto" w:fill="F2E3C7" w:themeFill="background2"/>
            <w:tcMar>
              <w:top w:w="0" w:type="dxa"/>
              <w:left w:w="113" w:type="dxa"/>
              <w:bottom w:w="0" w:type="dxa"/>
              <w:right w:w="113" w:type="dxa"/>
            </w:tcMar>
            <w:hideMark/>
          </w:tcPr>
          <w:p w14:paraId="330267B8" w14:textId="77777777" w:rsidR="00EB6442" w:rsidRDefault="00EB6442" w:rsidP="00EB6442">
            <w:pPr>
              <w:pStyle w:val="BoxHeading"/>
              <w:rPr>
                <w:lang w:eastAsia="en-US"/>
              </w:rPr>
            </w:pPr>
            <w:r w:rsidRPr="00EB6442">
              <w:t>Acknowledgement</w:t>
            </w:r>
            <w:r>
              <w:rPr>
                <w:lang w:eastAsia="en-US"/>
              </w:rPr>
              <w:t xml:space="preserve"> of </w:t>
            </w:r>
            <w:r w:rsidRPr="005C081F">
              <w:t>Country</w:t>
            </w:r>
            <w:r>
              <w:rPr>
                <w:lang w:eastAsia="en-US"/>
              </w:rPr>
              <w:t xml:space="preserve"> </w:t>
            </w:r>
          </w:p>
          <w:p w14:paraId="7E51C3D3" w14:textId="77777777" w:rsidR="00EB6442" w:rsidRPr="00EB3386" w:rsidRDefault="00EB6442">
            <w:pPr>
              <w:pStyle w:val="BoxText"/>
            </w:pPr>
            <w:r w:rsidRPr="00EB3386">
              <w:t>The interim National Housing Supply and Affordability Council acknowledges the Traditional Custodians of country throughout Australia and their connections to land, sea and community. We play our respects to their Elders past and present and extend that respect to all Aboriginal and Torres Strait Islander peoples today.</w:t>
            </w:r>
          </w:p>
        </w:tc>
      </w:tr>
    </w:tbl>
    <w:p w14:paraId="1EBBD712" w14:textId="77777777" w:rsidR="009A4DA0" w:rsidRDefault="009A4DA0" w:rsidP="009A4DA0"/>
    <w:p w14:paraId="3469A296" w14:textId="0BDF912A" w:rsidR="00EB6442" w:rsidRPr="009105D4" w:rsidRDefault="00EB6442" w:rsidP="009A4DA0">
      <w:pPr>
        <w:sectPr w:rsidR="00EB6442" w:rsidRPr="009105D4" w:rsidSect="00EB6442">
          <w:footerReference w:type="first" r:id="rId15"/>
          <w:pgSz w:w="11906" w:h="16838" w:code="9"/>
          <w:pgMar w:top="1843" w:right="1418" w:bottom="1418" w:left="1418" w:header="709" w:footer="709" w:gutter="0"/>
          <w:pgNumType w:fmt="lowerRoman"/>
          <w:cols w:space="708"/>
          <w:titlePg/>
          <w:docGrid w:linePitch="360"/>
        </w:sectPr>
      </w:pPr>
    </w:p>
    <w:p w14:paraId="538F2AE2" w14:textId="18BF9721" w:rsidR="009A4DA0" w:rsidRPr="00F045E0" w:rsidRDefault="009A4DA0" w:rsidP="009A4DA0">
      <w:pPr>
        <w:pStyle w:val="Heading1"/>
      </w:pPr>
      <w:bookmarkStart w:id="1" w:name="_Toc141355229"/>
      <w:bookmarkStart w:id="2" w:name="_Toc432067103"/>
      <w:bookmarkStart w:id="3" w:name="_Toc452635030"/>
      <w:r w:rsidRPr="00F045E0">
        <w:lastRenderedPageBreak/>
        <w:t>Foreword</w:t>
      </w:r>
      <w:bookmarkEnd w:id="1"/>
    </w:p>
    <w:p w14:paraId="366D0A80" w14:textId="0381B0BD" w:rsidR="009A4DA0" w:rsidRPr="004B01DA" w:rsidRDefault="009A4DA0" w:rsidP="00D725A9">
      <w:pPr>
        <w:rPr>
          <w:rFonts w:cstheme="minorHAnsi"/>
          <w:color w:val="000000"/>
          <w:szCs w:val="22"/>
          <w:shd w:val="clear" w:color="auto" w:fill="FFFFFF"/>
        </w:rPr>
      </w:pPr>
      <w:r w:rsidRPr="004B01DA">
        <w:rPr>
          <w:rFonts w:cstheme="minorHAnsi"/>
          <w:color w:val="000000"/>
          <w:szCs w:val="22"/>
          <w:shd w:val="clear" w:color="auto" w:fill="FFFFFF"/>
        </w:rPr>
        <w:t>All Australians should have access to safe, well</w:t>
      </w:r>
      <w:r w:rsidR="00563A2B">
        <w:rPr>
          <w:rFonts w:cstheme="minorHAnsi"/>
          <w:color w:val="000000"/>
          <w:szCs w:val="22"/>
          <w:shd w:val="clear" w:color="auto" w:fill="FFFFFF"/>
        </w:rPr>
        <w:noBreakHyphen/>
      </w:r>
      <w:r w:rsidRPr="004B01DA">
        <w:rPr>
          <w:rFonts w:cstheme="minorHAnsi"/>
          <w:color w:val="000000"/>
          <w:szCs w:val="22"/>
          <w:shd w:val="clear" w:color="auto" w:fill="FFFFFF"/>
        </w:rPr>
        <w:t>located and affordable housing. To support this goal, on 1 January 2023 the Government established the interim National Housing Supply and Affordability Council</w:t>
      </w:r>
      <w:r w:rsidR="00372543">
        <w:rPr>
          <w:rFonts w:cstheme="minorHAnsi"/>
          <w:color w:val="000000"/>
          <w:szCs w:val="22"/>
          <w:shd w:val="clear" w:color="auto" w:fill="FFFFFF"/>
        </w:rPr>
        <w:t xml:space="preserve"> </w:t>
      </w:r>
      <w:r w:rsidR="00363710">
        <w:rPr>
          <w:rFonts w:cstheme="minorHAnsi"/>
          <w:color w:val="000000"/>
          <w:szCs w:val="22"/>
          <w:shd w:val="clear" w:color="auto" w:fill="FFFFFF"/>
        </w:rPr>
        <w:t>(the Council)</w:t>
      </w:r>
      <w:r w:rsidRPr="004B01DA">
        <w:rPr>
          <w:rFonts w:cstheme="minorHAnsi"/>
          <w:color w:val="000000"/>
          <w:szCs w:val="22"/>
          <w:shd w:val="clear" w:color="auto" w:fill="FFFFFF"/>
        </w:rPr>
        <w:t xml:space="preserve"> and tasked it with building the evidence base to support policy making and improve outcomes across the </w:t>
      </w:r>
      <w:r w:rsidRPr="00D725A9">
        <w:t>housing</w:t>
      </w:r>
      <w:r w:rsidRPr="004B01DA">
        <w:rPr>
          <w:rFonts w:cstheme="minorHAnsi"/>
          <w:color w:val="000000"/>
          <w:szCs w:val="22"/>
          <w:shd w:val="clear" w:color="auto" w:fill="FFFFFF"/>
        </w:rPr>
        <w:t xml:space="preserve"> spectrum.</w:t>
      </w:r>
    </w:p>
    <w:p w14:paraId="1038A7A5" w14:textId="4AC47F48" w:rsidR="009A4DA0" w:rsidRPr="004B01DA" w:rsidRDefault="009A4DA0" w:rsidP="00D725A9">
      <w:pPr>
        <w:rPr>
          <w:rFonts w:cstheme="minorBidi"/>
          <w:color w:val="000000"/>
          <w:shd w:val="clear" w:color="auto" w:fill="FFFFFF"/>
        </w:rPr>
      </w:pPr>
      <w:r w:rsidRPr="290E8EAD">
        <w:rPr>
          <w:rFonts w:cstheme="minorBidi"/>
          <w:color w:val="000000"/>
          <w:shd w:val="clear" w:color="auto" w:fill="FFFFFF"/>
        </w:rPr>
        <w:t xml:space="preserve">On 9 May 2023, the Minister for Housing, the Hon </w:t>
      </w:r>
      <w:r w:rsidRPr="290E8EAD">
        <w:rPr>
          <w:rFonts w:cstheme="minorBidi"/>
          <w:color w:val="000000"/>
          <w:shd w:val="clear" w:color="auto" w:fill="FFFFFF"/>
          <w:lang w:val="en-GB"/>
        </w:rPr>
        <w:t>Julie Collins MP,</w:t>
      </w:r>
      <w:r w:rsidRPr="290E8EAD">
        <w:rPr>
          <w:rFonts w:cstheme="minorBidi"/>
          <w:color w:val="000000"/>
          <w:shd w:val="clear" w:color="auto" w:fill="FFFFFF"/>
        </w:rPr>
        <w:t xml:space="preserve"> commissioned </w:t>
      </w:r>
      <w:r w:rsidRPr="290E8EAD">
        <w:rPr>
          <w:rFonts w:cstheme="minorBidi"/>
        </w:rPr>
        <w:t>the Council</w:t>
      </w:r>
      <w:r w:rsidR="00563A2B">
        <w:rPr>
          <w:rFonts w:cstheme="minorBidi"/>
        </w:rPr>
        <w:t>’</w:t>
      </w:r>
      <w:r w:rsidRPr="290E8EAD">
        <w:rPr>
          <w:rFonts w:cstheme="minorBidi"/>
        </w:rPr>
        <w:t>s</w:t>
      </w:r>
      <w:r w:rsidRPr="290E8EAD">
        <w:rPr>
          <w:rFonts w:cstheme="minorBidi"/>
          <w:color w:val="000000"/>
          <w:shd w:val="clear" w:color="auto" w:fill="FFFFFF"/>
        </w:rPr>
        <w:t xml:space="preserve"> first piece of work: a review of barriers to institutional investment</w:t>
      </w:r>
      <w:r w:rsidR="00666E81">
        <w:rPr>
          <w:rFonts w:cstheme="minorBidi"/>
          <w:color w:val="000000"/>
          <w:shd w:val="clear" w:color="auto" w:fill="FFFFFF"/>
        </w:rPr>
        <w:t>,</w:t>
      </w:r>
      <w:r w:rsidR="00A46106">
        <w:rPr>
          <w:rFonts w:cstheme="minorBidi"/>
          <w:color w:val="000000"/>
          <w:shd w:val="clear" w:color="auto" w:fill="FFFFFF"/>
        </w:rPr>
        <w:t xml:space="preserve"> </w:t>
      </w:r>
      <w:r w:rsidR="00A46106" w:rsidRPr="290E8EAD">
        <w:rPr>
          <w:rFonts w:cstheme="minorBidi"/>
          <w:color w:val="000000"/>
          <w:shd w:val="clear" w:color="auto" w:fill="FFFFFF"/>
        </w:rPr>
        <w:t>finance</w:t>
      </w:r>
      <w:r w:rsidR="00A46106">
        <w:rPr>
          <w:rFonts w:cstheme="minorBidi"/>
          <w:color w:val="000000"/>
          <w:shd w:val="clear" w:color="auto" w:fill="FFFFFF"/>
        </w:rPr>
        <w:t xml:space="preserve"> and</w:t>
      </w:r>
      <w:r w:rsidR="00666E81">
        <w:rPr>
          <w:rFonts w:cstheme="minorBidi"/>
          <w:color w:val="000000"/>
          <w:shd w:val="clear" w:color="auto" w:fill="FFFFFF"/>
        </w:rPr>
        <w:t xml:space="preserve"> innovation</w:t>
      </w:r>
      <w:r w:rsidRPr="290E8EAD">
        <w:rPr>
          <w:rFonts w:cstheme="minorBidi"/>
        </w:rPr>
        <w:t xml:space="preserve"> </w:t>
      </w:r>
      <w:r w:rsidRPr="290E8EAD">
        <w:rPr>
          <w:rFonts w:cstheme="minorBidi"/>
          <w:color w:val="000000"/>
          <w:shd w:val="clear" w:color="auto" w:fill="FFFFFF"/>
        </w:rPr>
        <w:t>in housing.</w:t>
      </w:r>
      <w:r w:rsidR="00E67AFE">
        <w:rPr>
          <w:rFonts w:cstheme="minorBidi"/>
          <w:color w:val="000000"/>
          <w:shd w:val="clear" w:color="auto" w:fill="FFFFFF"/>
        </w:rPr>
        <w:t xml:space="preserve"> </w:t>
      </w:r>
      <w:r w:rsidRPr="290E8EAD">
        <w:rPr>
          <w:rFonts w:cstheme="minorBidi"/>
          <w:color w:val="000000"/>
          <w:shd w:val="clear" w:color="auto" w:fill="FFFFFF"/>
        </w:rPr>
        <w:t>The</w:t>
      </w:r>
      <w:r w:rsidR="00E67AFE">
        <w:rPr>
          <w:rFonts w:cstheme="minorBidi"/>
          <w:color w:val="000000"/>
          <w:shd w:val="clear" w:color="auto" w:fill="FFFFFF"/>
        </w:rPr>
        <w:t> </w:t>
      </w:r>
      <w:r w:rsidRPr="290E8EAD">
        <w:rPr>
          <w:rFonts w:cstheme="minorBidi"/>
          <w:color w:val="000000"/>
          <w:shd w:val="clear" w:color="auto" w:fill="FFFFFF"/>
        </w:rPr>
        <w:t xml:space="preserve">Minister asked </w:t>
      </w:r>
      <w:r w:rsidRPr="290E8EAD">
        <w:rPr>
          <w:rFonts w:cstheme="minorBidi"/>
        </w:rPr>
        <w:t>the Council</w:t>
      </w:r>
      <w:r w:rsidRPr="290E8EAD">
        <w:rPr>
          <w:rFonts w:cstheme="minorBidi"/>
          <w:color w:val="000000"/>
          <w:shd w:val="clear" w:color="auto" w:fill="FFFFFF"/>
        </w:rPr>
        <w:t xml:space="preserve"> to consult widely, </w:t>
      </w:r>
      <w:r w:rsidR="00E52885">
        <w:rPr>
          <w:rFonts w:cstheme="minorBidi"/>
          <w:color w:val="000000"/>
          <w:shd w:val="clear" w:color="auto" w:fill="FFFFFF"/>
        </w:rPr>
        <w:t>review arrangements in</w:t>
      </w:r>
      <w:r w:rsidRPr="290E8EAD">
        <w:rPr>
          <w:rFonts w:cstheme="minorBidi"/>
          <w:color w:val="000000"/>
          <w:shd w:val="clear" w:color="auto" w:fill="FFFFFF"/>
        </w:rPr>
        <w:t xml:space="preserve"> </w:t>
      </w:r>
      <w:r w:rsidR="00E52885" w:rsidRPr="290E8EAD">
        <w:rPr>
          <w:rFonts w:cstheme="minorBidi"/>
          <w:color w:val="000000"/>
          <w:shd w:val="clear" w:color="auto" w:fill="FFFFFF"/>
        </w:rPr>
        <w:t>comparable international jurisdictions</w:t>
      </w:r>
      <w:r w:rsidR="00E52885">
        <w:rPr>
          <w:rFonts w:cstheme="minorBidi"/>
          <w:color w:val="000000"/>
          <w:shd w:val="clear" w:color="auto" w:fill="FFFFFF"/>
        </w:rPr>
        <w:t>,</w:t>
      </w:r>
      <w:r w:rsidR="00E52885" w:rsidRPr="290E8EAD">
        <w:rPr>
          <w:rFonts w:cstheme="minorBidi"/>
          <w:color w:val="000000"/>
          <w:shd w:val="clear" w:color="auto" w:fill="FFFFFF"/>
        </w:rPr>
        <w:t xml:space="preserve"> </w:t>
      </w:r>
      <w:r w:rsidRPr="290E8EAD">
        <w:rPr>
          <w:rFonts w:cstheme="minorBidi"/>
          <w:color w:val="000000"/>
          <w:shd w:val="clear" w:color="auto" w:fill="FFFFFF"/>
        </w:rPr>
        <w:t xml:space="preserve">identify barriers in the Australian context and recommend priority actions. </w:t>
      </w:r>
    </w:p>
    <w:p w14:paraId="6F563FFF" w14:textId="416A4159" w:rsidR="009A4DA0" w:rsidRPr="004B01DA" w:rsidRDefault="009A4DA0" w:rsidP="00D725A9">
      <w:pPr>
        <w:rPr>
          <w:rFonts w:cstheme="minorBidi"/>
          <w:color w:val="000000"/>
          <w:shd w:val="clear" w:color="auto" w:fill="FFFFFF"/>
        </w:rPr>
      </w:pPr>
      <w:r w:rsidRPr="479AD369">
        <w:rPr>
          <w:rFonts w:cstheme="minorBidi"/>
          <w:color w:val="000000"/>
          <w:shd w:val="clear" w:color="auto" w:fill="FFFFFF"/>
        </w:rPr>
        <w:t xml:space="preserve">This report is an important opportunity to provide advice that can improve housing outcomes for Australians. The supply of housing in Australia falls significantly short of demand, </w:t>
      </w:r>
      <w:r w:rsidR="00295635" w:rsidRPr="479AD369">
        <w:rPr>
          <w:rFonts w:cstheme="minorBidi"/>
          <w:color w:val="000000"/>
          <w:shd w:val="clear" w:color="auto" w:fill="FFFFFF"/>
        </w:rPr>
        <w:t>contributing</w:t>
      </w:r>
      <w:r w:rsidRPr="479AD369">
        <w:rPr>
          <w:rFonts w:cstheme="minorBidi"/>
          <w:color w:val="000000"/>
          <w:shd w:val="clear" w:color="auto" w:fill="FFFFFF"/>
        </w:rPr>
        <w:t xml:space="preserve"> to </w:t>
      </w:r>
      <w:r w:rsidR="00CD757A" w:rsidRPr="479AD369">
        <w:rPr>
          <w:rFonts w:cstheme="minorBidi"/>
          <w:color w:val="000000"/>
          <w:shd w:val="clear" w:color="auto" w:fill="FFFFFF"/>
        </w:rPr>
        <w:t>very low vacancy rates</w:t>
      </w:r>
      <w:r w:rsidRPr="479AD369">
        <w:rPr>
          <w:rFonts w:cstheme="minorBidi"/>
          <w:color w:val="000000"/>
          <w:shd w:val="clear" w:color="auto" w:fill="FFFFFF"/>
        </w:rPr>
        <w:t xml:space="preserve"> and rental </w:t>
      </w:r>
      <w:r w:rsidR="00CD757A" w:rsidRPr="479AD369">
        <w:rPr>
          <w:rFonts w:cstheme="minorBidi"/>
          <w:color w:val="000000"/>
          <w:shd w:val="clear" w:color="auto" w:fill="FFFFFF"/>
        </w:rPr>
        <w:t>prices that are rising well</w:t>
      </w:r>
      <w:r w:rsidRPr="479AD369">
        <w:rPr>
          <w:rFonts w:cstheme="minorBidi"/>
          <w:color w:val="000000"/>
          <w:shd w:val="clear" w:color="auto" w:fill="FFFFFF"/>
        </w:rPr>
        <w:t xml:space="preserve"> ahead of wage growth.</w:t>
      </w:r>
      <w:r w:rsidR="00930F47" w:rsidRPr="479AD369">
        <w:rPr>
          <w:rFonts w:cstheme="minorBidi"/>
          <w:color w:val="000000"/>
          <w:shd w:val="clear" w:color="auto" w:fill="FFFFFF"/>
        </w:rPr>
        <w:t xml:space="preserve"> </w:t>
      </w:r>
      <w:r w:rsidRPr="479AD369">
        <w:rPr>
          <w:rFonts w:cstheme="minorBidi"/>
          <w:color w:val="000000"/>
          <w:shd w:val="clear" w:color="auto" w:fill="FFFFFF"/>
        </w:rPr>
        <w:t>Accessing institutional capital is one way to increase housing supply</w:t>
      </w:r>
      <w:r w:rsidRPr="479AD369" w:rsidDel="00222507">
        <w:rPr>
          <w:rFonts w:cstheme="minorBidi"/>
          <w:color w:val="000000"/>
          <w:shd w:val="clear" w:color="auto" w:fill="FFFFFF"/>
        </w:rPr>
        <w:t>,</w:t>
      </w:r>
      <w:r w:rsidRPr="479AD369" w:rsidDel="00116E3B">
        <w:rPr>
          <w:rFonts w:cstheme="minorBidi"/>
          <w:color w:val="000000"/>
          <w:shd w:val="clear" w:color="auto" w:fill="FFFFFF"/>
        </w:rPr>
        <w:t xml:space="preserve"> </w:t>
      </w:r>
      <w:r w:rsidR="008F350F" w:rsidRPr="479AD369">
        <w:rPr>
          <w:rFonts w:cstheme="minorBidi"/>
          <w:color w:val="000000"/>
          <w:shd w:val="clear" w:color="auto" w:fill="FFFFFF"/>
        </w:rPr>
        <w:t xml:space="preserve">which would </w:t>
      </w:r>
      <w:r w:rsidRPr="479AD369" w:rsidDel="00222507">
        <w:rPr>
          <w:rFonts w:cstheme="minorBidi"/>
          <w:color w:val="000000"/>
          <w:shd w:val="clear" w:color="auto" w:fill="FFFFFF"/>
        </w:rPr>
        <w:t>improv</w:t>
      </w:r>
      <w:r w:rsidRPr="479AD369" w:rsidDel="00BF6A81">
        <w:rPr>
          <w:rFonts w:cstheme="minorBidi"/>
          <w:color w:val="000000"/>
          <w:shd w:val="clear" w:color="auto" w:fill="FFFFFF"/>
        </w:rPr>
        <w:t>e</w:t>
      </w:r>
      <w:r w:rsidRPr="479AD369">
        <w:rPr>
          <w:rFonts w:cstheme="minorBidi"/>
          <w:color w:val="000000"/>
          <w:shd w:val="clear" w:color="auto" w:fill="FFFFFF"/>
        </w:rPr>
        <w:t xml:space="preserve"> affordability and ease rental shortages. </w:t>
      </w:r>
    </w:p>
    <w:p w14:paraId="2EAA22FE" w14:textId="5EB798DC" w:rsidR="009A4DA0" w:rsidRPr="004B01DA" w:rsidRDefault="009A4DA0" w:rsidP="00D725A9">
      <w:pPr>
        <w:rPr>
          <w:rFonts w:cstheme="minorHAnsi"/>
          <w:szCs w:val="22"/>
          <w:lang w:val="en-GB"/>
        </w:rPr>
      </w:pPr>
      <w:r w:rsidRPr="004B01DA">
        <w:rPr>
          <w:rFonts w:cstheme="minorHAnsi"/>
          <w:szCs w:val="22"/>
          <w:lang w:val="en-GB"/>
        </w:rPr>
        <w:t>The Council</w:t>
      </w:r>
      <w:r w:rsidRPr="004B01DA" w:rsidDel="0006047B">
        <w:rPr>
          <w:rFonts w:cstheme="minorHAnsi"/>
          <w:szCs w:val="22"/>
          <w:lang w:val="en-GB"/>
        </w:rPr>
        <w:t xml:space="preserve"> </w:t>
      </w:r>
      <w:r w:rsidR="0006047B">
        <w:rPr>
          <w:rFonts w:cstheme="minorHAnsi"/>
          <w:szCs w:val="22"/>
          <w:lang w:val="en-GB"/>
        </w:rPr>
        <w:t>believes</w:t>
      </w:r>
      <w:r w:rsidRPr="004B01DA">
        <w:rPr>
          <w:rFonts w:cstheme="minorHAnsi"/>
          <w:szCs w:val="22"/>
          <w:lang w:val="en-GB"/>
        </w:rPr>
        <w:t xml:space="preserve"> that the emergence of an institutional market for housing </w:t>
      </w:r>
      <w:r w:rsidRPr="004B01DA" w:rsidDel="00BA5243">
        <w:rPr>
          <w:rFonts w:cstheme="minorHAnsi"/>
          <w:szCs w:val="22"/>
          <w:lang w:val="en-GB"/>
        </w:rPr>
        <w:t>can</w:t>
      </w:r>
      <w:r w:rsidRPr="004B01DA" w:rsidDel="00116E3B">
        <w:rPr>
          <w:rFonts w:cstheme="minorHAnsi"/>
          <w:szCs w:val="22"/>
          <w:lang w:val="en-GB"/>
        </w:rPr>
        <w:t xml:space="preserve"> add</w:t>
      </w:r>
      <w:r w:rsidRPr="004B01DA">
        <w:rPr>
          <w:rFonts w:cstheme="minorHAnsi"/>
          <w:szCs w:val="22"/>
          <w:lang w:val="en-GB"/>
        </w:rPr>
        <w:t xml:space="preserve"> to the supply of rental stock and improve rental affordability. To develop institutional housing as an asset class, the Council has made </w:t>
      </w:r>
      <w:r>
        <w:rPr>
          <w:rFonts w:cstheme="minorHAnsi"/>
          <w:szCs w:val="22"/>
          <w:lang w:val="en-GB"/>
        </w:rPr>
        <w:t>1</w:t>
      </w:r>
      <w:r w:rsidR="00897BF9">
        <w:rPr>
          <w:rFonts w:cstheme="minorHAnsi"/>
          <w:szCs w:val="22"/>
          <w:lang w:val="en-GB"/>
        </w:rPr>
        <w:t>1</w:t>
      </w:r>
      <w:r w:rsidRPr="004B01DA">
        <w:rPr>
          <w:rFonts w:cstheme="minorHAnsi"/>
          <w:szCs w:val="22"/>
          <w:lang w:val="en-GB"/>
        </w:rPr>
        <w:t xml:space="preserve"> recommendations across </w:t>
      </w:r>
      <w:r w:rsidR="00F035AA">
        <w:rPr>
          <w:rFonts w:cstheme="minorHAnsi"/>
          <w:szCs w:val="22"/>
          <w:lang w:val="en-GB"/>
        </w:rPr>
        <w:t>3</w:t>
      </w:r>
      <w:r w:rsidR="00B64C6A" w:rsidRPr="004B01DA">
        <w:rPr>
          <w:rFonts w:cstheme="minorHAnsi"/>
          <w:szCs w:val="22"/>
          <w:lang w:val="en-GB"/>
        </w:rPr>
        <w:t xml:space="preserve"> </w:t>
      </w:r>
      <w:r w:rsidRPr="004B01DA">
        <w:rPr>
          <w:rFonts w:cstheme="minorHAnsi"/>
          <w:szCs w:val="22"/>
          <w:lang w:val="en-GB"/>
        </w:rPr>
        <w:t>areas. These recommendations seek to ensure a</w:t>
      </w:r>
      <w:r w:rsidR="0041154C">
        <w:rPr>
          <w:rFonts w:cstheme="minorHAnsi"/>
          <w:szCs w:val="22"/>
          <w:lang w:val="en-GB"/>
        </w:rPr>
        <w:t>n adequate</w:t>
      </w:r>
      <w:r w:rsidRPr="004B01DA">
        <w:rPr>
          <w:rFonts w:cstheme="minorHAnsi"/>
          <w:szCs w:val="22"/>
          <w:lang w:val="en-GB"/>
        </w:rPr>
        <w:t xml:space="preserve"> pipeline of projects suitable for institutional investment</w:t>
      </w:r>
      <w:r w:rsidR="002D5FD8">
        <w:rPr>
          <w:rFonts w:cstheme="minorHAnsi"/>
          <w:szCs w:val="22"/>
          <w:lang w:val="en-GB"/>
        </w:rPr>
        <w:t>,</w:t>
      </w:r>
      <w:r w:rsidRPr="004B01DA">
        <w:rPr>
          <w:rFonts w:cstheme="minorHAnsi"/>
          <w:szCs w:val="22"/>
          <w:lang w:val="en-GB"/>
        </w:rPr>
        <w:t xml:space="preserve"> de</w:t>
      </w:r>
      <w:r w:rsidR="00563A2B">
        <w:rPr>
          <w:rFonts w:cstheme="minorHAnsi"/>
          <w:szCs w:val="22"/>
          <w:lang w:val="en-GB"/>
        </w:rPr>
        <w:noBreakHyphen/>
      </w:r>
      <w:r w:rsidRPr="004B01DA">
        <w:rPr>
          <w:rFonts w:cstheme="minorHAnsi"/>
          <w:szCs w:val="22"/>
          <w:lang w:val="en-GB"/>
        </w:rPr>
        <w:t>risk the development of housing assets and the provision of housing services</w:t>
      </w:r>
      <w:r w:rsidR="00790FB8">
        <w:rPr>
          <w:rFonts w:cstheme="minorHAnsi"/>
          <w:szCs w:val="22"/>
          <w:lang w:val="en-GB"/>
        </w:rPr>
        <w:t>,</w:t>
      </w:r>
      <w:r w:rsidRPr="004B01DA">
        <w:rPr>
          <w:rFonts w:cstheme="minorHAnsi"/>
          <w:szCs w:val="22"/>
          <w:lang w:val="en-GB"/>
        </w:rPr>
        <w:t xml:space="preserve"> and support social and affordable housing. </w:t>
      </w:r>
    </w:p>
    <w:p w14:paraId="500D350D" w14:textId="2F31832A" w:rsidR="009A4DA0" w:rsidRPr="004B01DA" w:rsidRDefault="009A4DA0" w:rsidP="00D725A9">
      <w:pPr>
        <w:rPr>
          <w:rFonts w:cstheme="minorHAnsi"/>
          <w:szCs w:val="22"/>
          <w:lang w:val="en-GB"/>
        </w:rPr>
      </w:pPr>
      <w:r w:rsidRPr="004B01DA">
        <w:rPr>
          <w:rFonts w:cstheme="minorHAnsi"/>
          <w:szCs w:val="22"/>
          <w:lang w:val="en-GB"/>
        </w:rPr>
        <w:t>The Council is grateful for the generous input received from stakeholders through roundtable discussions and bilateral meetings. Those consulted included institutional investors and investor associations</w:t>
      </w:r>
      <w:r w:rsidR="00CD0AF1">
        <w:rPr>
          <w:rFonts w:cstheme="minorHAnsi"/>
          <w:szCs w:val="22"/>
          <w:lang w:val="en-GB"/>
        </w:rPr>
        <w:t>;</w:t>
      </w:r>
      <w:r w:rsidRPr="004B01DA">
        <w:rPr>
          <w:rFonts w:cstheme="minorHAnsi"/>
          <w:szCs w:val="22"/>
          <w:lang w:val="en-GB"/>
        </w:rPr>
        <w:t xml:space="preserve"> residential construction and development entities and related peak bodies</w:t>
      </w:r>
      <w:r w:rsidR="00CD0AF1">
        <w:rPr>
          <w:rFonts w:cstheme="minorHAnsi"/>
          <w:szCs w:val="22"/>
          <w:lang w:val="en-GB"/>
        </w:rPr>
        <w:t>;</w:t>
      </w:r>
      <w:r w:rsidRPr="004B01DA">
        <w:rPr>
          <w:rFonts w:cstheme="minorHAnsi"/>
          <w:szCs w:val="22"/>
          <w:lang w:val="en-GB"/>
        </w:rPr>
        <w:t xml:space="preserve"> </w:t>
      </w:r>
      <w:r w:rsidR="0072679C">
        <w:rPr>
          <w:rFonts w:cstheme="minorHAnsi"/>
          <w:szCs w:val="22"/>
          <w:lang w:val="en-GB"/>
        </w:rPr>
        <w:t>Commonwealth</w:t>
      </w:r>
      <w:r w:rsidR="004A222B">
        <w:rPr>
          <w:rFonts w:cstheme="minorHAnsi"/>
          <w:szCs w:val="22"/>
          <w:lang w:val="en-GB"/>
        </w:rPr>
        <w:t>,</w:t>
      </w:r>
      <w:r w:rsidR="0072679C" w:rsidDel="004A222B">
        <w:rPr>
          <w:rFonts w:cstheme="minorHAnsi"/>
          <w:szCs w:val="22"/>
          <w:lang w:val="en-GB"/>
        </w:rPr>
        <w:t xml:space="preserve"> </w:t>
      </w:r>
      <w:r w:rsidRPr="004B01DA">
        <w:rPr>
          <w:rFonts w:cstheme="minorHAnsi"/>
          <w:szCs w:val="22"/>
          <w:lang w:val="en-GB"/>
        </w:rPr>
        <w:t>state and territory governments</w:t>
      </w:r>
      <w:r w:rsidR="0072679C">
        <w:rPr>
          <w:rFonts w:cstheme="minorHAnsi"/>
          <w:szCs w:val="22"/>
          <w:lang w:val="en-GB"/>
        </w:rPr>
        <w:t xml:space="preserve"> and agencies</w:t>
      </w:r>
      <w:r w:rsidR="00511E64">
        <w:rPr>
          <w:rFonts w:cstheme="minorHAnsi"/>
          <w:szCs w:val="22"/>
          <w:lang w:val="en-GB"/>
        </w:rPr>
        <w:t>;</w:t>
      </w:r>
      <w:r w:rsidRPr="004B01DA">
        <w:rPr>
          <w:rFonts w:cstheme="minorHAnsi"/>
          <w:szCs w:val="22"/>
          <w:lang w:val="en-GB"/>
        </w:rPr>
        <w:t xml:space="preserve"> the community housing sector</w:t>
      </w:r>
      <w:r w:rsidR="00CD0AF1">
        <w:rPr>
          <w:rFonts w:cstheme="minorHAnsi"/>
          <w:szCs w:val="22"/>
          <w:lang w:val="en-GB"/>
        </w:rPr>
        <w:t>;</w:t>
      </w:r>
      <w:r w:rsidRPr="004B01DA">
        <w:rPr>
          <w:rFonts w:cstheme="minorHAnsi"/>
          <w:szCs w:val="22"/>
          <w:lang w:val="en-GB"/>
        </w:rPr>
        <w:t xml:space="preserve"> and research institutions.</w:t>
      </w:r>
    </w:p>
    <w:p w14:paraId="25B91834" w14:textId="65C56605" w:rsidR="009A4DA0" w:rsidRDefault="009A4DA0" w:rsidP="00D725A9">
      <w:pPr>
        <w:rPr>
          <w:rFonts w:cstheme="minorHAnsi"/>
          <w:szCs w:val="22"/>
          <w:lang w:val="en-GB"/>
        </w:rPr>
      </w:pPr>
      <w:r w:rsidRPr="004B01DA">
        <w:rPr>
          <w:rFonts w:cstheme="minorHAnsi"/>
          <w:szCs w:val="22"/>
          <w:lang w:val="en-GB"/>
        </w:rPr>
        <w:t>On behalf of the Council, I am pleased to submit this report to the Minister and hope the recommendations are accepted and implemented to deliver improved housing outcomes for</w:t>
      </w:r>
      <w:r w:rsidR="00E67AFE">
        <w:rPr>
          <w:rFonts w:cstheme="minorHAnsi"/>
          <w:szCs w:val="22"/>
          <w:lang w:val="en-GB"/>
        </w:rPr>
        <w:t> </w:t>
      </w:r>
      <w:r w:rsidRPr="004B01DA">
        <w:rPr>
          <w:rFonts w:cstheme="minorHAnsi"/>
          <w:szCs w:val="22"/>
          <w:lang w:val="en-GB"/>
        </w:rPr>
        <w:t xml:space="preserve">Australians. </w:t>
      </w:r>
    </w:p>
    <w:p w14:paraId="32FC3552" w14:textId="3DFA5B60" w:rsidR="009C27E6" w:rsidRPr="004B01DA" w:rsidRDefault="00622516" w:rsidP="00622516">
      <w:pPr>
        <w:pStyle w:val="ChartGraphic"/>
        <w:jc w:val="left"/>
        <w:rPr>
          <w:lang w:val="en-GB"/>
        </w:rPr>
      </w:pPr>
      <w:r w:rsidRPr="00D64097">
        <w:rPr>
          <w:noProof/>
          <w:lang w:val="en-GB"/>
        </w:rPr>
        <w:drawing>
          <wp:inline distT="0" distB="0" distL="0" distR="0" wp14:anchorId="48905827" wp14:editId="2666CE99">
            <wp:extent cx="2613910" cy="390525"/>
            <wp:effectExtent l="0" t="0" r="0" b="0"/>
            <wp:docPr id="836375453" name="Picture 836375453" descr="Signature of Ms Susan Lloyd Hurwitz">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375453" name="Picture 1" descr="Signature of Ms Susan Lloyd Hurwitz">
                      <a:extLst>
                        <a:ext uri="{C183D7F6-B498-43B3-948B-1728B52AA6E4}">
                          <adec:decorative xmlns:adec="http://schemas.microsoft.com/office/drawing/2017/decorative" val="0"/>
                        </a:ext>
                      </a:extLst>
                    </pic:cNvPr>
                    <pic:cNvPicPr/>
                  </pic:nvPicPr>
                  <pic:blipFill>
                    <a:blip r:embed="rId16"/>
                    <a:stretch>
                      <a:fillRect/>
                    </a:stretch>
                  </pic:blipFill>
                  <pic:spPr>
                    <a:xfrm>
                      <a:off x="0" y="0"/>
                      <a:ext cx="2656909" cy="396949"/>
                    </a:xfrm>
                    <a:prstGeom prst="rect">
                      <a:avLst/>
                    </a:prstGeom>
                  </pic:spPr>
                </pic:pic>
              </a:graphicData>
            </a:graphic>
          </wp:inline>
        </w:drawing>
      </w:r>
    </w:p>
    <w:p w14:paraId="48E24C9F" w14:textId="1D2A01DD" w:rsidR="009A4DA0" w:rsidRPr="00A17969" w:rsidRDefault="009A4DA0" w:rsidP="00D725A9">
      <w:pPr>
        <w:rPr>
          <w:rFonts w:cs="Tahoma"/>
          <w:b/>
        </w:rPr>
      </w:pPr>
      <w:r>
        <w:t>Ms Susan Lloyd</w:t>
      </w:r>
      <w:r w:rsidR="00563A2B">
        <w:noBreakHyphen/>
      </w:r>
      <w:r>
        <w:t xml:space="preserve">Hurwitz </w:t>
      </w:r>
    </w:p>
    <w:p w14:paraId="2CA23F69" w14:textId="77777777" w:rsidR="009A4DA0" w:rsidRPr="00B97308" w:rsidRDefault="009A4DA0" w:rsidP="00D725A9">
      <w:pPr>
        <w:rPr>
          <w:rFonts w:cs="Tahoma"/>
          <w:b/>
        </w:rPr>
      </w:pPr>
      <w:r>
        <w:t xml:space="preserve">Chair, interim National Housing Supply and Affordability Council </w:t>
      </w:r>
    </w:p>
    <w:bookmarkEnd w:id="2"/>
    <w:bookmarkEnd w:id="3"/>
    <w:p w14:paraId="67677C34" w14:textId="77777777" w:rsidR="009A4DA0" w:rsidRDefault="009A4DA0" w:rsidP="000A677F">
      <w:pPr>
        <w:sectPr w:rsidR="009A4DA0" w:rsidSect="00EB6442">
          <w:headerReference w:type="default" r:id="rId17"/>
          <w:footerReference w:type="default" r:id="rId18"/>
          <w:pgSz w:w="11906" w:h="16838" w:code="9"/>
          <w:pgMar w:top="1843" w:right="1418" w:bottom="1418" w:left="1418" w:header="709" w:footer="709" w:gutter="0"/>
          <w:pgNumType w:fmt="lowerRoman"/>
          <w:cols w:space="708"/>
          <w:docGrid w:linePitch="360"/>
        </w:sectPr>
      </w:pPr>
    </w:p>
    <w:p w14:paraId="5BC87D7F" w14:textId="32D0E309" w:rsidR="00F6036F" w:rsidRDefault="0035598B" w:rsidP="00953EC3">
      <w:pPr>
        <w:pStyle w:val="Heading1"/>
      </w:pPr>
      <w:bookmarkStart w:id="4" w:name="_Toc141355230"/>
      <w:bookmarkStart w:id="5" w:name="_Toc432067104"/>
      <w:bookmarkStart w:id="6" w:name="_Toc452635031"/>
      <w:r>
        <w:lastRenderedPageBreak/>
        <w:t>Table of c</w:t>
      </w:r>
      <w:r w:rsidR="00953EC3">
        <w:t>ontents</w:t>
      </w:r>
      <w:bookmarkEnd w:id="4"/>
    </w:p>
    <w:p w14:paraId="11262CF5" w14:textId="26E85EE2" w:rsidR="00240C20" w:rsidRDefault="00A05B75">
      <w:pPr>
        <w:pStyle w:val="TOC1"/>
        <w:rPr>
          <w:rFonts w:asciiTheme="minorHAnsi" w:eastAsiaTheme="minorEastAsia" w:hAnsiTheme="minorHAnsi" w:cstheme="minorBidi"/>
          <w:b w:val="0"/>
          <w:color w:val="auto"/>
          <w:sz w:val="22"/>
        </w:rPr>
      </w:pPr>
      <w:r>
        <w:rPr>
          <w:color w:val="004A7F"/>
        </w:rPr>
        <w:fldChar w:fldCharType="begin"/>
      </w:r>
      <w:r>
        <w:rPr>
          <w:color w:val="004A7F"/>
        </w:rPr>
        <w:instrText xml:space="preserve"> TOC \o "2-2" \h \z \t "Heading 1,1,Heading 1 Numbered,1,Heading 2 Numbered,2" </w:instrText>
      </w:r>
      <w:r>
        <w:rPr>
          <w:color w:val="004A7F"/>
        </w:rPr>
        <w:fldChar w:fldCharType="separate"/>
      </w:r>
      <w:hyperlink w:anchor="_Toc141355231" w:history="1">
        <w:r w:rsidR="00240C20" w:rsidRPr="00BA70D7">
          <w:rPr>
            <w:rStyle w:val="Hyperlink"/>
          </w:rPr>
          <w:t>Executive summary</w:t>
        </w:r>
        <w:r w:rsidR="00240C20">
          <w:rPr>
            <w:webHidden/>
          </w:rPr>
          <w:tab/>
        </w:r>
        <w:r w:rsidR="00240C20">
          <w:rPr>
            <w:webHidden/>
          </w:rPr>
          <w:fldChar w:fldCharType="begin"/>
        </w:r>
        <w:r w:rsidR="00240C20">
          <w:rPr>
            <w:webHidden/>
          </w:rPr>
          <w:instrText xml:space="preserve"> PAGEREF _Toc141355231 \h </w:instrText>
        </w:r>
        <w:r w:rsidR="00240C20">
          <w:rPr>
            <w:webHidden/>
          </w:rPr>
        </w:r>
        <w:r w:rsidR="00240C20">
          <w:rPr>
            <w:webHidden/>
          </w:rPr>
          <w:fldChar w:fldCharType="separate"/>
        </w:r>
        <w:r w:rsidR="00240E4B">
          <w:rPr>
            <w:webHidden/>
          </w:rPr>
          <w:t>1</w:t>
        </w:r>
        <w:r w:rsidR="00240C20">
          <w:rPr>
            <w:webHidden/>
          </w:rPr>
          <w:fldChar w:fldCharType="end"/>
        </w:r>
      </w:hyperlink>
    </w:p>
    <w:p w14:paraId="4E906855" w14:textId="59A9835F" w:rsidR="00240C20" w:rsidRDefault="00693395">
      <w:pPr>
        <w:pStyle w:val="TOC1"/>
        <w:rPr>
          <w:rFonts w:asciiTheme="minorHAnsi" w:eastAsiaTheme="minorEastAsia" w:hAnsiTheme="minorHAnsi" w:cstheme="minorBidi"/>
          <w:b w:val="0"/>
          <w:color w:val="auto"/>
          <w:sz w:val="22"/>
        </w:rPr>
      </w:pPr>
      <w:hyperlink w:anchor="_Toc141355233" w:history="1">
        <w:r w:rsidR="00240C20" w:rsidRPr="00BA70D7">
          <w:rPr>
            <w:rStyle w:val="Hyperlink"/>
          </w:rPr>
          <w:t>Table of Recommendations</w:t>
        </w:r>
        <w:r w:rsidR="00240C20">
          <w:rPr>
            <w:webHidden/>
          </w:rPr>
          <w:tab/>
        </w:r>
        <w:r w:rsidR="00240C20">
          <w:rPr>
            <w:webHidden/>
          </w:rPr>
          <w:fldChar w:fldCharType="begin"/>
        </w:r>
        <w:r w:rsidR="00240C20">
          <w:rPr>
            <w:webHidden/>
          </w:rPr>
          <w:instrText xml:space="preserve"> PAGEREF _Toc141355233 \h </w:instrText>
        </w:r>
        <w:r w:rsidR="00240C20">
          <w:rPr>
            <w:webHidden/>
          </w:rPr>
        </w:r>
        <w:r w:rsidR="00240C20">
          <w:rPr>
            <w:webHidden/>
          </w:rPr>
          <w:fldChar w:fldCharType="separate"/>
        </w:r>
        <w:r w:rsidR="00240E4B">
          <w:rPr>
            <w:webHidden/>
          </w:rPr>
          <w:t>6</w:t>
        </w:r>
        <w:r w:rsidR="00240C20">
          <w:rPr>
            <w:webHidden/>
          </w:rPr>
          <w:fldChar w:fldCharType="end"/>
        </w:r>
      </w:hyperlink>
    </w:p>
    <w:p w14:paraId="14FF6E4F" w14:textId="424EE401" w:rsidR="00240C20" w:rsidRDefault="00693395">
      <w:pPr>
        <w:pStyle w:val="TOC1"/>
        <w:rPr>
          <w:rFonts w:asciiTheme="minorHAnsi" w:eastAsiaTheme="minorEastAsia" w:hAnsiTheme="minorHAnsi" w:cstheme="minorBidi"/>
          <w:b w:val="0"/>
          <w:color w:val="auto"/>
          <w:sz w:val="22"/>
        </w:rPr>
      </w:pPr>
      <w:hyperlink w:anchor="_Toc141355234" w:history="1">
        <w:r w:rsidR="00240C20" w:rsidRPr="00BA70D7">
          <w:rPr>
            <w:rStyle w:val="Hyperlink"/>
          </w:rPr>
          <w:t>Background to this report</w:t>
        </w:r>
        <w:r w:rsidR="00240C20">
          <w:rPr>
            <w:webHidden/>
          </w:rPr>
          <w:tab/>
        </w:r>
        <w:r w:rsidR="00240C20">
          <w:rPr>
            <w:webHidden/>
          </w:rPr>
          <w:fldChar w:fldCharType="begin"/>
        </w:r>
        <w:r w:rsidR="00240C20">
          <w:rPr>
            <w:webHidden/>
          </w:rPr>
          <w:instrText xml:space="preserve"> PAGEREF _Toc141355234 \h </w:instrText>
        </w:r>
        <w:r w:rsidR="00240C20">
          <w:rPr>
            <w:webHidden/>
          </w:rPr>
        </w:r>
        <w:r w:rsidR="00240C20">
          <w:rPr>
            <w:webHidden/>
          </w:rPr>
          <w:fldChar w:fldCharType="separate"/>
        </w:r>
        <w:r w:rsidR="00240E4B">
          <w:rPr>
            <w:webHidden/>
          </w:rPr>
          <w:t>8</w:t>
        </w:r>
        <w:r w:rsidR="00240C20">
          <w:rPr>
            <w:webHidden/>
          </w:rPr>
          <w:fldChar w:fldCharType="end"/>
        </w:r>
      </w:hyperlink>
    </w:p>
    <w:p w14:paraId="26377B15" w14:textId="483213A1" w:rsidR="00240C20" w:rsidRDefault="00693395">
      <w:pPr>
        <w:pStyle w:val="TOC1"/>
        <w:tabs>
          <w:tab w:val="left" w:pos="660"/>
        </w:tabs>
        <w:rPr>
          <w:rFonts w:asciiTheme="minorHAnsi" w:eastAsiaTheme="minorEastAsia" w:hAnsiTheme="minorHAnsi" w:cstheme="minorBidi"/>
          <w:b w:val="0"/>
          <w:color w:val="auto"/>
          <w:sz w:val="22"/>
        </w:rPr>
      </w:pPr>
      <w:hyperlink w:anchor="_Toc141355235" w:history="1">
        <w:r w:rsidR="00240C20" w:rsidRPr="00BA70D7">
          <w:rPr>
            <w:rStyle w:val="Hyperlink"/>
          </w:rPr>
          <w:t>1.</w:t>
        </w:r>
        <w:r w:rsidR="00240C20">
          <w:rPr>
            <w:rFonts w:asciiTheme="minorHAnsi" w:eastAsiaTheme="minorEastAsia" w:hAnsiTheme="minorHAnsi" w:cstheme="minorBidi"/>
            <w:b w:val="0"/>
            <w:color w:val="auto"/>
            <w:sz w:val="22"/>
          </w:rPr>
          <w:tab/>
        </w:r>
        <w:r w:rsidR="00240C20" w:rsidRPr="00BA70D7">
          <w:rPr>
            <w:rStyle w:val="Hyperlink"/>
          </w:rPr>
          <w:t>Introduction</w:t>
        </w:r>
        <w:r w:rsidR="00240C20">
          <w:rPr>
            <w:webHidden/>
          </w:rPr>
          <w:tab/>
        </w:r>
        <w:r w:rsidR="00240C20">
          <w:rPr>
            <w:webHidden/>
          </w:rPr>
          <w:fldChar w:fldCharType="begin"/>
        </w:r>
        <w:r w:rsidR="00240C20">
          <w:rPr>
            <w:webHidden/>
          </w:rPr>
          <w:instrText xml:space="preserve"> PAGEREF _Toc141355235 \h </w:instrText>
        </w:r>
        <w:r w:rsidR="00240C20">
          <w:rPr>
            <w:webHidden/>
          </w:rPr>
        </w:r>
        <w:r w:rsidR="00240C20">
          <w:rPr>
            <w:webHidden/>
          </w:rPr>
          <w:fldChar w:fldCharType="separate"/>
        </w:r>
        <w:r w:rsidR="00240E4B">
          <w:rPr>
            <w:webHidden/>
          </w:rPr>
          <w:t>10</w:t>
        </w:r>
        <w:r w:rsidR="00240C20">
          <w:rPr>
            <w:webHidden/>
          </w:rPr>
          <w:fldChar w:fldCharType="end"/>
        </w:r>
      </w:hyperlink>
    </w:p>
    <w:p w14:paraId="397998D0" w14:textId="4A6654E4" w:rsidR="00240C20" w:rsidRDefault="00693395">
      <w:pPr>
        <w:pStyle w:val="TOC2"/>
        <w:tabs>
          <w:tab w:val="left" w:pos="660"/>
        </w:tabs>
        <w:rPr>
          <w:rFonts w:asciiTheme="minorHAnsi" w:eastAsiaTheme="minorEastAsia" w:hAnsiTheme="minorHAnsi" w:cstheme="minorBidi"/>
          <w:color w:val="auto"/>
          <w:szCs w:val="22"/>
        </w:rPr>
      </w:pPr>
      <w:hyperlink w:anchor="_Toc141355236" w:history="1">
        <w:r w:rsidR="00240C20" w:rsidRPr="00BA70D7">
          <w:rPr>
            <w:rStyle w:val="Hyperlink"/>
          </w:rPr>
          <w:t>1.1</w:t>
        </w:r>
        <w:r w:rsidR="00240C20">
          <w:rPr>
            <w:rFonts w:asciiTheme="minorHAnsi" w:eastAsiaTheme="minorEastAsia" w:hAnsiTheme="minorHAnsi" w:cstheme="minorBidi"/>
            <w:color w:val="auto"/>
            <w:szCs w:val="22"/>
          </w:rPr>
          <w:tab/>
        </w:r>
        <w:r w:rsidR="00240C20" w:rsidRPr="00BA70D7">
          <w:rPr>
            <w:rStyle w:val="Hyperlink"/>
          </w:rPr>
          <w:t>Australia</w:t>
        </w:r>
        <w:r w:rsidR="00563A2B">
          <w:rPr>
            <w:rStyle w:val="Hyperlink"/>
          </w:rPr>
          <w:t>’</w:t>
        </w:r>
        <w:r w:rsidR="00240C20" w:rsidRPr="00BA70D7">
          <w:rPr>
            <w:rStyle w:val="Hyperlink"/>
          </w:rPr>
          <w:t>s rental housing challenge</w:t>
        </w:r>
        <w:r w:rsidR="00240C20">
          <w:rPr>
            <w:webHidden/>
          </w:rPr>
          <w:tab/>
        </w:r>
        <w:r w:rsidR="00240C20">
          <w:rPr>
            <w:webHidden/>
          </w:rPr>
          <w:fldChar w:fldCharType="begin"/>
        </w:r>
        <w:r w:rsidR="00240C20">
          <w:rPr>
            <w:webHidden/>
          </w:rPr>
          <w:instrText xml:space="preserve"> PAGEREF _Toc141355236 \h </w:instrText>
        </w:r>
        <w:r w:rsidR="00240C20">
          <w:rPr>
            <w:webHidden/>
          </w:rPr>
        </w:r>
        <w:r w:rsidR="00240C20">
          <w:rPr>
            <w:webHidden/>
          </w:rPr>
          <w:fldChar w:fldCharType="separate"/>
        </w:r>
        <w:r w:rsidR="00240E4B">
          <w:rPr>
            <w:webHidden/>
          </w:rPr>
          <w:t>10</w:t>
        </w:r>
        <w:r w:rsidR="00240C20">
          <w:rPr>
            <w:webHidden/>
          </w:rPr>
          <w:fldChar w:fldCharType="end"/>
        </w:r>
      </w:hyperlink>
    </w:p>
    <w:p w14:paraId="08E848A5" w14:textId="1AC9BBCB" w:rsidR="00240C20" w:rsidRDefault="00693395">
      <w:pPr>
        <w:pStyle w:val="TOC2"/>
        <w:tabs>
          <w:tab w:val="left" w:pos="660"/>
        </w:tabs>
        <w:rPr>
          <w:rFonts w:asciiTheme="minorHAnsi" w:eastAsiaTheme="minorEastAsia" w:hAnsiTheme="minorHAnsi" w:cstheme="minorBidi"/>
          <w:color w:val="auto"/>
          <w:szCs w:val="22"/>
        </w:rPr>
      </w:pPr>
      <w:hyperlink w:anchor="_Toc141355237" w:history="1">
        <w:r w:rsidR="00240C20" w:rsidRPr="00BA70D7">
          <w:rPr>
            <w:rStyle w:val="Hyperlink"/>
          </w:rPr>
          <w:t>1.2</w:t>
        </w:r>
        <w:r w:rsidR="00240C20">
          <w:rPr>
            <w:rFonts w:asciiTheme="minorHAnsi" w:eastAsiaTheme="minorEastAsia" w:hAnsiTheme="minorHAnsi" w:cstheme="minorBidi"/>
            <w:color w:val="auto"/>
            <w:szCs w:val="22"/>
          </w:rPr>
          <w:tab/>
        </w:r>
        <w:r w:rsidR="00240C20" w:rsidRPr="00BA70D7">
          <w:rPr>
            <w:rStyle w:val="Hyperlink"/>
          </w:rPr>
          <w:t>The need for a larger and more diverse supply of rental stock</w:t>
        </w:r>
        <w:r w:rsidR="00240C20">
          <w:rPr>
            <w:webHidden/>
          </w:rPr>
          <w:tab/>
        </w:r>
        <w:r w:rsidR="00240C20">
          <w:rPr>
            <w:webHidden/>
          </w:rPr>
          <w:fldChar w:fldCharType="begin"/>
        </w:r>
        <w:r w:rsidR="00240C20">
          <w:rPr>
            <w:webHidden/>
          </w:rPr>
          <w:instrText xml:space="preserve"> PAGEREF _Toc141355237 \h </w:instrText>
        </w:r>
        <w:r w:rsidR="00240C20">
          <w:rPr>
            <w:webHidden/>
          </w:rPr>
        </w:r>
        <w:r w:rsidR="00240C20">
          <w:rPr>
            <w:webHidden/>
          </w:rPr>
          <w:fldChar w:fldCharType="separate"/>
        </w:r>
        <w:r w:rsidR="00240E4B">
          <w:rPr>
            <w:webHidden/>
          </w:rPr>
          <w:t>11</w:t>
        </w:r>
        <w:r w:rsidR="00240C20">
          <w:rPr>
            <w:webHidden/>
          </w:rPr>
          <w:fldChar w:fldCharType="end"/>
        </w:r>
      </w:hyperlink>
    </w:p>
    <w:p w14:paraId="523796B1" w14:textId="5D2E2DFB" w:rsidR="00240C20" w:rsidRDefault="00693395">
      <w:pPr>
        <w:pStyle w:val="TOC2"/>
        <w:tabs>
          <w:tab w:val="left" w:pos="660"/>
        </w:tabs>
        <w:rPr>
          <w:rFonts w:asciiTheme="minorHAnsi" w:eastAsiaTheme="minorEastAsia" w:hAnsiTheme="minorHAnsi" w:cstheme="minorBidi"/>
          <w:color w:val="auto"/>
          <w:szCs w:val="22"/>
        </w:rPr>
      </w:pPr>
      <w:hyperlink w:anchor="_Toc141355238" w:history="1">
        <w:r w:rsidR="00240C20" w:rsidRPr="00BA70D7">
          <w:rPr>
            <w:rStyle w:val="Hyperlink"/>
          </w:rPr>
          <w:t>1.3</w:t>
        </w:r>
        <w:r w:rsidR="00240C20">
          <w:rPr>
            <w:rFonts w:asciiTheme="minorHAnsi" w:eastAsiaTheme="minorEastAsia" w:hAnsiTheme="minorHAnsi" w:cstheme="minorBidi"/>
            <w:color w:val="auto"/>
            <w:szCs w:val="22"/>
          </w:rPr>
          <w:tab/>
        </w:r>
        <w:r w:rsidR="00240C20" w:rsidRPr="00BA70D7">
          <w:rPr>
            <w:rStyle w:val="Hyperlink"/>
          </w:rPr>
          <w:t>How institutional investors can invest in residential property</w:t>
        </w:r>
        <w:r w:rsidR="00240C20">
          <w:rPr>
            <w:webHidden/>
          </w:rPr>
          <w:tab/>
        </w:r>
        <w:r w:rsidR="00240C20">
          <w:rPr>
            <w:webHidden/>
          </w:rPr>
          <w:fldChar w:fldCharType="begin"/>
        </w:r>
        <w:r w:rsidR="00240C20">
          <w:rPr>
            <w:webHidden/>
          </w:rPr>
          <w:instrText xml:space="preserve"> PAGEREF _Toc141355238 \h </w:instrText>
        </w:r>
        <w:r w:rsidR="00240C20">
          <w:rPr>
            <w:webHidden/>
          </w:rPr>
        </w:r>
        <w:r w:rsidR="00240C20">
          <w:rPr>
            <w:webHidden/>
          </w:rPr>
          <w:fldChar w:fldCharType="separate"/>
        </w:r>
        <w:r w:rsidR="00240E4B">
          <w:rPr>
            <w:webHidden/>
          </w:rPr>
          <w:t>14</w:t>
        </w:r>
        <w:r w:rsidR="00240C20">
          <w:rPr>
            <w:webHidden/>
          </w:rPr>
          <w:fldChar w:fldCharType="end"/>
        </w:r>
      </w:hyperlink>
    </w:p>
    <w:p w14:paraId="399CD958" w14:textId="4F75B19B" w:rsidR="00240C20" w:rsidRDefault="00693395">
      <w:pPr>
        <w:pStyle w:val="TOC2"/>
        <w:tabs>
          <w:tab w:val="left" w:pos="660"/>
        </w:tabs>
        <w:rPr>
          <w:rFonts w:asciiTheme="minorHAnsi" w:eastAsiaTheme="minorEastAsia" w:hAnsiTheme="minorHAnsi" w:cstheme="minorBidi"/>
          <w:color w:val="auto"/>
          <w:szCs w:val="22"/>
        </w:rPr>
      </w:pPr>
      <w:hyperlink w:anchor="_Toc141355239" w:history="1">
        <w:r w:rsidR="00240C20" w:rsidRPr="00BA70D7">
          <w:rPr>
            <w:rStyle w:val="Hyperlink"/>
          </w:rPr>
          <w:t>1.4</w:t>
        </w:r>
        <w:r w:rsidR="00240C20">
          <w:rPr>
            <w:rFonts w:asciiTheme="minorHAnsi" w:eastAsiaTheme="minorEastAsia" w:hAnsiTheme="minorHAnsi" w:cstheme="minorBidi"/>
            <w:color w:val="auto"/>
            <w:szCs w:val="22"/>
          </w:rPr>
          <w:tab/>
        </w:r>
        <w:r w:rsidR="00240C20" w:rsidRPr="00BA70D7">
          <w:rPr>
            <w:rStyle w:val="Hyperlink"/>
          </w:rPr>
          <w:t>Potential benefits to households and the community</w:t>
        </w:r>
        <w:r w:rsidR="00240C20">
          <w:rPr>
            <w:webHidden/>
          </w:rPr>
          <w:tab/>
        </w:r>
        <w:r w:rsidR="00240C20">
          <w:rPr>
            <w:webHidden/>
          </w:rPr>
          <w:fldChar w:fldCharType="begin"/>
        </w:r>
        <w:r w:rsidR="00240C20">
          <w:rPr>
            <w:webHidden/>
          </w:rPr>
          <w:instrText xml:space="preserve"> PAGEREF _Toc141355239 \h </w:instrText>
        </w:r>
        <w:r w:rsidR="00240C20">
          <w:rPr>
            <w:webHidden/>
          </w:rPr>
        </w:r>
        <w:r w:rsidR="00240C20">
          <w:rPr>
            <w:webHidden/>
          </w:rPr>
          <w:fldChar w:fldCharType="separate"/>
        </w:r>
        <w:r w:rsidR="00240E4B">
          <w:rPr>
            <w:webHidden/>
          </w:rPr>
          <w:t>15</w:t>
        </w:r>
        <w:r w:rsidR="00240C20">
          <w:rPr>
            <w:webHidden/>
          </w:rPr>
          <w:fldChar w:fldCharType="end"/>
        </w:r>
      </w:hyperlink>
    </w:p>
    <w:p w14:paraId="514AE507" w14:textId="2B2BDE98" w:rsidR="00240C20" w:rsidRDefault="00693395">
      <w:pPr>
        <w:pStyle w:val="TOC2"/>
        <w:tabs>
          <w:tab w:val="left" w:pos="660"/>
        </w:tabs>
        <w:rPr>
          <w:rFonts w:asciiTheme="minorHAnsi" w:eastAsiaTheme="minorEastAsia" w:hAnsiTheme="minorHAnsi" w:cstheme="minorBidi"/>
          <w:color w:val="auto"/>
          <w:szCs w:val="22"/>
        </w:rPr>
      </w:pPr>
      <w:hyperlink w:anchor="_Toc141355240" w:history="1">
        <w:r w:rsidR="00240C20" w:rsidRPr="00BA70D7">
          <w:rPr>
            <w:rStyle w:val="Hyperlink"/>
          </w:rPr>
          <w:t>1.5</w:t>
        </w:r>
        <w:r w:rsidR="00240C20">
          <w:rPr>
            <w:rFonts w:asciiTheme="minorHAnsi" w:eastAsiaTheme="minorEastAsia" w:hAnsiTheme="minorHAnsi" w:cstheme="minorBidi"/>
            <w:color w:val="auto"/>
            <w:szCs w:val="22"/>
          </w:rPr>
          <w:tab/>
        </w:r>
        <w:r w:rsidR="00240C20" w:rsidRPr="00BA70D7">
          <w:rPr>
            <w:rStyle w:val="Hyperlink"/>
          </w:rPr>
          <w:t>Potential benefits to institutional investors</w:t>
        </w:r>
        <w:r w:rsidR="00240C20">
          <w:rPr>
            <w:webHidden/>
          </w:rPr>
          <w:tab/>
        </w:r>
        <w:r w:rsidR="00240C20">
          <w:rPr>
            <w:webHidden/>
          </w:rPr>
          <w:fldChar w:fldCharType="begin"/>
        </w:r>
        <w:r w:rsidR="00240C20">
          <w:rPr>
            <w:webHidden/>
          </w:rPr>
          <w:instrText xml:space="preserve"> PAGEREF _Toc141355240 \h </w:instrText>
        </w:r>
        <w:r w:rsidR="00240C20">
          <w:rPr>
            <w:webHidden/>
          </w:rPr>
        </w:r>
        <w:r w:rsidR="00240C20">
          <w:rPr>
            <w:webHidden/>
          </w:rPr>
          <w:fldChar w:fldCharType="separate"/>
        </w:r>
        <w:r w:rsidR="00240E4B">
          <w:rPr>
            <w:webHidden/>
          </w:rPr>
          <w:t>17</w:t>
        </w:r>
        <w:r w:rsidR="00240C20">
          <w:rPr>
            <w:webHidden/>
          </w:rPr>
          <w:fldChar w:fldCharType="end"/>
        </w:r>
      </w:hyperlink>
    </w:p>
    <w:p w14:paraId="41411223" w14:textId="2A57E678" w:rsidR="00240C20" w:rsidRDefault="00693395">
      <w:pPr>
        <w:pStyle w:val="TOC2"/>
        <w:tabs>
          <w:tab w:val="left" w:pos="660"/>
        </w:tabs>
        <w:rPr>
          <w:rFonts w:asciiTheme="minorHAnsi" w:eastAsiaTheme="minorEastAsia" w:hAnsiTheme="minorHAnsi" w:cstheme="minorBidi"/>
          <w:color w:val="auto"/>
          <w:szCs w:val="22"/>
        </w:rPr>
      </w:pPr>
      <w:hyperlink w:anchor="_Toc141355241" w:history="1">
        <w:r w:rsidR="00240C20" w:rsidRPr="00BA70D7">
          <w:rPr>
            <w:rStyle w:val="Hyperlink"/>
          </w:rPr>
          <w:t>1.6</w:t>
        </w:r>
        <w:r w:rsidR="00240C20">
          <w:rPr>
            <w:rFonts w:asciiTheme="minorHAnsi" w:eastAsiaTheme="minorEastAsia" w:hAnsiTheme="minorHAnsi" w:cstheme="minorBidi"/>
            <w:color w:val="auto"/>
            <w:szCs w:val="22"/>
          </w:rPr>
          <w:tab/>
        </w:r>
        <w:r w:rsidR="00240C20" w:rsidRPr="00BA70D7">
          <w:rPr>
            <w:rStyle w:val="Hyperlink"/>
          </w:rPr>
          <w:t>Potential downsides</w:t>
        </w:r>
        <w:r w:rsidR="00240C20">
          <w:rPr>
            <w:webHidden/>
          </w:rPr>
          <w:tab/>
        </w:r>
        <w:r w:rsidR="00240C20">
          <w:rPr>
            <w:webHidden/>
          </w:rPr>
          <w:fldChar w:fldCharType="begin"/>
        </w:r>
        <w:r w:rsidR="00240C20">
          <w:rPr>
            <w:webHidden/>
          </w:rPr>
          <w:instrText xml:space="preserve"> PAGEREF _Toc141355241 \h </w:instrText>
        </w:r>
        <w:r w:rsidR="00240C20">
          <w:rPr>
            <w:webHidden/>
          </w:rPr>
        </w:r>
        <w:r w:rsidR="00240C20">
          <w:rPr>
            <w:webHidden/>
          </w:rPr>
          <w:fldChar w:fldCharType="separate"/>
        </w:r>
        <w:r w:rsidR="00240E4B">
          <w:rPr>
            <w:webHidden/>
          </w:rPr>
          <w:t>18</w:t>
        </w:r>
        <w:r w:rsidR="00240C20">
          <w:rPr>
            <w:webHidden/>
          </w:rPr>
          <w:fldChar w:fldCharType="end"/>
        </w:r>
      </w:hyperlink>
    </w:p>
    <w:p w14:paraId="7861A553" w14:textId="445946AC" w:rsidR="00240C20" w:rsidRDefault="00693395">
      <w:pPr>
        <w:pStyle w:val="TOC1"/>
        <w:tabs>
          <w:tab w:val="left" w:pos="660"/>
        </w:tabs>
        <w:rPr>
          <w:rFonts w:asciiTheme="minorHAnsi" w:eastAsiaTheme="minorEastAsia" w:hAnsiTheme="minorHAnsi" w:cstheme="minorBidi"/>
          <w:b w:val="0"/>
          <w:color w:val="auto"/>
          <w:sz w:val="22"/>
        </w:rPr>
      </w:pPr>
      <w:hyperlink w:anchor="_Toc141355242" w:history="1">
        <w:r w:rsidR="00240C20" w:rsidRPr="00BA70D7">
          <w:rPr>
            <w:rStyle w:val="Hyperlink"/>
          </w:rPr>
          <w:t>2.</w:t>
        </w:r>
        <w:r w:rsidR="00240C20">
          <w:rPr>
            <w:rFonts w:asciiTheme="minorHAnsi" w:eastAsiaTheme="minorEastAsia" w:hAnsiTheme="minorHAnsi" w:cstheme="minorBidi"/>
            <w:b w:val="0"/>
            <w:color w:val="auto"/>
            <w:sz w:val="22"/>
          </w:rPr>
          <w:tab/>
        </w:r>
        <w:r w:rsidR="00240C20" w:rsidRPr="00BA70D7">
          <w:rPr>
            <w:rStyle w:val="Hyperlink"/>
          </w:rPr>
          <w:t>Institutional investment in property in Australia</w:t>
        </w:r>
        <w:r w:rsidR="00240C20">
          <w:rPr>
            <w:webHidden/>
          </w:rPr>
          <w:tab/>
        </w:r>
        <w:r w:rsidR="00240C20">
          <w:rPr>
            <w:webHidden/>
          </w:rPr>
          <w:fldChar w:fldCharType="begin"/>
        </w:r>
        <w:r w:rsidR="00240C20">
          <w:rPr>
            <w:webHidden/>
          </w:rPr>
          <w:instrText xml:space="preserve"> PAGEREF _Toc141355242 \h </w:instrText>
        </w:r>
        <w:r w:rsidR="00240C20">
          <w:rPr>
            <w:webHidden/>
          </w:rPr>
        </w:r>
        <w:r w:rsidR="00240C20">
          <w:rPr>
            <w:webHidden/>
          </w:rPr>
          <w:fldChar w:fldCharType="separate"/>
        </w:r>
        <w:r w:rsidR="00240E4B">
          <w:rPr>
            <w:webHidden/>
          </w:rPr>
          <w:t>20</w:t>
        </w:r>
        <w:r w:rsidR="00240C20">
          <w:rPr>
            <w:webHidden/>
          </w:rPr>
          <w:fldChar w:fldCharType="end"/>
        </w:r>
      </w:hyperlink>
    </w:p>
    <w:p w14:paraId="55104E79" w14:textId="0084D961" w:rsidR="00240C20" w:rsidRDefault="00693395">
      <w:pPr>
        <w:pStyle w:val="TOC2"/>
        <w:tabs>
          <w:tab w:val="left" w:pos="660"/>
        </w:tabs>
        <w:rPr>
          <w:rFonts w:asciiTheme="minorHAnsi" w:eastAsiaTheme="minorEastAsia" w:hAnsiTheme="minorHAnsi" w:cstheme="minorBidi"/>
          <w:color w:val="auto"/>
          <w:szCs w:val="22"/>
        </w:rPr>
      </w:pPr>
      <w:hyperlink w:anchor="_Toc141355243" w:history="1">
        <w:r w:rsidR="00240C20" w:rsidRPr="00BA70D7">
          <w:rPr>
            <w:rStyle w:val="Hyperlink"/>
          </w:rPr>
          <w:t>2.1</w:t>
        </w:r>
        <w:r w:rsidR="00240C20">
          <w:rPr>
            <w:rFonts w:asciiTheme="minorHAnsi" w:eastAsiaTheme="minorEastAsia" w:hAnsiTheme="minorHAnsi" w:cstheme="minorBidi"/>
            <w:color w:val="auto"/>
            <w:szCs w:val="22"/>
          </w:rPr>
          <w:tab/>
        </w:r>
        <w:r w:rsidR="00240C20" w:rsidRPr="00BA70D7">
          <w:rPr>
            <w:rStyle w:val="Hyperlink"/>
          </w:rPr>
          <w:t>Property as an asset class in Australia</w:t>
        </w:r>
        <w:r w:rsidR="00240C20">
          <w:rPr>
            <w:webHidden/>
          </w:rPr>
          <w:tab/>
        </w:r>
        <w:r w:rsidR="00240C20">
          <w:rPr>
            <w:webHidden/>
          </w:rPr>
          <w:fldChar w:fldCharType="begin"/>
        </w:r>
        <w:r w:rsidR="00240C20">
          <w:rPr>
            <w:webHidden/>
          </w:rPr>
          <w:instrText xml:space="preserve"> PAGEREF _Toc141355243 \h </w:instrText>
        </w:r>
        <w:r w:rsidR="00240C20">
          <w:rPr>
            <w:webHidden/>
          </w:rPr>
        </w:r>
        <w:r w:rsidR="00240C20">
          <w:rPr>
            <w:webHidden/>
          </w:rPr>
          <w:fldChar w:fldCharType="separate"/>
        </w:r>
        <w:r w:rsidR="00240E4B">
          <w:rPr>
            <w:webHidden/>
          </w:rPr>
          <w:t>22</w:t>
        </w:r>
        <w:r w:rsidR="00240C20">
          <w:rPr>
            <w:webHidden/>
          </w:rPr>
          <w:fldChar w:fldCharType="end"/>
        </w:r>
      </w:hyperlink>
    </w:p>
    <w:p w14:paraId="6D9F5265" w14:textId="641098CA" w:rsidR="00240C20" w:rsidRDefault="00693395">
      <w:pPr>
        <w:pStyle w:val="TOC2"/>
        <w:tabs>
          <w:tab w:val="left" w:pos="660"/>
        </w:tabs>
        <w:rPr>
          <w:rFonts w:asciiTheme="minorHAnsi" w:eastAsiaTheme="minorEastAsia" w:hAnsiTheme="minorHAnsi" w:cstheme="minorBidi"/>
          <w:color w:val="auto"/>
          <w:szCs w:val="22"/>
        </w:rPr>
      </w:pPr>
      <w:hyperlink w:anchor="_Toc141355244" w:history="1">
        <w:r w:rsidR="00240C20" w:rsidRPr="00BA70D7">
          <w:rPr>
            <w:rStyle w:val="Hyperlink"/>
          </w:rPr>
          <w:t>2.2</w:t>
        </w:r>
        <w:r w:rsidR="00240C20">
          <w:rPr>
            <w:rFonts w:asciiTheme="minorHAnsi" w:eastAsiaTheme="minorEastAsia" w:hAnsiTheme="minorHAnsi" w:cstheme="minorBidi"/>
            <w:color w:val="auto"/>
            <w:szCs w:val="22"/>
          </w:rPr>
          <w:tab/>
        </w:r>
        <w:r w:rsidR="00240C20" w:rsidRPr="00BA70D7">
          <w:rPr>
            <w:rStyle w:val="Hyperlink"/>
          </w:rPr>
          <w:t>Purpose</w:t>
        </w:r>
        <w:r w:rsidR="00563A2B">
          <w:rPr>
            <w:rStyle w:val="Hyperlink"/>
          </w:rPr>
          <w:noBreakHyphen/>
        </w:r>
        <w:r w:rsidR="00240C20" w:rsidRPr="00BA70D7">
          <w:rPr>
            <w:rStyle w:val="Hyperlink"/>
          </w:rPr>
          <w:t>built student accommodation</w:t>
        </w:r>
        <w:r w:rsidR="00240C20">
          <w:rPr>
            <w:webHidden/>
          </w:rPr>
          <w:tab/>
        </w:r>
        <w:r w:rsidR="00240C20">
          <w:rPr>
            <w:webHidden/>
          </w:rPr>
          <w:fldChar w:fldCharType="begin"/>
        </w:r>
        <w:r w:rsidR="00240C20">
          <w:rPr>
            <w:webHidden/>
          </w:rPr>
          <w:instrText xml:space="preserve"> PAGEREF _Toc141355244 \h </w:instrText>
        </w:r>
        <w:r w:rsidR="00240C20">
          <w:rPr>
            <w:webHidden/>
          </w:rPr>
        </w:r>
        <w:r w:rsidR="00240C20">
          <w:rPr>
            <w:webHidden/>
          </w:rPr>
          <w:fldChar w:fldCharType="separate"/>
        </w:r>
        <w:r w:rsidR="00240E4B">
          <w:rPr>
            <w:webHidden/>
          </w:rPr>
          <w:t>23</w:t>
        </w:r>
        <w:r w:rsidR="00240C20">
          <w:rPr>
            <w:webHidden/>
          </w:rPr>
          <w:fldChar w:fldCharType="end"/>
        </w:r>
      </w:hyperlink>
    </w:p>
    <w:p w14:paraId="1428CFC0" w14:textId="19CB1726" w:rsidR="00240C20" w:rsidRDefault="00693395">
      <w:pPr>
        <w:pStyle w:val="TOC2"/>
        <w:tabs>
          <w:tab w:val="left" w:pos="660"/>
        </w:tabs>
        <w:rPr>
          <w:rFonts w:asciiTheme="minorHAnsi" w:eastAsiaTheme="minorEastAsia" w:hAnsiTheme="minorHAnsi" w:cstheme="minorBidi"/>
          <w:color w:val="auto"/>
          <w:szCs w:val="22"/>
        </w:rPr>
      </w:pPr>
      <w:hyperlink w:anchor="_Toc141355245" w:history="1">
        <w:r w:rsidR="00240C20" w:rsidRPr="00BA70D7">
          <w:rPr>
            <w:rStyle w:val="Hyperlink"/>
          </w:rPr>
          <w:t>2.3</w:t>
        </w:r>
        <w:r w:rsidR="00240C20">
          <w:rPr>
            <w:rFonts w:asciiTheme="minorHAnsi" w:eastAsiaTheme="minorEastAsia" w:hAnsiTheme="minorHAnsi" w:cstheme="minorBidi"/>
            <w:color w:val="auto"/>
            <w:szCs w:val="22"/>
          </w:rPr>
          <w:tab/>
        </w:r>
        <w:r w:rsidR="00240C20" w:rsidRPr="00BA70D7">
          <w:rPr>
            <w:rStyle w:val="Hyperlink"/>
          </w:rPr>
          <w:t>Residential aged care facilities</w:t>
        </w:r>
        <w:r w:rsidR="00240C20">
          <w:rPr>
            <w:webHidden/>
          </w:rPr>
          <w:tab/>
        </w:r>
        <w:r w:rsidR="00240C20">
          <w:rPr>
            <w:webHidden/>
          </w:rPr>
          <w:fldChar w:fldCharType="begin"/>
        </w:r>
        <w:r w:rsidR="00240C20">
          <w:rPr>
            <w:webHidden/>
          </w:rPr>
          <w:instrText xml:space="preserve"> PAGEREF _Toc141355245 \h </w:instrText>
        </w:r>
        <w:r w:rsidR="00240C20">
          <w:rPr>
            <w:webHidden/>
          </w:rPr>
        </w:r>
        <w:r w:rsidR="00240C20">
          <w:rPr>
            <w:webHidden/>
          </w:rPr>
          <w:fldChar w:fldCharType="separate"/>
        </w:r>
        <w:r w:rsidR="00240E4B">
          <w:rPr>
            <w:webHidden/>
          </w:rPr>
          <w:t>23</w:t>
        </w:r>
        <w:r w:rsidR="00240C20">
          <w:rPr>
            <w:webHidden/>
          </w:rPr>
          <w:fldChar w:fldCharType="end"/>
        </w:r>
      </w:hyperlink>
    </w:p>
    <w:p w14:paraId="7CB6B151" w14:textId="09112F58" w:rsidR="00240C20" w:rsidRDefault="00693395">
      <w:pPr>
        <w:pStyle w:val="TOC2"/>
        <w:tabs>
          <w:tab w:val="left" w:pos="660"/>
        </w:tabs>
        <w:rPr>
          <w:rFonts w:asciiTheme="minorHAnsi" w:eastAsiaTheme="minorEastAsia" w:hAnsiTheme="minorHAnsi" w:cstheme="minorBidi"/>
          <w:color w:val="auto"/>
          <w:szCs w:val="22"/>
        </w:rPr>
      </w:pPr>
      <w:hyperlink w:anchor="_Toc141355246" w:history="1">
        <w:r w:rsidR="00240C20" w:rsidRPr="00BA70D7">
          <w:rPr>
            <w:rStyle w:val="Hyperlink"/>
          </w:rPr>
          <w:t>2.4</w:t>
        </w:r>
        <w:r w:rsidR="00240C20">
          <w:rPr>
            <w:rFonts w:asciiTheme="minorHAnsi" w:eastAsiaTheme="minorEastAsia" w:hAnsiTheme="minorHAnsi" w:cstheme="minorBidi"/>
            <w:color w:val="auto"/>
            <w:szCs w:val="22"/>
          </w:rPr>
          <w:tab/>
        </w:r>
        <w:r w:rsidR="00240C20" w:rsidRPr="00BA70D7">
          <w:rPr>
            <w:rStyle w:val="Hyperlink"/>
          </w:rPr>
          <w:t>Build</w:t>
        </w:r>
        <w:r w:rsidR="00563A2B">
          <w:rPr>
            <w:rStyle w:val="Hyperlink"/>
          </w:rPr>
          <w:noBreakHyphen/>
        </w:r>
        <w:r w:rsidR="00240C20" w:rsidRPr="00BA70D7">
          <w:rPr>
            <w:rStyle w:val="Hyperlink"/>
          </w:rPr>
          <w:t>to</w:t>
        </w:r>
        <w:r w:rsidR="00563A2B">
          <w:rPr>
            <w:rStyle w:val="Hyperlink"/>
          </w:rPr>
          <w:noBreakHyphen/>
        </w:r>
        <w:r w:rsidR="00240C20" w:rsidRPr="00BA70D7">
          <w:rPr>
            <w:rStyle w:val="Hyperlink"/>
          </w:rPr>
          <w:t>rent housing</w:t>
        </w:r>
        <w:r w:rsidR="00240C20">
          <w:rPr>
            <w:webHidden/>
          </w:rPr>
          <w:tab/>
        </w:r>
        <w:r w:rsidR="00240C20">
          <w:rPr>
            <w:webHidden/>
          </w:rPr>
          <w:fldChar w:fldCharType="begin"/>
        </w:r>
        <w:r w:rsidR="00240C20">
          <w:rPr>
            <w:webHidden/>
          </w:rPr>
          <w:instrText xml:space="preserve"> PAGEREF _Toc141355246 \h </w:instrText>
        </w:r>
        <w:r w:rsidR="00240C20">
          <w:rPr>
            <w:webHidden/>
          </w:rPr>
        </w:r>
        <w:r w:rsidR="00240C20">
          <w:rPr>
            <w:webHidden/>
          </w:rPr>
          <w:fldChar w:fldCharType="separate"/>
        </w:r>
        <w:r w:rsidR="00240E4B">
          <w:rPr>
            <w:webHidden/>
          </w:rPr>
          <w:t>24</w:t>
        </w:r>
        <w:r w:rsidR="00240C20">
          <w:rPr>
            <w:webHidden/>
          </w:rPr>
          <w:fldChar w:fldCharType="end"/>
        </w:r>
      </w:hyperlink>
    </w:p>
    <w:p w14:paraId="07BD75F4" w14:textId="2A9C02C2" w:rsidR="00240C20" w:rsidRDefault="00693395">
      <w:pPr>
        <w:pStyle w:val="TOC2"/>
        <w:tabs>
          <w:tab w:val="left" w:pos="660"/>
        </w:tabs>
        <w:rPr>
          <w:rFonts w:asciiTheme="minorHAnsi" w:eastAsiaTheme="minorEastAsia" w:hAnsiTheme="minorHAnsi" w:cstheme="minorBidi"/>
          <w:color w:val="auto"/>
          <w:szCs w:val="22"/>
        </w:rPr>
      </w:pPr>
      <w:hyperlink w:anchor="_Toc141355247" w:history="1">
        <w:r w:rsidR="00240C20" w:rsidRPr="00BA70D7">
          <w:rPr>
            <w:rStyle w:val="Hyperlink"/>
          </w:rPr>
          <w:t>2.5</w:t>
        </w:r>
        <w:r w:rsidR="00240C20">
          <w:rPr>
            <w:rFonts w:asciiTheme="minorHAnsi" w:eastAsiaTheme="minorEastAsia" w:hAnsiTheme="minorHAnsi" w:cstheme="minorBidi"/>
            <w:color w:val="auto"/>
            <w:szCs w:val="22"/>
          </w:rPr>
          <w:tab/>
        </w:r>
        <w:r w:rsidR="00240C20" w:rsidRPr="00BA70D7">
          <w:rPr>
            <w:rStyle w:val="Hyperlink"/>
          </w:rPr>
          <w:t>Affordable housing</w:t>
        </w:r>
        <w:r w:rsidR="00240C20">
          <w:rPr>
            <w:webHidden/>
          </w:rPr>
          <w:tab/>
        </w:r>
        <w:r w:rsidR="00240C20">
          <w:rPr>
            <w:webHidden/>
          </w:rPr>
          <w:fldChar w:fldCharType="begin"/>
        </w:r>
        <w:r w:rsidR="00240C20">
          <w:rPr>
            <w:webHidden/>
          </w:rPr>
          <w:instrText xml:space="preserve"> PAGEREF _Toc141355247 \h </w:instrText>
        </w:r>
        <w:r w:rsidR="00240C20">
          <w:rPr>
            <w:webHidden/>
          </w:rPr>
        </w:r>
        <w:r w:rsidR="00240C20">
          <w:rPr>
            <w:webHidden/>
          </w:rPr>
          <w:fldChar w:fldCharType="separate"/>
        </w:r>
        <w:r w:rsidR="00240E4B">
          <w:rPr>
            <w:webHidden/>
          </w:rPr>
          <w:t>24</w:t>
        </w:r>
        <w:r w:rsidR="00240C20">
          <w:rPr>
            <w:webHidden/>
          </w:rPr>
          <w:fldChar w:fldCharType="end"/>
        </w:r>
      </w:hyperlink>
    </w:p>
    <w:p w14:paraId="0A62B922" w14:textId="52A3BF7A" w:rsidR="00240C20" w:rsidRDefault="00693395">
      <w:pPr>
        <w:pStyle w:val="TOC2"/>
        <w:tabs>
          <w:tab w:val="left" w:pos="660"/>
        </w:tabs>
        <w:rPr>
          <w:rFonts w:asciiTheme="minorHAnsi" w:eastAsiaTheme="minorEastAsia" w:hAnsiTheme="minorHAnsi" w:cstheme="minorBidi"/>
          <w:color w:val="auto"/>
          <w:szCs w:val="22"/>
        </w:rPr>
      </w:pPr>
      <w:hyperlink w:anchor="_Toc141355248" w:history="1">
        <w:r w:rsidR="00240C20" w:rsidRPr="00BA70D7">
          <w:rPr>
            <w:rStyle w:val="Hyperlink"/>
          </w:rPr>
          <w:t>2.6</w:t>
        </w:r>
        <w:r w:rsidR="00240C20">
          <w:rPr>
            <w:rFonts w:asciiTheme="minorHAnsi" w:eastAsiaTheme="minorEastAsia" w:hAnsiTheme="minorHAnsi" w:cstheme="minorBidi"/>
            <w:color w:val="auto"/>
            <w:szCs w:val="22"/>
          </w:rPr>
          <w:tab/>
        </w:r>
        <w:r w:rsidR="00240C20" w:rsidRPr="00BA70D7">
          <w:rPr>
            <w:rStyle w:val="Hyperlink"/>
          </w:rPr>
          <w:t>Existing policy measures that support institutional investment in housing</w:t>
        </w:r>
        <w:r w:rsidR="00240C20">
          <w:rPr>
            <w:webHidden/>
          </w:rPr>
          <w:tab/>
        </w:r>
        <w:r w:rsidR="00240C20">
          <w:rPr>
            <w:webHidden/>
          </w:rPr>
          <w:fldChar w:fldCharType="begin"/>
        </w:r>
        <w:r w:rsidR="00240C20">
          <w:rPr>
            <w:webHidden/>
          </w:rPr>
          <w:instrText xml:space="preserve"> PAGEREF _Toc141355248 \h </w:instrText>
        </w:r>
        <w:r w:rsidR="00240C20">
          <w:rPr>
            <w:webHidden/>
          </w:rPr>
        </w:r>
        <w:r w:rsidR="00240C20">
          <w:rPr>
            <w:webHidden/>
          </w:rPr>
          <w:fldChar w:fldCharType="separate"/>
        </w:r>
        <w:r w:rsidR="00240E4B">
          <w:rPr>
            <w:webHidden/>
          </w:rPr>
          <w:t>25</w:t>
        </w:r>
        <w:r w:rsidR="00240C20">
          <w:rPr>
            <w:webHidden/>
          </w:rPr>
          <w:fldChar w:fldCharType="end"/>
        </w:r>
      </w:hyperlink>
    </w:p>
    <w:p w14:paraId="0864F644" w14:textId="5BE588DC" w:rsidR="00240C20" w:rsidRDefault="00693395">
      <w:pPr>
        <w:pStyle w:val="TOC1"/>
        <w:tabs>
          <w:tab w:val="left" w:pos="660"/>
        </w:tabs>
        <w:rPr>
          <w:rFonts w:asciiTheme="minorHAnsi" w:eastAsiaTheme="minorEastAsia" w:hAnsiTheme="minorHAnsi" w:cstheme="minorBidi"/>
          <w:b w:val="0"/>
          <w:color w:val="auto"/>
          <w:sz w:val="22"/>
        </w:rPr>
      </w:pPr>
      <w:hyperlink w:anchor="_Toc141355249" w:history="1">
        <w:r w:rsidR="00240C20" w:rsidRPr="00BA70D7">
          <w:rPr>
            <w:rStyle w:val="Hyperlink"/>
          </w:rPr>
          <w:t>3.</w:t>
        </w:r>
        <w:r w:rsidR="00240C20">
          <w:rPr>
            <w:rFonts w:asciiTheme="minorHAnsi" w:eastAsiaTheme="minorEastAsia" w:hAnsiTheme="minorHAnsi" w:cstheme="minorBidi"/>
            <w:b w:val="0"/>
            <w:color w:val="auto"/>
            <w:sz w:val="22"/>
          </w:rPr>
          <w:tab/>
        </w:r>
        <w:r w:rsidR="00240C20" w:rsidRPr="00BA70D7">
          <w:rPr>
            <w:rStyle w:val="Hyperlink"/>
          </w:rPr>
          <w:t>Institutional investment in residential property overseas</w:t>
        </w:r>
        <w:r w:rsidR="00240C20">
          <w:rPr>
            <w:webHidden/>
          </w:rPr>
          <w:tab/>
        </w:r>
        <w:r w:rsidR="00240C20">
          <w:rPr>
            <w:webHidden/>
          </w:rPr>
          <w:fldChar w:fldCharType="begin"/>
        </w:r>
        <w:r w:rsidR="00240C20">
          <w:rPr>
            <w:webHidden/>
          </w:rPr>
          <w:instrText xml:space="preserve"> PAGEREF _Toc141355249 \h </w:instrText>
        </w:r>
        <w:r w:rsidR="00240C20">
          <w:rPr>
            <w:webHidden/>
          </w:rPr>
        </w:r>
        <w:r w:rsidR="00240C20">
          <w:rPr>
            <w:webHidden/>
          </w:rPr>
          <w:fldChar w:fldCharType="separate"/>
        </w:r>
        <w:r w:rsidR="00240E4B">
          <w:rPr>
            <w:webHidden/>
          </w:rPr>
          <w:t>27</w:t>
        </w:r>
        <w:r w:rsidR="00240C20">
          <w:rPr>
            <w:webHidden/>
          </w:rPr>
          <w:fldChar w:fldCharType="end"/>
        </w:r>
      </w:hyperlink>
    </w:p>
    <w:p w14:paraId="244848ED" w14:textId="5CD0BB5F" w:rsidR="00240C20" w:rsidRDefault="00693395">
      <w:pPr>
        <w:pStyle w:val="TOC2"/>
        <w:tabs>
          <w:tab w:val="left" w:pos="660"/>
        </w:tabs>
        <w:rPr>
          <w:rFonts w:asciiTheme="minorHAnsi" w:eastAsiaTheme="minorEastAsia" w:hAnsiTheme="minorHAnsi" w:cstheme="minorBidi"/>
          <w:color w:val="auto"/>
          <w:szCs w:val="22"/>
        </w:rPr>
      </w:pPr>
      <w:hyperlink w:anchor="_Toc141355250" w:history="1">
        <w:r w:rsidR="00240C20" w:rsidRPr="00BA70D7">
          <w:rPr>
            <w:rStyle w:val="Hyperlink"/>
          </w:rPr>
          <w:t>3.1</w:t>
        </w:r>
        <w:r w:rsidR="00240C20">
          <w:rPr>
            <w:rFonts w:asciiTheme="minorHAnsi" w:eastAsiaTheme="minorEastAsia" w:hAnsiTheme="minorHAnsi" w:cstheme="minorBidi"/>
            <w:color w:val="auto"/>
            <w:szCs w:val="22"/>
          </w:rPr>
          <w:tab/>
        </w:r>
        <w:r w:rsidR="00240C20" w:rsidRPr="00BA70D7">
          <w:rPr>
            <w:rStyle w:val="Hyperlink"/>
          </w:rPr>
          <w:t>United States</w:t>
        </w:r>
        <w:r w:rsidR="00240C20">
          <w:rPr>
            <w:webHidden/>
          </w:rPr>
          <w:tab/>
        </w:r>
        <w:r w:rsidR="00240C20">
          <w:rPr>
            <w:webHidden/>
          </w:rPr>
          <w:fldChar w:fldCharType="begin"/>
        </w:r>
        <w:r w:rsidR="00240C20">
          <w:rPr>
            <w:webHidden/>
          </w:rPr>
          <w:instrText xml:space="preserve"> PAGEREF _Toc141355250 \h </w:instrText>
        </w:r>
        <w:r w:rsidR="00240C20">
          <w:rPr>
            <w:webHidden/>
          </w:rPr>
        </w:r>
        <w:r w:rsidR="00240C20">
          <w:rPr>
            <w:webHidden/>
          </w:rPr>
          <w:fldChar w:fldCharType="separate"/>
        </w:r>
        <w:r w:rsidR="00240E4B">
          <w:rPr>
            <w:webHidden/>
          </w:rPr>
          <w:t>28</w:t>
        </w:r>
        <w:r w:rsidR="00240C20">
          <w:rPr>
            <w:webHidden/>
          </w:rPr>
          <w:fldChar w:fldCharType="end"/>
        </w:r>
      </w:hyperlink>
    </w:p>
    <w:p w14:paraId="042264BF" w14:textId="7B51BAE5" w:rsidR="00240C20" w:rsidRDefault="00693395">
      <w:pPr>
        <w:pStyle w:val="TOC2"/>
        <w:tabs>
          <w:tab w:val="left" w:pos="660"/>
        </w:tabs>
        <w:rPr>
          <w:rFonts w:asciiTheme="minorHAnsi" w:eastAsiaTheme="minorEastAsia" w:hAnsiTheme="minorHAnsi" w:cstheme="minorBidi"/>
          <w:color w:val="auto"/>
          <w:szCs w:val="22"/>
        </w:rPr>
      </w:pPr>
      <w:hyperlink w:anchor="_Toc141355251" w:history="1">
        <w:r w:rsidR="00240C20" w:rsidRPr="00BA70D7">
          <w:rPr>
            <w:rStyle w:val="Hyperlink"/>
          </w:rPr>
          <w:t>3.2</w:t>
        </w:r>
        <w:r w:rsidR="00240C20">
          <w:rPr>
            <w:rFonts w:asciiTheme="minorHAnsi" w:eastAsiaTheme="minorEastAsia" w:hAnsiTheme="minorHAnsi" w:cstheme="minorBidi"/>
            <w:color w:val="auto"/>
            <w:szCs w:val="22"/>
          </w:rPr>
          <w:tab/>
        </w:r>
        <w:r w:rsidR="00240C20" w:rsidRPr="00BA70D7">
          <w:rPr>
            <w:rStyle w:val="Hyperlink"/>
          </w:rPr>
          <w:t>United Kingdom</w:t>
        </w:r>
        <w:r w:rsidR="00240C20">
          <w:rPr>
            <w:webHidden/>
          </w:rPr>
          <w:tab/>
        </w:r>
        <w:r w:rsidR="00240C20">
          <w:rPr>
            <w:webHidden/>
          </w:rPr>
          <w:fldChar w:fldCharType="begin"/>
        </w:r>
        <w:r w:rsidR="00240C20">
          <w:rPr>
            <w:webHidden/>
          </w:rPr>
          <w:instrText xml:space="preserve"> PAGEREF _Toc141355251 \h </w:instrText>
        </w:r>
        <w:r w:rsidR="00240C20">
          <w:rPr>
            <w:webHidden/>
          </w:rPr>
        </w:r>
        <w:r w:rsidR="00240C20">
          <w:rPr>
            <w:webHidden/>
          </w:rPr>
          <w:fldChar w:fldCharType="separate"/>
        </w:r>
        <w:r w:rsidR="00240E4B">
          <w:rPr>
            <w:webHidden/>
          </w:rPr>
          <w:t>29</w:t>
        </w:r>
        <w:r w:rsidR="00240C20">
          <w:rPr>
            <w:webHidden/>
          </w:rPr>
          <w:fldChar w:fldCharType="end"/>
        </w:r>
      </w:hyperlink>
    </w:p>
    <w:p w14:paraId="367FB327" w14:textId="6F0EFF9C" w:rsidR="00240C20" w:rsidRDefault="00693395">
      <w:pPr>
        <w:pStyle w:val="TOC2"/>
        <w:tabs>
          <w:tab w:val="left" w:pos="660"/>
        </w:tabs>
        <w:rPr>
          <w:rFonts w:asciiTheme="minorHAnsi" w:eastAsiaTheme="minorEastAsia" w:hAnsiTheme="minorHAnsi" w:cstheme="minorBidi"/>
          <w:color w:val="auto"/>
          <w:szCs w:val="22"/>
        </w:rPr>
      </w:pPr>
      <w:hyperlink w:anchor="_Toc141355252" w:history="1">
        <w:r w:rsidR="00240C20" w:rsidRPr="00BA70D7">
          <w:rPr>
            <w:rStyle w:val="Hyperlink"/>
          </w:rPr>
          <w:t>3.3</w:t>
        </w:r>
        <w:r w:rsidR="00240C20">
          <w:rPr>
            <w:rFonts w:asciiTheme="minorHAnsi" w:eastAsiaTheme="minorEastAsia" w:hAnsiTheme="minorHAnsi" w:cstheme="minorBidi"/>
            <w:color w:val="auto"/>
            <w:szCs w:val="22"/>
          </w:rPr>
          <w:tab/>
        </w:r>
        <w:r w:rsidR="00240C20" w:rsidRPr="00BA70D7">
          <w:rPr>
            <w:rStyle w:val="Hyperlink"/>
          </w:rPr>
          <w:t>Canada</w:t>
        </w:r>
        <w:r w:rsidR="00240C20">
          <w:rPr>
            <w:webHidden/>
          </w:rPr>
          <w:tab/>
        </w:r>
        <w:r w:rsidR="00240C20">
          <w:rPr>
            <w:webHidden/>
          </w:rPr>
          <w:fldChar w:fldCharType="begin"/>
        </w:r>
        <w:r w:rsidR="00240C20">
          <w:rPr>
            <w:webHidden/>
          </w:rPr>
          <w:instrText xml:space="preserve"> PAGEREF _Toc141355252 \h </w:instrText>
        </w:r>
        <w:r w:rsidR="00240C20">
          <w:rPr>
            <w:webHidden/>
          </w:rPr>
        </w:r>
        <w:r w:rsidR="00240C20">
          <w:rPr>
            <w:webHidden/>
          </w:rPr>
          <w:fldChar w:fldCharType="separate"/>
        </w:r>
        <w:r w:rsidR="00240E4B">
          <w:rPr>
            <w:webHidden/>
          </w:rPr>
          <w:t>31</w:t>
        </w:r>
        <w:r w:rsidR="00240C20">
          <w:rPr>
            <w:webHidden/>
          </w:rPr>
          <w:fldChar w:fldCharType="end"/>
        </w:r>
      </w:hyperlink>
    </w:p>
    <w:p w14:paraId="5C08A8BF" w14:textId="63441EFB" w:rsidR="00240C20" w:rsidRDefault="00693395">
      <w:pPr>
        <w:pStyle w:val="TOC2"/>
        <w:tabs>
          <w:tab w:val="left" w:pos="660"/>
        </w:tabs>
        <w:rPr>
          <w:rFonts w:asciiTheme="minorHAnsi" w:eastAsiaTheme="minorEastAsia" w:hAnsiTheme="minorHAnsi" w:cstheme="minorBidi"/>
          <w:color w:val="auto"/>
          <w:szCs w:val="22"/>
        </w:rPr>
      </w:pPr>
      <w:hyperlink w:anchor="_Toc141355253" w:history="1">
        <w:r w:rsidR="00240C20" w:rsidRPr="00BA70D7">
          <w:rPr>
            <w:rStyle w:val="Hyperlink"/>
          </w:rPr>
          <w:t>3.4</w:t>
        </w:r>
        <w:r w:rsidR="00240C20">
          <w:rPr>
            <w:rFonts w:asciiTheme="minorHAnsi" w:eastAsiaTheme="minorEastAsia" w:hAnsiTheme="minorHAnsi" w:cstheme="minorBidi"/>
            <w:color w:val="auto"/>
            <w:szCs w:val="22"/>
          </w:rPr>
          <w:tab/>
        </w:r>
        <w:r w:rsidR="00240C20" w:rsidRPr="00BA70D7">
          <w:rPr>
            <w:rStyle w:val="Hyperlink"/>
          </w:rPr>
          <w:t>France</w:t>
        </w:r>
        <w:r w:rsidR="00240C20">
          <w:rPr>
            <w:webHidden/>
          </w:rPr>
          <w:tab/>
        </w:r>
        <w:r w:rsidR="00240C20">
          <w:rPr>
            <w:webHidden/>
          </w:rPr>
          <w:fldChar w:fldCharType="begin"/>
        </w:r>
        <w:r w:rsidR="00240C20">
          <w:rPr>
            <w:webHidden/>
          </w:rPr>
          <w:instrText xml:space="preserve"> PAGEREF _Toc141355253 \h </w:instrText>
        </w:r>
        <w:r w:rsidR="00240C20">
          <w:rPr>
            <w:webHidden/>
          </w:rPr>
        </w:r>
        <w:r w:rsidR="00240C20">
          <w:rPr>
            <w:webHidden/>
          </w:rPr>
          <w:fldChar w:fldCharType="separate"/>
        </w:r>
        <w:r w:rsidR="00240E4B">
          <w:rPr>
            <w:webHidden/>
          </w:rPr>
          <w:t>31</w:t>
        </w:r>
        <w:r w:rsidR="00240C20">
          <w:rPr>
            <w:webHidden/>
          </w:rPr>
          <w:fldChar w:fldCharType="end"/>
        </w:r>
      </w:hyperlink>
    </w:p>
    <w:p w14:paraId="533E8F76" w14:textId="188E8B42" w:rsidR="00240C20" w:rsidRDefault="00693395">
      <w:pPr>
        <w:pStyle w:val="TOC2"/>
        <w:tabs>
          <w:tab w:val="left" w:pos="660"/>
        </w:tabs>
        <w:rPr>
          <w:rFonts w:asciiTheme="minorHAnsi" w:eastAsiaTheme="minorEastAsia" w:hAnsiTheme="minorHAnsi" w:cstheme="minorBidi"/>
          <w:color w:val="auto"/>
          <w:szCs w:val="22"/>
        </w:rPr>
      </w:pPr>
      <w:hyperlink w:anchor="_Toc141355254" w:history="1">
        <w:r w:rsidR="00240C20" w:rsidRPr="00BA70D7">
          <w:rPr>
            <w:rStyle w:val="Hyperlink"/>
          </w:rPr>
          <w:t>3.5</w:t>
        </w:r>
        <w:r w:rsidR="00240C20">
          <w:rPr>
            <w:rFonts w:asciiTheme="minorHAnsi" w:eastAsiaTheme="minorEastAsia" w:hAnsiTheme="minorHAnsi" w:cstheme="minorBidi"/>
            <w:color w:val="auto"/>
            <w:szCs w:val="22"/>
          </w:rPr>
          <w:tab/>
        </w:r>
        <w:r w:rsidR="00240C20" w:rsidRPr="00BA70D7">
          <w:rPr>
            <w:rStyle w:val="Hyperlink"/>
          </w:rPr>
          <w:t>Germany</w:t>
        </w:r>
        <w:r w:rsidR="00240C20">
          <w:rPr>
            <w:webHidden/>
          </w:rPr>
          <w:tab/>
        </w:r>
        <w:r w:rsidR="00240C20">
          <w:rPr>
            <w:webHidden/>
          </w:rPr>
          <w:fldChar w:fldCharType="begin"/>
        </w:r>
        <w:r w:rsidR="00240C20">
          <w:rPr>
            <w:webHidden/>
          </w:rPr>
          <w:instrText xml:space="preserve"> PAGEREF _Toc141355254 \h </w:instrText>
        </w:r>
        <w:r w:rsidR="00240C20">
          <w:rPr>
            <w:webHidden/>
          </w:rPr>
        </w:r>
        <w:r w:rsidR="00240C20">
          <w:rPr>
            <w:webHidden/>
          </w:rPr>
          <w:fldChar w:fldCharType="separate"/>
        </w:r>
        <w:r w:rsidR="00240E4B">
          <w:rPr>
            <w:webHidden/>
          </w:rPr>
          <w:t>32</w:t>
        </w:r>
        <w:r w:rsidR="00240C20">
          <w:rPr>
            <w:webHidden/>
          </w:rPr>
          <w:fldChar w:fldCharType="end"/>
        </w:r>
      </w:hyperlink>
    </w:p>
    <w:p w14:paraId="2212872C" w14:textId="068F0E95" w:rsidR="00240C20" w:rsidRDefault="00693395">
      <w:pPr>
        <w:pStyle w:val="TOC2"/>
        <w:tabs>
          <w:tab w:val="left" w:pos="660"/>
        </w:tabs>
        <w:rPr>
          <w:rFonts w:asciiTheme="minorHAnsi" w:eastAsiaTheme="minorEastAsia" w:hAnsiTheme="minorHAnsi" w:cstheme="minorBidi"/>
          <w:color w:val="auto"/>
          <w:szCs w:val="22"/>
        </w:rPr>
      </w:pPr>
      <w:hyperlink w:anchor="_Toc141355255" w:history="1">
        <w:r w:rsidR="00240C20" w:rsidRPr="00BA70D7">
          <w:rPr>
            <w:rStyle w:val="Hyperlink"/>
          </w:rPr>
          <w:t>3.6</w:t>
        </w:r>
        <w:r w:rsidR="00240C20">
          <w:rPr>
            <w:rFonts w:asciiTheme="minorHAnsi" w:eastAsiaTheme="minorEastAsia" w:hAnsiTheme="minorHAnsi" w:cstheme="minorBidi"/>
            <w:color w:val="auto"/>
            <w:szCs w:val="22"/>
          </w:rPr>
          <w:tab/>
        </w:r>
        <w:r w:rsidR="00240C20" w:rsidRPr="00BA70D7">
          <w:rPr>
            <w:rStyle w:val="Hyperlink"/>
          </w:rPr>
          <w:t>Japan</w:t>
        </w:r>
        <w:r w:rsidR="00240C20">
          <w:rPr>
            <w:webHidden/>
          </w:rPr>
          <w:tab/>
        </w:r>
        <w:r w:rsidR="00240C20">
          <w:rPr>
            <w:webHidden/>
          </w:rPr>
          <w:fldChar w:fldCharType="begin"/>
        </w:r>
        <w:r w:rsidR="00240C20">
          <w:rPr>
            <w:webHidden/>
          </w:rPr>
          <w:instrText xml:space="preserve"> PAGEREF _Toc141355255 \h </w:instrText>
        </w:r>
        <w:r w:rsidR="00240C20">
          <w:rPr>
            <w:webHidden/>
          </w:rPr>
        </w:r>
        <w:r w:rsidR="00240C20">
          <w:rPr>
            <w:webHidden/>
          </w:rPr>
          <w:fldChar w:fldCharType="separate"/>
        </w:r>
        <w:r w:rsidR="00240E4B">
          <w:rPr>
            <w:webHidden/>
          </w:rPr>
          <w:t>33</w:t>
        </w:r>
        <w:r w:rsidR="00240C20">
          <w:rPr>
            <w:webHidden/>
          </w:rPr>
          <w:fldChar w:fldCharType="end"/>
        </w:r>
      </w:hyperlink>
    </w:p>
    <w:p w14:paraId="3BD86CA4" w14:textId="614D20EF" w:rsidR="00240C20" w:rsidRDefault="00693395">
      <w:pPr>
        <w:pStyle w:val="TOC1"/>
        <w:tabs>
          <w:tab w:val="left" w:pos="660"/>
        </w:tabs>
        <w:rPr>
          <w:rFonts w:asciiTheme="minorHAnsi" w:eastAsiaTheme="minorEastAsia" w:hAnsiTheme="minorHAnsi" w:cstheme="minorBidi"/>
          <w:b w:val="0"/>
          <w:color w:val="auto"/>
          <w:sz w:val="22"/>
        </w:rPr>
      </w:pPr>
      <w:hyperlink w:anchor="_Toc141355256" w:history="1">
        <w:r w:rsidR="00240C20" w:rsidRPr="00BA70D7">
          <w:rPr>
            <w:rStyle w:val="Hyperlink"/>
          </w:rPr>
          <w:t>4.</w:t>
        </w:r>
        <w:r w:rsidR="00240C20">
          <w:rPr>
            <w:rFonts w:asciiTheme="minorHAnsi" w:eastAsiaTheme="minorEastAsia" w:hAnsiTheme="minorHAnsi" w:cstheme="minorBidi"/>
            <w:b w:val="0"/>
            <w:color w:val="auto"/>
            <w:sz w:val="22"/>
          </w:rPr>
          <w:tab/>
        </w:r>
        <w:r w:rsidR="00240C20" w:rsidRPr="00BA70D7">
          <w:rPr>
            <w:rStyle w:val="Hyperlink"/>
          </w:rPr>
          <w:t>Observations on barriers to institutional investment in housing</w:t>
        </w:r>
        <w:r w:rsidR="00240C20">
          <w:rPr>
            <w:webHidden/>
          </w:rPr>
          <w:tab/>
        </w:r>
        <w:r w:rsidR="00240C20">
          <w:rPr>
            <w:webHidden/>
          </w:rPr>
          <w:fldChar w:fldCharType="begin"/>
        </w:r>
        <w:r w:rsidR="00240C20">
          <w:rPr>
            <w:webHidden/>
          </w:rPr>
          <w:instrText xml:space="preserve"> PAGEREF _Toc141355256 \h </w:instrText>
        </w:r>
        <w:r w:rsidR="00240C20">
          <w:rPr>
            <w:webHidden/>
          </w:rPr>
        </w:r>
        <w:r w:rsidR="00240C20">
          <w:rPr>
            <w:webHidden/>
          </w:rPr>
          <w:fldChar w:fldCharType="separate"/>
        </w:r>
        <w:r w:rsidR="00240E4B">
          <w:rPr>
            <w:webHidden/>
          </w:rPr>
          <w:t>35</w:t>
        </w:r>
        <w:r w:rsidR="00240C20">
          <w:rPr>
            <w:webHidden/>
          </w:rPr>
          <w:fldChar w:fldCharType="end"/>
        </w:r>
      </w:hyperlink>
    </w:p>
    <w:p w14:paraId="78CC9841" w14:textId="6D2F770E" w:rsidR="00240C20" w:rsidRDefault="00693395">
      <w:pPr>
        <w:pStyle w:val="TOC2"/>
        <w:tabs>
          <w:tab w:val="left" w:pos="660"/>
        </w:tabs>
        <w:rPr>
          <w:rFonts w:asciiTheme="minorHAnsi" w:eastAsiaTheme="minorEastAsia" w:hAnsiTheme="minorHAnsi" w:cstheme="minorBidi"/>
          <w:color w:val="auto"/>
          <w:szCs w:val="22"/>
        </w:rPr>
      </w:pPr>
      <w:hyperlink w:anchor="_Toc141355257" w:history="1">
        <w:r w:rsidR="00240C20" w:rsidRPr="00BA70D7">
          <w:rPr>
            <w:rStyle w:val="Hyperlink"/>
          </w:rPr>
          <w:t>4.1</w:t>
        </w:r>
        <w:r w:rsidR="00240C20">
          <w:rPr>
            <w:rFonts w:asciiTheme="minorHAnsi" w:eastAsiaTheme="minorEastAsia" w:hAnsiTheme="minorHAnsi" w:cstheme="minorBidi"/>
            <w:color w:val="auto"/>
            <w:szCs w:val="22"/>
          </w:rPr>
          <w:tab/>
        </w:r>
        <w:r w:rsidR="00240C20" w:rsidRPr="00BA70D7">
          <w:rPr>
            <w:rStyle w:val="Hyperlink"/>
          </w:rPr>
          <w:t>Lack of suitable land</w:t>
        </w:r>
        <w:r w:rsidR="00240C20">
          <w:rPr>
            <w:webHidden/>
          </w:rPr>
          <w:tab/>
        </w:r>
        <w:r w:rsidR="00240C20">
          <w:rPr>
            <w:webHidden/>
          </w:rPr>
          <w:fldChar w:fldCharType="begin"/>
        </w:r>
        <w:r w:rsidR="00240C20">
          <w:rPr>
            <w:webHidden/>
          </w:rPr>
          <w:instrText xml:space="preserve"> PAGEREF _Toc141355257 \h </w:instrText>
        </w:r>
        <w:r w:rsidR="00240C20">
          <w:rPr>
            <w:webHidden/>
          </w:rPr>
        </w:r>
        <w:r w:rsidR="00240C20">
          <w:rPr>
            <w:webHidden/>
          </w:rPr>
          <w:fldChar w:fldCharType="separate"/>
        </w:r>
        <w:r w:rsidR="00240E4B">
          <w:rPr>
            <w:webHidden/>
          </w:rPr>
          <w:t>35</w:t>
        </w:r>
        <w:r w:rsidR="00240C20">
          <w:rPr>
            <w:webHidden/>
          </w:rPr>
          <w:fldChar w:fldCharType="end"/>
        </w:r>
      </w:hyperlink>
    </w:p>
    <w:p w14:paraId="5BF9FD28" w14:textId="37FCB426" w:rsidR="00240C20" w:rsidRDefault="00693395">
      <w:pPr>
        <w:pStyle w:val="TOC2"/>
        <w:tabs>
          <w:tab w:val="left" w:pos="660"/>
        </w:tabs>
        <w:rPr>
          <w:rFonts w:asciiTheme="minorHAnsi" w:eastAsiaTheme="minorEastAsia" w:hAnsiTheme="minorHAnsi" w:cstheme="minorBidi"/>
          <w:color w:val="auto"/>
          <w:szCs w:val="22"/>
        </w:rPr>
      </w:pPr>
      <w:hyperlink w:anchor="_Toc141355258" w:history="1">
        <w:r w:rsidR="00240C20" w:rsidRPr="00BA70D7">
          <w:rPr>
            <w:rStyle w:val="Hyperlink"/>
          </w:rPr>
          <w:t>4.2</w:t>
        </w:r>
        <w:r w:rsidR="00240C20">
          <w:rPr>
            <w:rFonts w:asciiTheme="minorHAnsi" w:eastAsiaTheme="minorEastAsia" w:hAnsiTheme="minorHAnsi" w:cstheme="minorBidi"/>
            <w:color w:val="auto"/>
            <w:szCs w:val="22"/>
          </w:rPr>
          <w:tab/>
        </w:r>
        <w:r w:rsidR="00240C20" w:rsidRPr="00BA70D7">
          <w:rPr>
            <w:rStyle w:val="Hyperlink"/>
          </w:rPr>
          <w:t>Planning and zoning systems</w:t>
        </w:r>
        <w:r w:rsidR="00240C20">
          <w:rPr>
            <w:webHidden/>
          </w:rPr>
          <w:tab/>
        </w:r>
        <w:r w:rsidR="00240C20">
          <w:rPr>
            <w:webHidden/>
          </w:rPr>
          <w:fldChar w:fldCharType="begin"/>
        </w:r>
        <w:r w:rsidR="00240C20">
          <w:rPr>
            <w:webHidden/>
          </w:rPr>
          <w:instrText xml:space="preserve"> PAGEREF _Toc141355258 \h </w:instrText>
        </w:r>
        <w:r w:rsidR="00240C20">
          <w:rPr>
            <w:webHidden/>
          </w:rPr>
        </w:r>
        <w:r w:rsidR="00240C20">
          <w:rPr>
            <w:webHidden/>
          </w:rPr>
          <w:fldChar w:fldCharType="separate"/>
        </w:r>
        <w:r w:rsidR="00240E4B">
          <w:rPr>
            <w:webHidden/>
          </w:rPr>
          <w:t>36</w:t>
        </w:r>
        <w:r w:rsidR="00240C20">
          <w:rPr>
            <w:webHidden/>
          </w:rPr>
          <w:fldChar w:fldCharType="end"/>
        </w:r>
      </w:hyperlink>
    </w:p>
    <w:p w14:paraId="2071D800" w14:textId="047AF6FD" w:rsidR="00240C20" w:rsidRDefault="00693395">
      <w:pPr>
        <w:pStyle w:val="TOC2"/>
        <w:tabs>
          <w:tab w:val="left" w:pos="660"/>
        </w:tabs>
        <w:rPr>
          <w:rFonts w:asciiTheme="minorHAnsi" w:eastAsiaTheme="minorEastAsia" w:hAnsiTheme="minorHAnsi" w:cstheme="minorBidi"/>
          <w:color w:val="auto"/>
          <w:szCs w:val="22"/>
        </w:rPr>
      </w:pPr>
      <w:hyperlink w:anchor="_Toc141355259" w:history="1">
        <w:r w:rsidR="00240C20" w:rsidRPr="00BA70D7">
          <w:rPr>
            <w:rStyle w:val="Hyperlink"/>
          </w:rPr>
          <w:t>4.3</w:t>
        </w:r>
        <w:r w:rsidR="00240C20">
          <w:rPr>
            <w:rFonts w:asciiTheme="minorHAnsi" w:eastAsiaTheme="minorEastAsia" w:hAnsiTheme="minorHAnsi" w:cstheme="minorBidi"/>
            <w:color w:val="auto"/>
            <w:szCs w:val="22"/>
          </w:rPr>
          <w:tab/>
        </w:r>
        <w:r w:rsidR="00240C20" w:rsidRPr="00BA70D7">
          <w:rPr>
            <w:rStyle w:val="Hyperlink"/>
          </w:rPr>
          <w:t>Inadequate risk</w:t>
        </w:r>
        <w:r w:rsidR="00563A2B">
          <w:rPr>
            <w:rStyle w:val="Hyperlink"/>
          </w:rPr>
          <w:noBreakHyphen/>
        </w:r>
        <w:r w:rsidR="00240C20" w:rsidRPr="00BA70D7">
          <w:rPr>
            <w:rStyle w:val="Hyperlink"/>
          </w:rPr>
          <w:t>adjusted returns</w:t>
        </w:r>
        <w:r w:rsidR="00240C20">
          <w:rPr>
            <w:webHidden/>
          </w:rPr>
          <w:tab/>
        </w:r>
        <w:r w:rsidR="00240C20">
          <w:rPr>
            <w:webHidden/>
          </w:rPr>
          <w:fldChar w:fldCharType="begin"/>
        </w:r>
        <w:r w:rsidR="00240C20">
          <w:rPr>
            <w:webHidden/>
          </w:rPr>
          <w:instrText xml:space="preserve"> PAGEREF _Toc141355259 \h </w:instrText>
        </w:r>
        <w:r w:rsidR="00240C20">
          <w:rPr>
            <w:webHidden/>
          </w:rPr>
        </w:r>
        <w:r w:rsidR="00240C20">
          <w:rPr>
            <w:webHidden/>
          </w:rPr>
          <w:fldChar w:fldCharType="separate"/>
        </w:r>
        <w:r w:rsidR="00240E4B">
          <w:rPr>
            <w:webHidden/>
          </w:rPr>
          <w:t>37</w:t>
        </w:r>
        <w:r w:rsidR="00240C20">
          <w:rPr>
            <w:webHidden/>
          </w:rPr>
          <w:fldChar w:fldCharType="end"/>
        </w:r>
      </w:hyperlink>
    </w:p>
    <w:p w14:paraId="4A784420" w14:textId="53F62DA8" w:rsidR="00240C20" w:rsidRDefault="00693395">
      <w:pPr>
        <w:pStyle w:val="TOC2"/>
        <w:tabs>
          <w:tab w:val="left" w:pos="660"/>
        </w:tabs>
        <w:rPr>
          <w:rFonts w:asciiTheme="minorHAnsi" w:eastAsiaTheme="minorEastAsia" w:hAnsiTheme="minorHAnsi" w:cstheme="minorBidi"/>
          <w:color w:val="auto"/>
          <w:szCs w:val="22"/>
        </w:rPr>
      </w:pPr>
      <w:hyperlink w:anchor="_Toc141355260" w:history="1">
        <w:r w:rsidR="00240C20" w:rsidRPr="00BA70D7">
          <w:rPr>
            <w:rStyle w:val="Hyperlink"/>
          </w:rPr>
          <w:t>4.4</w:t>
        </w:r>
        <w:r w:rsidR="00240C20">
          <w:rPr>
            <w:rFonts w:asciiTheme="minorHAnsi" w:eastAsiaTheme="minorEastAsia" w:hAnsiTheme="minorHAnsi" w:cstheme="minorBidi"/>
            <w:color w:val="auto"/>
            <w:szCs w:val="22"/>
          </w:rPr>
          <w:tab/>
        </w:r>
        <w:r w:rsidR="00240C20" w:rsidRPr="00BA70D7">
          <w:rPr>
            <w:rStyle w:val="Hyperlink"/>
          </w:rPr>
          <w:t>Insufficient scale</w:t>
        </w:r>
        <w:r w:rsidR="00240C20">
          <w:rPr>
            <w:webHidden/>
          </w:rPr>
          <w:tab/>
        </w:r>
        <w:r w:rsidR="00240C20">
          <w:rPr>
            <w:webHidden/>
          </w:rPr>
          <w:fldChar w:fldCharType="begin"/>
        </w:r>
        <w:r w:rsidR="00240C20">
          <w:rPr>
            <w:webHidden/>
          </w:rPr>
          <w:instrText xml:space="preserve"> PAGEREF _Toc141355260 \h </w:instrText>
        </w:r>
        <w:r w:rsidR="00240C20">
          <w:rPr>
            <w:webHidden/>
          </w:rPr>
        </w:r>
        <w:r w:rsidR="00240C20">
          <w:rPr>
            <w:webHidden/>
          </w:rPr>
          <w:fldChar w:fldCharType="separate"/>
        </w:r>
        <w:r w:rsidR="00240E4B">
          <w:rPr>
            <w:webHidden/>
          </w:rPr>
          <w:t>38</w:t>
        </w:r>
        <w:r w:rsidR="00240C20">
          <w:rPr>
            <w:webHidden/>
          </w:rPr>
          <w:fldChar w:fldCharType="end"/>
        </w:r>
      </w:hyperlink>
    </w:p>
    <w:p w14:paraId="02DA6E73" w14:textId="5C05B871" w:rsidR="00240C20" w:rsidRDefault="00693395">
      <w:pPr>
        <w:pStyle w:val="TOC2"/>
        <w:tabs>
          <w:tab w:val="left" w:pos="660"/>
        </w:tabs>
        <w:rPr>
          <w:rFonts w:asciiTheme="minorHAnsi" w:eastAsiaTheme="minorEastAsia" w:hAnsiTheme="minorHAnsi" w:cstheme="minorBidi"/>
          <w:color w:val="auto"/>
          <w:szCs w:val="22"/>
        </w:rPr>
      </w:pPr>
      <w:hyperlink w:anchor="_Toc141355261" w:history="1">
        <w:r w:rsidR="00240C20" w:rsidRPr="00BA70D7">
          <w:rPr>
            <w:rStyle w:val="Hyperlink"/>
          </w:rPr>
          <w:t>4.5</w:t>
        </w:r>
        <w:r w:rsidR="00240C20">
          <w:rPr>
            <w:rFonts w:asciiTheme="minorHAnsi" w:eastAsiaTheme="minorEastAsia" w:hAnsiTheme="minorHAnsi" w:cstheme="minorBidi"/>
            <w:color w:val="auto"/>
            <w:szCs w:val="22"/>
          </w:rPr>
          <w:tab/>
        </w:r>
        <w:r w:rsidR="00240C20" w:rsidRPr="00BA70D7">
          <w:rPr>
            <w:rStyle w:val="Hyperlink"/>
          </w:rPr>
          <w:t>Lack of an existing market</w:t>
        </w:r>
        <w:r w:rsidR="00240C20">
          <w:rPr>
            <w:webHidden/>
          </w:rPr>
          <w:tab/>
        </w:r>
        <w:r w:rsidR="00240C20">
          <w:rPr>
            <w:webHidden/>
          </w:rPr>
          <w:fldChar w:fldCharType="begin"/>
        </w:r>
        <w:r w:rsidR="00240C20">
          <w:rPr>
            <w:webHidden/>
          </w:rPr>
          <w:instrText xml:space="preserve"> PAGEREF _Toc141355261 \h </w:instrText>
        </w:r>
        <w:r w:rsidR="00240C20">
          <w:rPr>
            <w:webHidden/>
          </w:rPr>
        </w:r>
        <w:r w:rsidR="00240C20">
          <w:rPr>
            <w:webHidden/>
          </w:rPr>
          <w:fldChar w:fldCharType="separate"/>
        </w:r>
        <w:r w:rsidR="00240E4B">
          <w:rPr>
            <w:webHidden/>
          </w:rPr>
          <w:t>42</w:t>
        </w:r>
        <w:r w:rsidR="00240C20">
          <w:rPr>
            <w:webHidden/>
          </w:rPr>
          <w:fldChar w:fldCharType="end"/>
        </w:r>
      </w:hyperlink>
    </w:p>
    <w:p w14:paraId="10CBD7B2" w14:textId="21DDDE50" w:rsidR="00240C20" w:rsidRDefault="00693395">
      <w:pPr>
        <w:pStyle w:val="TOC2"/>
        <w:tabs>
          <w:tab w:val="left" w:pos="660"/>
        </w:tabs>
        <w:rPr>
          <w:rFonts w:asciiTheme="minorHAnsi" w:eastAsiaTheme="minorEastAsia" w:hAnsiTheme="minorHAnsi" w:cstheme="minorBidi"/>
          <w:color w:val="auto"/>
          <w:szCs w:val="22"/>
        </w:rPr>
      </w:pPr>
      <w:hyperlink w:anchor="_Toc141355262" w:history="1">
        <w:r w:rsidR="00240C20" w:rsidRPr="00BA70D7">
          <w:rPr>
            <w:rStyle w:val="Hyperlink"/>
          </w:rPr>
          <w:t>4.6</w:t>
        </w:r>
        <w:r w:rsidR="00240C20">
          <w:rPr>
            <w:rFonts w:asciiTheme="minorHAnsi" w:eastAsiaTheme="minorEastAsia" w:hAnsiTheme="minorHAnsi" w:cstheme="minorBidi"/>
            <w:color w:val="auto"/>
            <w:szCs w:val="22"/>
          </w:rPr>
          <w:tab/>
        </w:r>
        <w:r w:rsidR="00240C20" w:rsidRPr="00BA70D7">
          <w:rPr>
            <w:rStyle w:val="Hyperlink"/>
          </w:rPr>
          <w:t>Policy and regulatory uncertainty and complexity</w:t>
        </w:r>
        <w:r w:rsidR="00240C20">
          <w:rPr>
            <w:webHidden/>
          </w:rPr>
          <w:tab/>
        </w:r>
        <w:r w:rsidR="00240C20">
          <w:rPr>
            <w:webHidden/>
          </w:rPr>
          <w:fldChar w:fldCharType="begin"/>
        </w:r>
        <w:r w:rsidR="00240C20">
          <w:rPr>
            <w:webHidden/>
          </w:rPr>
          <w:instrText xml:space="preserve"> PAGEREF _Toc141355262 \h </w:instrText>
        </w:r>
        <w:r w:rsidR="00240C20">
          <w:rPr>
            <w:webHidden/>
          </w:rPr>
        </w:r>
        <w:r w:rsidR="00240C20">
          <w:rPr>
            <w:webHidden/>
          </w:rPr>
          <w:fldChar w:fldCharType="separate"/>
        </w:r>
        <w:r w:rsidR="00240E4B">
          <w:rPr>
            <w:webHidden/>
          </w:rPr>
          <w:t>43</w:t>
        </w:r>
        <w:r w:rsidR="00240C20">
          <w:rPr>
            <w:webHidden/>
          </w:rPr>
          <w:fldChar w:fldCharType="end"/>
        </w:r>
      </w:hyperlink>
    </w:p>
    <w:p w14:paraId="771E77B1" w14:textId="26271D37" w:rsidR="00240C20" w:rsidRDefault="00693395">
      <w:pPr>
        <w:pStyle w:val="TOC2"/>
        <w:tabs>
          <w:tab w:val="left" w:pos="660"/>
        </w:tabs>
        <w:rPr>
          <w:rFonts w:asciiTheme="minorHAnsi" w:eastAsiaTheme="minorEastAsia" w:hAnsiTheme="minorHAnsi" w:cstheme="minorBidi"/>
          <w:color w:val="auto"/>
          <w:szCs w:val="22"/>
        </w:rPr>
      </w:pPr>
      <w:hyperlink w:anchor="_Toc141355263" w:history="1">
        <w:r w:rsidR="00240C20" w:rsidRPr="00BA70D7">
          <w:rPr>
            <w:rStyle w:val="Hyperlink"/>
          </w:rPr>
          <w:t>4.7</w:t>
        </w:r>
        <w:r w:rsidR="00240C20">
          <w:rPr>
            <w:rFonts w:asciiTheme="minorHAnsi" w:eastAsiaTheme="minorEastAsia" w:hAnsiTheme="minorHAnsi" w:cstheme="minorBidi"/>
            <w:color w:val="auto"/>
            <w:szCs w:val="22"/>
          </w:rPr>
          <w:tab/>
        </w:r>
        <w:r w:rsidR="00240C20" w:rsidRPr="00BA70D7">
          <w:rPr>
            <w:rStyle w:val="Hyperlink"/>
          </w:rPr>
          <w:t>Unclear housing targets</w:t>
        </w:r>
        <w:r w:rsidR="00240C20">
          <w:rPr>
            <w:webHidden/>
          </w:rPr>
          <w:tab/>
        </w:r>
        <w:r w:rsidR="00240C20">
          <w:rPr>
            <w:webHidden/>
          </w:rPr>
          <w:fldChar w:fldCharType="begin"/>
        </w:r>
        <w:r w:rsidR="00240C20">
          <w:rPr>
            <w:webHidden/>
          </w:rPr>
          <w:instrText xml:space="preserve"> PAGEREF _Toc141355263 \h </w:instrText>
        </w:r>
        <w:r w:rsidR="00240C20">
          <w:rPr>
            <w:webHidden/>
          </w:rPr>
        </w:r>
        <w:r w:rsidR="00240C20">
          <w:rPr>
            <w:webHidden/>
          </w:rPr>
          <w:fldChar w:fldCharType="separate"/>
        </w:r>
        <w:r w:rsidR="00240E4B">
          <w:rPr>
            <w:webHidden/>
          </w:rPr>
          <w:t>44</w:t>
        </w:r>
        <w:r w:rsidR="00240C20">
          <w:rPr>
            <w:webHidden/>
          </w:rPr>
          <w:fldChar w:fldCharType="end"/>
        </w:r>
      </w:hyperlink>
    </w:p>
    <w:p w14:paraId="66E2C2B3" w14:textId="0AE5AF65" w:rsidR="00240C20" w:rsidRDefault="00693395">
      <w:pPr>
        <w:pStyle w:val="TOC2"/>
        <w:tabs>
          <w:tab w:val="left" w:pos="660"/>
        </w:tabs>
        <w:rPr>
          <w:rFonts w:asciiTheme="minorHAnsi" w:eastAsiaTheme="minorEastAsia" w:hAnsiTheme="minorHAnsi" w:cstheme="minorBidi"/>
          <w:color w:val="auto"/>
          <w:szCs w:val="22"/>
        </w:rPr>
      </w:pPr>
      <w:hyperlink w:anchor="_Toc141355264" w:history="1">
        <w:r w:rsidR="00240C20" w:rsidRPr="00BA70D7">
          <w:rPr>
            <w:rStyle w:val="Hyperlink"/>
          </w:rPr>
          <w:t>4.8</w:t>
        </w:r>
        <w:r w:rsidR="00240C20">
          <w:rPr>
            <w:rFonts w:asciiTheme="minorHAnsi" w:eastAsiaTheme="minorEastAsia" w:hAnsiTheme="minorHAnsi" w:cstheme="minorBidi"/>
            <w:color w:val="auto"/>
            <w:szCs w:val="22"/>
          </w:rPr>
          <w:tab/>
        </w:r>
        <w:r w:rsidR="00240C20" w:rsidRPr="00BA70D7">
          <w:rPr>
            <w:rStyle w:val="Hyperlink"/>
          </w:rPr>
          <w:t>Inadequate and inconsistent data</w:t>
        </w:r>
        <w:r w:rsidR="00240C20">
          <w:rPr>
            <w:webHidden/>
          </w:rPr>
          <w:tab/>
        </w:r>
        <w:r w:rsidR="00240C20">
          <w:rPr>
            <w:webHidden/>
          </w:rPr>
          <w:fldChar w:fldCharType="begin"/>
        </w:r>
        <w:r w:rsidR="00240C20">
          <w:rPr>
            <w:webHidden/>
          </w:rPr>
          <w:instrText xml:space="preserve"> PAGEREF _Toc141355264 \h </w:instrText>
        </w:r>
        <w:r w:rsidR="00240C20">
          <w:rPr>
            <w:webHidden/>
          </w:rPr>
        </w:r>
        <w:r w:rsidR="00240C20">
          <w:rPr>
            <w:webHidden/>
          </w:rPr>
          <w:fldChar w:fldCharType="separate"/>
        </w:r>
        <w:r w:rsidR="00240E4B">
          <w:rPr>
            <w:webHidden/>
          </w:rPr>
          <w:t>44</w:t>
        </w:r>
        <w:r w:rsidR="00240C20">
          <w:rPr>
            <w:webHidden/>
          </w:rPr>
          <w:fldChar w:fldCharType="end"/>
        </w:r>
      </w:hyperlink>
    </w:p>
    <w:p w14:paraId="2454418B" w14:textId="4A5D472F" w:rsidR="00240C20" w:rsidRDefault="00693395">
      <w:pPr>
        <w:pStyle w:val="TOC2"/>
        <w:tabs>
          <w:tab w:val="left" w:pos="660"/>
        </w:tabs>
        <w:rPr>
          <w:rFonts w:asciiTheme="minorHAnsi" w:eastAsiaTheme="minorEastAsia" w:hAnsiTheme="minorHAnsi" w:cstheme="minorBidi"/>
          <w:color w:val="auto"/>
          <w:szCs w:val="22"/>
        </w:rPr>
      </w:pPr>
      <w:hyperlink w:anchor="_Toc141355265" w:history="1">
        <w:r w:rsidR="00240C20" w:rsidRPr="00BA70D7">
          <w:rPr>
            <w:rStyle w:val="Hyperlink"/>
          </w:rPr>
          <w:t>4.9</w:t>
        </w:r>
        <w:r w:rsidR="00240C20">
          <w:rPr>
            <w:rFonts w:asciiTheme="minorHAnsi" w:eastAsiaTheme="minorEastAsia" w:hAnsiTheme="minorHAnsi" w:cstheme="minorBidi"/>
            <w:color w:val="auto"/>
            <w:szCs w:val="22"/>
          </w:rPr>
          <w:tab/>
        </w:r>
        <w:r w:rsidR="00240C20" w:rsidRPr="00BA70D7">
          <w:rPr>
            <w:rStyle w:val="Hyperlink"/>
          </w:rPr>
          <w:t>Cultural preferences</w:t>
        </w:r>
        <w:r w:rsidR="00240C20">
          <w:rPr>
            <w:webHidden/>
          </w:rPr>
          <w:tab/>
        </w:r>
        <w:r w:rsidR="00240C20">
          <w:rPr>
            <w:webHidden/>
          </w:rPr>
          <w:fldChar w:fldCharType="begin"/>
        </w:r>
        <w:r w:rsidR="00240C20">
          <w:rPr>
            <w:webHidden/>
          </w:rPr>
          <w:instrText xml:space="preserve"> PAGEREF _Toc141355265 \h </w:instrText>
        </w:r>
        <w:r w:rsidR="00240C20">
          <w:rPr>
            <w:webHidden/>
          </w:rPr>
        </w:r>
        <w:r w:rsidR="00240C20">
          <w:rPr>
            <w:webHidden/>
          </w:rPr>
          <w:fldChar w:fldCharType="separate"/>
        </w:r>
        <w:r w:rsidR="00240E4B">
          <w:rPr>
            <w:webHidden/>
          </w:rPr>
          <w:t>45</w:t>
        </w:r>
        <w:r w:rsidR="00240C20">
          <w:rPr>
            <w:webHidden/>
          </w:rPr>
          <w:fldChar w:fldCharType="end"/>
        </w:r>
      </w:hyperlink>
    </w:p>
    <w:p w14:paraId="45666941" w14:textId="77777777" w:rsidR="00240C20" w:rsidRDefault="00240C20">
      <w:pPr>
        <w:spacing w:before="0" w:after="160" w:line="259" w:lineRule="auto"/>
        <w:rPr>
          <w:rStyle w:val="Hyperlink"/>
          <w:noProof/>
        </w:rPr>
      </w:pPr>
      <w:r>
        <w:rPr>
          <w:rStyle w:val="Hyperlink"/>
          <w:noProof/>
        </w:rPr>
        <w:br w:type="page"/>
      </w:r>
    </w:p>
    <w:p w14:paraId="4F633648" w14:textId="21B8155A" w:rsidR="00240C20" w:rsidRDefault="00693395">
      <w:pPr>
        <w:pStyle w:val="TOC2"/>
        <w:tabs>
          <w:tab w:val="left" w:pos="660"/>
        </w:tabs>
        <w:rPr>
          <w:rFonts w:asciiTheme="minorHAnsi" w:eastAsiaTheme="minorEastAsia" w:hAnsiTheme="minorHAnsi" w:cstheme="minorBidi"/>
          <w:color w:val="auto"/>
          <w:szCs w:val="22"/>
        </w:rPr>
      </w:pPr>
      <w:hyperlink w:anchor="_Toc141355266" w:history="1">
        <w:r w:rsidR="00240C20" w:rsidRPr="00BA70D7">
          <w:rPr>
            <w:rStyle w:val="Hyperlink"/>
          </w:rPr>
          <w:t>4.10</w:t>
        </w:r>
        <w:r w:rsidR="00240C20">
          <w:rPr>
            <w:rFonts w:asciiTheme="minorHAnsi" w:eastAsiaTheme="minorEastAsia" w:hAnsiTheme="minorHAnsi" w:cstheme="minorBidi"/>
            <w:color w:val="auto"/>
            <w:szCs w:val="22"/>
          </w:rPr>
          <w:tab/>
        </w:r>
        <w:r w:rsidR="00240C20" w:rsidRPr="00BA70D7">
          <w:rPr>
            <w:rStyle w:val="Hyperlink"/>
          </w:rPr>
          <w:t>Superannuation regulations</w:t>
        </w:r>
        <w:r w:rsidR="00240C20">
          <w:rPr>
            <w:webHidden/>
          </w:rPr>
          <w:tab/>
        </w:r>
        <w:r w:rsidR="00240C20">
          <w:rPr>
            <w:webHidden/>
          </w:rPr>
          <w:fldChar w:fldCharType="begin"/>
        </w:r>
        <w:r w:rsidR="00240C20">
          <w:rPr>
            <w:webHidden/>
          </w:rPr>
          <w:instrText xml:space="preserve"> PAGEREF _Toc141355266 \h </w:instrText>
        </w:r>
        <w:r w:rsidR="00240C20">
          <w:rPr>
            <w:webHidden/>
          </w:rPr>
        </w:r>
        <w:r w:rsidR="00240C20">
          <w:rPr>
            <w:webHidden/>
          </w:rPr>
          <w:fldChar w:fldCharType="separate"/>
        </w:r>
        <w:r w:rsidR="00240E4B">
          <w:rPr>
            <w:webHidden/>
          </w:rPr>
          <w:t>45</w:t>
        </w:r>
        <w:r w:rsidR="00240C20">
          <w:rPr>
            <w:webHidden/>
          </w:rPr>
          <w:fldChar w:fldCharType="end"/>
        </w:r>
      </w:hyperlink>
    </w:p>
    <w:p w14:paraId="2C263842" w14:textId="6383CDDC" w:rsidR="00240C20" w:rsidRDefault="00693395">
      <w:pPr>
        <w:pStyle w:val="TOC2"/>
        <w:tabs>
          <w:tab w:val="left" w:pos="660"/>
        </w:tabs>
        <w:rPr>
          <w:rFonts w:asciiTheme="minorHAnsi" w:eastAsiaTheme="minorEastAsia" w:hAnsiTheme="minorHAnsi" w:cstheme="minorBidi"/>
          <w:color w:val="auto"/>
          <w:szCs w:val="22"/>
        </w:rPr>
      </w:pPr>
      <w:hyperlink w:anchor="_Toc141355267" w:history="1">
        <w:r w:rsidR="00240C20" w:rsidRPr="00BA70D7">
          <w:rPr>
            <w:rStyle w:val="Hyperlink"/>
          </w:rPr>
          <w:t>4.11</w:t>
        </w:r>
        <w:r w:rsidR="00240C20">
          <w:rPr>
            <w:rFonts w:asciiTheme="minorHAnsi" w:eastAsiaTheme="minorEastAsia" w:hAnsiTheme="minorHAnsi" w:cstheme="minorBidi"/>
            <w:color w:val="auto"/>
            <w:szCs w:val="22"/>
          </w:rPr>
          <w:tab/>
        </w:r>
        <w:r w:rsidR="00240C20" w:rsidRPr="00BA70D7">
          <w:rPr>
            <w:rStyle w:val="Hyperlink"/>
          </w:rPr>
          <w:t>Taxation arrangements</w:t>
        </w:r>
        <w:r w:rsidR="00240C20">
          <w:rPr>
            <w:webHidden/>
          </w:rPr>
          <w:tab/>
        </w:r>
        <w:r w:rsidR="00240C20">
          <w:rPr>
            <w:webHidden/>
          </w:rPr>
          <w:fldChar w:fldCharType="begin"/>
        </w:r>
        <w:r w:rsidR="00240C20">
          <w:rPr>
            <w:webHidden/>
          </w:rPr>
          <w:instrText xml:space="preserve"> PAGEREF _Toc141355267 \h </w:instrText>
        </w:r>
        <w:r w:rsidR="00240C20">
          <w:rPr>
            <w:webHidden/>
          </w:rPr>
        </w:r>
        <w:r w:rsidR="00240C20">
          <w:rPr>
            <w:webHidden/>
          </w:rPr>
          <w:fldChar w:fldCharType="separate"/>
        </w:r>
        <w:r w:rsidR="00240E4B">
          <w:rPr>
            <w:webHidden/>
          </w:rPr>
          <w:t>46</w:t>
        </w:r>
        <w:r w:rsidR="00240C20">
          <w:rPr>
            <w:webHidden/>
          </w:rPr>
          <w:fldChar w:fldCharType="end"/>
        </w:r>
      </w:hyperlink>
    </w:p>
    <w:p w14:paraId="5148F61F" w14:textId="2F97FF40" w:rsidR="00240C20" w:rsidRDefault="00693395">
      <w:pPr>
        <w:pStyle w:val="TOC2"/>
        <w:tabs>
          <w:tab w:val="left" w:pos="660"/>
        </w:tabs>
        <w:rPr>
          <w:rFonts w:asciiTheme="minorHAnsi" w:eastAsiaTheme="minorEastAsia" w:hAnsiTheme="minorHAnsi" w:cstheme="minorBidi"/>
          <w:color w:val="auto"/>
          <w:szCs w:val="22"/>
        </w:rPr>
      </w:pPr>
      <w:hyperlink w:anchor="_Toc141355268" w:history="1">
        <w:r w:rsidR="00240C20" w:rsidRPr="00BA70D7">
          <w:rPr>
            <w:rStyle w:val="Hyperlink"/>
          </w:rPr>
          <w:t>4.12</w:t>
        </w:r>
        <w:r w:rsidR="00240C20">
          <w:rPr>
            <w:rFonts w:asciiTheme="minorHAnsi" w:eastAsiaTheme="minorEastAsia" w:hAnsiTheme="minorHAnsi" w:cstheme="minorBidi"/>
            <w:color w:val="auto"/>
            <w:szCs w:val="22"/>
          </w:rPr>
          <w:tab/>
        </w:r>
        <w:r w:rsidR="00240C20" w:rsidRPr="00BA70D7">
          <w:rPr>
            <w:rStyle w:val="Hyperlink"/>
          </w:rPr>
          <w:t>Barriers specific to investment in social and affordable housing</w:t>
        </w:r>
        <w:r w:rsidR="00240C20">
          <w:rPr>
            <w:webHidden/>
          </w:rPr>
          <w:tab/>
        </w:r>
        <w:r w:rsidR="00240C20">
          <w:rPr>
            <w:webHidden/>
          </w:rPr>
          <w:fldChar w:fldCharType="begin"/>
        </w:r>
        <w:r w:rsidR="00240C20">
          <w:rPr>
            <w:webHidden/>
          </w:rPr>
          <w:instrText xml:space="preserve"> PAGEREF _Toc141355268 \h </w:instrText>
        </w:r>
        <w:r w:rsidR="00240C20">
          <w:rPr>
            <w:webHidden/>
          </w:rPr>
        </w:r>
        <w:r w:rsidR="00240C20">
          <w:rPr>
            <w:webHidden/>
          </w:rPr>
          <w:fldChar w:fldCharType="separate"/>
        </w:r>
        <w:r w:rsidR="00240E4B">
          <w:rPr>
            <w:webHidden/>
          </w:rPr>
          <w:t>46</w:t>
        </w:r>
        <w:r w:rsidR="00240C20">
          <w:rPr>
            <w:webHidden/>
          </w:rPr>
          <w:fldChar w:fldCharType="end"/>
        </w:r>
      </w:hyperlink>
    </w:p>
    <w:p w14:paraId="7716DB4D" w14:textId="1A16B061" w:rsidR="00240C20" w:rsidRDefault="00693395">
      <w:pPr>
        <w:pStyle w:val="TOC1"/>
        <w:tabs>
          <w:tab w:val="left" w:pos="660"/>
        </w:tabs>
        <w:rPr>
          <w:rFonts w:asciiTheme="minorHAnsi" w:eastAsiaTheme="minorEastAsia" w:hAnsiTheme="minorHAnsi" w:cstheme="minorBidi"/>
          <w:b w:val="0"/>
          <w:color w:val="auto"/>
          <w:sz w:val="22"/>
        </w:rPr>
      </w:pPr>
      <w:hyperlink w:anchor="_Toc141355269" w:history="1">
        <w:r w:rsidR="00240C20" w:rsidRPr="00BA70D7">
          <w:rPr>
            <w:rStyle w:val="Hyperlink"/>
          </w:rPr>
          <w:t>5.</w:t>
        </w:r>
        <w:r w:rsidR="00240C20">
          <w:rPr>
            <w:rFonts w:asciiTheme="minorHAnsi" w:eastAsiaTheme="minorEastAsia" w:hAnsiTheme="minorHAnsi" w:cstheme="minorBidi"/>
            <w:b w:val="0"/>
            <w:color w:val="auto"/>
            <w:sz w:val="22"/>
          </w:rPr>
          <w:tab/>
        </w:r>
        <w:r w:rsidR="00240C20" w:rsidRPr="00BA70D7">
          <w:rPr>
            <w:rStyle w:val="Hyperlink"/>
          </w:rPr>
          <w:t>The need for a market for institutional housing</w:t>
        </w:r>
        <w:r w:rsidR="00240C20">
          <w:rPr>
            <w:webHidden/>
          </w:rPr>
          <w:tab/>
        </w:r>
        <w:r w:rsidR="00240C20">
          <w:rPr>
            <w:webHidden/>
          </w:rPr>
          <w:fldChar w:fldCharType="begin"/>
        </w:r>
        <w:r w:rsidR="00240C20">
          <w:rPr>
            <w:webHidden/>
          </w:rPr>
          <w:instrText xml:space="preserve"> PAGEREF _Toc141355269 \h </w:instrText>
        </w:r>
        <w:r w:rsidR="00240C20">
          <w:rPr>
            <w:webHidden/>
          </w:rPr>
        </w:r>
        <w:r w:rsidR="00240C20">
          <w:rPr>
            <w:webHidden/>
          </w:rPr>
          <w:fldChar w:fldCharType="separate"/>
        </w:r>
        <w:r w:rsidR="00240E4B">
          <w:rPr>
            <w:webHidden/>
          </w:rPr>
          <w:t>52</w:t>
        </w:r>
        <w:r w:rsidR="00240C20">
          <w:rPr>
            <w:webHidden/>
          </w:rPr>
          <w:fldChar w:fldCharType="end"/>
        </w:r>
      </w:hyperlink>
    </w:p>
    <w:p w14:paraId="42E80339" w14:textId="0DA09888" w:rsidR="00240C20" w:rsidRDefault="00693395">
      <w:pPr>
        <w:pStyle w:val="TOC2"/>
        <w:tabs>
          <w:tab w:val="left" w:pos="660"/>
        </w:tabs>
        <w:rPr>
          <w:rFonts w:asciiTheme="minorHAnsi" w:eastAsiaTheme="minorEastAsia" w:hAnsiTheme="minorHAnsi" w:cstheme="minorBidi"/>
          <w:color w:val="auto"/>
          <w:szCs w:val="22"/>
        </w:rPr>
      </w:pPr>
      <w:hyperlink w:anchor="_Toc141355270" w:history="1">
        <w:r w:rsidR="00240C20" w:rsidRPr="00BA70D7">
          <w:rPr>
            <w:rStyle w:val="Hyperlink"/>
          </w:rPr>
          <w:t>5.1</w:t>
        </w:r>
        <w:r w:rsidR="00240C20">
          <w:rPr>
            <w:rFonts w:asciiTheme="minorHAnsi" w:eastAsiaTheme="minorEastAsia" w:hAnsiTheme="minorHAnsi" w:cstheme="minorBidi"/>
            <w:color w:val="auto"/>
            <w:szCs w:val="22"/>
          </w:rPr>
          <w:tab/>
        </w:r>
        <w:r w:rsidR="00240C20" w:rsidRPr="00BA70D7">
          <w:rPr>
            <w:rStyle w:val="Hyperlink"/>
          </w:rPr>
          <w:t>Supporting a market for institutional housing</w:t>
        </w:r>
        <w:r w:rsidR="00240C20">
          <w:rPr>
            <w:webHidden/>
          </w:rPr>
          <w:tab/>
        </w:r>
        <w:r w:rsidR="00240C20">
          <w:rPr>
            <w:webHidden/>
          </w:rPr>
          <w:fldChar w:fldCharType="begin"/>
        </w:r>
        <w:r w:rsidR="00240C20">
          <w:rPr>
            <w:webHidden/>
          </w:rPr>
          <w:instrText xml:space="preserve"> PAGEREF _Toc141355270 \h </w:instrText>
        </w:r>
        <w:r w:rsidR="00240C20">
          <w:rPr>
            <w:webHidden/>
          </w:rPr>
        </w:r>
        <w:r w:rsidR="00240C20">
          <w:rPr>
            <w:webHidden/>
          </w:rPr>
          <w:fldChar w:fldCharType="separate"/>
        </w:r>
        <w:r w:rsidR="00240E4B">
          <w:rPr>
            <w:webHidden/>
          </w:rPr>
          <w:t>52</w:t>
        </w:r>
        <w:r w:rsidR="00240C20">
          <w:rPr>
            <w:webHidden/>
          </w:rPr>
          <w:fldChar w:fldCharType="end"/>
        </w:r>
      </w:hyperlink>
    </w:p>
    <w:p w14:paraId="59D06B10" w14:textId="0AD647A3" w:rsidR="00240C20" w:rsidRDefault="00693395">
      <w:pPr>
        <w:pStyle w:val="TOC2"/>
        <w:tabs>
          <w:tab w:val="left" w:pos="660"/>
        </w:tabs>
        <w:rPr>
          <w:rFonts w:asciiTheme="minorHAnsi" w:eastAsiaTheme="minorEastAsia" w:hAnsiTheme="minorHAnsi" w:cstheme="minorBidi"/>
          <w:color w:val="auto"/>
          <w:szCs w:val="22"/>
        </w:rPr>
      </w:pPr>
      <w:hyperlink w:anchor="_Toc141355271" w:history="1">
        <w:r w:rsidR="00240C20" w:rsidRPr="00BA70D7">
          <w:rPr>
            <w:rStyle w:val="Hyperlink"/>
          </w:rPr>
          <w:t>5.2</w:t>
        </w:r>
        <w:r w:rsidR="00240C20">
          <w:rPr>
            <w:rFonts w:asciiTheme="minorHAnsi" w:eastAsiaTheme="minorEastAsia" w:hAnsiTheme="minorHAnsi" w:cstheme="minorBidi"/>
            <w:color w:val="auto"/>
            <w:szCs w:val="22"/>
          </w:rPr>
          <w:tab/>
        </w:r>
        <w:r w:rsidR="00240C20" w:rsidRPr="00BA70D7">
          <w:rPr>
            <w:rStyle w:val="Hyperlink"/>
          </w:rPr>
          <w:t>Catalysing a market</w:t>
        </w:r>
        <w:r w:rsidR="00240C20">
          <w:rPr>
            <w:webHidden/>
          </w:rPr>
          <w:tab/>
        </w:r>
        <w:r w:rsidR="00240C20">
          <w:rPr>
            <w:webHidden/>
          </w:rPr>
          <w:fldChar w:fldCharType="begin"/>
        </w:r>
        <w:r w:rsidR="00240C20">
          <w:rPr>
            <w:webHidden/>
          </w:rPr>
          <w:instrText xml:space="preserve"> PAGEREF _Toc141355271 \h </w:instrText>
        </w:r>
        <w:r w:rsidR="00240C20">
          <w:rPr>
            <w:webHidden/>
          </w:rPr>
        </w:r>
        <w:r w:rsidR="00240C20">
          <w:rPr>
            <w:webHidden/>
          </w:rPr>
          <w:fldChar w:fldCharType="separate"/>
        </w:r>
        <w:r w:rsidR="00240E4B">
          <w:rPr>
            <w:webHidden/>
          </w:rPr>
          <w:t>53</w:t>
        </w:r>
        <w:r w:rsidR="00240C20">
          <w:rPr>
            <w:webHidden/>
          </w:rPr>
          <w:fldChar w:fldCharType="end"/>
        </w:r>
      </w:hyperlink>
    </w:p>
    <w:p w14:paraId="2BA817FC" w14:textId="2B375281" w:rsidR="00240C20" w:rsidRDefault="00693395">
      <w:pPr>
        <w:pStyle w:val="TOC1"/>
        <w:tabs>
          <w:tab w:val="left" w:pos="660"/>
        </w:tabs>
        <w:rPr>
          <w:rFonts w:asciiTheme="minorHAnsi" w:eastAsiaTheme="minorEastAsia" w:hAnsiTheme="minorHAnsi" w:cstheme="minorBidi"/>
          <w:b w:val="0"/>
          <w:color w:val="auto"/>
          <w:sz w:val="22"/>
        </w:rPr>
      </w:pPr>
      <w:hyperlink w:anchor="_Toc141355272" w:history="1">
        <w:r w:rsidR="00240C20" w:rsidRPr="00BA70D7">
          <w:rPr>
            <w:rStyle w:val="Hyperlink"/>
          </w:rPr>
          <w:t>6.</w:t>
        </w:r>
        <w:r w:rsidR="00240C20">
          <w:rPr>
            <w:rFonts w:asciiTheme="minorHAnsi" w:eastAsiaTheme="minorEastAsia" w:hAnsiTheme="minorHAnsi" w:cstheme="minorBidi"/>
            <w:b w:val="0"/>
            <w:color w:val="auto"/>
            <w:sz w:val="22"/>
          </w:rPr>
          <w:tab/>
        </w:r>
        <w:r w:rsidR="00240C20" w:rsidRPr="00BA70D7">
          <w:rPr>
            <w:rStyle w:val="Hyperlink"/>
          </w:rPr>
          <w:t>Creating a pipeline of suitable new projects</w:t>
        </w:r>
        <w:r w:rsidR="00240C20">
          <w:rPr>
            <w:webHidden/>
          </w:rPr>
          <w:tab/>
        </w:r>
        <w:r w:rsidR="00240C20">
          <w:rPr>
            <w:webHidden/>
          </w:rPr>
          <w:fldChar w:fldCharType="begin"/>
        </w:r>
        <w:r w:rsidR="00240C20">
          <w:rPr>
            <w:webHidden/>
          </w:rPr>
          <w:instrText xml:space="preserve"> PAGEREF _Toc141355272 \h </w:instrText>
        </w:r>
        <w:r w:rsidR="00240C20">
          <w:rPr>
            <w:webHidden/>
          </w:rPr>
        </w:r>
        <w:r w:rsidR="00240C20">
          <w:rPr>
            <w:webHidden/>
          </w:rPr>
          <w:fldChar w:fldCharType="separate"/>
        </w:r>
        <w:r w:rsidR="00240E4B">
          <w:rPr>
            <w:webHidden/>
          </w:rPr>
          <w:t>54</w:t>
        </w:r>
        <w:r w:rsidR="00240C20">
          <w:rPr>
            <w:webHidden/>
          </w:rPr>
          <w:fldChar w:fldCharType="end"/>
        </w:r>
      </w:hyperlink>
    </w:p>
    <w:p w14:paraId="6AACE9D9" w14:textId="2EE5773D" w:rsidR="00240C20" w:rsidRDefault="00693395">
      <w:pPr>
        <w:pStyle w:val="TOC2"/>
        <w:tabs>
          <w:tab w:val="left" w:pos="660"/>
        </w:tabs>
        <w:rPr>
          <w:rFonts w:asciiTheme="minorHAnsi" w:eastAsiaTheme="minorEastAsia" w:hAnsiTheme="minorHAnsi" w:cstheme="minorBidi"/>
          <w:color w:val="auto"/>
          <w:szCs w:val="22"/>
        </w:rPr>
      </w:pPr>
      <w:hyperlink w:anchor="_Toc141355273" w:history="1">
        <w:r w:rsidR="00240C20" w:rsidRPr="00BA70D7">
          <w:rPr>
            <w:rStyle w:val="Hyperlink"/>
          </w:rPr>
          <w:t>6.1</w:t>
        </w:r>
        <w:r w:rsidR="00240C20">
          <w:rPr>
            <w:rFonts w:asciiTheme="minorHAnsi" w:eastAsiaTheme="minorEastAsia" w:hAnsiTheme="minorHAnsi" w:cstheme="minorBidi"/>
            <w:color w:val="auto"/>
            <w:szCs w:val="22"/>
          </w:rPr>
          <w:tab/>
        </w:r>
        <w:r w:rsidR="00240C20" w:rsidRPr="00BA70D7">
          <w:rPr>
            <w:rStyle w:val="Hyperlink"/>
          </w:rPr>
          <w:t>Addressing planning and zoning barriers</w:t>
        </w:r>
        <w:r w:rsidR="00240C20">
          <w:rPr>
            <w:webHidden/>
          </w:rPr>
          <w:tab/>
        </w:r>
        <w:r w:rsidR="00240C20">
          <w:rPr>
            <w:webHidden/>
          </w:rPr>
          <w:fldChar w:fldCharType="begin"/>
        </w:r>
        <w:r w:rsidR="00240C20">
          <w:rPr>
            <w:webHidden/>
          </w:rPr>
          <w:instrText xml:space="preserve"> PAGEREF _Toc141355273 \h </w:instrText>
        </w:r>
        <w:r w:rsidR="00240C20">
          <w:rPr>
            <w:webHidden/>
          </w:rPr>
        </w:r>
        <w:r w:rsidR="00240C20">
          <w:rPr>
            <w:webHidden/>
          </w:rPr>
          <w:fldChar w:fldCharType="separate"/>
        </w:r>
        <w:r w:rsidR="00240E4B">
          <w:rPr>
            <w:webHidden/>
          </w:rPr>
          <w:t>54</w:t>
        </w:r>
        <w:r w:rsidR="00240C20">
          <w:rPr>
            <w:webHidden/>
          </w:rPr>
          <w:fldChar w:fldCharType="end"/>
        </w:r>
      </w:hyperlink>
    </w:p>
    <w:p w14:paraId="069418BB" w14:textId="384DD77C" w:rsidR="00240C20" w:rsidRDefault="00693395">
      <w:pPr>
        <w:pStyle w:val="TOC2"/>
        <w:tabs>
          <w:tab w:val="left" w:pos="660"/>
        </w:tabs>
        <w:rPr>
          <w:rFonts w:asciiTheme="minorHAnsi" w:eastAsiaTheme="minorEastAsia" w:hAnsiTheme="minorHAnsi" w:cstheme="minorBidi"/>
          <w:color w:val="auto"/>
          <w:szCs w:val="22"/>
        </w:rPr>
      </w:pPr>
      <w:hyperlink w:anchor="_Toc141355274" w:history="1">
        <w:r w:rsidR="00240C20" w:rsidRPr="00BA70D7">
          <w:rPr>
            <w:rStyle w:val="Hyperlink"/>
          </w:rPr>
          <w:t>6.2</w:t>
        </w:r>
        <w:r w:rsidR="00240C20">
          <w:rPr>
            <w:rFonts w:asciiTheme="minorHAnsi" w:eastAsiaTheme="minorEastAsia" w:hAnsiTheme="minorHAnsi" w:cstheme="minorBidi"/>
            <w:color w:val="auto"/>
            <w:szCs w:val="22"/>
          </w:rPr>
          <w:tab/>
        </w:r>
        <w:r w:rsidR="00240C20" w:rsidRPr="00BA70D7">
          <w:rPr>
            <w:rStyle w:val="Hyperlink"/>
          </w:rPr>
          <w:t>Addressing the lack of suitable land</w:t>
        </w:r>
        <w:r w:rsidR="00240C20">
          <w:rPr>
            <w:webHidden/>
          </w:rPr>
          <w:tab/>
        </w:r>
        <w:r w:rsidR="00240C20">
          <w:rPr>
            <w:webHidden/>
          </w:rPr>
          <w:fldChar w:fldCharType="begin"/>
        </w:r>
        <w:r w:rsidR="00240C20">
          <w:rPr>
            <w:webHidden/>
          </w:rPr>
          <w:instrText xml:space="preserve"> PAGEREF _Toc141355274 \h </w:instrText>
        </w:r>
        <w:r w:rsidR="00240C20">
          <w:rPr>
            <w:webHidden/>
          </w:rPr>
        </w:r>
        <w:r w:rsidR="00240C20">
          <w:rPr>
            <w:webHidden/>
          </w:rPr>
          <w:fldChar w:fldCharType="separate"/>
        </w:r>
        <w:r w:rsidR="00240E4B">
          <w:rPr>
            <w:webHidden/>
          </w:rPr>
          <w:t>55</w:t>
        </w:r>
        <w:r w:rsidR="00240C20">
          <w:rPr>
            <w:webHidden/>
          </w:rPr>
          <w:fldChar w:fldCharType="end"/>
        </w:r>
      </w:hyperlink>
    </w:p>
    <w:p w14:paraId="7A856AD0" w14:textId="35819E3E" w:rsidR="00240C20" w:rsidRDefault="00693395">
      <w:pPr>
        <w:pStyle w:val="TOC1"/>
        <w:tabs>
          <w:tab w:val="left" w:pos="660"/>
        </w:tabs>
        <w:rPr>
          <w:rFonts w:asciiTheme="minorHAnsi" w:eastAsiaTheme="minorEastAsia" w:hAnsiTheme="minorHAnsi" w:cstheme="minorBidi"/>
          <w:b w:val="0"/>
          <w:color w:val="auto"/>
          <w:sz w:val="22"/>
        </w:rPr>
      </w:pPr>
      <w:hyperlink w:anchor="_Toc141355275" w:history="1">
        <w:r w:rsidR="00240C20" w:rsidRPr="00BA70D7">
          <w:rPr>
            <w:rStyle w:val="Hyperlink"/>
          </w:rPr>
          <w:t>7.</w:t>
        </w:r>
        <w:r w:rsidR="00240C20">
          <w:rPr>
            <w:rFonts w:asciiTheme="minorHAnsi" w:eastAsiaTheme="minorEastAsia" w:hAnsiTheme="minorHAnsi" w:cstheme="minorBidi"/>
            <w:b w:val="0"/>
            <w:color w:val="auto"/>
            <w:sz w:val="22"/>
          </w:rPr>
          <w:tab/>
        </w:r>
        <w:r w:rsidR="00240C20" w:rsidRPr="00BA70D7">
          <w:rPr>
            <w:rStyle w:val="Hyperlink"/>
          </w:rPr>
          <w:t>De</w:t>
        </w:r>
        <w:r w:rsidR="00563A2B">
          <w:rPr>
            <w:rStyle w:val="Hyperlink"/>
          </w:rPr>
          <w:noBreakHyphen/>
        </w:r>
        <w:r w:rsidR="00240C20" w:rsidRPr="00BA70D7">
          <w:rPr>
            <w:rStyle w:val="Hyperlink"/>
          </w:rPr>
          <w:t>risking the development and ownership of institutional housing assets</w:t>
        </w:r>
        <w:r w:rsidR="00240C20">
          <w:rPr>
            <w:webHidden/>
          </w:rPr>
          <w:tab/>
        </w:r>
        <w:r w:rsidR="00240C20">
          <w:rPr>
            <w:webHidden/>
          </w:rPr>
          <w:fldChar w:fldCharType="begin"/>
        </w:r>
        <w:r w:rsidR="00240C20">
          <w:rPr>
            <w:webHidden/>
          </w:rPr>
          <w:instrText xml:space="preserve"> PAGEREF _Toc141355275 \h </w:instrText>
        </w:r>
        <w:r w:rsidR="00240C20">
          <w:rPr>
            <w:webHidden/>
          </w:rPr>
        </w:r>
        <w:r w:rsidR="00240C20">
          <w:rPr>
            <w:webHidden/>
          </w:rPr>
          <w:fldChar w:fldCharType="separate"/>
        </w:r>
        <w:r w:rsidR="00240E4B">
          <w:rPr>
            <w:webHidden/>
          </w:rPr>
          <w:t>57</w:t>
        </w:r>
        <w:r w:rsidR="00240C20">
          <w:rPr>
            <w:webHidden/>
          </w:rPr>
          <w:fldChar w:fldCharType="end"/>
        </w:r>
      </w:hyperlink>
    </w:p>
    <w:p w14:paraId="6B5FA632" w14:textId="4F6AC02B" w:rsidR="00240C20" w:rsidRDefault="00693395">
      <w:pPr>
        <w:pStyle w:val="TOC2"/>
        <w:tabs>
          <w:tab w:val="left" w:pos="660"/>
        </w:tabs>
        <w:rPr>
          <w:rFonts w:asciiTheme="minorHAnsi" w:eastAsiaTheme="minorEastAsia" w:hAnsiTheme="minorHAnsi" w:cstheme="minorBidi"/>
          <w:color w:val="auto"/>
          <w:szCs w:val="22"/>
        </w:rPr>
      </w:pPr>
      <w:hyperlink w:anchor="_Toc141355276" w:history="1">
        <w:r w:rsidR="00240C20" w:rsidRPr="00BA70D7">
          <w:rPr>
            <w:rStyle w:val="Hyperlink"/>
          </w:rPr>
          <w:t>7.1</w:t>
        </w:r>
        <w:r w:rsidR="00240C20">
          <w:rPr>
            <w:rFonts w:asciiTheme="minorHAnsi" w:eastAsiaTheme="minorEastAsia" w:hAnsiTheme="minorHAnsi" w:cstheme="minorBidi"/>
            <w:color w:val="auto"/>
            <w:szCs w:val="22"/>
          </w:rPr>
          <w:tab/>
        </w:r>
        <w:r w:rsidR="00240C20" w:rsidRPr="00BA70D7">
          <w:rPr>
            <w:rStyle w:val="Hyperlink"/>
          </w:rPr>
          <w:t>Housing targets to reduce uncertainty</w:t>
        </w:r>
        <w:r w:rsidR="00240C20">
          <w:rPr>
            <w:webHidden/>
          </w:rPr>
          <w:tab/>
        </w:r>
        <w:r w:rsidR="00240C20">
          <w:rPr>
            <w:webHidden/>
          </w:rPr>
          <w:fldChar w:fldCharType="begin"/>
        </w:r>
        <w:r w:rsidR="00240C20">
          <w:rPr>
            <w:webHidden/>
          </w:rPr>
          <w:instrText xml:space="preserve"> PAGEREF _Toc141355276 \h </w:instrText>
        </w:r>
        <w:r w:rsidR="00240C20">
          <w:rPr>
            <w:webHidden/>
          </w:rPr>
        </w:r>
        <w:r w:rsidR="00240C20">
          <w:rPr>
            <w:webHidden/>
          </w:rPr>
          <w:fldChar w:fldCharType="separate"/>
        </w:r>
        <w:r w:rsidR="00240E4B">
          <w:rPr>
            <w:webHidden/>
          </w:rPr>
          <w:t>57</w:t>
        </w:r>
        <w:r w:rsidR="00240C20">
          <w:rPr>
            <w:webHidden/>
          </w:rPr>
          <w:fldChar w:fldCharType="end"/>
        </w:r>
      </w:hyperlink>
    </w:p>
    <w:p w14:paraId="4F77B716" w14:textId="37E20A67" w:rsidR="00240C20" w:rsidRDefault="00693395">
      <w:pPr>
        <w:pStyle w:val="TOC2"/>
        <w:tabs>
          <w:tab w:val="left" w:pos="660"/>
        </w:tabs>
        <w:rPr>
          <w:rFonts w:asciiTheme="minorHAnsi" w:eastAsiaTheme="minorEastAsia" w:hAnsiTheme="minorHAnsi" w:cstheme="minorBidi"/>
          <w:color w:val="auto"/>
          <w:szCs w:val="22"/>
        </w:rPr>
      </w:pPr>
      <w:hyperlink w:anchor="_Toc141355277" w:history="1">
        <w:r w:rsidR="00240C20" w:rsidRPr="00BA70D7">
          <w:rPr>
            <w:rStyle w:val="Hyperlink"/>
          </w:rPr>
          <w:t>7.2</w:t>
        </w:r>
        <w:r w:rsidR="00240C20">
          <w:rPr>
            <w:rFonts w:asciiTheme="minorHAnsi" w:eastAsiaTheme="minorEastAsia" w:hAnsiTheme="minorHAnsi" w:cstheme="minorBidi"/>
            <w:color w:val="auto"/>
            <w:szCs w:val="22"/>
          </w:rPr>
          <w:tab/>
        </w:r>
        <w:r w:rsidR="00240C20" w:rsidRPr="00BA70D7">
          <w:rPr>
            <w:rStyle w:val="Hyperlink"/>
          </w:rPr>
          <w:t>Improving data availability and quality</w:t>
        </w:r>
        <w:r w:rsidR="00240C20">
          <w:rPr>
            <w:webHidden/>
          </w:rPr>
          <w:tab/>
        </w:r>
        <w:r w:rsidR="00240C20">
          <w:rPr>
            <w:webHidden/>
          </w:rPr>
          <w:fldChar w:fldCharType="begin"/>
        </w:r>
        <w:r w:rsidR="00240C20">
          <w:rPr>
            <w:webHidden/>
          </w:rPr>
          <w:instrText xml:space="preserve"> PAGEREF _Toc141355277 \h </w:instrText>
        </w:r>
        <w:r w:rsidR="00240C20">
          <w:rPr>
            <w:webHidden/>
          </w:rPr>
        </w:r>
        <w:r w:rsidR="00240C20">
          <w:rPr>
            <w:webHidden/>
          </w:rPr>
          <w:fldChar w:fldCharType="separate"/>
        </w:r>
        <w:r w:rsidR="00240E4B">
          <w:rPr>
            <w:webHidden/>
          </w:rPr>
          <w:t>58</w:t>
        </w:r>
        <w:r w:rsidR="00240C20">
          <w:rPr>
            <w:webHidden/>
          </w:rPr>
          <w:fldChar w:fldCharType="end"/>
        </w:r>
      </w:hyperlink>
    </w:p>
    <w:p w14:paraId="3EB7A8A0" w14:textId="5F2053DF" w:rsidR="00240C20" w:rsidRDefault="00693395">
      <w:pPr>
        <w:pStyle w:val="TOC2"/>
        <w:tabs>
          <w:tab w:val="left" w:pos="660"/>
        </w:tabs>
        <w:rPr>
          <w:rFonts w:asciiTheme="minorHAnsi" w:eastAsiaTheme="minorEastAsia" w:hAnsiTheme="minorHAnsi" w:cstheme="minorBidi"/>
          <w:color w:val="auto"/>
          <w:szCs w:val="22"/>
        </w:rPr>
      </w:pPr>
      <w:hyperlink w:anchor="_Toc141355278" w:history="1">
        <w:r w:rsidR="00240C20" w:rsidRPr="00BA70D7">
          <w:rPr>
            <w:rStyle w:val="Hyperlink"/>
          </w:rPr>
          <w:t>7.3</w:t>
        </w:r>
        <w:r w:rsidR="00240C20">
          <w:rPr>
            <w:rFonts w:asciiTheme="minorHAnsi" w:eastAsiaTheme="minorEastAsia" w:hAnsiTheme="minorHAnsi" w:cstheme="minorBidi"/>
            <w:color w:val="auto"/>
            <w:szCs w:val="22"/>
          </w:rPr>
          <w:tab/>
        </w:r>
        <w:r w:rsidR="00240C20" w:rsidRPr="00BA70D7">
          <w:rPr>
            <w:rStyle w:val="Hyperlink"/>
          </w:rPr>
          <w:t>Addressing disincentives in superannuation regulations</w:t>
        </w:r>
        <w:r w:rsidR="00240C20">
          <w:rPr>
            <w:webHidden/>
          </w:rPr>
          <w:tab/>
        </w:r>
        <w:r w:rsidR="00240C20">
          <w:rPr>
            <w:webHidden/>
          </w:rPr>
          <w:fldChar w:fldCharType="begin"/>
        </w:r>
        <w:r w:rsidR="00240C20">
          <w:rPr>
            <w:webHidden/>
          </w:rPr>
          <w:instrText xml:space="preserve"> PAGEREF _Toc141355278 \h </w:instrText>
        </w:r>
        <w:r w:rsidR="00240C20">
          <w:rPr>
            <w:webHidden/>
          </w:rPr>
        </w:r>
        <w:r w:rsidR="00240C20">
          <w:rPr>
            <w:webHidden/>
          </w:rPr>
          <w:fldChar w:fldCharType="separate"/>
        </w:r>
        <w:r w:rsidR="00240E4B">
          <w:rPr>
            <w:webHidden/>
          </w:rPr>
          <w:t>59</w:t>
        </w:r>
        <w:r w:rsidR="00240C20">
          <w:rPr>
            <w:webHidden/>
          </w:rPr>
          <w:fldChar w:fldCharType="end"/>
        </w:r>
      </w:hyperlink>
    </w:p>
    <w:p w14:paraId="26CCCF9A" w14:textId="55B6451B" w:rsidR="00240C20" w:rsidRDefault="00693395">
      <w:pPr>
        <w:pStyle w:val="TOC2"/>
        <w:tabs>
          <w:tab w:val="left" w:pos="660"/>
        </w:tabs>
        <w:rPr>
          <w:rFonts w:asciiTheme="minorHAnsi" w:eastAsiaTheme="minorEastAsia" w:hAnsiTheme="minorHAnsi" w:cstheme="minorBidi"/>
          <w:color w:val="auto"/>
          <w:szCs w:val="22"/>
        </w:rPr>
      </w:pPr>
      <w:hyperlink w:anchor="_Toc141355279" w:history="1">
        <w:r w:rsidR="00240C20" w:rsidRPr="00BA70D7">
          <w:rPr>
            <w:rStyle w:val="Hyperlink"/>
          </w:rPr>
          <w:t>7.4</w:t>
        </w:r>
        <w:r w:rsidR="00240C20">
          <w:rPr>
            <w:rFonts w:asciiTheme="minorHAnsi" w:eastAsiaTheme="minorEastAsia" w:hAnsiTheme="minorHAnsi" w:cstheme="minorBidi"/>
            <w:color w:val="auto"/>
            <w:szCs w:val="22"/>
          </w:rPr>
          <w:tab/>
        </w:r>
        <w:r w:rsidR="00240C20" w:rsidRPr="00BA70D7">
          <w:rPr>
            <w:rStyle w:val="Hyperlink"/>
          </w:rPr>
          <w:t>Guarantees or loans to complete the market for long</w:t>
        </w:r>
        <w:r w:rsidR="00563A2B">
          <w:rPr>
            <w:rStyle w:val="Hyperlink"/>
          </w:rPr>
          <w:noBreakHyphen/>
        </w:r>
        <w:r w:rsidR="00240C20" w:rsidRPr="00BA70D7">
          <w:rPr>
            <w:rStyle w:val="Hyperlink"/>
          </w:rPr>
          <w:t>term financing</w:t>
        </w:r>
        <w:r w:rsidR="00240C20">
          <w:rPr>
            <w:webHidden/>
          </w:rPr>
          <w:tab/>
        </w:r>
        <w:r w:rsidR="00240C20">
          <w:rPr>
            <w:webHidden/>
          </w:rPr>
          <w:fldChar w:fldCharType="begin"/>
        </w:r>
        <w:r w:rsidR="00240C20">
          <w:rPr>
            <w:webHidden/>
          </w:rPr>
          <w:instrText xml:space="preserve"> PAGEREF _Toc141355279 \h </w:instrText>
        </w:r>
        <w:r w:rsidR="00240C20">
          <w:rPr>
            <w:webHidden/>
          </w:rPr>
        </w:r>
        <w:r w:rsidR="00240C20">
          <w:rPr>
            <w:webHidden/>
          </w:rPr>
          <w:fldChar w:fldCharType="separate"/>
        </w:r>
        <w:r w:rsidR="00240E4B">
          <w:rPr>
            <w:webHidden/>
          </w:rPr>
          <w:t>61</w:t>
        </w:r>
        <w:r w:rsidR="00240C20">
          <w:rPr>
            <w:webHidden/>
          </w:rPr>
          <w:fldChar w:fldCharType="end"/>
        </w:r>
      </w:hyperlink>
    </w:p>
    <w:p w14:paraId="1A4519BE" w14:textId="4AD28A49" w:rsidR="00240C20" w:rsidRDefault="00693395">
      <w:pPr>
        <w:pStyle w:val="TOC1"/>
        <w:tabs>
          <w:tab w:val="left" w:pos="660"/>
        </w:tabs>
        <w:rPr>
          <w:rFonts w:asciiTheme="minorHAnsi" w:eastAsiaTheme="minorEastAsia" w:hAnsiTheme="minorHAnsi" w:cstheme="minorBidi"/>
          <w:b w:val="0"/>
          <w:color w:val="auto"/>
          <w:sz w:val="22"/>
        </w:rPr>
      </w:pPr>
      <w:hyperlink w:anchor="_Toc141355280" w:history="1">
        <w:r w:rsidR="00240C20" w:rsidRPr="00BA70D7">
          <w:rPr>
            <w:rStyle w:val="Hyperlink"/>
          </w:rPr>
          <w:t>8.</w:t>
        </w:r>
        <w:r w:rsidR="00240C20">
          <w:rPr>
            <w:rFonts w:asciiTheme="minorHAnsi" w:eastAsiaTheme="minorEastAsia" w:hAnsiTheme="minorHAnsi" w:cstheme="minorBidi"/>
            <w:b w:val="0"/>
            <w:color w:val="auto"/>
            <w:sz w:val="22"/>
          </w:rPr>
          <w:tab/>
        </w:r>
        <w:r w:rsidR="00240C20" w:rsidRPr="00BA70D7">
          <w:rPr>
            <w:rStyle w:val="Hyperlink"/>
          </w:rPr>
          <w:t>Supporting institutional investment in social and affordable housing</w:t>
        </w:r>
        <w:r w:rsidR="00240C20">
          <w:rPr>
            <w:webHidden/>
          </w:rPr>
          <w:tab/>
        </w:r>
        <w:r w:rsidR="00240C20">
          <w:rPr>
            <w:webHidden/>
          </w:rPr>
          <w:fldChar w:fldCharType="begin"/>
        </w:r>
        <w:r w:rsidR="00240C20">
          <w:rPr>
            <w:webHidden/>
          </w:rPr>
          <w:instrText xml:space="preserve"> PAGEREF _Toc141355280 \h </w:instrText>
        </w:r>
        <w:r w:rsidR="00240C20">
          <w:rPr>
            <w:webHidden/>
          </w:rPr>
        </w:r>
        <w:r w:rsidR="00240C20">
          <w:rPr>
            <w:webHidden/>
          </w:rPr>
          <w:fldChar w:fldCharType="separate"/>
        </w:r>
        <w:r w:rsidR="00240E4B">
          <w:rPr>
            <w:webHidden/>
          </w:rPr>
          <w:t>63</w:t>
        </w:r>
        <w:r w:rsidR="00240C20">
          <w:rPr>
            <w:webHidden/>
          </w:rPr>
          <w:fldChar w:fldCharType="end"/>
        </w:r>
      </w:hyperlink>
    </w:p>
    <w:p w14:paraId="67F95CD9" w14:textId="216C85C4" w:rsidR="00240C20" w:rsidRDefault="00693395">
      <w:pPr>
        <w:pStyle w:val="TOC2"/>
        <w:tabs>
          <w:tab w:val="left" w:pos="660"/>
        </w:tabs>
        <w:rPr>
          <w:rFonts w:asciiTheme="minorHAnsi" w:eastAsiaTheme="minorEastAsia" w:hAnsiTheme="minorHAnsi" w:cstheme="minorBidi"/>
          <w:color w:val="auto"/>
          <w:szCs w:val="22"/>
        </w:rPr>
      </w:pPr>
      <w:hyperlink w:anchor="_Toc141355281" w:history="1">
        <w:r w:rsidR="00240C20" w:rsidRPr="00BA70D7">
          <w:rPr>
            <w:rStyle w:val="Hyperlink"/>
          </w:rPr>
          <w:t>8.1</w:t>
        </w:r>
        <w:r w:rsidR="00240C20">
          <w:rPr>
            <w:rFonts w:asciiTheme="minorHAnsi" w:eastAsiaTheme="minorEastAsia" w:hAnsiTheme="minorHAnsi" w:cstheme="minorBidi"/>
            <w:color w:val="auto"/>
            <w:szCs w:val="22"/>
          </w:rPr>
          <w:tab/>
        </w:r>
        <w:r w:rsidR="00240C20" w:rsidRPr="00BA70D7">
          <w:rPr>
            <w:rStyle w:val="Hyperlink"/>
            <w:rFonts w:eastAsiaTheme="minorHAnsi"/>
          </w:rPr>
          <w:t xml:space="preserve">A truly national </w:t>
        </w:r>
        <w:r w:rsidR="00CA72F5">
          <w:rPr>
            <w:rStyle w:val="Hyperlink"/>
            <w:rFonts w:eastAsiaTheme="minorHAnsi"/>
          </w:rPr>
          <w:t>regulatory regime for community housing providers</w:t>
        </w:r>
        <w:r w:rsidR="00240C20">
          <w:rPr>
            <w:webHidden/>
          </w:rPr>
          <w:tab/>
        </w:r>
        <w:r w:rsidR="00240C20">
          <w:rPr>
            <w:webHidden/>
          </w:rPr>
          <w:fldChar w:fldCharType="begin"/>
        </w:r>
        <w:r w:rsidR="00240C20">
          <w:rPr>
            <w:webHidden/>
          </w:rPr>
          <w:instrText xml:space="preserve"> PAGEREF _Toc141355281 \h </w:instrText>
        </w:r>
        <w:r w:rsidR="00240C20">
          <w:rPr>
            <w:webHidden/>
          </w:rPr>
        </w:r>
        <w:r w:rsidR="00240C20">
          <w:rPr>
            <w:webHidden/>
          </w:rPr>
          <w:fldChar w:fldCharType="separate"/>
        </w:r>
        <w:r w:rsidR="00240E4B">
          <w:rPr>
            <w:webHidden/>
          </w:rPr>
          <w:t>63</w:t>
        </w:r>
        <w:r w:rsidR="00240C20">
          <w:rPr>
            <w:webHidden/>
          </w:rPr>
          <w:fldChar w:fldCharType="end"/>
        </w:r>
      </w:hyperlink>
    </w:p>
    <w:p w14:paraId="646BCDF7" w14:textId="52EAB491" w:rsidR="00240C20" w:rsidRDefault="00693395">
      <w:pPr>
        <w:pStyle w:val="TOC2"/>
        <w:tabs>
          <w:tab w:val="left" w:pos="660"/>
        </w:tabs>
        <w:rPr>
          <w:rFonts w:asciiTheme="minorHAnsi" w:eastAsiaTheme="minorEastAsia" w:hAnsiTheme="minorHAnsi" w:cstheme="minorBidi"/>
          <w:color w:val="auto"/>
          <w:szCs w:val="22"/>
        </w:rPr>
      </w:pPr>
      <w:hyperlink w:anchor="_Toc141355282" w:history="1">
        <w:r w:rsidR="00240C20" w:rsidRPr="00BA70D7">
          <w:rPr>
            <w:rStyle w:val="Hyperlink"/>
          </w:rPr>
          <w:t>8.2</w:t>
        </w:r>
        <w:r w:rsidR="00240C20">
          <w:rPr>
            <w:rFonts w:asciiTheme="minorHAnsi" w:eastAsiaTheme="minorEastAsia" w:hAnsiTheme="minorHAnsi" w:cstheme="minorBidi"/>
            <w:color w:val="auto"/>
            <w:szCs w:val="22"/>
          </w:rPr>
          <w:tab/>
        </w:r>
        <w:r w:rsidR="00240C20" w:rsidRPr="00BA70D7">
          <w:rPr>
            <w:rStyle w:val="Hyperlink"/>
          </w:rPr>
          <w:t>Supporting community housing providers to partner with institutional capital</w:t>
        </w:r>
        <w:r w:rsidR="00240C20">
          <w:rPr>
            <w:webHidden/>
          </w:rPr>
          <w:tab/>
        </w:r>
        <w:r w:rsidR="00240C20">
          <w:rPr>
            <w:webHidden/>
          </w:rPr>
          <w:fldChar w:fldCharType="begin"/>
        </w:r>
        <w:r w:rsidR="00240C20">
          <w:rPr>
            <w:webHidden/>
          </w:rPr>
          <w:instrText xml:space="preserve"> PAGEREF _Toc141355282 \h </w:instrText>
        </w:r>
        <w:r w:rsidR="00240C20">
          <w:rPr>
            <w:webHidden/>
          </w:rPr>
        </w:r>
        <w:r w:rsidR="00240C20">
          <w:rPr>
            <w:webHidden/>
          </w:rPr>
          <w:fldChar w:fldCharType="separate"/>
        </w:r>
        <w:r w:rsidR="00240E4B">
          <w:rPr>
            <w:webHidden/>
          </w:rPr>
          <w:t>65</w:t>
        </w:r>
        <w:r w:rsidR="00240C20">
          <w:rPr>
            <w:webHidden/>
          </w:rPr>
          <w:fldChar w:fldCharType="end"/>
        </w:r>
      </w:hyperlink>
    </w:p>
    <w:p w14:paraId="16C97478" w14:textId="47BC5BA4" w:rsidR="00240C20" w:rsidRDefault="00693395">
      <w:pPr>
        <w:pStyle w:val="TOC2"/>
        <w:tabs>
          <w:tab w:val="left" w:pos="660"/>
        </w:tabs>
        <w:rPr>
          <w:rFonts w:asciiTheme="minorHAnsi" w:eastAsiaTheme="minorEastAsia" w:hAnsiTheme="minorHAnsi" w:cstheme="minorBidi"/>
          <w:color w:val="auto"/>
          <w:szCs w:val="22"/>
        </w:rPr>
      </w:pPr>
      <w:hyperlink w:anchor="_Toc141355283" w:history="1">
        <w:r w:rsidR="00240C20" w:rsidRPr="00BA70D7">
          <w:rPr>
            <w:rStyle w:val="Hyperlink"/>
          </w:rPr>
          <w:t>8.3</w:t>
        </w:r>
        <w:r w:rsidR="00240C20">
          <w:rPr>
            <w:rFonts w:asciiTheme="minorHAnsi" w:eastAsiaTheme="minorEastAsia" w:hAnsiTheme="minorHAnsi" w:cstheme="minorBidi"/>
            <w:color w:val="auto"/>
            <w:szCs w:val="22"/>
          </w:rPr>
          <w:tab/>
        </w:r>
        <w:r w:rsidR="00240C20" w:rsidRPr="00BA70D7">
          <w:rPr>
            <w:rStyle w:val="Hyperlink"/>
          </w:rPr>
          <w:t>Consistent definitions</w:t>
        </w:r>
        <w:r w:rsidR="00240C20">
          <w:rPr>
            <w:webHidden/>
          </w:rPr>
          <w:tab/>
        </w:r>
        <w:r w:rsidR="00240C20">
          <w:rPr>
            <w:webHidden/>
          </w:rPr>
          <w:fldChar w:fldCharType="begin"/>
        </w:r>
        <w:r w:rsidR="00240C20">
          <w:rPr>
            <w:webHidden/>
          </w:rPr>
          <w:instrText xml:space="preserve"> PAGEREF _Toc141355283 \h </w:instrText>
        </w:r>
        <w:r w:rsidR="00240C20">
          <w:rPr>
            <w:webHidden/>
          </w:rPr>
        </w:r>
        <w:r w:rsidR="00240C20">
          <w:rPr>
            <w:webHidden/>
          </w:rPr>
          <w:fldChar w:fldCharType="separate"/>
        </w:r>
        <w:r w:rsidR="00240E4B">
          <w:rPr>
            <w:webHidden/>
          </w:rPr>
          <w:t>66</w:t>
        </w:r>
        <w:r w:rsidR="00240C20">
          <w:rPr>
            <w:webHidden/>
          </w:rPr>
          <w:fldChar w:fldCharType="end"/>
        </w:r>
      </w:hyperlink>
    </w:p>
    <w:p w14:paraId="4985DD1C" w14:textId="4B6378A6" w:rsidR="00240C20" w:rsidRDefault="00693395">
      <w:pPr>
        <w:pStyle w:val="TOC2"/>
        <w:tabs>
          <w:tab w:val="left" w:pos="660"/>
        </w:tabs>
        <w:rPr>
          <w:rFonts w:asciiTheme="minorHAnsi" w:eastAsiaTheme="minorEastAsia" w:hAnsiTheme="minorHAnsi" w:cstheme="minorBidi"/>
          <w:color w:val="auto"/>
          <w:szCs w:val="22"/>
        </w:rPr>
      </w:pPr>
      <w:hyperlink w:anchor="_Toc141355284" w:history="1">
        <w:r w:rsidR="00240C20" w:rsidRPr="00BA70D7">
          <w:rPr>
            <w:rStyle w:val="Hyperlink"/>
          </w:rPr>
          <w:t>8.4</w:t>
        </w:r>
        <w:r w:rsidR="00240C20">
          <w:rPr>
            <w:rFonts w:asciiTheme="minorHAnsi" w:eastAsiaTheme="minorEastAsia" w:hAnsiTheme="minorHAnsi" w:cstheme="minorBidi"/>
            <w:color w:val="auto"/>
            <w:szCs w:val="22"/>
          </w:rPr>
          <w:tab/>
        </w:r>
        <w:r w:rsidR="00240C20" w:rsidRPr="00BA70D7">
          <w:rPr>
            <w:rStyle w:val="Hyperlink"/>
          </w:rPr>
          <w:t>Supporting aggregators to facilitate scale</w:t>
        </w:r>
        <w:r w:rsidR="00240C20">
          <w:rPr>
            <w:webHidden/>
          </w:rPr>
          <w:tab/>
        </w:r>
        <w:r w:rsidR="00240C20">
          <w:rPr>
            <w:webHidden/>
          </w:rPr>
          <w:fldChar w:fldCharType="begin"/>
        </w:r>
        <w:r w:rsidR="00240C20">
          <w:rPr>
            <w:webHidden/>
          </w:rPr>
          <w:instrText xml:space="preserve"> PAGEREF _Toc141355284 \h </w:instrText>
        </w:r>
        <w:r w:rsidR="00240C20">
          <w:rPr>
            <w:webHidden/>
          </w:rPr>
        </w:r>
        <w:r w:rsidR="00240C20">
          <w:rPr>
            <w:webHidden/>
          </w:rPr>
          <w:fldChar w:fldCharType="separate"/>
        </w:r>
        <w:r w:rsidR="00240E4B">
          <w:rPr>
            <w:webHidden/>
          </w:rPr>
          <w:t>67</w:t>
        </w:r>
        <w:r w:rsidR="00240C20">
          <w:rPr>
            <w:webHidden/>
          </w:rPr>
          <w:fldChar w:fldCharType="end"/>
        </w:r>
      </w:hyperlink>
    </w:p>
    <w:p w14:paraId="2F8059E2" w14:textId="3A3C654E" w:rsidR="00240C20" w:rsidRDefault="00693395">
      <w:pPr>
        <w:pStyle w:val="TOC1"/>
        <w:rPr>
          <w:rFonts w:asciiTheme="minorHAnsi" w:eastAsiaTheme="minorEastAsia" w:hAnsiTheme="minorHAnsi" w:cstheme="minorBidi"/>
          <w:b w:val="0"/>
          <w:color w:val="auto"/>
          <w:sz w:val="22"/>
        </w:rPr>
      </w:pPr>
      <w:hyperlink w:anchor="_Toc141355285" w:history="1">
        <w:r w:rsidR="00240C20" w:rsidRPr="00BA70D7">
          <w:rPr>
            <w:rStyle w:val="Hyperlink"/>
          </w:rPr>
          <w:t>Appendix A – Reference List</w:t>
        </w:r>
        <w:r w:rsidR="00240C20">
          <w:rPr>
            <w:webHidden/>
          </w:rPr>
          <w:tab/>
        </w:r>
        <w:r w:rsidR="00240C20">
          <w:rPr>
            <w:webHidden/>
          </w:rPr>
          <w:fldChar w:fldCharType="begin"/>
        </w:r>
        <w:r w:rsidR="00240C20">
          <w:rPr>
            <w:webHidden/>
          </w:rPr>
          <w:instrText xml:space="preserve"> PAGEREF _Toc141355285 \h </w:instrText>
        </w:r>
        <w:r w:rsidR="00240C20">
          <w:rPr>
            <w:webHidden/>
          </w:rPr>
        </w:r>
        <w:r w:rsidR="00240C20">
          <w:rPr>
            <w:webHidden/>
          </w:rPr>
          <w:fldChar w:fldCharType="separate"/>
        </w:r>
        <w:r w:rsidR="00240E4B">
          <w:rPr>
            <w:webHidden/>
          </w:rPr>
          <w:t>69</w:t>
        </w:r>
        <w:r w:rsidR="00240C20">
          <w:rPr>
            <w:webHidden/>
          </w:rPr>
          <w:fldChar w:fldCharType="end"/>
        </w:r>
      </w:hyperlink>
    </w:p>
    <w:p w14:paraId="3577213F" w14:textId="6A04FD5A" w:rsidR="009A4DA0" w:rsidRDefault="00A05B75" w:rsidP="009A4DA0">
      <w:pPr>
        <w:pStyle w:val="SingleParagraph"/>
        <w:ind w:right="-2"/>
      </w:pPr>
      <w:r>
        <w:rPr>
          <w:noProof/>
          <w:color w:val="004A7F"/>
          <w:sz w:val="24"/>
          <w:szCs w:val="22"/>
        </w:rPr>
        <w:fldChar w:fldCharType="end"/>
      </w:r>
    </w:p>
    <w:p w14:paraId="7218D399" w14:textId="77777777" w:rsidR="00EB6442" w:rsidRPr="00B430DA" w:rsidRDefault="00EB6442" w:rsidP="00B430DA">
      <w:pPr>
        <w:sectPr w:rsidR="00EB6442" w:rsidRPr="00B430DA" w:rsidSect="00EB6442">
          <w:headerReference w:type="even" r:id="rId19"/>
          <w:headerReference w:type="default" r:id="rId20"/>
          <w:footerReference w:type="even" r:id="rId21"/>
          <w:footerReference w:type="default" r:id="rId22"/>
          <w:pgSz w:w="11906" w:h="16838" w:code="9"/>
          <w:pgMar w:top="1843" w:right="1418" w:bottom="1418" w:left="1418" w:header="709" w:footer="709" w:gutter="0"/>
          <w:pgNumType w:fmt="lowerRoman"/>
          <w:cols w:space="708"/>
          <w:docGrid w:linePitch="360"/>
        </w:sectPr>
      </w:pPr>
    </w:p>
    <w:p w14:paraId="4E517A2C" w14:textId="184790CC" w:rsidR="009A4DA0" w:rsidRDefault="009A4DA0" w:rsidP="009A4DA0">
      <w:pPr>
        <w:pStyle w:val="Heading1"/>
      </w:pPr>
      <w:bookmarkStart w:id="7" w:name="_Toc141355231"/>
      <w:r>
        <w:lastRenderedPageBreak/>
        <w:t xml:space="preserve">Executive </w:t>
      </w:r>
      <w:bookmarkEnd w:id="5"/>
      <w:bookmarkEnd w:id="6"/>
      <w:r w:rsidR="001B25B3">
        <w:t>s</w:t>
      </w:r>
      <w:r w:rsidR="001B25B3" w:rsidRPr="00A524B9">
        <w:t>ummary</w:t>
      </w:r>
      <w:bookmarkEnd w:id="7"/>
      <w:r w:rsidR="001B25B3">
        <w:t xml:space="preserve"> </w:t>
      </w:r>
    </w:p>
    <w:p w14:paraId="22B3731A" w14:textId="35F9BB1F" w:rsidR="005955C1" w:rsidRPr="00321184" w:rsidRDefault="005955C1" w:rsidP="00953EC3">
      <w:pPr>
        <w:pStyle w:val="Heading2"/>
      </w:pPr>
      <w:bookmarkStart w:id="8" w:name="_Toc141355232"/>
      <w:r>
        <w:t>Australia</w:t>
      </w:r>
      <w:r w:rsidR="00563A2B">
        <w:t>’</w:t>
      </w:r>
      <w:r>
        <w:t xml:space="preserve">s </w:t>
      </w:r>
      <w:r w:rsidRPr="00321184">
        <w:t>rental housing</w:t>
      </w:r>
      <w:r w:rsidR="00C81132">
        <w:t xml:space="preserve"> supply challenge</w:t>
      </w:r>
      <w:bookmarkEnd w:id="8"/>
    </w:p>
    <w:p w14:paraId="5958F5D8" w14:textId="7164C101" w:rsidR="008E1830" w:rsidRDefault="009A4DA0" w:rsidP="00360FD4">
      <w:r w:rsidRPr="00B72342">
        <w:t xml:space="preserve">Australia </w:t>
      </w:r>
      <w:r>
        <w:t>deserves</w:t>
      </w:r>
      <w:r w:rsidRPr="00B72342">
        <w:t xml:space="preserve"> a housing system that promotes an inclusive, prosperous and sustainable nation. </w:t>
      </w:r>
      <w:r>
        <w:t>Essential to this is</w:t>
      </w:r>
      <w:r w:rsidRPr="00B72342">
        <w:t xml:space="preserve"> a well</w:t>
      </w:r>
      <w:r w:rsidR="00563A2B">
        <w:noBreakHyphen/>
      </w:r>
      <w:r w:rsidRPr="00B72342">
        <w:t>functioning, well</w:t>
      </w:r>
      <w:r w:rsidR="00563A2B">
        <w:noBreakHyphen/>
      </w:r>
      <w:r w:rsidRPr="00B72342">
        <w:t xml:space="preserve">supplied and responsive rental </w:t>
      </w:r>
      <w:r>
        <w:t>system</w:t>
      </w:r>
      <w:r w:rsidRPr="00B72342">
        <w:t xml:space="preserve"> that provides </w:t>
      </w:r>
      <w:r>
        <w:t>tenants</w:t>
      </w:r>
      <w:r w:rsidRPr="00B72342">
        <w:t xml:space="preserve"> with safe and secure accommodation</w:t>
      </w:r>
      <w:r>
        <w:t>,</w:t>
      </w:r>
      <w:r w:rsidRPr="00B72342">
        <w:t xml:space="preserve"> and access </w:t>
      </w:r>
      <w:r>
        <w:t>to</w:t>
      </w:r>
      <w:r w:rsidRPr="00B72342">
        <w:t xml:space="preserve"> employment and education opportunities and social services. </w:t>
      </w:r>
    </w:p>
    <w:p w14:paraId="2AE81765" w14:textId="45BD2E7C" w:rsidR="002D481F" w:rsidRPr="00B72342" w:rsidRDefault="00C54F99" w:rsidP="00360FD4">
      <w:r>
        <w:t>Such a</w:t>
      </w:r>
      <w:r w:rsidR="009A4DA0">
        <w:t xml:space="preserve"> rental system</w:t>
      </w:r>
      <w:r w:rsidR="009A4DA0" w:rsidRPr="00B72342">
        <w:t xml:space="preserve"> </w:t>
      </w:r>
      <w:r w:rsidR="009A4DA0">
        <w:t>is</w:t>
      </w:r>
      <w:r w:rsidR="009A4DA0" w:rsidRPr="00B72342">
        <w:t xml:space="preserve"> also critical to economic prosperity. It improves labour mobility</w:t>
      </w:r>
      <w:r w:rsidR="009A4DA0">
        <w:t xml:space="preserve"> by providing more options for those seeking to relocate for employment</w:t>
      </w:r>
      <w:r w:rsidR="009A4DA0" w:rsidRPr="00B72342">
        <w:t xml:space="preserve">, which supports productivity and economic participation. </w:t>
      </w:r>
      <w:r w:rsidR="008E1830">
        <w:t>It also</w:t>
      </w:r>
      <w:r w:rsidR="009A4DA0" w:rsidRPr="00B72342">
        <w:t xml:space="preserve"> helps ensure </w:t>
      </w:r>
      <w:r w:rsidR="009A4DA0">
        <w:t>people</w:t>
      </w:r>
      <w:r w:rsidR="009A4DA0" w:rsidRPr="00B72342">
        <w:t xml:space="preserve"> are able to live near their places of work</w:t>
      </w:r>
      <w:r w:rsidR="00563A2B">
        <w:t xml:space="preserve">. </w:t>
      </w:r>
    </w:p>
    <w:p w14:paraId="2D6B2974" w14:textId="47A25769" w:rsidR="009A4DA0" w:rsidRPr="00B06041" w:rsidRDefault="009A4DA0" w:rsidP="00360FD4">
      <w:r>
        <w:t xml:space="preserve">Unfortunately, </w:t>
      </w:r>
      <w:r w:rsidRPr="00B06041">
        <w:t>Australia is</w:t>
      </w:r>
      <w:r>
        <w:t xml:space="preserve"> currently</w:t>
      </w:r>
      <w:r w:rsidRPr="00B06041">
        <w:t xml:space="preserve"> facing a significant rental housing supply and affordability challenge. Rental affordability has deteriorated</w:t>
      </w:r>
      <w:r>
        <w:t>,</w:t>
      </w:r>
      <w:r w:rsidRPr="00B06041">
        <w:t xml:space="preserve"> </w:t>
      </w:r>
      <w:r>
        <w:t>particularly</w:t>
      </w:r>
      <w:r w:rsidRPr="00B06041">
        <w:t xml:space="preserve"> since the </w:t>
      </w:r>
      <w:r w:rsidR="008E1830">
        <w:t>COVID</w:t>
      </w:r>
      <w:r w:rsidR="00563A2B">
        <w:noBreakHyphen/>
      </w:r>
      <w:r w:rsidR="008E1830">
        <w:t xml:space="preserve">19 </w:t>
      </w:r>
      <w:r w:rsidRPr="00B06041">
        <w:t xml:space="preserve">pandemic. </w:t>
      </w:r>
      <w:r>
        <w:t>F</w:t>
      </w:r>
      <w:r w:rsidRPr="00B72342">
        <w:t>inding</w:t>
      </w:r>
      <w:r w:rsidRPr="00B06041">
        <w:t xml:space="preserve"> rental accommodation is increasingly difficult; vacancy rates </w:t>
      </w:r>
      <w:r>
        <w:t xml:space="preserve">are </w:t>
      </w:r>
      <w:r w:rsidRPr="00B06041">
        <w:t xml:space="preserve">at or near record lows in most cities and regions, </w:t>
      </w:r>
      <w:r w:rsidR="002C48CF">
        <w:t xml:space="preserve">the number </w:t>
      </w:r>
      <w:r w:rsidRPr="00B06041">
        <w:t xml:space="preserve">of </w:t>
      </w:r>
      <w:r w:rsidR="002C48CF">
        <w:t>p</w:t>
      </w:r>
      <w:r w:rsidR="00051A06">
        <w:t xml:space="preserve">eople who are experiencing </w:t>
      </w:r>
      <w:r w:rsidRPr="00B06041">
        <w:t>homeless</w:t>
      </w:r>
      <w:r w:rsidR="00051A06">
        <w:t>ness</w:t>
      </w:r>
      <w:r w:rsidRPr="00B06041">
        <w:t xml:space="preserve"> </w:t>
      </w:r>
      <w:r w:rsidR="00051A06">
        <w:t xml:space="preserve">is increasing, </w:t>
      </w:r>
      <w:r w:rsidRPr="00B06041">
        <w:t xml:space="preserve">and </w:t>
      </w:r>
      <w:r w:rsidR="00051A06">
        <w:t xml:space="preserve">the rate of </w:t>
      </w:r>
      <w:r w:rsidRPr="00B06041">
        <w:t xml:space="preserve">insecure housing </w:t>
      </w:r>
      <w:r w:rsidR="00051A06">
        <w:t xml:space="preserve">is </w:t>
      </w:r>
      <w:r w:rsidRPr="00B06041">
        <w:t>growing</w:t>
      </w:r>
      <w:r w:rsidR="00FA160F">
        <w:t xml:space="preserve"> </w:t>
      </w:r>
      <w:r w:rsidR="00FA160F" w:rsidRPr="0043751F">
        <w:t>(</w:t>
      </w:r>
      <w:r w:rsidR="00850EB6" w:rsidRPr="00E7296A">
        <w:rPr>
          <w:szCs w:val="22"/>
        </w:rPr>
        <w:t>CoreLogic 2023b</w:t>
      </w:r>
      <w:r w:rsidR="00B121CB" w:rsidRPr="0050610F">
        <w:t xml:space="preserve">; </w:t>
      </w:r>
      <w:r w:rsidR="008E1830">
        <w:t>Australian Bureau of Statistics (</w:t>
      </w:r>
      <w:r w:rsidR="0043751F" w:rsidRPr="0043751F">
        <w:t>ABS</w:t>
      </w:r>
      <w:r w:rsidR="008E1830">
        <w:t>)</w:t>
      </w:r>
      <w:r w:rsidR="0043751F" w:rsidRPr="0043751F">
        <w:t xml:space="preserve"> 2023a; </w:t>
      </w:r>
      <w:r w:rsidR="008E1830">
        <w:t>Australian Institute of Health and Welfare (</w:t>
      </w:r>
      <w:r w:rsidR="005778C8" w:rsidRPr="0043751F">
        <w:t>AIHW</w:t>
      </w:r>
      <w:r w:rsidR="00A32E89">
        <w:t>)</w:t>
      </w:r>
      <w:r w:rsidR="005778C8" w:rsidRPr="0043751F">
        <w:t xml:space="preserve"> </w:t>
      </w:r>
      <w:r w:rsidR="005778C8" w:rsidRPr="0043751F">
        <w:rPr>
          <w:rFonts w:eastAsia="Arial Unicode MS" w:cstheme="minorHAnsi"/>
        </w:rPr>
        <w:t>2023b</w:t>
      </w:r>
      <w:r w:rsidR="00FA160F" w:rsidRPr="0043751F">
        <w:t>)</w:t>
      </w:r>
      <w:r w:rsidR="00A57B98" w:rsidRPr="0043751F">
        <w:t>.</w:t>
      </w:r>
      <w:r w:rsidR="00A57B98">
        <w:t xml:space="preserve"> </w:t>
      </w:r>
    </w:p>
    <w:p w14:paraId="4F9A3762" w14:textId="7982A689" w:rsidR="009A4DA0" w:rsidRPr="00B06041" w:rsidRDefault="009A4DA0" w:rsidP="00360FD4">
      <w:r w:rsidRPr="00B06041">
        <w:t xml:space="preserve">Some of the stress in the rental system reflects cyclical factors, including the lingering effect of the pandemic on household preferences, employment arrangements and migration patterns. But there are also </w:t>
      </w:r>
      <w:r w:rsidR="00B7760C">
        <w:t>significant</w:t>
      </w:r>
      <w:r w:rsidRPr="00B06041">
        <w:t xml:space="preserve"> structural pressures underpinning </w:t>
      </w:r>
      <w:r>
        <w:t>increased</w:t>
      </w:r>
      <w:r w:rsidRPr="00B06041">
        <w:t xml:space="preserve"> demand for rental dwellings. The</w:t>
      </w:r>
      <w:r w:rsidR="00E67AFE">
        <w:t> </w:t>
      </w:r>
      <w:r w:rsidRPr="00B06041">
        <w:t>rising price of owner</w:t>
      </w:r>
      <w:r w:rsidR="00563A2B">
        <w:noBreakHyphen/>
      </w:r>
      <w:r w:rsidRPr="00B06041">
        <w:t xml:space="preserve">occupied housing relative to income over the past </w:t>
      </w:r>
      <w:r w:rsidR="0067368E">
        <w:t>2</w:t>
      </w:r>
      <w:r w:rsidR="0067368E" w:rsidRPr="00B06041">
        <w:t xml:space="preserve"> </w:t>
      </w:r>
      <w:r w:rsidRPr="00B06041">
        <w:t xml:space="preserve">decades has constrained the ability of many households to purchase </w:t>
      </w:r>
      <w:r>
        <w:t>a dwelling</w:t>
      </w:r>
      <w:r w:rsidRPr="00B72342">
        <w:t xml:space="preserve"> </w:t>
      </w:r>
      <w:r w:rsidRPr="00B06041">
        <w:t xml:space="preserve">or maintain home ownership. </w:t>
      </w:r>
      <w:r>
        <w:t>The</w:t>
      </w:r>
      <w:r w:rsidRPr="00B06041">
        <w:t xml:space="preserve"> long</w:t>
      </w:r>
      <w:r w:rsidR="00563A2B">
        <w:noBreakHyphen/>
      </w:r>
      <w:r w:rsidRPr="00B06041">
        <w:t>term</w:t>
      </w:r>
      <w:r>
        <w:t xml:space="preserve"> decline</w:t>
      </w:r>
      <w:r w:rsidRPr="00B06041">
        <w:t xml:space="preserve"> in household size has</w:t>
      </w:r>
      <w:r>
        <w:t xml:space="preserve"> </w:t>
      </w:r>
      <w:r w:rsidRPr="00B06041">
        <w:t xml:space="preserve">added to </w:t>
      </w:r>
      <w:r>
        <w:t xml:space="preserve">rental </w:t>
      </w:r>
      <w:r w:rsidRPr="00B06041">
        <w:t>demand</w:t>
      </w:r>
      <w:r>
        <w:t xml:space="preserve"> by contributing to household formation</w:t>
      </w:r>
      <w:r w:rsidRPr="00B06041">
        <w:t xml:space="preserve">. </w:t>
      </w:r>
      <w:r w:rsidR="0067368E">
        <w:t>T</w:t>
      </w:r>
      <w:r w:rsidRPr="00B06041">
        <w:t>he</w:t>
      </w:r>
      <w:r w:rsidR="00E67AFE">
        <w:t> </w:t>
      </w:r>
      <w:r w:rsidRPr="00B06041">
        <w:t>decline in social housing as a share of the total housing stock means that more lower income households require privately supplied rental accommodation than in the past</w:t>
      </w:r>
      <w:r>
        <w:t xml:space="preserve"> (Productivity</w:t>
      </w:r>
      <w:r w:rsidR="00D8587E">
        <w:t xml:space="preserve"> </w:t>
      </w:r>
      <w:r>
        <w:t>Commission 2022)</w:t>
      </w:r>
      <w:r w:rsidR="00EB496D">
        <w:t xml:space="preserve">. </w:t>
      </w:r>
    </w:p>
    <w:p w14:paraId="169AA966" w14:textId="1ED7E79B" w:rsidR="008E5391" w:rsidRDefault="002D022E" w:rsidP="00360FD4">
      <w:r>
        <w:t xml:space="preserve">The rental market has been slow to respond to rising demand for rental </w:t>
      </w:r>
      <w:r w:rsidR="00D70D5A">
        <w:t>housing</w:t>
      </w:r>
      <w:r>
        <w:t>.</w:t>
      </w:r>
      <w:r w:rsidR="008E5391">
        <w:t xml:space="preserve"> </w:t>
      </w:r>
      <w:r w:rsidR="009F5309">
        <w:t>This in part</w:t>
      </w:r>
      <w:r w:rsidR="008E5391">
        <w:t xml:space="preserve"> reflects </w:t>
      </w:r>
      <w:r w:rsidR="00CA1B9C">
        <w:t xml:space="preserve">cyclical factors, </w:t>
      </w:r>
      <w:r w:rsidR="0015706A">
        <w:t xml:space="preserve">including </w:t>
      </w:r>
      <w:r w:rsidR="003B778B">
        <w:t>material and labour shortages. But it also reflects deep</w:t>
      </w:r>
      <w:r w:rsidR="003B1F72">
        <w:t>er</w:t>
      </w:r>
      <w:r w:rsidR="003B778B">
        <w:t xml:space="preserve"> structural </w:t>
      </w:r>
      <w:r w:rsidR="003B1F72">
        <w:t xml:space="preserve">constraints on </w:t>
      </w:r>
      <w:r w:rsidR="003B778B">
        <w:t xml:space="preserve">the capacity of the rental market to quickly </w:t>
      </w:r>
      <w:r w:rsidR="007A4B64">
        <w:t xml:space="preserve">and cost effectively </w:t>
      </w:r>
      <w:r w:rsidR="003B778B">
        <w:t xml:space="preserve">meet the </w:t>
      </w:r>
      <w:r w:rsidR="00C31CF8">
        <w:t xml:space="preserve">housing needs </w:t>
      </w:r>
      <w:r w:rsidR="003B778B">
        <w:t xml:space="preserve">of </w:t>
      </w:r>
      <w:r w:rsidR="00C31CF8">
        <w:t xml:space="preserve">those </w:t>
      </w:r>
      <w:r w:rsidR="00773C04">
        <w:t>who</w:t>
      </w:r>
      <w:r w:rsidR="00C31CF8">
        <w:t xml:space="preserve"> rely on rental accommodation</w:t>
      </w:r>
      <w:r w:rsidR="003B778B">
        <w:t xml:space="preserve">. </w:t>
      </w:r>
    </w:p>
    <w:p w14:paraId="30B111CA" w14:textId="2B1A8C3D" w:rsidR="00284A8F" w:rsidRDefault="009A4DA0" w:rsidP="00360FD4">
      <w:r w:rsidRPr="00B06041">
        <w:t xml:space="preserve">The vast majority of rental housing </w:t>
      </w:r>
      <w:r w:rsidR="00013EB0">
        <w:t xml:space="preserve">in Australia </w:t>
      </w:r>
      <w:r w:rsidRPr="00B06041">
        <w:t xml:space="preserve">is </w:t>
      </w:r>
      <w:r w:rsidR="00013EB0">
        <w:t>currently</w:t>
      </w:r>
      <w:r w:rsidRPr="00B06041">
        <w:t xml:space="preserve"> provided by </w:t>
      </w:r>
      <w:r>
        <w:t>individual</w:t>
      </w:r>
      <w:r w:rsidRPr="00B06041">
        <w:t xml:space="preserve"> landlords. Many landlords and tenants have respectful and mutually beneficial arrangements. But </w:t>
      </w:r>
      <w:r w:rsidR="003B1F72">
        <w:t>individual landlords m</w:t>
      </w:r>
      <w:r w:rsidR="00203FF5">
        <w:t>a</w:t>
      </w:r>
      <w:r w:rsidR="003B1F72">
        <w:t xml:space="preserve">y not always be well placed to respond to rising demand for rental housing. </w:t>
      </w:r>
      <w:r w:rsidR="003B1F72" w:rsidDel="0067368E">
        <w:t>And</w:t>
      </w:r>
      <w:r w:rsidRPr="00B06041" w:rsidDel="0067368E">
        <w:t xml:space="preserve"> </w:t>
      </w:r>
      <w:r w:rsidR="006519DA">
        <w:t>the</w:t>
      </w:r>
      <w:r w:rsidRPr="00B06041">
        <w:t xml:space="preserve"> preferences, circumstances and needs of individual landlords and tenants may not always match, which can lead to sub</w:t>
      </w:r>
      <w:r w:rsidR="00563A2B">
        <w:noBreakHyphen/>
      </w:r>
      <w:r w:rsidRPr="00B06041">
        <w:t xml:space="preserve">optimal rental experiences </w:t>
      </w:r>
      <w:r>
        <w:t xml:space="preserve">with respect to </w:t>
      </w:r>
      <w:r w:rsidRPr="00B06041">
        <w:t xml:space="preserve">housing </w:t>
      </w:r>
      <w:r>
        <w:t>quality and tenure arrangements</w:t>
      </w:r>
      <w:r w:rsidRPr="00B72342">
        <w:t>.</w:t>
      </w:r>
      <w:r w:rsidRPr="00B06041">
        <w:t xml:space="preserve"> </w:t>
      </w:r>
    </w:p>
    <w:p w14:paraId="7BB5BF00" w14:textId="77777777" w:rsidR="009A4DA0" w:rsidRPr="00321184" w:rsidRDefault="009A4DA0" w:rsidP="006F389D">
      <w:pPr>
        <w:pStyle w:val="Heading2"/>
      </w:pPr>
      <w:bookmarkStart w:id="9" w:name="_Toc139618787"/>
      <w:bookmarkStart w:id="10" w:name="_Toc139635514"/>
      <w:r w:rsidRPr="00321184">
        <w:lastRenderedPageBreak/>
        <w:t>The role for institutional investment in increasing the supply of rental housing</w:t>
      </w:r>
      <w:bookmarkEnd w:id="9"/>
      <w:bookmarkEnd w:id="10"/>
    </w:p>
    <w:p w14:paraId="066D5857" w14:textId="1A8C9983" w:rsidR="009A4DA0" w:rsidRPr="00B06041" w:rsidRDefault="009A4DA0" w:rsidP="00FC6985">
      <w:pPr>
        <w:keepLines/>
      </w:pPr>
      <w:r w:rsidRPr="00B06041">
        <w:t>There is a need for a major investment of capital to fund a significant increase in the quantity and diversity of Australia</w:t>
      </w:r>
      <w:r w:rsidR="00563A2B">
        <w:t>’</w:t>
      </w:r>
      <w:r w:rsidRPr="00B06041">
        <w:t xml:space="preserve">s stock of rental properties. As in the past, much of this capital will be provided by individual investors. Some will come from government through the creation of new social housing. </w:t>
      </w:r>
      <w:r>
        <w:t>Capital from i</w:t>
      </w:r>
      <w:r w:rsidRPr="00B72342">
        <w:t>nstitutional</w:t>
      </w:r>
      <w:r w:rsidRPr="00B06041">
        <w:t xml:space="preserve"> </w:t>
      </w:r>
      <w:r>
        <w:t xml:space="preserve">investors </w:t>
      </w:r>
      <w:r w:rsidRPr="00B06041">
        <w:t>can also play a role.</w:t>
      </w:r>
    </w:p>
    <w:p w14:paraId="2BE2C677" w14:textId="1BDF99B9" w:rsidR="009A4DA0" w:rsidRPr="00B06041" w:rsidRDefault="009A4DA0" w:rsidP="00360FD4">
      <w:r w:rsidRPr="00B06041">
        <w:t>Institutional investors are, broadly, entities through which investors collectively invest. They</w:t>
      </w:r>
      <w:r w:rsidR="006462B8">
        <w:t xml:space="preserve"> </w:t>
      </w:r>
      <w:r w:rsidR="00146382">
        <w:t xml:space="preserve">have </w:t>
      </w:r>
      <w:r w:rsidR="006462B8">
        <w:t>large quantities of capital</w:t>
      </w:r>
      <w:r w:rsidR="00146382">
        <w:t xml:space="preserve"> to deploy</w:t>
      </w:r>
      <w:r w:rsidR="007C2094">
        <w:t>,</w:t>
      </w:r>
      <w:r w:rsidRPr="00B06041">
        <w:t xml:space="preserve"> invest for the long term</w:t>
      </w:r>
      <w:r>
        <w:t>,</w:t>
      </w:r>
      <w:r w:rsidRPr="00B06041">
        <w:t xml:space="preserve"> and spread their funds across a diverse range of investments</w:t>
      </w:r>
      <w:r>
        <w:t xml:space="preserve">. </w:t>
      </w:r>
    </w:p>
    <w:p w14:paraId="088ADC0E" w14:textId="6E8EC7FB" w:rsidR="009A4DA0" w:rsidRPr="00B06041" w:rsidRDefault="00855FDC" w:rsidP="00360FD4">
      <w:r>
        <w:t>I</w:t>
      </w:r>
      <w:r w:rsidR="009A4DA0" w:rsidRPr="00B06041">
        <w:t>nstitutional investment</w:t>
      </w:r>
      <w:r w:rsidR="009A4DA0">
        <w:t xml:space="preserve"> </w:t>
      </w:r>
      <w:r w:rsidR="00203FF5">
        <w:t>in housing</w:t>
      </w:r>
      <w:r w:rsidR="009A4DA0" w:rsidRPr="00B06041">
        <w:t xml:space="preserve"> </w:t>
      </w:r>
      <w:r>
        <w:t xml:space="preserve">typically </w:t>
      </w:r>
      <w:r w:rsidR="009A4DA0" w:rsidRPr="00B06041">
        <w:t>refers to equity finance invested by institutional investors in a collection of related dwellings to provide rental services at scale</w:t>
      </w:r>
      <w:r w:rsidR="00B976F7">
        <w:t xml:space="preserve">. </w:t>
      </w:r>
      <w:r w:rsidR="009A4DA0" w:rsidRPr="00B06041">
        <w:t xml:space="preserve">It </w:t>
      </w:r>
      <w:r w:rsidR="009A4DA0">
        <w:t>stands in contrast</w:t>
      </w:r>
      <w:r w:rsidR="009A4DA0" w:rsidRPr="00B06041" w:rsidDel="00185D00">
        <w:t xml:space="preserve"> </w:t>
      </w:r>
      <w:r w:rsidR="009A4DA0">
        <w:t>to</w:t>
      </w:r>
      <w:r w:rsidR="009A4DA0" w:rsidRPr="00B06041">
        <w:t xml:space="preserve"> the single dwelling provided by the individual landlord. </w:t>
      </w:r>
      <w:r w:rsidR="00F90D66">
        <w:t xml:space="preserve">It can also </w:t>
      </w:r>
      <w:r w:rsidR="009A4DA0" w:rsidRPr="00B06041">
        <w:t xml:space="preserve">include direct debt financing </w:t>
      </w:r>
      <w:r w:rsidR="0030349E">
        <w:t>of housing investment</w:t>
      </w:r>
      <w:r w:rsidR="009A4DA0" w:rsidRPr="00B06041">
        <w:t xml:space="preserve"> </w:t>
      </w:r>
      <w:r>
        <w:t>by institutional investors th</w:t>
      </w:r>
      <w:r w:rsidR="00204301">
        <w:t>r</w:t>
      </w:r>
      <w:r>
        <w:t xml:space="preserve">ough </w:t>
      </w:r>
      <w:r w:rsidR="009A4DA0" w:rsidRPr="00B06041">
        <w:t>bonds or other mark</w:t>
      </w:r>
      <w:r w:rsidR="008F4F29">
        <w:t>et</w:t>
      </w:r>
      <w:r w:rsidR="009A4DA0" w:rsidRPr="00B06041">
        <w:t xml:space="preserve">able instruments, rather than through banks or other traditional intermediaries. Implicit in the term is the existence of a wholesale secondary market for the exchange of housing assets between institutional investors. </w:t>
      </w:r>
    </w:p>
    <w:p w14:paraId="17FAE4AA" w14:textId="0B51B802" w:rsidR="00174853" w:rsidRDefault="009A4DA0" w:rsidP="00360FD4">
      <w:r>
        <w:t>More</w:t>
      </w:r>
      <w:r w:rsidRPr="00B72342">
        <w:t xml:space="preserve"> institutional </w:t>
      </w:r>
      <w:r>
        <w:t>investment in</w:t>
      </w:r>
      <w:r w:rsidRPr="00B72342">
        <w:t xml:space="preserve"> housing </w:t>
      </w:r>
      <w:r>
        <w:t>would benefit both investors and tenants</w:t>
      </w:r>
      <w:r w:rsidRPr="00B72342">
        <w:t xml:space="preserve">. </w:t>
      </w:r>
      <w:r w:rsidRPr="00B06041">
        <w:t>Institutional investors have a need for long</w:t>
      </w:r>
      <w:r w:rsidR="00563A2B">
        <w:noBreakHyphen/>
      </w:r>
      <w:r w:rsidRPr="00B06041">
        <w:t xml:space="preserve">term assets with stable income streams. </w:t>
      </w:r>
      <w:r>
        <w:t xml:space="preserve">They manage significant volumes </w:t>
      </w:r>
      <w:r w:rsidRPr="00B06041">
        <w:t>of capital</w:t>
      </w:r>
      <w:r w:rsidRPr="00B72342" w:rsidDel="00627B1A">
        <w:t xml:space="preserve">, </w:t>
      </w:r>
      <w:r w:rsidDel="00627B1A">
        <w:t>and so</w:t>
      </w:r>
      <w:r w:rsidRPr="00B06041">
        <w:t xml:space="preserve"> need </w:t>
      </w:r>
      <w:r>
        <w:t xml:space="preserve">markets </w:t>
      </w:r>
      <w:r w:rsidRPr="00B06041">
        <w:t xml:space="preserve">capable of absorbing large capital flows. </w:t>
      </w:r>
      <w:r w:rsidR="001F364F">
        <w:t>T</w:t>
      </w:r>
      <w:r w:rsidR="00B170C8">
        <w:t>hey also</w:t>
      </w:r>
      <w:r>
        <w:t xml:space="preserve"> have a</w:t>
      </w:r>
      <w:r w:rsidR="00E67AFE">
        <w:t> </w:t>
      </w:r>
      <w:r>
        <w:t xml:space="preserve">need for </w:t>
      </w:r>
      <w:r w:rsidRPr="00B06041">
        <w:t>assets</w:t>
      </w:r>
      <w:r w:rsidRPr="00B72342">
        <w:t xml:space="preserve"> </w:t>
      </w:r>
      <w:r>
        <w:t>that</w:t>
      </w:r>
      <w:r w:rsidRPr="00B06041">
        <w:t xml:space="preserve"> are less correlated with </w:t>
      </w:r>
      <w:r w:rsidR="00AA123B">
        <w:t xml:space="preserve">other large, </w:t>
      </w:r>
      <w:r w:rsidRPr="00B06041">
        <w:t>well</w:t>
      </w:r>
      <w:r w:rsidR="00563A2B">
        <w:noBreakHyphen/>
      </w:r>
      <w:r w:rsidRPr="00B06041">
        <w:t>established asset classes.</w:t>
      </w:r>
    </w:p>
    <w:p w14:paraId="02CEEB22" w14:textId="49BA5C59" w:rsidR="009A4DA0" w:rsidRPr="00B06041" w:rsidRDefault="009A4DA0" w:rsidP="00360FD4">
      <w:r w:rsidRPr="00B06041">
        <w:t>For renters, more investment in housing by institutional investors</w:t>
      </w:r>
      <w:r>
        <w:t xml:space="preserve"> </w:t>
      </w:r>
      <w:r w:rsidRPr="00B06041">
        <w:t xml:space="preserve">could increase housing supply, which improves affordability and </w:t>
      </w:r>
      <w:r w:rsidRPr="00B72342">
        <w:t>provide</w:t>
      </w:r>
      <w:r>
        <w:t>s</w:t>
      </w:r>
      <w:r w:rsidRPr="00B06041">
        <w:t xml:space="preserve"> more housing choice for tenants. It also has the potential to drive innovation in areas such as housing design and construction, </w:t>
      </w:r>
      <w:r w:rsidR="004454AE">
        <w:t xml:space="preserve">and </w:t>
      </w:r>
      <w:r w:rsidRPr="00B06041">
        <w:t>improve the quality of the rental stock</w:t>
      </w:r>
      <w:r w:rsidR="005B0E40">
        <w:t>. It can</w:t>
      </w:r>
      <w:r w:rsidRPr="00B06041">
        <w:t xml:space="preserve"> drive efficiencies in areas such as energy consumption and housing maintenance</w:t>
      </w:r>
      <w:r w:rsidR="008A14F4">
        <w:t>.</w:t>
      </w:r>
      <w:r w:rsidR="00ED262F">
        <w:t xml:space="preserve"> And it can</w:t>
      </w:r>
      <w:r w:rsidRPr="00B06041">
        <w:t xml:space="preserve"> create greater certainty of tenure by shielding renters </w:t>
      </w:r>
      <w:r>
        <w:t>from</w:t>
      </w:r>
      <w:r w:rsidRPr="00B72342">
        <w:t xml:space="preserve"> </w:t>
      </w:r>
      <w:r w:rsidRPr="00B06041">
        <w:t xml:space="preserve">idiosyncratic factors that affect the supply of dwellings by </w:t>
      </w:r>
      <w:r>
        <w:t>individual</w:t>
      </w:r>
      <w:r w:rsidRPr="00B06041">
        <w:t xml:space="preserve"> investors. It </w:t>
      </w:r>
      <w:r w:rsidR="00A46601">
        <w:t>also</w:t>
      </w:r>
      <w:r w:rsidRPr="00B06041">
        <w:t xml:space="preserve"> offers the potential of a </w:t>
      </w:r>
      <w:r w:rsidR="003A3427">
        <w:t xml:space="preserve">more </w:t>
      </w:r>
      <w:r>
        <w:t>stable</w:t>
      </w:r>
      <w:r w:rsidRPr="00B06041">
        <w:t xml:space="preserve"> supply of housing, as the availability of institutional capital is less susceptible to the business and credit cycle. </w:t>
      </w:r>
    </w:p>
    <w:p w14:paraId="571F394A" w14:textId="24F8E9CD" w:rsidR="009A4DA0" w:rsidRPr="00B06041" w:rsidRDefault="009A4DA0" w:rsidP="00360FD4">
      <w:r w:rsidRPr="00B06041">
        <w:t xml:space="preserve">Institutional investment in housing in Australia is very limited. Investment that does occur is primarily in niche sectors such as </w:t>
      </w:r>
      <w:r w:rsidR="00092224">
        <w:t>residential aged care facilities</w:t>
      </w:r>
      <w:r w:rsidRPr="00B06041">
        <w:t>, student accommodation and subsidised affordable housing. Build</w:t>
      </w:r>
      <w:r w:rsidR="00563A2B">
        <w:noBreakHyphen/>
      </w:r>
      <w:r w:rsidRPr="00B06041">
        <w:t>to</w:t>
      </w:r>
      <w:r w:rsidR="00563A2B">
        <w:noBreakHyphen/>
      </w:r>
      <w:r w:rsidRPr="00B06041">
        <w:t xml:space="preserve">rent housing </w:t>
      </w:r>
      <w:r w:rsidR="00E05173">
        <w:t>–</w:t>
      </w:r>
      <w:r w:rsidR="00801BD8">
        <w:t xml:space="preserve"> </w:t>
      </w:r>
      <w:r w:rsidR="00E05173">
        <w:t xml:space="preserve">which this report defines as </w:t>
      </w:r>
      <w:r>
        <w:t>apartment blocks or larger developments purpose</w:t>
      </w:r>
      <w:r w:rsidR="00563A2B">
        <w:noBreakHyphen/>
      </w:r>
      <w:r>
        <w:t xml:space="preserve">built for rental occupation and held in single ownership as </w:t>
      </w:r>
      <w:r w:rsidR="00AA123B">
        <w:t xml:space="preserve">a </w:t>
      </w:r>
      <w:r>
        <w:t>long</w:t>
      </w:r>
      <w:r w:rsidR="00563A2B">
        <w:noBreakHyphen/>
      </w:r>
      <w:r>
        <w:t>term revenue</w:t>
      </w:r>
      <w:r w:rsidR="00563A2B">
        <w:noBreakHyphen/>
      </w:r>
      <w:r>
        <w:t xml:space="preserve">generating asset (Pawson </w:t>
      </w:r>
      <w:r w:rsidR="00D75EC6">
        <w:t>and others</w:t>
      </w:r>
      <w:r>
        <w:t xml:space="preserve"> 2020)</w:t>
      </w:r>
      <w:r w:rsidR="00A53ED5">
        <w:t xml:space="preserve"> – </w:t>
      </w:r>
      <w:r w:rsidR="00A53ED5" w:rsidRPr="00B06041">
        <w:t>is emerging as an asset class</w:t>
      </w:r>
      <w:r w:rsidR="00A53ED5">
        <w:t>, but</w:t>
      </w:r>
      <w:r w:rsidRPr="00B06041">
        <w:t xml:space="preserve"> currently only accounts for 0.2</w:t>
      </w:r>
      <w:r w:rsidR="00E67AFE">
        <w:t> per </w:t>
      </w:r>
      <w:r w:rsidRPr="00B06041">
        <w:t>cent of the total housing stock</w:t>
      </w:r>
      <w:r>
        <w:t xml:space="preserve"> in Australia</w:t>
      </w:r>
      <w:r w:rsidRPr="00B06041">
        <w:t>. In contrast, institutional investors have sizable allocations to Australian commercial</w:t>
      </w:r>
      <w:r w:rsidR="00AC1BB1">
        <w:t>, retail</w:t>
      </w:r>
      <w:r w:rsidRPr="00B06041">
        <w:t xml:space="preserve"> and industrial property. </w:t>
      </w:r>
    </w:p>
    <w:p w14:paraId="7CE6AB68" w14:textId="7B7B756C" w:rsidR="009A4DA0" w:rsidRPr="00B06041" w:rsidRDefault="009A4DA0" w:rsidP="00360FD4">
      <w:r w:rsidRPr="00B06041">
        <w:t xml:space="preserve">Internationally, </w:t>
      </w:r>
      <w:r w:rsidR="00BE55D4">
        <w:t xml:space="preserve">some </w:t>
      </w:r>
      <w:r w:rsidRPr="00B06041">
        <w:t xml:space="preserve">economies </w:t>
      </w:r>
      <w:r w:rsidR="002C4FA8">
        <w:t>have</w:t>
      </w:r>
      <w:r w:rsidR="002C4FA8" w:rsidRPr="00B06041">
        <w:t xml:space="preserve"> </w:t>
      </w:r>
      <w:r w:rsidRPr="00B06041">
        <w:t>well</w:t>
      </w:r>
      <w:r w:rsidR="00563A2B">
        <w:noBreakHyphen/>
      </w:r>
      <w:r w:rsidRPr="00B06041">
        <w:t xml:space="preserve">established </w:t>
      </w:r>
      <w:r w:rsidR="00064B72">
        <w:t xml:space="preserve">or </w:t>
      </w:r>
      <w:r w:rsidRPr="00B06041">
        <w:t>fast developing institutional housing markets</w:t>
      </w:r>
      <w:r w:rsidR="003B2894">
        <w:t xml:space="preserve"> (</w:t>
      </w:r>
      <w:r w:rsidR="00022302">
        <w:t xml:space="preserve">in which many </w:t>
      </w:r>
      <w:r w:rsidR="004266B1">
        <w:t>Australian</w:t>
      </w:r>
      <w:r w:rsidR="00022302">
        <w:t xml:space="preserve"> institutional investors participate). </w:t>
      </w:r>
      <w:r w:rsidRPr="00B06041">
        <w:t>The United States</w:t>
      </w:r>
      <w:r w:rsidR="00BE55D4">
        <w:t xml:space="preserve"> (US)</w:t>
      </w:r>
      <w:r w:rsidRPr="00DE2319">
        <w:t xml:space="preserve"> </w:t>
      </w:r>
      <w:r w:rsidRPr="00B72342">
        <w:t xml:space="preserve">has the most mature market, </w:t>
      </w:r>
      <w:r w:rsidR="00087DC7">
        <w:t>supported by</w:t>
      </w:r>
      <w:r w:rsidR="00087DC7" w:rsidRPr="00B06041">
        <w:t xml:space="preserve"> </w:t>
      </w:r>
      <w:r w:rsidRPr="00B06041">
        <w:t>its large economy and advanced capital markets,</w:t>
      </w:r>
      <w:r>
        <w:t xml:space="preserve"> </w:t>
      </w:r>
      <w:r w:rsidRPr="00B06041">
        <w:t>long</w:t>
      </w:r>
      <w:r w:rsidR="00563A2B">
        <w:noBreakHyphen/>
      </w:r>
      <w:r w:rsidRPr="00B06041">
        <w:t>standing system of subsidies for low</w:t>
      </w:r>
      <w:r w:rsidR="00563A2B">
        <w:noBreakHyphen/>
      </w:r>
      <w:r w:rsidRPr="00B06041">
        <w:t>income housing</w:t>
      </w:r>
      <w:r>
        <w:t xml:space="preserve"> </w:t>
      </w:r>
      <w:r w:rsidRPr="00B06041">
        <w:t>and</w:t>
      </w:r>
      <w:r>
        <w:t>, in some jurisdictions,</w:t>
      </w:r>
      <w:r w:rsidRPr="00B72342">
        <w:t xml:space="preserve"> </w:t>
      </w:r>
      <w:r>
        <w:t xml:space="preserve">relatively accommodating </w:t>
      </w:r>
      <w:r w:rsidRPr="00B06041">
        <w:t>development</w:t>
      </w:r>
      <w:r>
        <w:t xml:space="preserve"> arrangements</w:t>
      </w:r>
      <w:r w:rsidRPr="00B72342">
        <w:t>.</w:t>
      </w:r>
      <w:r w:rsidRPr="00B06041">
        <w:t xml:space="preserve"> </w:t>
      </w:r>
      <w:r w:rsidR="00022302">
        <w:t>I</w:t>
      </w:r>
      <w:r w:rsidR="006764CC">
        <w:t>n the United Kingdom</w:t>
      </w:r>
      <w:r w:rsidR="001156FC">
        <w:t xml:space="preserve"> (UK)</w:t>
      </w:r>
      <w:r w:rsidR="00914701">
        <w:t>,</w:t>
      </w:r>
      <w:r w:rsidR="006764CC">
        <w:t xml:space="preserve"> the sector is growing quickly, in part due to </w:t>
      </w:r>
      <w:r>
        <w:t xml:space="preserve">policy measures </w:t>
      </w:r>
      <w:r w:rsidR="006764CC">
        <w:t xml:space="preserve">to </w:t>
      </w:r>
      <w:r>
        <w:t>foster institutional investment</w:t>
      </w:r>
      <w:r w:rsidR="006764CC">
        <w:t>.</w:t>
      </w:r>
      <w:r w:rsidR="000A4746">
        <w:t xml:space="preserve"> </w:t>
      </w:r>
    </w:p>
    <w:p w14:paraId="384A9EBB" w14:textId="597C3E0C" w:rsidR="009A4DA0" w:rsidRPr="00B06041" w:rsidRDefault="009A4DA0" w:rsidP="006F389D">
      <w:pPr>
        <w:pStyle w:val="Heading2"/>
      </w:pPr>
      <w:bookmarkStart w:id="11" w:name="_Toc139618788"/>
      <w:bookmarkStart w:id="12" w:name="_Toc139635515"/>
      <w:r w:rsidRPr="00B06041">
        <w:lastRenderedPageBreak/>
        <w:t>Key findings</w:t>
      </w:r>
      <w:r>
        <w:t xml:space="preserve"> and recommendations</w:t>
      </w:r>
      <w:bookmarkEnd w:id="11"/>
      <w:bookmarkEnd w:id="12"/>
      <w:r w:rsidR="00084E04">
        <w:t xml:space="preserve">: </w:t>
      </w:r>
      <w:r w:rsidR="00914701">
        <w:t xml:space="preserve">Australia needs </w:t>
      </w:r>
      <w:r w:rsidR="00084E04">
        <w:t>a market for institutional housing</w:t>
      </w:r>
    </w:p>
    <w:p w14:paraId="347398F3" w14:textId="62F79DC2" w:rsidR="009A4DA0" w:rsidRPr="00E67AFE" w:rsidRDefault="005B2FE5" w:rsidP="00E67AFE">
      <w:r w:rsidRPr="00E67AFE">
        <w:t>T</w:t>
      </w:r>
      <w:r w:rsidR="009A4DA0" w:rsidRPr="00E67AFE">
        <w:t xml:space="preserve">he </w:t>
      </w:r>
      <w:r w:rsidR="00C35BCB" w:rsidRPr="00E67AFE">
        <w:t>central finding of this report is that</w:t>
      </w:r>
      <w:r w:rsidR="009A4DA0" w:rsidRPr="00E67AFE">
        <w:t xml:space="preserve"> </w:t>
      </w:r>
      <w:r w:rsidR="004C2CE3">
        <w:t xml:space="preserve">the </w:t>
      </w:r>
      <w:r w:rsidR="003310CC" w:rsidRPr="00E67AFE">
        <w:t>emergence</w:t>
      </w:r>
      <w:r w:rsidR="009A4DA0" w:rsidRPr="00E67AFE">
        <w:t xml:space="preserve"> of a domestic market for housing provided by institutional investors (</w:t>
      </w:r>
      <w:r w:rsidR="00563A2B" w:rsidRPr="00E67AFE">
        <w:t>‘</w:t>
      </w:r>
      <w:r w:rsidR="009A4DA0" w:rsidRPr="00E67AFE">
        <w:t>institutional housing</w:t>
      </w:r>
      <w:r w:rsidR="00563A2B" w:rsidRPr="00E67AFE">
        <w:t>’</w:t>
      </w:r>
      <w:r w:rsidR="009A4DA0" w:rsidRPr="00E67AFE">
        <w:t xml:space="preserve">) would add to, and improve the quality </w:t>
      </w:r>
      <w:r w:rsidR="006A7480" w:rsidRPr="00E67AFE">
        <w:t xml:space="preserve">and diversity </w:t>
      </w:r>
      <w:r w:rsidR="009A4DA0" w:rsidRPr="00E67AFE">
        <w:t>of, Australia</w:t>
      </w:r>
      <w:r w:rsidR="00563A2B" w:rsidRPr="00E67AFE">
        <w:t>’</w:t>
      </w:r>
      <w:r w:rsidR="009A4DA0" w:rsidRPr="00E67AFE">
        <w:t>s stock of private and not</w:t>
      </w:r>
      <w:r w:rsidR="00563A2B" w:rsidRPr="00E67AFE">
        <w:noBreakHyphen/>
      </w:r>
      <w:r w:rsidR="009A4DA0" w:rsidRPr="00E67AFE">
        <w:t>for</w:t>
      </w:r>
      <w:r w:rsidR="00563A2B" w:rsidRPr="00E67AFE">
        <w:noBreakHyphen/>
      </w:r>
      <w:r w:rsidR="009A4DA0" w:rsidRPr="00E67AFE">
        <w:t>profit (community</w:t>
      </w:r>
      <w:r w:rsidR="002945BA" w:rsidRPr="00E67AFE">
        <w:t>)</w:t>
      </w:r>
      <w:r w:rsidR="009A4DA0" w:rsidRPr="00E67AFE">
        <w:t xml:space="preserve"> </w:t>
      </w:r>
      <w:r w:rsidR="00B57238" w:rsidRPr="00E67AFE">
        <w:t xml:space="preserve">rental </w:t>
      </w:r>
      <w:r w:rsidR="009A4DA0" w:rsidRPr="00E67AFE">
        <w:t>housing. A desirable market would have a well</w:t>
      </w:r>
      <w:r w:rsidR="00563A2B" w:rsidRPr="00E67AFE">
        <w:noBreakHyphen/>
      </w:r>
      <w:r w:rsidR="009A4DA0" w:rsidRPr="00E67AFE">
        <w:t>supplied primary market (that is, a steady pipeline of large, multi</w:t>
      </w:r>
      <w:r w:rsidR="00563A2B" w:rsidRPr="00E67AFE">
        <w:noBreakHyphen/>
      </w:r>
      <w:r w:rsidR="009A4DA0" w:rsidRPr="00E67AFE">
        <w:t>residential, well</w:t>
      </w:r>
      <w:r w:rsidR="00563A2B" w:rsidRPr="00E67AFE">
        <w:noBreakHyphen/>
      </w:r>
      <w:r w:rsidR="009A4DA0" w:rsidRPr="00E67AFE">
        <w:t>located</w:t>
      </w:r>
      <w:r w:rsidR="00694826" w:rsidRPr="00E67AFE">
        <w:t xml:space="preserve">, </w:t>
      </w:r>
      <w:r w:rsidR="00D15C05" w:rsidRPr="00E67AFE">
        <w:t xml:space="preserve">unitary (i.e. </w:t>
      </w:r>
      <w:r w:rsidR="00694826" w:rsidRPr="00E67AFE">
        <w:t>single</w:t>
      </w:r>
      <w:r w:rsidR="00563A2B" w:rsidRPr="00E67AFE">
        <w:noBreakHyphen/>
      </w:r>
      <w:r w:rsidR="00694826" w:rsidRPr="00E67AFE">
        <w:t>owner</w:t>
      </w:r>
      <w:r w:rsidR="00D15C05" w:rsidRPr="00E67AFE">
        <w:t>)</w:t>
      </w:r>
      <w:r w:rsidR="009A4DA0" w:rsidRPr="00E67AFE">
        <w:t xml:space="preserve"> projects coming to market), and a secondary market </w:t>
      </w:r>
      <w:r w:rsidR="00DF4C6B" w:rsidRPr="00E67AFE">
        <w:t xml:space="preserve">(where established assets are </w:t>
      </w:r>
      <w:r w:rsidR="009B47DA" w:rsidRPr="00E67AFE">
        <w:t xml:space="preserve">traded) </w:t>
      </w:r>
      <w:r w:rsidR="009A4DA0" w:rsidRPr="00E67AFE">
        <w:t>with low information asymmetries and moderate transaction costs. The</w:t>
      </w:r>
      <w:r w:rsidR="00E67AFE">
        <w:t xml:space="preserve"> </w:t>
      </w:r>
      <w:r w:rsidR="009A4DA0" w:rsidRPr="00E67AFE">
        <w:t xml:space="preserve">development of new stock would be either by institutional investors themselves, or by large developers, with the stock acquired on completion as a single asset by institutional investors to provide for rental services. </w:t>
      </w:r>
    </w:p>
    <w:p w14:paraId="51BF6C15" w14:textId="199192FF" w:rsidR="009A4DA0" w:rsidRPr="00E67AFE" w:rsidRDefault="009A4DA0" w:rsidP="00E67AFE">
      <w:r w:rsidRPr="00E67AFE">
        <w:t>To achieve such an outcome,</w:t>
      </w:r>
      <w:r w:rsidR="00914701" w:rsidRPr="00E67AFE">
        <w:t xml:space="preserve"> the interim National Housing Supply and Affordability</w:t>
      </w:r>
      <w:r w:rsidRPr="00E67AFE" w:rsidDel="00776EC4">
        <w:t xml:space="preserve"> </w:t>
      </w:r>
      <w:r w:rsidRPr="00E67AFE">
        <w:t>Council</w:t>
      </w:r>
      <w:r w:rsidR="00776EC4" w:rsidRPr="00E67AFE">
        <w:t xml:space="preserve"> (the Council)</w:t>
      </w:r>
      <w:r w:rsidRPr="00E67AFE">
        <w:t xml:space="preserve"> has identified </w:t>
      </w:r>
      <w:r w:rsidR="00F035AA" w:rsidRPr="00E67AFE">
        <w:t xml:space="preserve">3 </w:t>
      </w:r>
      <w:r w:rsidRPr="00E67AFE">
        <w:t xml:space="preserve">categories of recommendations. </w:t>
      </w:r>
      <w:r w:rsidR="00A53CBD" w:rsidRPr="00E67AFE">
        <w:t>The</w:t>
      </w:r>
      <w:r w:rsidR="0041619F" w:rsidRPr="00E67AFE">
        <w:t>se</w:t>
      </w:r>
      <w:r w:rsidR="00A53CBD" w:rsidRPr="00E67AFE">
        <w:t xml:space="preserve"> </w:t>
      </w:r>
      <w:r w:rsidR="00621912" w:rsidRPr="00E67AFE">
        <w:t>are</w:t>
      </w:r>
      <w:r w:rsidR="007B6067" w:rsidRPr="00E67AFE">
        <w:t>:</w:t>
      </w:r>
      <w:r w:rsidR="00621912" w:rsidRPr="00E67AFE">
        <w:t xml:space="preserve"> </w:t>
      </w:r>
      <w:r w:rsidR="007B6067" w:rsidRPr="00E67AFE">
        <w:t>creating</w:t>
      </w:r>
      <w:r w:rsidRPr="00E67AFE" w:rsidDel="007B6067">
        <w:t xml:space="preserve"> </w:t>
      </w:r>
      <w:r w:rsidR="007B6067" w:rsidRPr="00E67AFE">
        <w:t>a larger pipeline of suitable projects coming</w:t>
      </w:r>
      <w:r w:rsidR="00DC2050" w:rsidRPr="00E67AFE">
        <w:t xml:space="preserve"> </w:t>
      </w:r>
      <w:r w:rsidR="00A53CBD" w:rsidRPr="00E67AFE">
        <w:t xml:space="preserve">to </w:t>
      </w:r>
      <w:r w:rsidR="007B6067" w:rsidRPr="00E67AFE">
        <w:t>market; de</w:t>
      </w:r>
      <w:r w:rsidR="00563A2B" w:rsidRPr="00E67AFE">
        <w:noBreakHyphen/>
      </w:r>
      <w:r w:rsidR="007B6067" w:rsidRPr="00E67AFE">
        <w:t>risking the development and ownership of institutional housing assets; and</w:t>
      </w:r>
      <w:r w:rsidRPr="00E67AFE">
        <w:t xml:space="preserve"> </w:t>
      </w:r>
      <w:r w:rsidR="00562D9A" w:rsidRPr="00E67AFE">
        <w:t xml:space="preserve">supporting institutional investment in social and affordable housing. Some of the recommendations </w:t>
      </w:r>
      <w:r w:rsidR="00F469A0" w:rsidRPr="00E67AFE">
        <w:t>address structural barriers</w:t>
      </w:r>
      <w:r w:rsidR="001B2CA1" w:rsidRPr="00E67AFE">
        <w:t xml:space="preserve"> </w:t>
      </w:r>
      <w:r w:rsidR="00562D9A" w:rsidRPr="00E67AFE">
        <w:t>to the formation of a market. Other</w:t>
      </w:r>
      <w:r w:rsidR="00557D3E" w:rsidRPr="00E67AFE">
        <w:t>s</w:t>
      </w:r>
      <w:r w:rsidR="00562D9A" w:rsidRPr="00E67AFE">
        <w:t xml:space="preserve"> aim to</w:t>
      </w:r>
      <w:r w:rsidR="001B2CA1" w:rsidRPr="00E67AFE">
        <w:t xml:space="preserve"> </w:t>
      </w:r>
      <w:r w:rsidR="00F06B12" w:rsidRPr="00E67AFE">
        <w:t>accelerate</w:t>
      </w:r>
      <w:r w:rsidR="001B2CA1" w:rsidRPr="00E67AFE">
        <w:t xml:space="preserve"> </w:t>
      </w:r>
      <w:r w:rsidR="002322FD" w:rsidRPr="00E67AFE">
        <w:t>the formation of a market</w:t>
      </w:r>
      <w:r w:rsidR="00557D3E" w:rsidRPr="00E67AFE">
        <w:t xml:space="preserve"> and support early movers</w:t>
      </w:r>
      <w:r w:rsidR="002322FD" w:rsidRPr="00E67AFE">
        <w:t>.</w:t>
      </w:r>
      <w:r w:rsidRPr="00E67AFE">
        <w:t xml:space="preserve"> </w:t>
      </w:r>
      <w:r w:rsidR="00557D3E" w:rsidRPr="00E67AFE">
        <w:t>Some do both.</w:t>
      </w:r>
      <w:r w:rsidRPr="00E67AFE">
        <w:t xml:space="preserve"> The recommendations are best viewed holistically</w:t>
      </w:r>
      <w:r w:rsidR="007A1F99" w:rsidRPr="00E67AFE">
        <w:t>, rather than as a menu of options. This reflects the fact that the</w:t>
      </w:r>
      <w:r w:rsidR="00BB16B3" w:rsidRPr="00E67AFE">
        <w:t>y</w:t>
      </w:r>
      <w:r w:rsidR="007A1F99" w:rsidRPr="00E67AFE">
        <w:t xml:space="preserve"> </w:t>
      </w:r>
      <w:r w:rsidRPr="00E67AFE">
        <w:t>are mutually reinforcing</w:t>
      </w:r>
      <w:r w:rsidR="009B47DA" w:rsidRPr="00E67AFE">
        <w:t xml:space="preserve">, and </w:t>
      </w:r>
      <w:r w:rsidR="007A1F99" w:rsidRPr="00E67AFE">
        <w:t xml:space="preserve">that </w:t>
      </w:r>
      <w:r w:rsidR="002F33DA" w:rsidRPr="00E67AFE">
        <w:t xml:space="preserve">government and </w:t>
      </w:r>
      <w:r w:rsidR="00B47C99" w:rsidRPr="00E67AFE">
        <w:t>market participants</w:t>
      </w:r>
      <w:r w:rsidR="002F33DA" w:rsidRPr="00E67AFE">
        <w:t xml:space="preserve"> need to address </w:t>
      </w:r>
      <w:r w:rsidR="00E80826" w:rsidRPr="00E67AFE">
        <w:t>a</w:t>
      </w:r>
      <w:r w:rsidR="000164CC" w:rsidRPr="00E67AFE">
        <w:t>ll</w:t>
      </w:r>
      <w:r w:rsidR="00E80826" w:rsidRPr="00E67AFE">
        <w:t xml:space="preserve"> barriers </w:t>
      </w:r>
      <w:r w:rsidR="009B47DA" w:rsidRPr="00E67AFE">
        <w:t xml:space="preserve">to </w:t>
      </w:r>
      <w:r w:rsidR="00E80826" w:rsidRPr="00E67AFE">
        <w:t>support the emergence of a market</w:t>
      </w:r>
      <w:r w:rsidRPr="00E67AFE">
        <w:t>. The</w:t>
      </w:r>
      <w:r w:rsidR="007A1F99" w:rsidRPr="00E67AFE">
        <w:t xml:space="preserve"> recommendations</w:t>
      </w:r>
      <w:r w:rsidRPr="00E67AFE">
        <w:t xml:space="preserve"> complement and build on recent taxation measures taken by Commonwealth</w:t>
      </w:r>
      <w:r w:rsidR="00AD6AEE" w:rsidRPr="00E67AFE">
        <w:t>,</w:t>
      </w:r>
      <w:r w:rsidRPr="00E67AFE" w:rsidDel="007D4682">
        <w:t xml:space="preserve"> </w:t>
      </w:r>
      <w:r w:rsidRPr="00E67AFE">
        <w:t>state and territory governments to encourage institutional investment, including land tax concessions, a reduction in the managed investment trust withholding tax</w:t>
      </w:r>
      <w:r w:rsidR="0011525F" w:rsidRPr="00E67AFE">
        <w:t xml:space="preserve"> for f</w:t>
      </w:r>
      <w:r w:rsidR="00C2323D" w:rsidRPr="00E67AFE">
        <w:t>oreigners</w:t>
      </w:r>
      <w:r w:rsidRPr="00E67AFE">
        <w:t>, and an increase in depreciation rates</w:t>
      </w:r>
      <w:r w:rsidR="00B04F2A" w:rsidRPr="00E67AFE">
        <w:t xml:space="preserve"> </w:t>
      </w:r>
      <w:r w:rsidR="0022411B" w:rsidRPr="00E67AFE">
        <w:t>(</w:t>
      </w:r>
      <w:r w:rsidR="00B04F2A" w:rsidRPr="00E67AFE">
        <w:t>the</w:t>
      </w:r>
      <w:r w:rsidRPr="00E67AFE">
        <w:t xml:space="preserve"> efficacy of </w:t>
      </w:r>
      <w:r w:rsidR="00B04F2A" w:rsidRPr="00E67AFE">
        <w:t>which</w:t>
      </w:r>
      <w:r w:rsidR="00FF0111" w:rsidRPr="00E67AFE">
        <w:t xml:space="preserve"> should be review</w:t>
      </w:r>
      <w:r w:rsidR="009C56DC" w:rsidRPr="00E67AFE">
        <w:t>ed</w:t>
      </w:r>
      <w:r w:rsidR="00FF0111" w:rsidRPr="00E67AFE">
        <w:t xml:space="preserve"> in due</w:t>
      </w:r>
      <w:r w:rsidR="00E67AFE">
        <w:t> </w:t>
      </w:r>
      <w:r w:rsidR="00FF0111" w:rsidRPr="00E67AFE">
        <w:t>course</w:t>
      </w:r>
      <w:r w:rsidR="0022411B" w:rsidRPr="00E67AFE">
        <w:t>)</w:t>
      </w:r>
      <w:r w:rsidRPr="00E67AFE">
        <w:t xml:space="preserve">. </w:t>
      </w:r>
    </w:p>
    <w:p w14:paraId="6554A1D3" w14:textId="39186626" w:rsidR="009A4DA0" w:rsidRPr="00B776FD" w:rsidRDefault="00972978" w:rsidP="009A4DA0">
      <w:pPr>
        <w:pStyle w:val="Heading4"/>
      </w:pPr>
      <w:bookmarkStart w:id="13" w:name="_Toc139618789"/>
      <w:bookmarkStart w:id="14" w:name="_Toc139635516"/>
      <w:r>
        <w:t xml:space="preserve">1. </w:t>
      </w:r>
      <w:r w:rsidR="009A4DA0">
        <w:t xml:space="preserve">Creating a </w:t>
      </w:r>
      <w:r w:rsidR="007B6067">
        <w:t>larger</w:t>
      </w:r>
      <w:r w:rsidR="009A4DA0">
        <w:t xml:space="preserve"> pipeline of suitable projects</w:t>
      </w:r>
    </w:p>
    <w:p w14:paraId="7AD10CCA" w14:textId="6DD60B7E" w:rsidR="009A4DA0" w:rsidRDefault="009A4DA0" w:rsidP="00360FD4">
      <w:r>
        <w:t xml:space="preserve">A significant factor behind the lack of a market for institutional housing is </w:t>
      </w:r>
      <w:r w:rsidR="00B04F2A">
        <w:t>an inadequate</w:t>
      </w:r>
      <w:r>
        <w:t xml:space="preserve"> supply of new projects suitable for institutional investment. This limits the ability of the market to grow to the critical mass of assets and participants required to ensure a well</w:t>
      </w:r>
      <w:r w:rsidR="00563A2B">
        <w:noBreakHyphen/>
      </w:r>
      <w:r>
        <w:t>functioning and self</w:t>
      </w:r>
      <w:r w:rsidR="00563A2B">
        <w:noBreakHyphen/>
      </w:r>
      <w:r>
        <w:t>sustaining</w:t>
      </w:r>
      <w:r w:rsidR="00B37BB6">
        <w:t> </w:t>
      </w:r>
      <w:r>
        <w:t xml:space="preserve">market. This </w:t>
      </w:r>
      <w:r w:rsidR="00E238E5">
        <w:t>shortage</w:t>
      </w:r>
      <w:r>
        <w:t xml:space="preserve"> of supply reflects the scarcity of sites suitable for the construction of institutional housing assets, </w:t>
      </w:r>
      <w:r w:rsidRPr="00B72342">
        <w:t xml:space="preserve">planning </w:t>
      </w:r>
      <w:r>
        <w:t>systems that limit development, and planning</w:t>
      </w:r>
      <w:r w:rsidR="00605D18">
        <w:t> </w:t>
      </w:r>
      <w:r>
        <w:t xml:space="preserve">system complexity and inconsistencies that add to costs and risks associated with development. </w:t>
      </w:r>
    </w:p>
    <w:p w14:paraId="1FAFF6E1" w14:textId="46BA9174" w:rsidR="009A4DA0" w:rsidRDefault="009A4DA0" w:rsidP="00360FD4">
      <w:r>
        <w:t>Reflecting this finding, a central recommendation of the Council is that jurisdictions</w:t>
      </w:r>
      <w:r w:rsidRPr="00F0771D">
        <w:t xml:space="preserve"> </w:t>
      </w:r>
      <w:r>
        <w:t>classify</w:t>
      </w:r>
      <w:r w:rsidRPr="00F0771D">
        <w:t xml:space="preserve"> large</w:t>
      </w:r>
      <w:r w:rsidR="00563A2B">
        <w:noBreakHyphen/>
      </w:r>
      <w:r w:rsidRPr="00F0771D">
        <w:t xml:space="preserve">scale projects </w:t>
      </w:r>
      <w:r>
        <w:t xml:space="preserve">intended to be held as a single asset for rent </w:t>
      </w:r>
      <w:r w:rsidRPr="00F0771D">
        <w:t>as a discrete land use type for development assessment purposes</w:t>
      </w:r>
      <w:r>
        <w:t xml:space="preserve">, with the goal of creating a </w:t>
      </w:r>
      <w:r w:rsidRPr="00F0771D">
        <w:t>long</w:t>
      </w:r>
      <w:r w:rsidR="00563A2B">
        <w:noBreakHyphen/>
      </w:r>
      <w:r w:rsidRPr="00F0771D">
        <w:t>term</w:t>
      </w:r>
      <w:r>
        <w:t>,</w:t>
      </w:r>
      <w:r w:rsidRPr="00F0771D">
        <w:t xml:space="preserve"> committed rental stoc</w:t>
      </w:r>
      <w:r>
        <w:t>k</w:t>
      </w:r>
      <w:r w:rsidRPr="00F0771D">
        <w:t>.</w:t>
      </w:r>
      <w:r w:rsidR="0063405A">
        <w:t xml:space="preserve"> In addition, the Council recommends reviewing planning and zoning systems and land availability to </w:t>
      </w:r>
      <w:r w:rsidR="009A2F5A">
        <w:t xml:space="preserve">support more development of such assets. </w:t>
      </w:r>
    </w:p>
    <w:p w14:paraId="21EC9C3A" w14:textId="018D67BA" w:rsidR="009A4DA0" w:rsidRDefault="00972978" w:rsidP="009A4DA0">
      <w:pPr>
        <w:pStyle w:val="Heading4"/>
      </w:pPr>
      <w:r>
        <w:lastRenderedPageBreak/>
        <w:t xml:space="preserve">2. </w:t>
      </w:r>
      <w:r w:rsidR="009A4DA0" w:rsidRPr="00E47DFF">
        <w:t>De</w:t>
      </w:r>
      <w:r w:rsidR="00563A2B">
        <w:noBreakHyphen/>
      </w:r>
      <w:r w:rsidR="009A4DA0" w:rsidRPr="00E47DFF">
        <w:t xml:space="preserve">risking the development and </w:t>
      </w:r>
      <w:bookmarkEnd w:id="13"/>
      <w:bookmarkEnd w:id="14"/>
      <w:r w:rsidR="00E238E5">
        <w:t>ownership</w:t>
      </w:r>
      <w:r w:rsidR="009A4DA0" w:rsidRPr="00E47DFF">
        <w:t xml:space="preserve"> of projects of </w:t>
      </w:r>
      <w:r w:rsidR="003E634A">
        <w:t xml:space="preserve">institutional </w:t>
      </w:r>
      <w:r w:rsidR="009A4DA0">
        <w:t>housing</w:t>
      </w:r>
      <w:r w:rsidR="00E67AFE">
        <w:t> </w:t>
      </w:r>
      <w:r w:rsidR="009A4DA0">
        <w:t>assets</w:t>
      </w:r>
      <w:r w:rsidR="009A4DA0" w:rsidRPr="00E47DFF">
        <w:t xml:space="preserve"> </w:t>
      </w:r>
    </w:p>
    <w:p w14:paraId="0D321EB6" w14:textId="16565496" w:rsidR="009A4DA0" w:rsidRDefault="009A4DA0" w:rsidP="00FC6985">
      <w:pPr>
        <w:keepLines/>
      </w:pPr>
      <w:r w:rsidRPr="00B06041" w:rsidDel="00BF0E5A">
        <w:t xml:space="preserve">A key view of the Council that underpins its recommendations is that </w:t>
      </w:r>
      <w:r>
        <w:t>the risks associated with developing and owning institutional housing assets are currently elevated due to the nascent state of the market</w:t>
      </w:r>
      <w:r w:rsidR="00F06189">
        <w:t>. However</w:t>
      </w:r>
      <w:r>
        <w:t>, once developed, the return</w:t>
      </w:r>
      <w:r w:rsidR="00563A2B">
        <w:noBreakHyphen/>
      </w:r>
      <w:r>
        <w:t xml:space="preserve">risk characteristics of the market would be such that the market </w:t>
      </w:r>
      <w:r w:rsidR="009B404B">
        <w:t>would be</w:t>
      </w:r>
      <w:r>
        <w:t xml:space="preserve"> viable and self</w:t>
      </w:r>
      <w:r w:rsidR="00563A2B">
        <w:noBreakHyphen/>
      </w:r>
      <w:r>
        <w:t>sustaining. Until a market develops</w:t>
      </w:r>
      <w:r w:rsidRPr="00B06041">
        <w:t>,</w:t>
      </w:r>
      <w:r>
        <w:t xml:space="preserve"> </w:t>
      </w:r>
      <w:r w:rsidRPr="00B06041">
        <w:t xml:space="preserve">investing in housing, and </w:t>
      </w:r>
      <w:r w:rsidRPr="00B06041">
        <w:rPr>
          <w:i/>
          <w:iCs/>
        </w:rPr>
        <w:t xml:space="preserve">investing </w:t>
      </w:r>
      <w:r>
        <w:rPr>
          <w:i/>
          <w:iCs/>
        </w:rPr>
        <w:t xml:space="preserve">in </w:t>
      </w:r>
      <w:r w:rsidRPr="00B06041">
        <w:rPr>
          <w:i/>
          <w:iCs/>
        </w:rPr>
        <w:t>the capability to invest in housing</w:t>
      </w:r>
      <w:r w:rsidRPr="00B06041">
        <w:t xml:space="preserve">, is unattractive relative to alternative investment opportunities. </w:t>
      </w:r>
    </w:p>
    <w:p w14:paraId="26CB1422" w14:textId="5F4A191A" w:rsidR="009A4DA0" w:rsidRDefault="009A4DA0" w:rsidP="00360FD4">
      <w:r>
        <w:t xml:space="preserve">The lack of a market elevates risks in several ways. Too few projects limit the extent to which investment and underwriting analytics can be undertaken. Price discovery is limited, increasing the difficulty of valuing assets and raising risks for trustees who must ensure equity for members. </w:t>
      </w:r>
      <w:r w:rsidR="00736D5E">
        <w:t xml:space="preserve">Liquidity is </w:t>
      </w:r>
      <w:r w:rsidR="00DA3EEF">
        <w:t xml:space="preserve">limited, adding to disposal risk for owners and </w:t>
      </w:r>
      <w:r w:rsidR="007C0C6E">
        <w:t>forcing potential buyers to purchase new assets, rather than source stock from a secondary market.</w:t>
      </w:r>
      <w:r w:rsidDel="00DA3EEF">
        <w:t xml:space="preserve"> </w:t>
      </w:r>
      <w:r w:rsidR="001B73DC">
        <w:t xml:space="preserve">It limits the extent to which providers of </w:t>
      </w:r>
      <w:r w:rsidR="00044B6F">
        <w:t>debt</w:t>
      </w:r>
      <w:r w:rsidR="001B73DC">
        <w:t xml:space="preserve"> finance </w:t>
      </w:r>
      <w:r w:rsidR="0044679F">
        <w:t xml:space="preserve">invest in their capacity to </w:t>
      </w:r>
      <w:r w:rsidR="00044B6F">
        <w:t>lend to the sector. And it</w:t>
      </w:r>
      <w:r w:rsidR="000F4245">
        <w:t xml:space="preserve"> </w:t>
      </w:r>
      <w:r>
        <w:t>elevates uncertainty about government policy and regulatory arrangements, given the lack of an existing constituency that can advocate for stability in policy settings</w:t>
      </w:r>
      <w:r w:rsidR="00F51C70">
        <w:t>.</w:t>
      </w:r>
      <w:r>
        <w:t xml:space="preserve"> </w:t>
      </w:r>
    </w:p>
    <w:p w14:paraId="57D024A8" w14:textId="203BC1BA" w:rsidR="009A4DA0" w:rsidRDefault="00670233" w:rsidP="00360FD4">
      <w:pPr>
        <w:rPr>
          <w:b/>
          <w:bCs/>
        </w:rPr>
      </w:pPr>
      <w:r>
        <w:t xml:space="preserve">The Council identified </w:t>
      </w:r>
      <w:r w:rsidR="00AE78E7">
        <w:t>that</w:t>
      </w:r>
      <w:r>
        <w:t xml:space="preserve"> s</w:t>
      </w:r>
      <w:r w:rsidR="009A4DA0" w:rsidRPr="00B72342">
        <w:t xml:space="preserve">ome aspects of the superannuation system </w:t>
      </w:r>
      <w:r w:rsidR="008B211E">
        <w:t>affect institutional investment in housing</w:t>
      </w:r>
      <w:r w:rsidR="00C737C0">
        <w:t>. These include</w:t>
      </w:r>
      <w:r w:rsidR="009A4DA0">
        <w:t xml:space="preserve"> </w:t>
      </w:r>
      <w:r w:rsidR="00F51C70">
        <w:t xml:space="preserve">the fact </w:t>
      </w:r>
      <w:r w:rsidR="009A4DA0">
        <w:t xml:space="preserve">that </w:t>
      </w:r>
      <w:r w:rsidR="009A4DA0" w:rsidRPr="00B72342">
        <w:t>performance test benchmarks</w:t>
      </w:r>
      <w:r w:rsidR="009A4DA0">
        <w:t xml:space="preserve"> </w:t>
      </w:r>
      <w:r w:rsidR="001F0B24">
        <w:t>have not</w:t>
      </w:r>
      <w:r w:rsidR="009A4DA0">
        <w:t xml:space="preserve"> </w:t>
      </w:r>
      <w:r w:rsidR="001F0B24">
        <w:t xml:space="preserve">generally incorporated </w:t>
      </w:r>
      <w:r w:rsidR="00F51C70" w:rsidRPr="00B72342">
        <w:t>housing</w:t>
      </w:r>
      <w:r w:rsidR="006147C8">
        <w:t>. Several stakeholders also argued that</w:t>
      </w:r>
      <w:r w:rsidR="009A4DA0">
        <w:t xml:space="preserve"> </w:t>
      </w:r>
      <w:r w:rsidR="009B6041">
        <w:t>some</w:t>
      </w:r>
      <w:r w:rsidR="009A4DA0">
        <w:t xml:space="preserve"> </w:t>
      </w:r>
      <w:r w:rsidR="00E37CB0">
        <w:t>superannuation</w:t>
      </w:r>
      <w:r w:rsidR="009A4DA0">
        <w:t xml:space="preserve"> </w:t>
      </w:r>
      <w:r w:rsidR="009A4DA0" w:rsidRPr="00B72342">
        <w:t>disclos</w:t>
      </w:r>
      <w:r w:rsidR="009A4DA0">
        <w:t>ure</w:t>
      </w:r>
      <w:r w:rsidR="009A4DA0" w:rsidRPr="00B72342">
        <w:t xml:space="preserve"> </w:t>
      </w:r>
      <w:r w:rsidR="009A4DA0">
        <w:t xml:space="preserve">requirements </w:t>
      </w:r>
      <w:r w:rsidR="009A4DA0" w:rsidRPr="00B72342">
        <w:t xml:space="preserve">create </w:t>
      </w:r>
      <w:r w:rsidR="00126824">
        <w:t>a</w:t>
      </w:r>
      <w:r w:rsidR="00C32E20">
        <w:t> </w:t>
      </w:r>
      <w:r w:rsidR="009A4DA0" w:rsidRPr="00B72342">
        <w:t>perception that fund</w:t>
      </w:r>
      <w:r w:rsidR="00115A77">
        <w:t>s</w:t>
      </w:r>
      <w:r w:rsidR="009A4DA0" w:rsidRPr="00B72342">
        <w:t xml:space="preserve"> that invest in property ha</w:t>
      </w:r>
      <w:r w:rsidR="002841BF">
        <w:t>ve</w:t>
      </w:r>
      <w:r w:rsidR="009A4DA0" w:rsidRPr="00B72342">
        <w:t xml:space="preserve"> high management</w:t>
      </w:r>
      <w:r w:rsidR="00563A2B">
        <w:noBreakHyphen/>
      </w:r>
      <w:r w:rsidR="009A4DA0" w:rsidRPr="00B72342">
        <w:t>expense ratios.</w:t>
      </w:r>
    </w:p>
    <w:p w14:paraId="671B25BC" w14:textId="77777777" w:rsidR="009A4DA0" w:rsidRDefault="009A4DA0" w:rsidP="00360FD4">
      <w:r>
        <w:t>More generally, a common theme running throughout the consultation process was that the inconsistency in policy settings and frameworks between, and sometimes within, jurisdictions adds to costs and risks of individual projects. Moreover, the lack of policy consistency limits the ability of investors to derive benefits from scale by developing, holding and managing multiple projects.</w:t>
      </w:r>
    </w:p>
    <w:p w14:paraId="1BE1F5DD" w14:textId="47998C07" w:rsidR="00E92D04" w:rsidRDefault="00E92D04" w:rsidP="00360FD4">
      <w:r>
        <w:t xml:space="preserve">To reduce risks for developers and investors, the Council </w:t>
      </w:r>
      <w:r w:rsidR="009B404B">
        <w:t>recommends the establishment of</w:t>
      </w:r>
      <w:r>
        <w:t xml:space="preserve"> housing targets and </w:t>
      </w:r>
      <w:r w:rsidR="009B404B">
        <w:t xml:space="preserve">measures to </w:t>
      </w:r>
      <w:r>
        <w:t>improve data availability</w:t>
      </w:r>
      <w:r w:rsidR="008034C3">
        <w:t xml:space="preserve">, which will improve certainty </w:t>
      </w:r>
      <w:r w:rsidR="000D1C78">
        <w:t xml:space="preserve">and the availability of information </w:t>
      </w:r>
      <w:r w:rsidR="008034C3">
        <w:t>to facilitate the planning</w:t>
      </w:r>
      <w:r w:rsidR="00E67110">
        <w:t>,</w:t>
      </w:r>
      <w:r w:rsidR="008034C3">
        <w:t xml:space="preserve"> and </w:t>
      </w:r>
      <w:r w:rsidR="00316808">
        <w:t>risk and cost management</w:t>
      </w:r>
      <w:r w:rsidR="00E67110">
        <w:t>,</w:t>
      </w:r>
      <w:r w:rsidR="008034C3">
        <w:t xml:space="preserve"> of projects</w:t>
      </w:r>
      <w:r>
        <w:t xml:space="preserve">. </w:t>
      </w:r>
      <w:r w:rsidR="00260638">
        <w:t>The Council also recommends addressing</w:t>
      </w:r>
      <w:r w:rsidR="00AA2A65">
        <w:t xml:space="preserve"> gaps in the provision of finance</w:t>
      </w:r>
      <w:r w:rsidR="00260638">
        <w:t>. Finally, the</w:t>
      </w:r>
      <w:r w:rsidR="00FE6526">
        <w:t xml:space="preserve"> </w:t>
      </w:r>
      <w:r w:rsidR="00FB62AB">
        <w:t>Council</w:t>
      </w:r>
      <w:r>
        <w:t xml:space="preserve"> advises</w:t>
      </w:r>
      <w:r w:rsidR="009152C1">
        <w:t xml:space="preserve"> a</w:t>
      </w:r>
      <w:r>
        <w:t xml:space="preserve"> review</w:t>
      </w:r>
      <w:r w:rsidR="009152C1">
        <w:t xml:space="preserve"> of</w:t>
      </w:r>
      <w:r>
        <w:t xml:space="preserve"> superannuation regulations to ensure they do not </w:t>
      </w:r>
      <w:r w:rsidR="00996E43">
        <w:t>disincentivise</w:t>
      </w:r>
      <w:r>
        <w:t xml:space="preserve"> investment in housing</w:t>
      </w:r>
      <w:r w:rsidR="00B6666B">
        <w:t>.</w:t>
      </w:r>
    </w:p>
    <w:p w14:paraId="6172802D" w14:textId="4B633323" w:rsidR="009A4DA0" w:rsidRPr="00E47DFF" w:rsidRDefault="00B6666B" w:rsidP="009A4DA0">
      <w:pPr>
        <w:pStyle w:val="Heading4"/>
      </w:pPr>
      <w:bookmarkStart w:id="15" w:name="_Toc139618792"/>
      <w:bookmarkStart w:id="16" w:name="_Toc139635519"/>
      <w:r>
        <w:t>3</w:t>
      </w:r>
      <w:r w:rsidR="00972978">
        <w:t xml:space="preserve">. </w:t>
      </w:r>
      <w:r w:rsidR="009A4DA0" w:rsidRPr="00E47DFF">
        <w:t>Supporting institutional investment in social and affordable housing</w:t>
      </w:r>
      <w:bookmarkEnd w:id="15"/>
      <w:bookmarkEnd w:id="16"/>
      <w:r w:rsidR="009A4DA0" w:rsidRPr="00E47DFF">
        <w:t xml:space="preserve"> </w:t>
      </w:r>
    </w:p>
    <w:p w14:paraId="00AC211B" w14:textId="2BCE7BD9" w:rsidR="009A4DA0" w:rsidRDefault="009A4DA0" w:rsidP="00360FD4">
      <w:r>
        <w:t>There are additional barriers to institutional investment in social and affordable housing. R</w:t>
      </w:r>
      <w:r w:rsidRPr="00B72342">
        <w:t>egulatory</w:t>
      </w:r>
      <w:r w:rsidR="007859A4" w:rsidRPr="006B7CED">
        <w:rPr>
          <w:rFonts w:cstheme="minorHAnsi"/>
          <w:szCs w:val="22"/>
        </w:rPr>
        <w:t> </w:t>
      </w:r>
      <w:r w:rsidRPr="00B06041">
        <w:t xml:space="preserve">regimes </w:t>
      </w:r>
      <w:r w:rsidRPr="00B72342">
        <w:t xml:space="preserve">for </w:t>
      </w:r>
      <w:r>
        <w:t>c</w:t>
      </w:r>
      <w:r w:rsidRPr="00B72342">
        <w:t xml:space="preserve">ommunity </w:t>
      </w:r>
      <w:r>
        <w:t>h</w:t>
      </w:r>
      <w:r w:rsidRPr="00B72342">
        <w:t xml:space="preserve">ousing </w:t>
      </w:r>
      <w:r>
        <w:t>p</w:t>
      </w:r>
      <w:r w:rsidRPr="00B72342">
        <w:t>roviders</w:t>
      </w:r>
      <w:r w:rsidR="008C022D">
        <w:t xml:space="preserve"> </w:t>
      </w:r>
      <w:r>
        <w:t xml:space="preserve">are inconsistent across jurisdictions and inadequately account for the complexity of financing arrangements. In addition, </w:t>
      </w:r>
      <w:r w:rsidRPr="00B06041">
        <w:t>different definitions of affordable housing</w:t>
      </w:r>
      <w:r>
        <w:t xml:space="preserve"> </w:t>
      </w:r>
      <w:r w:rsidR="00356CA1">
        <w:t xml:space="preserve">across </w:t>
      </w:r>
      <w:r w:rsidR="00B16F99">
        <w:t xml:space="preserve">(and within) </w:t>
      </w:r>
      <w:r w:rsidR="00356CA1">
        <w:t>jurisdictions</w:t>
      </w:r>
      <w:r w:rsidR="00356CA1" w:rsidRPr="00B06041">
        <w:t xml:space="preserve"> </w:t>
      </w:r>
      <w:r w:rsidRPr="00B06041">
        <w:t>add to complexity and administrative costs and stym</w:t>
      </w:r>
      <w:r>
        <w:t>ie</w:t>
      </w:r>
      <w:r w:rsidRPr="00B06041">
        <w:t xml:space="preserve"> scalability of the</w:t>
      </w:r>
      <w:r>
        <w:t xml:space="preserve"> sector. More generally, </w:t>
      </w:r>
      <w:r w:rsidR="004A3162">
        <w:t xml:space="preserve">a </w:t>
      </w:r>
      <w:r w:rsidR="00450240">
        <w:t>high variance in the size and capabilities</w:t>
      </w:r>
      <w:r>
        <w:t xml:space="preserve"> in the c</w:t>
      </w:r>
      <w:r w:rsidRPr="00B72342">
        <w:t xml:space="preserve">ommunity </w:t>
      </w:r>
      <w:r>
        <w:t>h</w:t>
      </w:r>
      <w:r w:rsidRPr="00B72342">
        <w:t xml:space="preserve">ousing </w:t>
      </w:r>
      <w:r>
        <w:t xml:space="preserve">sector limits the capacity of the sector to effectively partner with institutional capital. </w:t>
      </w:r>
      <w:r w:rsidR="004937B0">
        <w:t xml:space="preserve">And it is difficult for investors to achieve scale in the sector. </w:t>
      </w:r>
      <w:r w:rsidR="00EA38DF">
        <w:t xml:space="preserve">To address these, the Council makes recommendations related to </w:t>
      </w:r>
      <w:r w:rsidR="008B5482">
        <w:t>co</w:t>
      </w:r>
      <w:r w:rsidR="00085B8A">
        <w:t xml:space="preserve">mmunity housing provider </w:t>
      </w:r>
      <w:r w:rsidR="00EA38DF">
        <w:t>regulation, capability building</w:t>
      </w:r>
      <w:r w:rsidR="007E19DA">
        <w:t xml:space="preserve">, </w:t>
      </w:r>
      <w:r w:rsidR="00EA38DF">
        <w:t>sector definitions</w:t>
      </w:r>
      <w:r w:rsidR="007E19DA">
        <w:t xml:space="preserve">, and the creation of </w:t>
      </w:r>
      <w:r w:rsidR="00F77D3B">
        <w:t xml:space="preserve">an </w:t>
      </w:r>
      <w:r w:rsidR="00E67110">
        <w:t>asset</w:t>
      </w:r>
      <w:r w:rsidR="007E19DA">
        <w:t xml:space="preserve"> aggregator</w:t>
      </w:r>
      <w:r w:rsidR="00EA38DF">
        <w:t xml:space="preserve">. </w:t>
      </w:r>
    </w:p>
    <w:p w14:paraId="33CC602E" w14:textId="3839941C" w:rsidR="00022302" w:rsidRDefault="00022302" w:rsidP="00FC6985">
      <w:pPr>
        <w:keepLines/>
      </w:pPr>
      <w:r>
        <w:lastRenderedPageBreak/>
        <w:t>The fact that most rental housing in Australia is provided by private landlords via a market mechanism is taken as axiomatic, and this report does not provide an opinion on the merits or otherwise of a market</w:t>
      </w:r>
      <w:r w:rsidR="00563A2B">
        <w:noBreakHyphen/>
      </w:r>
      <w:r>
        <w:t>based housing system. Rather, in the context of Australia</w:t>
      </w:r>
      <w:r w:rsidR="00563A2B">
        <w:t>’</w:t>
      </w:r>
      <w:r>
        <w:t xml:space="preserve">s housing market, it seeks to improve housing outcomes for a large and growing segment of the population. It does this by identifying shortcomings in the provision of rental housing that institutional capital is well placed to address and proposes recommendations that remove barriers to this outcome without favouring any one form of housing provision. </w:t>
      </w:r>
    </w:p>
    <w:p w14:paraId="5B1F1C57" w14:textId="77777777" w:rsidR="006C6F85" w:rsidRDefault="009A4DA0" w:rsidP="006C6F85">
      <w:r>
        <w:t xml:space="preserve">While beyond the scope of the terms of reference of this report, a concluding view of the Council derived from the international evidence is that a clear and nationally consistent regulatory framework of tenant and investor rights </w:t>
      </w:r>
      <w:r w:rsidR="0062728E">
        <w:t>needs to be</w:t>
      </w:r>
      <w:r>
        <w:t xml:space="preserve"> developed in parallel to the emergence of an institutional market to ensure both tenants and investors benefit from the market. The creation of such a framework need not be a barrier to institutional investment; rather, it can potentially provide additional certainty to investors, allowing better investment forecasts and risk assessment, while at the same time providing protections and certainty for tenants.</w:t>
      </w:r>
    </w:p>
    <w:p w14:paraId="2698DE49" w14:textId="2493F4B2" w:rsidR="0060245C" w:rsidRPr="006C6F85" w:rsidRDefault="0060245C" w:rsidP="006C6F85">
      <w:r>
        <w:br w:type="page"/>
      </w:r>
    </w:p>
    <w:p w14:paraId="49258852" w14:textId="7C7B7087" w:rsidR="009A4DA0" w:rsidRDefault="009A4DA0" w:rsidP="009A4DA0">
      <w:pPr>
        <w:pStyle w:val="Heading1"/>
      </w:pPr>
      <w:bookmarkStart w:id="17" w:name="_Toc141355233"/>
      <w:r>
        <w:lastRenderedPageBreak/>
        <w:t>Table of Recommendations</w:t>
      </w:r>
      <w:bookmarkEnd w:id="17"/>
      <w:r w:rsidR="00EE1F27">
        <w:t xml:space="preserve"> </w:t>
      </w:r>
    </w:p>
    <w:tbl>
      <w:tblPr>
        <w:tblW w:w="5000" w:type="pct"/>
        <w:shd w:val="clear" w:color="auto" w:fill="F2E3C7" w:themeFill="background2"/>
        <w:tblCellMar>
          <w:top w:w="284" w:type="dxa"/>
          <w:left w:w="284" w:type="dxa"/>
          <w:bottom w:w="284" w:type="dxa"/>
          <w:right w:w="284" w:type="dxa"/>
        </w:tblCellMar>
        <w:tblLook w:val="0600" w:firstRow="0" w:lastRow="0" w:firstColumn="0" w:lastColumn="0" w:noHBand="1" w:noVBand="1"/>
      </w:tblPr>
      <w:tblGrid>
        <w:gridCol w:w="9070"/>
      </w:tblGrid>
      <w:tr w:rsidR="009A4DA0" w14:paraId="10DADF59" w14:textId="77777777">
        <w:tc>
          <w:tcPr>
            <w:tcW w:w="5000" w:type="pct"/>
            <w:shd w:val="clear" w:color="auto" w:fill="BAD4E8" w:themeFill="accent5"/>
            <w:hideMark/>
          </w:tcPr>
          <w:p w14:paraId="3958EA3C" w14:textId="1D453009" w:rsidR="00675143" w:rsidRPr="00DD0F11" w:rsidRDefault="009A4DA0" w:rsidP="00D018FC">
            <w:pPr>
              <w:pStyle w:val="BoxHeading2"/>
              <w:framePr w:hSpace="0" w:wrap="auto" w:vAnchor="margin" w:yAlign="inline"/>
              <w:suppressOverlap w:val="0"/>
            </w:pPr>
            <w:bookmarkStart w:id="18" w:name="_Hlk141347351"/>
            <w:r w:rsidRPr="00E304D0">
              <w:t xml:space="preserve">Recommendation </w:t>
            </w:r>
            <w:r>
              <w:t>1</w:t>
            </w:r>
            <w:r w:rsidRPr="00DD0F11">
              <w:t xml:space="preserve">: </w:t>
            </w:r>
            <w:r w:rsidR="00542DE7" w:rsidRPr="00675143">
              <w:t>Build</w:t>
            </w:r>
            <w:r w:rsidR="00563A2B">
              <w:noBreakHyphen/>
            </w:r>
            <w:r w:rsidR="00542DE7" w:rsidRPr="00675143">
              <w:t>to</w:t>
            </w:r>
            <w:r w:rsidR="00563A2B">
              <w:noBreakHyphen/>
            </w:r>
            <w:r w:rsidR="00542DE7" w:rsidRPr="00675143">
              <w:t>rent as a</w:t>
            </w:r>
            <w:r w:rsidRPr="00675143">
              <w:t xml:space="preserve"> </w:t>
            </w:r>
            <w:r w:rsidR="00675143" w:rsidRPr="00675143">
              <w:rPr>
                <w:bCs/>
              </w:rPr>
              <w:t>separately defined development type</w:t>
            </w:r>
          </w:p>
          <w:p w14:paraId="4FF511AF" w14:textId="5C5E2F19" w:rsidR="00FC2335" w:rsidRDefault="009A4DA0" w:rsidP="00D018FC">
            <w:pPr>
              <w:pStyle w:val="BoxText"/>
            </w:pPr>
            <w:r w:rsidRPr="00E304D0">
              <w:t>Commonwealth, state and territory governments should develop nationally consistent planning provisions under which large</w:t>
            </w:r>
            <w:r w:rsidR="00563A2B">
              <w:noBreakHyphen/>
            </w:r>
            <w:r w:rsidRPr="00E304D0">
              <w:t>scale build</w:t>
            </w:r>
            <w:r w:rsidR="00563A2B">
              <w:noBreakHyphen/>
            </w:r>
            <w:r w:rsidRPr="00E304D0">
              <w:t>to</w:t>
            </w:r>
            <w:r w:rsidR="00563A2B">
              <w:noBreakHyphen/>
            </w:r>
            <w:r w:rsidRPr="00E304D0">
              <w:t>rent</w:t>
            </w:r>
            <w:r w:rsidR="009D18F0" w:rsidRPr="00E304D0">
              <w:t xml:space="preserve"> projects </w:t>
            </w:r>
            <w:r w:rsidRPr="00E304D0">
              <w:t xml:space="preserve">are a </w:t>
            </w:r>
            <w:r w:rsidRPr="00D018FC">
              <w:t>separately</w:t>
            </w:r>
            <w:r w:rsidRPr="00E304D0">
              <w:t xml:space="preserve"> defined development type subject to expedited planning and development assessment</w:t>
            </w:r>
            <w:r w:rsidR="00AD33C1">
              <w:t>.</w:t>
            </w:r>
          </w:p>
          <w:p w14:paraId="2C8A6C7A" w14:textId="50056857" w:rsidR="00FC2335" w:rsidRPr="00DD0F11" w:rsidRDefault="00FC2335" w:rsidP="00D018FC">
            <w:pPr>
              <w:pStyle w:val="BoxHeading2"/>
              <w:framePr w:hSpace="0" w:wrap="auto" w:vAnchor="margin" w:yAlign="inline"/>
              <w:suppressOverlap w:val="0"/>
            </w:pPr>
            <w:r w:rsidRPr="00E304D0">
              <w:t xml:space="preserve">Recommendation </w:t>
            </w:r>
            <w:r>
              <w:t>2</w:t>
            </w:r>
            <w:r w:rsidRPr="00DD0F11">
              <w:t xml:space="preserve">: </w:t>
            </w:r>
            <w:r>
              <w:t>Reviewing planning systems</w:t>
            </w:r>
          </w:p>
          <w:p w14:paraId="4886C61C" w14:textId="05F493D7" w:rsidR="009A4DA0" w:rsidRPr="00E304D0" w:rsidRDefault="0062728E" w:rsidP="00D018FC">
            <w:pPr>
              <w:pStyle w:val="BoxText"/>
            </w:pPr>
            <w:r>
              <w:t>S</w:t>
            </w:r>
            <w:r w:rsidR="009A4DA0" w:rsidRPr="00E304D0">
              <w:t xml:space="preserve">tate and territory governments should identify, review and address barriers in planning and zoning systems </w:t>
            </w:r>
            <w:r w:rsidR="00E92BAB">
              <w:t>that impede</w:t>
            </w:r>
            <w:r w:rsidR="009A4DA0" w:rsidRPr="00E304D0">
              <w:t xml:space="preserve"> the construction of large</w:t>
            </w:r>
            <w:r w:rsidR="00563A2B">
              <w:noBreakHyphen/>
            </w:r>
            <w:r w:rsidR="009A4DA0" w:rsidRPr="00E304D0">
              <w:t>scale housing assets suitable for institutional investment</w:t>
            </w:r>
            <w:r w:rsidR="00E92BAB">
              <w:t xml:space="preserve">. </w:t>
            </w:r>
          </w:p>
          <w:p w14:paraId="433AF928" w14:textId="36017D4B" w:rsidR="00675143" w:rsidRPr="00DD0F11" w:rsidRDefault="009A4DA0" w:rsidP="00D018FC">
            <w:pPr>
              <w:pStyle w:val="BoxHeading2"/>
              <w:framePr w:hSpace="0" w:wrap="auto" w:vAnchor="margin" w:yAlign="inline"/>
              <w:suppressOverlap w:val="0"/>
            </w:pPr>
            <w:r w:rsidRPr="00E304D0">
              <w:t xml:space="preserve">Recommendation </w:t>
            </w:r>
            <w:r w:rsidR="00FC2335">
              <w:t>3</w:t>
            </w:r>
            <w:r w:rsidRPr="00DD0F11">
              <w:t xml:space="preserve">: </w:t>
            </w:r>
            <w:r w:rsidR="00302AB9" w:rsidRPr="00302AB9">
              <w:t>Improving l</w:t>
            </w:r>
            <w:r w:rsidR="00DC0028" w:rsidRPr="00302AB9">
              <w:t>and</w:t>
            </w:r>
            <w:r w:rsidR="00DC0028" w:rsidRPr="00DC0028">
              <w:t xml:space="preserve"> availability</w:t>
            </w:r>
          </w:p>
          <w:p w14:paraId="756B08FE" w14:textId="12C4CEB2" w:rsidR="009A4DA0" w:rsidRDefault="009A4DA0" w:rsidP="00D018FC">
            <w:pPr>
              <w:pStyle w:val="BoxText"/>
            </w:pPr>
            <w:r w:rsidRPr="00E304D0">
              <w:t xml:space="preserve">State and </w:t>
            </w:r>
            <w:r>
              <w:t>t</w:t>
            </w:r>
            <w:r w:rsidRPr="00E304D0">
              <w:t>erritory development corporations and their associated precinct planning bodies should accelerate land assembly (including through compulsory acquisition as a last resort), infrastructure provision and development approvals in areas which are suitable for large</w:t>
            </w:r>
            <w:r w:rsidR="00563A2B">
              <w:noBreakHyphen/>
            </w:r>
            <w:r w:rsidRPr="00E304D0">
              <w:t>scale intensive housing development.</w:t>
            </w:r>
          </w:p>
          <w:p w14:paraId="67A90D35" w14:textId="47E2B25B" w:rsidR="00327447" w:rsidRPr="00302AB9" w:rsidRDefault="009A4DA0" w:rsidP="00D018FC">
            <w:pPr>
              <w:pStyle w:val="BoxHeading2"/>
              <w:framePr w:hSpace="0" w:wrap="auto" w:vAnchor="margin" w:yAlign="inline"/>
              <w:suppressOverlap w:val="0"/>
            </w:pPr>
            <w:bookmarkStart w:id="19" w:name="_Hlk140668890"/>
            <w:r w:rsidRPr="00E304D0">
              <w:t xml:space="preserve">Recommendation </w:t>
            </w:r>
            <w:r w:rsidR="00FC2335">
              <w:t>4</w:t>
            </w:r>
            <w:r w:rsidRPr="00302AB9">
              <w:t xml:space="preserve">: </w:t>
            </w:r>
            <w:r w:rsidR="00302AB9" w:rsidRPr="00302AB9">
              <w:t>Establishing h</w:t>
            </w:r>
            <w:r w:rsidR="00327447" w:rsidRPr="00302AB9">
              <w:t>ousing</w:t>
            </w:r>
            <w:r w:rsidR="00327447" w:rsidRPr="00327447">
              <w:rPr>
                <w:bCs/>
              </w:rPr>
              <w:t xml:space="preserve"> targets</w:t>
            </w:r>
          </w:p>
          <w:p w14:paraId="0E6108CF" w14:textId="275EB69A" w:rsidR="00560518" w:rsidRDefault="009A4DA0" w:rsidP="00D018FC">
            <w:pPr>
              <w:pStyle w:val="BoxText"/>
            </w:pPr>
            <w:r w:rsidRPr="00E304D0">
              <w:t xml:space="preserve">Commonwealth, state and territory governments should </w:t>
            </w:r>
            <w:r w:rsidR="00327447">
              <w:t>expand on</w:t>
            </w:r>
            <w:r>
              <w:t xml:space="preserve"> the aspirational national target </w:t>
            </w:r>
            <w:r w:rsidR="00E3227B">
              <w:t xml:space="preserve">described </w:t>
            </w:r>
            <w:r>
              <w:t>in the National Housing Accord 2022</w:t>
            </w:r>
            <w:r w:rsidR="006C4B1A">
              <w:t xml:space="preserve"> </w:t>
            </w:r>
            <w:r w:rsidR="006426A9">
              <w:t>by</w:t>
            </w:r>
            <w:r w:rsidR="006C4B1A">
              <w:t xml:space="preserve"> </w:t>
            </w:r>
            <w:r w:rsidR="003722AA">
              <w:t>agree</w:t>
            </w:r>
            <w:r w:rsidR="006426A9">
              <w:t>ing</w:t>
            </w:r>
            <w:r w:rsidR="003722AA">
              <w:t xml:space="preserve"> to</w:t>
            </w:r>
            <w:r w:rsidR="00560518">
              <w:t>,</w:t>
            </w:r>
            <w:r w:rsidR="003722AA">
              <w:t xml:space="preserve"> </w:t>
            </w:r>
            <w:r w:rsidRPr="00E304D0">
              <w:t>and publish</w:t>
            </w:r>
            <w:r w:rsidR="006426A9">
              <w:t>ing</w:t>
            </w:r>
            <w:r w:rsidR="00560518">
              <w:t>,</w:t>
            </w:r>
            <w:r w:rsidRPr="00E304D0">
              <w:t xml:space="preserve"> </w:t>
            </w:r>
            <w:r>
              <w:t xml:space="preserve">specific </w:t>
            </w:r>
            <w:r w:rsidRPr="00E304D0">
              <w:t>housing targets</w:t>
            </w:r>
            <w:r w:rsidR="005D0AD4">
              <w:t xml:space="preserve"> for each state and territory</w:t>
            </w:r>
            <w:r>
              <w:t xml:space="preserve">. </w:t>
            </w:r>
            <w:r w:rsidR="006C4B1A" w:rsidRPr="00360FD4">
              <w:t>A</w:t>
            </w:r>
            <w:r w:rsidRPr="00360FD4">
              <w:t>ppropriate</w:t>
            </w:r>
            <w:r w:rsidRPr="00E304D0">
              <w:t xml:space="preserve"> incentives and penalties </w:t>
            </w:r>
            <w:r w:rsidR="006C4B1A">
              <w:t xml:space="preserve">should be attached to the meeting of these targets. This will </w:t>
            </w:r>
            <w:r w:rsidRPr="00E304D0">
              <w:t>ensure a pipeline of suitable housing assets exists to facilitate investor planning and to demonstrate policy commitment to the development of an institutional housing market.</w:t>
            </w:r>
          </w:p>
          <w:p w14:paraId="63152673" w14:textId="7FA68B53" w:rsidR="009D43EC" w:rsidRPr="0043016E" w:rsidRDefault="009A4DA0" w:rsidP="00D018FC">
            <w:pPr>
              <w:pStyle w:val="BoxHeading2"/>
              <w:framePr w:hSpace="0" w:wrap="auto" w:vAnchor="margin" w:yAlign="inline"/>
              <w:suppressOverlap w:val="0"/>
            </w:pPr>
            <w:r w:rsidRPr="00FF6422">
              <w:t xml:space="preserve">Recommendation </w:t>
            </w:r>
            <w:r w:rsidR="00FC2335">
              <w:t>5</w:t>
            </w:r>
            <w:r w:rsidRPr="00FF6422">
              <w:t>:</w:t>
            </w:r>
            <w:r w:rsidR="009D43EC">
              <w:t xml:space="preserve"> </w:t>
            </w:r>
            <w:r w:rsidR="00302AB9">
              <w:t>Improving d</w:t>
            </w:r>
            <w:r w:rsidR="009D43EC">
              <w:t>ata availability</w:t>
            </w:r>
          </w:p>
          <w:bookmarkEnd w:id="19"/>
          <w:p w14:paraId="5BE291F6" w14:textId="0E0A746C" w:rsidR="00C94F3E" w:rsidRDefault="00C94F3E" w:rsidP="00D018FC">
            <w:pPr>
              <w:pStyle w:val="BoxText"/>
            </w:pPr>
            <w:r w:rsidRPr="00C94F3E">
              <w:t xml:space="preserve">Commonwealth, state and territory governments, and the community housing sector, should work with institutional investors to identify and publish specific data that </w:t>
            </w:r>
            <w:r w:rsidR="00C61C19">
              <w:t>governments and the community sector</w:t>
            </w:r>
            <w:r w:rsidR="00C61C19" w:rsidRPr="00C94F3E">
              <w:t xml:space="preserve"> </w:t>
            </w:r>
            <w:r w:rsidRPr="00C94F3E">
              <w:t>are best placed to collect</w:t>
            </w:r>
            <w:r w:rsidR="00C61C19">
              <w:t xml:space="preserve"> (or already collect)</w:t>
            </w:r>
            <w:r w:rsidRPr="00C94F3E">
              <w:t xml:space="preserve"> </w:t>
            </w:r>
            <w:r w:rsidR="0062728E">
              <w:t xml:space="preserve">and </w:t>
            </w:r>
            <w:r w:rsidR="00D91417">
              <w:t xml:space="preserve">make </w:t>
            </w:r>
            <w:r w:rsidR="009941D4">
              <w:t xml:space="preserve">these data available </w:t>
            </w:r>
            <w:r w:rsidRPr="00C94F3E">
              <w:t>to assist in de</w:t>
            </w:r>
            <w:r w:rsidR="00563A2B">
              <w:noBreakHyphen/>
            </w:r>
            <w:r w:rsidRPr="00C94F3E">
              <w:t xml:space="preserve">risking the development and management of institutional housing assets. </w:t>
            </w:r>
          </w:p>
          <w:p w14:paraId="6E7C49A8" w14:textId="1DF580D3" w:rsidR="009D43EC" w:rsidRPr="00DD0F11" w:rsidRDefault="009A4DA0" w:rsidP="00D018FC">
            <w:pPr>
              <w:pStyle w:val="BoxHeading2"/>
              <w:framePr w:hSpace="0" w:wrap="auto" w:vAnchor="margin" w:yAlign="inline"/>
              <w:suppressOverlap w:val="0"/>
            </w:pPr>
            <w:r w:rsidRPr="00E304D0">
              <w:t xml:space="preserve">Recommendation </w:t>
            </w:r>
            <w:r w:rsidR="00FC2335">
              <w:t>6</w:t>
            </w:r>
            <w:r w:rsidRPr="00DD0F11">
              <w:t xml:space="preserve">: </w:t>
            </w:r>
            <w:r w:rsidR="00302AB9">
              <w:t>Appropriate s</w:t>
            </w:r>
            <w:r w:rsidR="009D43EC" w:rsidRPr="009D43EC">
              <w:t>uperannuation</w:t>
            </w:r>
            <w:r w:rsidR="00302AB9">
              <w:t xml:space="preserve"> regulations</w:t>
            </w:r>
          </w:p>
          <w:p w14:paraId="7CB3DDF3" w14:textId="7D48D765" w:rsidR="009A4DA0" w:rsidRPr="00E304D0" w:rsidRDefault="009A4DA0" w:rsidP="00D018FC">
            <w:pPr>
              <w:pStyle w:val="BoxText"/>
            </w:pPr>
            <w:r>
              <w:t>S</w:t>
            </w:r>
            <w:r w:rsidRPr="00E304D0">
              <w:t xml:space="preserve">uperannuation regulations </w:t>
            </w:r>
            <w:r>
              <w:t xml:space="preserve">should be reviewed </w:t>
            </w:r>
            <w:r w:rsidRPr="00E304D0">
              <w:t xml:space="preserve">to ensure </w:t>
            </w:r>
            <w:r>
              <w:t>that</w:t>
            </w:r>
            <w:r w:rsidRPr="00E304D0">
              <w:t xml:space="preserve"> they do not disincentivise investment in new asset classes</w:t>
            </w:r>
            <w:r>
              <w:t>,</w:t>
            </w:r>
            <w:r w:rsidRPr="00E304D0">
              <w:t xml:space="preserve"> such as housing</w:t>
            </w:r>
            <w:r>
              <w:t>,</w:t>
            </w:r>
            <w:r w:rsidRPr="00E304D0">
              <w:t xml:space="preserve"> while ensuring the integrity of the superannuation system.</w:t>
            </w:r>
          </w:p>
          <w:p w14:paraId="61C220AA" w14:textId="19490B99" w:rsidR="0044656A" w:rsidRPr="002F5178" w:rsidRDefault="009A4DA0" w:rsidP="00D018FC">
            <w:pPr>
              <w:pStyle w:val="BoxHeading2"/>
              <w:framePr w:hSpace="0" w:wrap="auto" w:vAnchor="margin" w:yAlign="inline"/>
              <w:suppressOverlap w:val="0"/>
            </w:pPr>
            <w:r w:rsidRPr="00E304D0">
              <w:t xml:space="preserve">Recommendation </w:t>
            </w:r>
            <w:r w:rsidR="002116A1">
              <w:t>7</w:t>
            </w:r>
            <w:r w:rsidRPr="00DD0F11">
              <w:t xml:space="preserve">: </w:t>
            </w:r>
            <w:r w:rsidR="0044656A" w:rsidRPr="002F5178">
              <w:t xml:space="preserve">Gaps in financing </w:t>
            </w:r>
          </w:p>
          <w:p w14:paraId="7A2D618C" w14:textId="08CEBD00" w:rsidR="00644A9A" w:rsidRPr="00644A9A" w:rsidRDefault="00644A9A" w:rsidP="00D018FC">
            <w:pPr>
              <w:pStyle w:val="BoxText"/>
            </w:pPr>
            <w:r w:rsidRPr="00644A9A">
              <w:t>Governments should address market gaps in the availability of long</w:t>
            </w:r>
            <w:r w:rsidR="00563A2B">
              <w:noBreakHyphen/>
            </w:r>
            <w:r w:rsidRPr="00644A9A">
              <w:t xml:space="preserve">term debt financing that limit institutional investment in market and affordable housing. Any provision of finance by government to support market housing should be on commercial terms. Measures should aim to close gaps in the provision of finance over time. </w:t>
            </w:r>
          </w:p>
          <w:p w14:paraId="3BD9FE4E" w14:textId="1952C243" w:rsidR="003E6E57" w:rsidRPr="00DD0F11" w:rsidRDefault="009A4DA0" w:rsidP="00D018FC">
            <w:pPr>
              <w:pStyle w:val="BoxHeading2"/>
              <w:framePr w:hSpace="0" w:wrap="auto" w:vAnchor="margin" w:yAlign="inline"/>
              <w:suppressOverlap w:val="0"/>
            </w:pPr>
            <w:r w:rsidRPr="00E304D0">
              <w:t xml:space="preserve">Recommendation </w:t>
            </w:r>
            <w:r w:rsidR="0044656A">
              <w:t>8</w:t>
            </w:r>
            <w:r w:rsidRPr="00DD0F11">
              <w:t xml:space="preserve">: </w:t>
            </w:r>
            <w:r w:rsidR="00336D63">
              <w:t>A n</w:t>
            </w:r>
            <w:r w:rsidR="00FC6C30" w:rsidRPr="00FC6C30">
              <w:t>ational regulatory framework for</w:t>
            </w:r>
            <w:r w:rsidRPr="00FC6C30">
              <w:t xml:space="preserve"> the community housing sector</w:t>
            </w:r>
          </w:p>
          <w:p w14:paraId="40DA46CC" w14:textId="68E792D9" w:rsidR="009A4DA0" w:rsidRPr="00A042B8" w:rsidRDefault="009A4DA0" w:rsidP="00D018FC">
            <w:pPr>
              <w:pStyle w:val="BoxText"/>
            </w:pPr>
            <w:r w:rsidRPr="004E141B">
              <w:t>The</w:t>
            </w:r>
            <w:r>
              <w:t>re should be a</w:t>
            </w:r>
            <w:r w:rsidRPr="004E141B">
              <w:t xml:space="preserve"> joint Commonwealth</w:t>
            </w:r>
            <w:r w:rsidR="00563A2B">
              <w:noBreakHyphen/>
            </w:r>
            <w:r w:rsidR="00EE1F27">
              <w:t>s</w:t>
            </w:r>
            <w:r w:rsidRPr="004E141B">
              <w:t xml:space="preserve">tate review to develop and implement a </w:t>
            </w:r>
            <w:r w:rsidR="00514798" w:rsidRPr="007F679A">
              <w:t>truly</w:t>
            </w:r>
            <w:r w:rsidRPr="004E141B">
              <w:t xml:space="preserve"> national regulatory framework for the community housing sector. The new framework should</w:t>
            </w:r>
            <w:r>
              <w:t xml:space="preserve"> be designed to support engagement with institutional investors and </w:t>
            </w:r>
            <w:r w:rsidRPr="004E141B">
              <w:t xml:space="preserve">address the increased complexity of funding </w:t>
            </w:r>
            <w:r w:rsidRPr="008013B8">
              <w:t>arrangements in the sector.</w:t>
            </w:r>
          </w:p>
        </w:tc>
      </w:tr>
    </w:tbl>
    <w:p w14:paraId="29D78025" w14:textId="77777777" w:rsidR="00ED4986" w:rsidRDefault="00ED4986" w:rsidP="00ED4986">
      <w:pPr>
        <w:pStyle w:val="SingleParagraph"/>
      </w:pPr>
    </w:p>
    <w:tbl>
      <w:tblPr>
        <w:tblW w:w="5000" w:type="pct"/>
        <w:shd w:val="clear" w:color="auto" w:fill="F2E3C7" w:themeFill="background2"/>
        <w:tblCellMar>
          <w:top w:w="284" w:type="dxa"/>
          <w:left w:w="284" w:type="dxa"/>
          <w:bottom w:w="284" w:type="dxa"/>
          <w:right w:w="284" w:type="dxa"/>
        </w:tblCellMar>
        <w:tblLook w:val="0600" w:firstRow="0" w:lastRow="0" w:firstColumn="0" w:lastColumn="0" w:noHBand="1" w:noVBand="1"/>
      </w:tblPr>
      <w:tblGrid>
        <w:gridCol w:w="9070"/>
      </w:tblGrid>
      <w:tr w:rsidR="00FC6985" w14:paraId="285A32AD" w14:textId="77777777">
        <w:tc>
          <w:tcPr>
            <w:tcW w:w="5000" w:type="pct"/>
            <w:shd w:val="clear" w:color="auto" w:fill="BAD4E8" w:themeFill="accent5"/>
            <w:hideMark/>
          </w:tcPr>
          <w:bookmarkEnd w:id="18"/>
          <w:p w14:paraId="3E8F01D8" w14:textId="35D6CE98" w:rsidR="00FC6985" w:rsidRPr="00DD0F11" w:rsidRDefault="00FC6985" w:rsidP="004E0CA2">
            <w:pPr>
              <w:pStyle w:val="BoxHeading2"/>
              <w:keepNext/>
              <w:keepLines/>
              <w:framePr w:hSpace="0" w:wrap="auto" w:vAnchor="margin" w:yAlign="inline"/>
              <w:suppressOverlap w:val="0"/>
            </w:pPr>
            <w:r w:rsidRPr="00DD0F11">
              <w:lastRenderedPageBreak/>
              <w:t xml:space="preserve">Recommendation </w:t>
            </w:r>
            <w:r>
              <w:t>9</w:t>
            </w:r>
            <w:r w:rsidRPr="00DD0F11">
              <w:t xml:space="preserve">: Supporting </w:t>
            </w:r>
            <w:r w:rsidR="00FA183F">
              <w:t xml:space="preserve">the </w:t>
            </w:r>
            <w:r w:rsidRPr="00DD0F11">
              <w:t>community housing sector to partner with institutional investors</w:t>
            </w:r>
          </w:p>
          <w:p w14:paraId="0F46A280" w14:textId="77777777" w:rsidR="00FC6985" w:rsidRPr="008013B8" w:rsidRDefault="00FC6985" w:rsidP="00D018FC">
            <w:pPr>
              <w:pStyle w:val="BoxText"/>
            </w:pPr>
            <w:r>
              <w:t xml:space="preserve">Government support should be provided to the </w:t>
            </w:r>
            <w:r w:rsidRPr="008013B8">
              <w:t>community housing sector, through its peak bodies or other such arrangements</w:t>
            </w:r>
            <w:r>
              <w:t>, to</w:t>
            </w:r>
            <w:r w:rsidRPr="008013B8">
              <w:t xml:space="preserve"> improve the ability of the sector to partner with institutional investors.</w:t>
            </w:r>
          </w:p>
          <w:p w14:paraId="23D4B29D" w14:textId="77777777" w:rsidR="00FC6985" w:rsidRPr="00DD0F11" w:rsidRDefault="00FC6985" w:rsidP="00D018FC">
            <w:pPr>
              <w:pStyle w:val="BoxHeading2"/>
              <w:framePr w:wrap="around"/>
            </w:pPr>
            <w:r w:rsidRPr="00DD0F11">
              <w:t xml:space="preserve">Recommendation </w:t>
            </w:r>
            <w:r>
              <w:t>10</w:t>
            </w:r>
            <w:r w:rsidRPr="00DD0F11">
              <w:t>: Standardising definitions in the social and affordable housing sector</w:t>
            </w:r>
          </w:p>
          <w:p w14:paraId="31D4E7A9" w14:textId="1096F7BA" w:rsidR="00FC6985" w:rsidRDefault="00FC6985" w:rsidP="00D018FC">
            <w:pPr>
              <w:pStyle w:val="BoxText"/>
            </w:pPr>
            <w:r w:rsidRPr="00644324">
              <w:t xml:space="preserve">Commonwealth, state and territory governments, with input from the </w:t>
            </w:r>
            <w:r>
              <w:t>c</w:t>
            </w:r>
            <w:r w:rsidRPr="00DD0F11">
              <w:t xml:space="preserve">ommunity housing </w:t>
            </w:r>
            <w:r w:rsidRPr="00644324">
              <w:t xml:space="preserve">sector, </w:t>
            </w:r>
            <w:r>
              <w:t xml:space="preserve">should </w:t>
            </w:r>
            <w:r w:rsidRPr="00644324">
              <w:t xml:space="preserve">develop and adopt common definitions </w:t>
            </w:r>
            <w:r>
              <w:t xml:space="preserve">of matters related to social and </w:t>
            </w:r>
            <w:r w:rsidRPr="00644324">
              <w:t>affordable housing</w:t>
            </w:r>
            <w:r>
              <w:t xml:space="preserve">, including consistent definitions of </w:t>
            </w:r>
            <w:r w:rsidR="00563A2B">
              <w:t>‘</w:t>
            </w:r>
            <w:r>
              <w:t>affordable</w:t>
            </w:r>
            <w:r w:rsidR="00563A2B">
              <w:t>’</w:t>
            </w:r>
            <w:r>
              <w:t xml:space="preserve">. These definitions should </w:t>
            </w:r>
            <w:r w:rsidRPr="00644324">
              <w:t xml:space="preserve">be progressively </w:t>
            </w:r>
            <w:r w:rsidRPr="00DD0F11">
              <w:t xml:space="preserve">applied </w:t>
            </w:r>
            <w:r w:rsidR="006D49B3">
              <w:t>to</w:t>
            </w:r>
            <w:r w:rsidRPr="00DD0F11">
              <w:t xml:space="preserve"> regulatory systems, planning schemes, funding agreements and government policies</w:t>
            </w:r>
            <w:r>
              <w:t>.</w:t>
            </w:r>
          </w:p>
          <w:p w14:paraId="4FC801D4" w14:textId="77777777" w:rsidR="00FC6985" w:rsidRPr="00DD0F11" w:rsidRDefault="00FC6985" w:rsidP="00D018FC">
            <w:pPr>
              <w:pStyle w:val="BoxHeading2"/>
              <w:framePr w:wrap="around"/>
            </w:pPr>
            <w:r w:rsidRPr="00644324">
              <w:t xml:space="preserve">Recommendation </w:t>
            </w:r>
            <w:r w:rsidRPr="00DD0F11">
              <w:t>1</w:t>
            </w:r>
            <w:r>
              <w:t>1</w:t>
            </w:r>
            <w:r w:rsidRPr="00DD0F11">
              <w:t xml:space="preserve">: Establishing </w:t>
            </w:r>
            <w:r>
              <w:t>a</w:t>
            </w:r>
            <w:r w:rsidRPr="00DD0F11">
              <w:t xml:space="preserve"> </w:t>
            </w:r>
            <w:r>
              <w:t>social and</w:t>
            </w:r>
            <w:r w:rsidRPr="00DD0F11">
              <w:t xml:space="preserve"> affordable housing </w:t>
            </w:r>
            <w:r>
              <w:t>asset</w:t>
            </w:r>
            <w:r w:rsidRPr="00DD0F11">
              <w:t xml:space="preserve"> aggregator</w:t>
            </w:r>
          </w:p>
          <w:p w14:paraId="46FB0E23" w14:textId="0C5AB1EA" w:rsidR="00FC6985" w:rsidRPr="00A042B8" w:rsidRDefault="00FC6985" w:rsidP="00D018FC">
            <w:pPr>
              <w:pStyle w:val="BoxText"/>
            </w:pPr>
            <w:r w:rsidRPr="00E304D0">
              <w:t xml:space="preserve">The Commonwealth should </w:t>
            </w:r>
            <w:r>
              <w:t>support the establishment of</w:t>
            </w:r>
            <w:r w:rsidRPr="00E304D0">
              <w:t xml:space="preserve"> </w:t>
            </w:r>
            <w:r>
              <w:t xml:space="preserve">an </w:t>
            </w:r>
            <w:r w:rsidRPr="00851790">
              <w:t xml:space="preserve">aggregator </w:t>
            </w:r>
            <w:r>
              <w:t xml:space="preserve">of </w:t>
            </w:r>
            <w:r w:rsidRPr="00851790">
              <w:t>social and affordable housing</w:t>
            </w:r>
            <w:r>
              <w:t xml:space="preserve"> assets (or equity</w:t>
            </w:r>
            <w:r w:rsidR="003A1E4A">
              <w:t xml:space="preserve"> or subordinated debt</w:t>
            </w:r>
            <w:r>
              <w:t xml:space="preserve">), for example by subsidising the establishment costs and ongoing administrative </w:t>
            </w:r>
            <w:r w:rsidRPr="00851790">
              <w:t>costs</w:t>
            </w:r>
            <w:r>
              <w:t xml:space="preserve"> of such a vehicle</w:t>
            </w:r>
            <w:r w:rsidRPr="00851790">
              <w:t xml:space="preserve">. </w:t>
            </w:r>
            <w:r>
              <w:t xml:space="preserve">Over time, the government </w:t>
            </w:r>
            <w:r w:rsidRPr="00851790">
              <w:t xml:space="preserve">should </w:t>
            </w:r>
            <w:r>
              <w:t>consider</w:t>
            </w:r>
            <w:r w:rsidRPr="00851790">
              <w:t xml:space="preserve"> </w:t>
            </w:r>
            <w:r>
              <w:t>encouraging</w:t>
            </w:r>
            <w:r w:rsidRPr="00851790">
              <w:t xml:space="preserve"> competition in the provision of aggregation services</w:t>
            </w:r>
            <w:r>
              <w:t xml:space="preserve"> by supporting the establishment of new aggregators, including by the private sector.</w:t>
            </w:r>
          </w:p>
        </w:tc>
      </w:tr>
    </w:tbl>
    <w:p w14:paraId="5DB6ECAF" w14:textId="77777777" w:rsidR="00FC6985" w:rsidRDefault="00FC6985" w:rsidP="0043016E"/>
    <w:p w14:paraId="37B707A3" w14:textId="6D4A7D54" w:rsidR="009A4DA0" w:rsidRDefault="009A4DA0" w:rsidP="0043016E">
      <w:r>
        <w:br w:type="page"/>
      </w:r>
    </w:p>
    <w:p w14:paraId="03ACDBCC" w14:textId="77777777" w:rsidR="009A4DA0" w:rsidRDefault="009A4DA0" w:rsidP="009A4DA0">
      <w:pPr>
        <w:pStyle w:val="Heading1"/>
      </w:pPr>
      <w:bookmarkStart w:id="20" w:name="_Toc141355234"/>
      <w:r>
        <w:lastRenderedPageBreak/>
        <w:t>Background to this report</w:t>
      </w:r>
      <w:bookmarkEnd w:id="20"/>
      <w:r>
        <w:t xml:space="preserve"> </w:t>
      </w:r>
    </w:p>
    <w:p w14:paraId="1978E3F3" w14:textId="73B23D4A" w:rsidR="009A4DA0" w:rsidRPr="00AA0EE3" w:rsidRDefault="009A4DA0" w:rsidP="006C6F85">
      <w:pPr>
        <w:rPr>
          <w:b/>
        </w:rPr>
      </w:pPr>
      <w:r w:rsidRPr="00AA0EE3">
        <w:t>The interim National Housing Supply and Affordability Council</w:t>
      </w:r>
      <w:r w:rsidR="00A12338">
        <w:t xml:space="preserve"> (the Council)</w:t>
      </w:r>
      <w:r w:rsidRPr="00AA0EE3">
        <w:t xml:space="preserve"> is an independent advisory body established by the </w:t>
      </w:r>
      <w:r w:rsidR="00A12338">
        <w:t>Australian</w:t>
      </w:r>
      <w:r w:rsidR="00A12338" w:rsidRPr="00AA0EE3">
        <w:t xml:space="preserve"> </w:t>
      </w:r>
      <w:r w:rsidRPr="00AA0EE3">
        <w:t>Government.</w:t>
      </w:r>
    </w:p>
    <w:p w14:paraId="4DCD95A7" w14:textId="064A6D54" w:rsidR="009A4DA0" w:rsidRPr="00AA0EE3" w:rsidRDefault="009A4DA0" w:rsidP="00360FD4">
      <w:r w:rsidRPr="00AA0EE3">
        <w:t>The role of the Council is to provide independent, evidence</w:t>
      </w:r>
      <w:r w:rsidR="00563A2B">
        <w:noBreakHyphen/>
      </w:r>
      <w:r w:rsidRPr="00AA0EE3">
        <w:t>based expert advice to Government on matters that materially impact housing supply and affordability in Australia.</w:t>
      </w:r>
    </w:p>
    <w:p w14:paraId="62F3003B" w14:textId="4D5D7C9E" w:rsidR="009A4DA0" w:rsidRDefault="009A4DA0" w:rsidP="00886E17">
      <w:pPr>
        <w:spacing w:after="120"/>
      </w:pPr>
      <w:r w:rsidRPr="00AA0EE3">
        <w:t xml:space="preserve">The Council is comprised of a Chair, Deputy Chair and </w:t>
      </w:r>
      <w:r w:rsidR="00DB34F7">
        <w:t>4</w:t>
      </w:r>
      <w:r w:rsidR="00DB34F7" w:rsidRPr="00AA0EE3">
        <w:t xml:space="preserve"> </w:t>
      </w:r>
      <w:r w:rsidRPr="00AA0EE3">
        <w:t>members drawn from industry, academia, local government and the not</w:t>
      </w:r>
      <w:r w:rsidR="00563A2B">
        <w:noBreakHyphen/>
      </w:r>
      <w:r w:rsidRPr="00AA0EE3">
        <w:t>for</w:t>
      </w:r>
      <w:r w:rsidR="00563A2B">
        <w:noBreakHyphen/>
      </w:r>
      <w:r w:rsidRPr="00AA0EE3">
        <w:t>profit sector, and an ex</w:t>
      </w:r>
      <w:r w:rsidR="00563A2B">
        <w:noBreakHyphen/>
      </w:r>
      <w:r w:rsidRPr="00AA0EE3">
        <w:t>officio member from Treasury. The</w:t>
      </w:r>
      <w:r w:rsidR="00C32E20">
        <w:t> </w:t>
      </w:r>
      <w:r w:rsidRPr="00AA0EE3">
        <w:t>members of the Council are:</w:t>
      </w:r>
    </w:p>
    <w:p w14:paraId="1F5CCC19" w14:textId="1A97855E" w:rsidR="009A4DA0" w:rsidRPr="006E3A8D" w:rsidRDefault="009A4DA0" w:rsidP="00AD60ED">
      <w:pPr>
        <w:pStyle w:val="Bullet"/>
      </w:pPr>
      <w:r w:rsidRPr="006E3A8D">
        <w:t>Ms Susan Lloyd</w:t>
      </w:r>
      <w:r w:rsidR="00563A2B">
        <w:noBreakHyphen/>
      </w:r>
      <w:r w:rsidRPr="006E3A8D">
        <w:t>Hurwitz (Chair)</w:t>
      </w:r>
    </w:p>
    <w:p w14:paraId="460EADCE" w14:textId="77777777" w:rsidR="009A4DA0" w:rsidRPr="006E3A8D" w:rsidRDefault="009A4DA0" w:rsidP="00AD60ED">
      <w:pPr>
        <w:pStyle w:val="Bullet"/>
      </w:pPr>
      <w:r w:rsidRPr="006E3A8D">
        <w:t>Mr Michael Lennon (Deputy Chair)</w:t>
      </w:r>
    </w:p>
    <w:p w14:paraId="3C2E7FB1" w14:textId="017B8D48" w:rsidR="009A4DA0" w:rsidRPr="006E3A8D" w:rsidRDefault="009A4DA0" w:rsidP="00AD60ED">
      <w:pPr>
        <w:pStyle w:val="Bullet"/>
      </w:pPr>
      <w:r w:rsidRPr="006E3A8D">
        <w:t>Mr David O</w:t>
      </w:r>
      <w:r w:rsidR="00563A2B">
        <w:t>’</w:t>
      </w:r>
      <w:r w:rsidRPr="006E3A8D">
        <w:t>Loughlin</w:t>
      </w:r>
    </w:p>
    <w:p w14:paraId="5EE58A8E" w14:textId="77777777" w:rsidR="009A4DA0" w:rsidRPr="006E3A8D" w:rsidRDefault="009A4DA0" w:rsidP="00AD60ED">
      <w:pPr>
        <w:pStyle w:val="Bullet"/>
      </w:pPr>
      <w:r w:rsidRPr="006E3A8D">
        <w:t xml:space="preserve">Professor Rachel Ong </w:t>
      </w:r>
      <w:proofErr w:type="spellStart"/>
      <w:r w:rsidRPr="006E3A8D">
        <w:t>ViforJ</w:t>
      </w:r>
      <w:proofErr w:type="spellEnd"/>
    </w:p>
    <w:p w14:paraId="270160F3" w14:textId="77777777" w:rsidR="009A4DA0" w:rsidRPr="006E3A8D" w:rsidRDefault="009A4DA0" w:rsidP="00AD60ED">
      <w:pPr>
        <w:pStyle w:val="Bullet"/>
      </w:pPr>
      <w:r w:rsidRPr="006E3A8D">
        <w:t>Dr Marcus Spiller</w:t>
      </w:r>
    </w:p>
    <w:p w14:paraId="7AF10B50" w14:textId="77777777" w:rsidR="009A4DA0" w:rsidRPr="006E3A8D" w:rsidRDefault="009A4DA0" w:rsidP="00AD60ED">
      <w:pPr>
        <w:pStyle w:val="Bullet"/>
      </w:pPr>
      <w:r w:rsidRPr="006E3A8D">
        <w:t>Ms Helen Waters Silvia</w:t>
      </w:r>
    </w:p>
    <w:p w14:paraId="0C4BEF61" w14:textId="77777777" w:rsidR="009A4DA0" w:rsidRPr="006E3A8D" w:rsidRDefault="009A4DA0" w:rsidP="00AD60ED">
      <w:pPr>
        <w:pStyle w:val="Bullet"/>
      </w:pPr>
      <w:r w:rsidRPr="006E3A8D">
        <w:t>Ms Victoria Anderson (Ex Offic</w:t>
      </w:r>
      <w:r>
        <w:t>i</w:t>
      </w:r>
      <w:r w:rsidRPr="006E3A8D">
        <w:t>o)</w:t>
      </w:r>
    </w:p>
    <w:p w14:paraId="582B24B1" w14:textId="77777777" w:rsidR="009A4DA0" w:rsidRPr="00AA0EE3" w:rsidRDefault="009A4DA0" w:rsidP="009637D5">
      <w:pPr>
        <w:pStyle w:val="Heading2"/>
      </w:pPr>
      <w:bookmarkStart w:id="21" w:name="_Toc139618795"/>
      <w:bookmarkStart w:id="22" w:name="_Toc139635522"/>
      <w:r w:rsidRPr="00AA0EE3">
        <w:t>Terms of reference</w:t>
      </w:r>
      <w:bookmarkEnd w:id="21"/>
      <w:bookmarkEnd w:id="22"/>
    </w:p>
    <w:p w14:paraId="0A2B8CF2" w14:textId="05A65BE3" w:rsidR="009A4DA0" w:rsidRPr="00AA0EE3" w:rsidRDefault="009A4DA0" w:rsidP="006C6F85">
      <w:r w:rsidRPr="00AA0EE3">
        <w:t>On 9 May 2023 the Minister for Housing, the Hon Julie Collins MP, commissioned the Council to review barriers to institutional investment, finance, and innovation in housing. This review is a key element of the Commonwealth</w:t>
      </w:r>
      <w:r w:rsidR="00563A2B">
        <w:t>’</w:t>
      </w:r>
      <w:r w:rsidRPr="00AA0EE3">
        <w:t>s commitments under the National Housing Accord. The Terms of Reference of the review were developed in consultation with the states and territories</w:t>
      </w:r>
      <w:r>
        <w:t xml:space="preserve">. </w:t>
      </w:r>
    </w:p>
    <w:p w14:paraId="43CACFF1" w14:textId="6983B7A7" w:rsidR="009A4DA0" w:rsidRPr="00AA0EE3" w:rsidRDefault="009A4DA0" w:rsidP="009A4DA0">
      <w:pPr>
        <w:spacing w:line="276" w:lineRule="auto"/>
      </w:pPr>
      <w:r w:rsidRPr="00AA0EE3">
        <w:t>Under the Terms of Reference, the Council should:</w:t>
      </w:r>
      <w:r w:rsidR="00563A2B">
        <w:t xml:space="preserve"> </w:t>
      </w:r>
    </w:p>
    <w:p w14:paraId="56983AF3" w14:textId="53B9C9D2" w:rsidR="009A4DA0" w:rsidRPr="00AA0EE3" w:rsidRDefault="009A4DA0" w:rsidP="008D3CB2">
      <w:pPr>
        <w:numPr>
          <w:ilvl w:val="0"/>
          <w:numId w:val="11"/>
        </w:numPr>
        <w:spacing w:before="120" w:after="60" w:line="276" w:lineRule="auto"/>
        <w:ind w:left="284" w:hanging="284"/>
      </w:pPr>
      <w:r w:rsidRPr="00AA0EE3">
        <w:t>Identify the barriers to institutional investment, finance and innovation in social, affordable and market housing in the Australian context</w:t>
      </w:r>
      <w:r w:rsidR="00690397">
        <w:t>.</w:t>
      </w:r>
      <w:r w:rsidRPr="00AA0EE3">
        <w:t> </w:t>
      </w:r>
    </w:p>
    <w:p w14:paraId="291A536C" w14:textId="288903B9" w:rsidR="009A4DA0" w:rsidRPr="00AA0EE3" w:rsidRDefault="009A4DA0" w:rsidP="008D3CB2">
      <w:pPr>
        <w:numPr>
          <w:ilvl w:val="0"/>
          <w:numId w:val="12"/>
        </w:numPr>
        <w:spacing w:before="120" w:after="60" w:line="276" w:lineRule="auto"/>
        <w:ind w:left="284" w:hanging="284"/>
      </w:pPr>
      <w:r w:rsidRPr="00AA0EE3">
        <w:t>Report on the appetite of institutional investors to undertake debt financing, equity investment and/or directly own different housing types</w:t>
      </w:r>
      <w:r w:rsidR="00690397">
        <w:t>.</w:t>
      </w:r>
      <w:r w:rsidRPr="00AA0EE3">
        <w:t> </w:t>
      </w:r>
    </w:p>
    <w:p w14:paraId="71FF1339" w14:textId="5B0799B2" w:rsidR="009A4DA0" w:rsidRPr="00AA0EE3" w:rsidRDefault="009A4DA0" w:rsidP="008D3CB2">
      <w:pPr>
        <w:numPr>
          <w:ilvl w:val="0"/>
          <w:numId w:val="13"/>
        </w:numPr>
        <w:spacing w:before="120" w:after="60" w:line="276" w:lineRule="auto"/>
        <w:ind w:left="284" w:hanging="284"/>
      </w:pPr>
      <w:r w:rsidRPr="00AA0EE3">
        <w:t>Have regard to the extent to which barriers and their causes are different than those in other comparable, international jurisdictions</w:t>
      </w:r>
      <w:r w:rsidR="00690397">
        <w:t>.</w:t>
      </w:r>
    </w:p>
    <w:p w14:paraId="61916C5D" w14:textId="2CF62D0D" w:rsidR="009A4DA0" w:rsidRPr="00AA0EE3" w:rsidRDefault="009A4DA0" w:rsidP="008D3CB2">
      <w:pPr>
        <w:numPr>
          <w:ilvl w:val="0"/>
          <w:numId w:val="14"/>
        </w:numPr>
        <w:spacing w:before="120" w:after="60" w:line="276" w:lineRule="auto"/>
        <w:ind w:left="284" w:hanging="284"/>
      </w:pPr>
      <w:r w:rsidRPr="00AA0EE3">
        <w:t>Recommend priority actions that the Commonwealth, State and Territory Governments, Community Housing Providers and the private sector can take to overcome the barriers that exist in Australia to support more institutional investment in housing</w:t>
      </w:r>
      <w:r w:rsidR="00690397">
        <w:t>.</w:t>
      </w:r>
    </w:p>
    <w:p w14:paraId="22F712F7" w14:textId="1139F0D7" w:rsidR="009A4DA0" w:rsidRPr="00AA0EE3" w:rsidRDefault="009A4DA0" w:rsidP="008D3CB2">
      <w:pPr>
        <w:numPr>
          <w:ilvl w:val="0"/>
          <w:numId w:val="15"/>
        </w:numPr>
        <w:spacing w:before="120" w:after="60" w:line="276" w:lineRule="auto"/>
        <w:ind w:left="284" w:hanging="284"/>
      </w:pPr>
      <w:r w:rsidRPr="00AA0EE3">
        <w:t>Consult a range of relevant institutional investors, each State and Territory Government, and the Commonwealth, to inform its analysis, findings and recommendations</w:t>
      </w:r>
      <w:r w:rsidR="00EB496D">
        <w:t xml:space="preserve">. </w:t>
      </w:r>
    </w:p>
    <w:p w14:paraId="7B9F45C6" w14:textId="77777777" w:rsidR="009A4DA0" w:rsidRPr="00AA0EE3" w:rsidRDefault="009A4DA0" w:rsidP="008D3CB2">
      <w:pPr>
        <w:numPr>
          <w:ilvl w:val="0"/>
          <w:numId w:val="16"/>
        </w:numPr>
        <w:spacing w:before="120" w:after="60" w:line="276" w:lineRule="auto"/>
        <w:ind w:left="284" w:hanging="284"/>
      </w:pPr>
      <w:r w:rsidRPr="00AA0EE3">
        <w:t>Provide an interim report to the Minister for Housing by 5 June 2023, ahead of delivering a final report to the Minister for Housing by 28 July 2023</w:t>
      </w:r>
      <w:r>
        <w:t xml:space="preserve">. </w:t>
      </w:r>
    </w:p>
    <w:p w14:paraId="2844B80A" w14:textId="77777777" w:rsidR="009A4DA0" w:rsidRPr="00AA0EE3" w:rsidRDefault="009A4DA0" w:rsidP="009637D5">
      <w:pPr>
        <w:pStyle w:val="Heading2"/>
      </w:pPr>
      <w:bookmarkStart w:id="23" w:name="_Toc139618796"/>
      <w:bookmarkStart w:id="24" w:name="_Toc139635523"/>
      <w:r w:rsidRPr="00AA0EE3">
        <w:lastRenderedPageBreak/>
        <w:t>Consultation</w:t>
      </w:r>
      <w:bookmarkEnd w:id="23"/>
      <w:r>
        <w:t xml:space="preserve"> process</w:t>
      </w:r>
      <w:bookmarkEnd w:id="24"/>
    </w:p>
    <w:p w14:paraId="6F551BE4" w14:textId="78250C13" w:rsidR="009A4DA0" w:rsidRDefault="009A4DA0" w:rsidP="00360FD4">
      <w:r w:rsidRPr="00AA0EE3">
        <w:t>To inform the findings of this report, the Council held a series of consultations with representatives from the investment sector, the property development sector, state and territory governments, academia, and the social and affordable housing sector</w:t>
      </w:r>
      <w:r w:rsidR="007275C3" w:rsidRPr="00AA0EE3" w:rsidDel="00AB5558">
        <w:t>.</w:t>
      </w:r>
      <w:r w:rsidR="00A558F9" w:rsidDel="00AB5558">
        <w:t xml:space="preserve"> </w:t>
      </w:r>
      <w:r>
        <w:t>It also conducted a literature review</w:t>
      </w:r>
      <w:r w:rsidRPr="00AA0EE3">
        <w:t>. Overall,</w:t>
      </w:r>
      <w:r w:rsidR="00C32E20">
        <w:t> </w:t>
      </w:r>
      <w:r w:rsidR="00DB34F7">
        <w:t xml:space="preserve">the Council held </w:t>
      </w:r>
      <w:r w:rsidRPr="00AA0EE3">
        <w:t>1</w:t>
      </w:r>
      <w:r>
        <w:t>2</w:t>
      </w:r>
      <w:r w:rsidRPr="00AA0EE3">
        <w:t xml:space="preserve"> consultations with 40 participants </w:t>
      </w:r>
      <w:r>
        <w:t>from</w:t>
      </w:r>
      <w:r w:rsidRPr="00AA0EE3">
        <w:t xml:space="preserve"> May </w:t>
      </w:r>
      <w:r>
        <w:t>to early July</w:t>
      </w:r>
      <w:r w:rsidRPr="00AA0EE3">
        <w:t xml:space="preserve"> 2023.</w:t>
      </w:r>
      <w:r>
        <w:t xml:space="preserve"> </w:t>
      </w:r>
    </w:p>
    <w:p w14:paraId="7FFAD375" w14:textId="77777777" w:rsidR="0057435A" w:rsidRPr="00B430DA" w:rsidRDefault="0057435A" w:rsidP="00B430DA">
      <w:pPr>
        <w:sectPr w:rsidR="0057435A" w:rsidRPr="00B430DA" w:rsidSect="00EB6442">
          <w:pgSz w:w="11906" w:h="16838" w:code="9"/>
          <w:pgMar w:top="1843" w:right="1418" w:bottom="1418" w:left="1418" w:header="709" w:footer="709" w:gutter="0"/>
          <w:pgNumType w:start="1"/>
          <w:cols w:space="708"/>
          <w:docGrid w:linePitch="360"/>
        </w:sectPr>
      </w:pPr>
      <w:bookmarkStart w:id="25" w:name="_Toc139618797"/>
      <w:bookmarkStart w:id="26" w:name="_Toc139635524"/>
    </w:p>
    <w:p w14:paraId="5C4E9984" w14:textId="77777777" w:rsidR="009A4DA0" w:rsidRDefault="009A4DA0" w:rsidP="009A4DA0">
      <w:pPr>
        <w:pStyle w:val="Heading1Numbered"/>
      </w:pPr>
      <w:bookmarkStart w:id="27" w:name="_Toc141355235"/>
      <w:r>
        <w:lastRenderedPageBreak/>
        <w:t>Introduction</w:t>
      </w:r>
      <w:bookmarkEnd w:id="25"/>
      <w:bookmarkEnd w:id="26"/>
      <w:bookmarkEnd w:id="27"/>
    </w:p>
    <w:p w14:paraId="4E64404F" w14:textId="110B929F" w:rsidR="009A4DA0" w:rsidRPr="00A83E6C" w:rsidRDefault="009A4DA0" w:rsidP="00A83E6C">
      <w:pPr>
        <w:pStyle w:val="Heading2Numbered"/>
      </w:pPr>
      <w:bookmarkStart w:id="28" w:name="_Toc139618798"/>
      <w:bookmarkStart w:id="29" w:name="_Toc139635525"/>
      <w:bookmarkStart w:id="30" w:name="_Toc141355236"/>
      <w:r w:rsidRPr="00A83E6C">
        <w:t>Australia</w:t>
      </w:r>
      <w:r w:rsidR="00563A2B">
        <w:t>’</w:t>
      </w:r>
      <w:r w:rsidRPr="00A83E6C">
        <w:t>s rental housing challenge</w:t>
      </w:r>
      <w:bookmarkEnd w:id="28"/>
      <w:bookmarkEnd w:id="29"/>
      <w:bookmarkEnd w:id="30"/>
    </w:p>
    <w:p w14:paraId="72D7608F" w14:textId="7CAD1B76" w:rsidR="00ED136D" w:rsidRPr="00ED136D" w:rsidRDefault="009A4DA0" w:rsidP="006C6F85">
      <w:r w:rsidRPr="00E7296A">
        <w:t>Australia is facing a significant rental housing supply and affordability challenge. Rental affordability has worsened for many households in recent years, a trend which has accelerated since the pandemic. The share of income needed to service rent across Australia has risen from 26.5 per cent in 2020 to 30.8</w:t>
      </w:r>
      <w:r w:rsidR="00E67AFE">
        <w:t> per </w:t>
      </w:r>
      <w:r w:rsidRPr="00E7296A">
        <w:t>cent in March 2023 (ANZ – CoreLogic 2023). In 2022</w:t>
      </w:r>
      <w:r w:rsidR="00234AC5">
        <w:t>–</w:t>
      </w:r>
      <w:r w:rsidRPr="00E7296A">
        <w:t xml:space="preserve">23, the rental market witnessed its largest increase in advertised rents on record (CoreLogic 2023b). </w:t>
      </w:r>
      <w:r w:rsidR="00ED136D">
        <w:t>Rental stress across Australia – as measured by households that pay 30</w:t>
      </w:r>
      <w:r w:rsidR="00E67AFE">
        <w:t> per </w:t>
      </w:r>
      <w:r w:rsidR="00ED136D">
        <w:t>cent or more of gross household income on rent – is elevated: i</w:t>
      </w:r>
      <w:r w:rsidR="00ED136D" w:rsidRPr="00844303">
        <w:t>n</w:t>
      </w:r>
      <w:r w:rsidR="00ED136D">
        <w:t> </w:t>
      </w:r>
      <w:r w:rsidR="00ED136D" w:rsidRPr="00844303">
        <w:t>2021, 530,900 households in the bottom 40</w:t>
      </w:r>
      <w:r w:rsidR="00E67AFE">
        <w:t> per </w:t>
      </w:r>
      <w:r w:rsidR="00ED136D" w:rsidRPr="00844303">
        <w:t>cent of Australia</w:t>
      </w:r>
      <w:r w:rsidR="00563A2B">
        <w:t>’</w:t>
      </w:r>
      <w:r w:rsidR="00ED136D" w:rsidRPr="00844303">
        <w:t xml:space="preserve">s income distribution were in rental stress, including 190,700 households </w:t>
      </w:r>
      <w:r w:rsidR="00ED136D">
        <w:t xml:space="preserve">that </w:t>
      </w:r>
      <w:r w:rsidR="00ED136D" w:rsidRPr="00844303">
        <w:t>were paying more than 50</w:t>
      </w:r>
      <w:r w:rsidR="00E67AFE">
        <w:t> per </w:t>
      </w:r>
      <w:r w:rsidR="00ED136D" w:rsidRPr="00844303">
        <w:t>cent of their income in rent</w:t>
      </w:r>
      <w:r w:rsidR="00ED136D">
        <w:t xml:space="preserve"> (</w:t>
      </w:r>
      <w:r w:rsidR="004C7D8B">
        <w:t>National Housing Finance and Investment Corporation (</w:t>
      </w:r>
      <w:r w:rsidR="00ED136D">
        <w:t>NHFIC</w:t>
      </w:r>
      <w:r w:rsidR="004C7D8B">
        <w:t>)</w:t>
      </w:r>
      <w:r w:rsidR="00ED136D">
        <w:t xml:space="preserve"> 2023). </w:t>
      </w:r>
    </w:p>
    <w:p w14:paraId="7703EAFE" w14:textId="64599322" w:rsidR="009A4DA0" w:rsidRPr="00E7296A" w:rsidRDefault="009A4DA0" w:rsidP="006C6F85">
      <w:pPr>
        <w:rPr>
          <w:szCs w:val="22"/>
        </w:rPr>
      </w:pPr>
      <w:r w:rsidRPr="00E7296A">
        <w:rPr>
          <w:szCs w:val="22"/>
        </w:rPr>
        <w:t>Just finding rental</w:t>
      </w:r>
      <w:r w:rsidR="006075DC" w:rsidRPr="00E7296A">
        <w:rPr>
          <w:szCs w:val="22"/>
        </w:rPr>
        <w:t> </w:t>
      </w:r>
      <w:r w:rsidRPr="00E7296A">
        <w:rPr>
          <w:szCs w:val="22"/>
        </w:rPr>
        <w:t>accommodation is increasingly difficult</w:t>
      </w:r>
      <w:r w:rsidR="004C7D8B">
        <w:rPr>
          <w:szCs w:val="22"/>
        </w:rPr>
        <w:t>.</w:t>
      </w:r>
      <w:r w:rsidR="00736194">
        <w:rPr>
          <w:szCs w:val="22"/>
        </w:rPr>
        <w:t xml:space="preserve"> V</w:t>
      </w:r>
      <w:r w:rsidRPr="00E7296A">
        <w:rPr>
          <w:szCs w:val="22"/>
        </w:rPr>
        <w:t>acancy rates are at or near record lows in most cities and regions (CoreLogic 2023b),</w:t>
      </w:r>
      <w:r w:rsidR="00ED136D">
        <w:rPr>
          <w:szCs w:val="22"/>
        </w:rPr>
        <w:t xml:space="preserve"> </w:t>
      </w:r>
      <w:r w:rsidR="00051A06">
        <w:rPr>
          <w:szCs w:val="22"/>
        </w:rPr>
        <w:t xml:space="preserve">the number </w:t>
      </w:r>
      <w:r w:rsidRPr="00E7296A">
        <w:rPr>
          <w:szCs w:val="22"/>
        </w:rPr>
        <w:t xml:space="preserve">of </w:t>
      </w:r>
      <w:r w:rsidR="00051A06">
        <w:rPr>
          <w:szCs w:val="22"/>
        </w:rPr>
        <w:t xml:space="preserve">people experiencing </w:t>
      </w:r>
      <w:r w:rsidRPr="00E7296A">
        <w:rPr>
          <w:szCs w:val="22"/>
        </w:rPr>
        <w:t>homelessness</w:t>
      </w:r>
      <w:r w:rsidR="00E71014">
        <w:rPr>
          <w:szCs w:val="22"/>
        </w:rPr>
        <w:t xml:space="preserve"> increased between the 2016 and 2021 census</w:t>
      </w:r>
      <w:r w:rsidR="00051A06">
        <w:rPr>
          <w:szCs w:val="22"/>
        </w:rPr>
        <w:t>,</w:t>
      </w:r>
      <w:r w:rsidRPr="00E7296A">
        <w:rPr>
          <w:szCs w:val="22"/>
        </w:rPr>
        <w:t xml:space="preserve"> and </w:t>
      </w:r>
      <w:r w:rsidR="00051A06">
        <w:rPr>
          <w:szCs w:val="22"/>
        </w:rPr>
        <w:t>the rate of</w:t>
      </w:r>
      <w:r w:rsidRPr="00E7296A">
        <w:rPr>
          <w:szCs w:val="22"/>
        </w:rPr>
        <w:t xml:space="preserve"> insecure housing is growing (</w:t>
      </w:r>
      <w:r w:rsidR="00195BCE">
        <w:rPr>
          <w:szCs w:val="22"/>
        </w:rPr>
        <w:t>Australian Bureau of Statistics (</w:t>
      </w:r>
      <w:r w:rsidRPr="00E7296A">
        <w:rPr>
          <w:szCs w:val="22"/>
        </w:rPr>
        <w:t>ABS</w:t>
      </w:r>
      <w:r w:rsidR="00195BCE">
        <w:rPr>
          <w:szCs w:val="22"/>
        </w:rPr>
        <w:t>)</w:t>
      </w:r>
      <w:r w:rsidR="006075DC" w:rsidRPr="00E7296A">
        <w:rPr>
          <w:szCs w:val="22"/>
        </w:rPr>
        <w:t> </w:t>
      </w:r>
      <w:r w:rsidRPr="00E7296A">
        <w:rPr>
          <w:szCs w:val="22"/>
        </w:rPr>
        <w:t xml:space="preserve">2023a; Productivity Commission 2023). </w:t>
      </w:r>
    </w:p>
    <w:p w14:paraId="0B8E6A2D" w14:textId="6E04DD55" w:rsidR="00084791" w:rsidRPr="00E56A35" w:rsidRDefault="00ED136D" w:rsidP="006C6F85">
      <w:r>
        <w:t>T</w:t>
      </w:r>
      <w:r w:rsidR="00084791" w:rsidRPr="001436EA">
        <w:t>he need for social housing in Australia continue</w:t>
      </w:r>
      <w:r>
        <w:t>s</w:t>
      </w:r>
      <w:r w:rsidR="00084791" w:rsidRPr="001436EA">
        <w:t xml:space="preserve"> to grow. In 2023</w:t>
      </w:r>
      <w:r w:rsidR="005E2EED">
        <w:t>, the Australian Housing and Urban Research Institute (</w:t>
      </w:r>
      <w:r w:rsidR="00084791" w:rsidRPr="001436EA">
        <w:t>AHURI</w:t>
      </w:r>
      <w:r w:rsidR="005E2EED">
        <w:t>)</w:t>
      </w:r>
      <w:r w:rsidR="00084791" w:rsidRPr="001436EA">
        <w:t xml:space="preserve"> estimated that to satisfy current unmet and projected future demand for social and affordable housing, an additional 942,000 social and affordable dwellings will need to be constructed by 2041 (Martin</w:t>
      </w:r>
      <w:r w:rsidR="00084791">
        <w:t> </w:t>
      </w:r>
      <w:r w:rsidR="00195BCE">
        <w:t>and others</w:t>
      </w:r>
      <w:r w:rsidR="002F0666">
        <w:t xml:space="preserve"> </w:t>
      </w:r>
      <w:r w:rsidR="00084791" w:rsidRPr="001436EA">
        <w:t>2023</w:t>
      </w:r>
      <w:r w:rsidR="00084791" w:rsidRPr="009B076D">
        <w:t xml:space="preserve">). </w:t>
      </w:r>
      <w:r w:rsidR="00FC3647">
        <w:t xml:space="preserve">The </w:t>
      </w:r>
      <w:r w:rsidR="005E2EED">
        <w:t>AHURI</w:t>
      </w:r>
      <w:r w:rsidR="00084791" w:rsidRPr="009B076D">
        <w:t xml:space="preserve"> (202</w:t>
      </w:r>
      <w:r w:rsidR="001B2F06">
        <w:t>3</w:t>
      </w:r>
      <w:r w:rsidR="00084791" w:rsidRPr="009B076D">
        <w:t>) found that over half a million (close to 565,000, or just over 6</w:t>
      </w:r>
      <w:r w:rsidR="00E67AFE">
        <w:t> per </w:t>
      </w:r>
      <w:r w:rsidR="00084791" w:rsidRPr="009B076D">
        <w:t>cent) of Australian households were living in, or had requested to live in, a form of social housing in June 2021</w:t>
      </w:r>
      <w:r w:rsidR="00084791" w:rsidRPr="00C467CC">
        <w:t xml:space="preserve">. Of those, 163,508 were on wait lists for public housing. </w:t>
      </w:r>
      <w:r w:rsidR="000D13B1">
        <w:t>But t</w:t>
      </w:r>
      <w:r w:rsidR="00084791" w:rsidRPr="001436EA">
        <w:t>here has been little change in the stock of social housing (including public housing and community housing) in Australia in the last decade, leading to a decline in the proportion of the population who live in social housing from about 4.8</w:t>
      </w:r>
      <w:r w:rsidR="00E67AFE">
        <w:t> per </w:t>
      </w:r>
      <w:r w:rsidR="00084791" w:rsidRPr="001436EA">
        <w:t>cent of the population in 2011 to 4.1</w:t>
      </w:r>
      <w:r w:rsidR="00E67AFE">
        <w:t> per </w:t>
      </w:r>
      <w:r w:rsidR="00084791" w:rsidRPr="001436EA">
        <w:t>cent in 2022 (</w:t>
      </w:r>
      <w:r w:rsidR="00195BCE">
        <w:t>Australian Institute of Health and Welfare (</w:t>
      </w:r>
      <w:r w:rsidR="00084791" w:rsidRPr="001436EA">
        <w:t>AIHW</w:t>
      </w:r>
      <w:r w:rsidR="00195BCE">
        <w:t>)</w:t>
      </w:r>
      <w:r w:rsidR="002B2DB2">
        <w:t> </w:t>
      </w:r>
      <w:r w:rsidR="00084791" w:rsidRPr="001436EA">
        <w:t>2023b).</w:t>
      </w:r>
      <w:r w:rsidR="00084791" w:rsidRPr="00B06041">
        <w:t xml:space="preserve"> </w:t>
      </w:r>
    </w:p>
    <w:p w14:paraId="6C5AF95F" w14:textId="5DBDB0C1" w:rsidR="009A4DA0" w:rsidRPr="00E7296A" w:rsidRDefault="00870422" w:rsidP="006C6F85">
      <w:pPr>
        <w:rPr>
          <w:szCs w:val="22"/>
        </w:rPr>
      </w:pPr>
      <w:r>
        <w:rPr>
          <w:szCs w:val="22"/>
        </w:rPr>
        <w:t>These developments partly reflect</w:t>
      </w:r>
      <w:r w:rsidR="009A4DA0" w:rsidRPr="00E7296A">
        <w:rPr>
          <w:szCs w:val="22"/>
        </w:rPr>
        <w:t xml:space="preserve"> the fact that more Australians rent than ever before. Census data shows that the share of households renting rose from 26.3</w:t>
      </w:r>
      <w:r w:rsidR="00E67AFE">
        <w:rPr>
          <w:szCs w:val="22"/>
        </w:rPr>
        <w:t> per </w:t>
      </w:r>
      <w:r w:rsidR="009A4DA0" w:rsidRPr="00E7296A">
        <w:rPr>
          <w:szCs w:val="22"/>
        </w:rPr>
        <w:t>cent in 2001 to 30.6</w:t>
      </w:r>
      <w:r w:rsidR="00E67AFE">
        <w:rPr>
          <w:szCs w:val="22"/>
        </w:rPr>
        <w:t> per </w:t>
      </w:r>
      <w:r w:rsidR="009A4DA0" w:rsidRPr="00E7296A">
        <w:rPr>
          <w:szCs w:val="22"/>
        </w:rPr>
        <w:t>cent in 2021 (ABS 2022a). And more Australians are renting for longer (Longview – PEXA 2023a), with 43</w:t>
      </w:r>
      <w:r w:rsidR="00E67AFE">
        <w:rPr>
          <w:szCs w:val="22"/>
        </w:rPr>
        <w:t> per </w:t>
      </w:r>
      <w:r w:rsidR="009A4DA0" w:rsidRPr="00E7296A">
        <w:rPr>
          <w:szCs w:val="22"/>
        </w:rPr>
        <w:t xml:space="preserve">cent of renters having rented for 10 years or more (National Shelter 2017). </w:t>
      </w:r>
    </w:p>
    <w:p w14:paraId="791DAF50" w14:textId="6B8A07FF" w:rsidR="009A4DA0" w:rsidRPr="00E7296A" w:rsidRDefault="009A4DA0" w:rsidP="006C6F85">
      <w:pPr>
        <w:rPr>
          <w:szCs w:val="22"/>
        </w:rPr>
      </w:pPr>
      <w:r w:rsidRPr="00E7296A">
        <w:rPr>
          <w:szCs w:val="22"/>
        </w:rPr>
        <w:t>Some of the stress in the rental system reflects cyclical factors, including the lingering effect of the pandemic on household preferences, employment arrangements and migration patterns. But there are also structural pressures underpinning greater demand for rental dwellings. The rising price of owner</w:t>
      </w:r>
      <w:r w:rsidR="00563A2B">
        <w:rPr>
          <w:szCs w:val="22"/>
        </w:rPr>
        <w:noBreakHyphen/>
      </w:r>
      <w:r w:rsidRPr="00E7296A">
        <w:rPr>
          <w:szCs w:val="22"/>
        </w:rPr>
        <w:t xml:space="preserve">occupied housing relative to income over the past </w:t>
      </w:r>
      <w:r w:rsidR="00A066EB">
        <w:rPr>
          <w:szCs w:val="22"/>
        </w:rPr>
        <w:t>2</w:t>
      </w:r>
      <w:r w:rsidR="00A066EB" w:rsidRPr="00E7296A">
        <w:rPr>
          <w:szCs w:val="22"/>
        </w:rPr>
        <w:t xml:space="preserve"> </w:t>
      </w:r>
      <w:r w:rsidRPr="00E7296A">
        <w:rPr>
          <w:szCs w:val="22"/>
        </w:rPr>
        <w:t>decades</w:t>
      </w:r>
      <w:bookmarkStart w:id="31" w:name="_Hlk140568172"/>
      <w:r w:rsidRPr="00E7296A">
        <w:rPr>
          <w:szCs w:val="22"/>
        </w:rPr>
        <w:t>, particularly in locations with good access to jobs</w:t>
      </w:r>
      <w:r w:rsidR="008B14D8">
        <w:rPr>
          <w:szCs w:val="22"/>
        </w:rPr>
        <w:t>, education</w:t>
      </w:r>
      <w:r w:rsidRPr="00E7296A">
        <w:rPr>
          <w:szCs w:val="22"/>
        </w:rPr>
        <w:t xml:space="preserve"> opportunit</w:t>
      </w:r>
      <w:r w:rsidR="008B14D8">
        <w:rPr>
          <w:szCs w:val="22"/>
        </w:rPr>
        <w:t>ies</w:t>
      </w:r>
      <w:r w:rsidRPr="00E7296A">
        <w:rPr>
          <w:szCs w:val="22"/>
        </w:rPr>
        <w:t xml:space="preserve"> and </w:t>
      </w:r>
      <w:bookmarkEnd w:id="31"/>
      <w:r w:rsidR="008B14D8">
        <w:rPr>
          <w:szCs w:val="22"/>
        </w:rPr>
        <w:t>services,</w:t>
      </w:r>
      <w:r w:rsidRPr="00E7296A">
        <w:rPr>
          <w:szCs w:val="22"/>
        </w:rPr>
        <w:t xml:space="preserve"> has constrained the ability of many to purchase housing or</w:t>
      </w:r>
      <w:r w:rsidR="006075DC" w:rsidRPr="00E7296A">
        <w:rPr>
          <w:szCs w:val="22"/>
        </w:rPr>
        <w:t> </w:t>
      </w:r>
      <w:r w:rsidRPr="00E7296A">
        <w:rPr>
          <w:szCs w:val="22"/>
        </w:rPr>
        <w:t>maintain home ownership. A trend towards smaller households has further added to demand. And the decline in social housing as a share of the total housing stock means that more lower income households require privately supplied rental accommodation than in the past</w:t>
      </w:r>
      <w:r w:rsidR="00EB496D">
        <w:rPr>
          <w:szCs w:val="22"/>
        </w:rPr>
        <w:t xml:space="preserve">. </w:t>
      </w:r>
    </w:p>
    <w:p w14:paraId="02DB8F5F" w14:textId="77777777" w:rsidR="009A4DA0" w:rsidRPr="003B7BE9" w:rsidRDefault="009A4DA0" w:rsidP="006C6F85">
      <w:pPr>
        <w:pStyle w:val="Heading2Numbered"/>
      </w:pPr>
      <w:bookmarkStart w:id="32" w:name="_Toc139618799"/>
      <w:bookmarkStart w:id="33" w:name="_Toc139635526"/>
      <w:bookmarkStart w:id="34" w:name="_Toc141355237"/>
      <w:r w:rsidRPr="003B7BE9">
        <w:lastRenderedPageBreak/>
        <w:t xml:space="preserve">The need for a </w:t>
      </w:r>
      <w:r w:rsidRPr="00552213">
        <w:t>larger</w:t>
      </w:r>
      <w:r w:rsidRPr="003B7BE9">
        <w:t xml:space="preserve"> and more diverse supply of rental stock</w:t>
      </w:r>
      <w:bookmarkEnd w:id="32"/>
      <w:bookmarkEnd w:id="33"/>
      <w:bookmarkEnd w:id="34"/>
    </w:p>
    <w:p w14:paraId="3C17D401" w14:textId="15F793EA" w:rsidR="009A4DA0" w:rsidRPr="00B06041" w:rsidRDefault="009A4DA0" w:rsidP="006C6F85">
      <w:r w:rsidRPr="00B06041">
        <w:t>Australia needs a housing system that promotes an inclusive, prosperous and sustainable nation. This</w:t>
      </w:r>
      <w:r w:rsidR="00C37E40">
        <w:t> </w:t>
      </w:r>
      <w:r w:rsidRPr="00B06041">
        <w:t xml:space="preserve">includes </w:t>
      </w:r>
      <w:r>
        <w:t xml:space="preserve">a </w:t>
      </w:r>
      <w:r w:rsidRPr="00B06041">
        <w:t>well</w:t>
      </w:r>
      <w:r w:rsidR="00563A2B">
        <w:noBreakHyphen/>
      </w:r>
      <w:r w:rsidRPr="00B06041">
        <w:t>functioning, well</w:t>
      </w:r>
      <w:r w:rsidR="00563A2B">
        <w:noBreakHyphen/>
      </w:r>
      <w:r w:rsidRPr="00B06041">
        <w:t xml:space="preserve">supplied and responsive rental </w:t>
      </w:r>
      <w:r>
        <w:t xml:space="preserve">system </w:t>
      </w:r>
      <w:r w:rsidRPr="00B06041">
        <w:t>that provides tenants with safe and secure accommodation and access to employment and education opportunities and social services. A well</w:t>
      </w:r>
      <w:r w:rsidR="00563A2B">
        <w:noBreakHyphen/>
      </w:r>
      <w:r w:rsidRPr="00B06041">
        <w:t xml:space="preserve">functioning rental </w:t>
      </w:r>
      <w:r>
        <w:t>system</w:t>
      </w:r>
      <w:r w:rsidRPr="00B06041">
        <w:t xml:space="preserve"> is also critical to economic prosperity. It improves labour mobility by providing more options for those seeking to relocate for employment, which supports productivity and economic participation. And it helps ensure that key workers are able to live near their place of work. </w:t>
      </w:r>
    </w:p>
    <w:p w14:paraId="4BEAEB63" w14:textId="74887366" w:rsidR="009A4DA0" w:rsidRPr="00B06041" w:rsidRDefault="009A4DA0" w:rsidP="006C6F85">
      <w:r w:rsidRPr="00B06041">
        <w:t xml:space="preserve">The 2021 </w:t>
      </w:r>
      <w:r>
        <w:t>C</w:t>
      </w:r>
      <w:r w:rsidRPr="00B06041">
        <w:t xml:space="preserve">ensus identified 2.8 million occupied private dwellings </w:t>
      </w:r>
      <w:r>
        <w:t>as</w:t>
      </w:r>
      <w:r w:rsidRPr="00B06041">
        <w:t xml:space="preserve"> being rented in Australia, around 31</w:t>
      </w:r>
      <w:r w:rsidR="00E67AFE">
        <w:t> per </w:t>
      </w:r>
      <w:r w:rsidRPr="00B06041">
        <w:t>cent of the housing stock</w:t>
      </w:r>
      <w:r>
        <w:t xml:space="preserve"> (ABS 2022a)</w:t>
      </w:r>
      <w:r w:rsidRPr="00B06041">
        <w:t xml:space="preserve">. The overwhelming majority of these were supplied by individual landlords. Around 2.2 million Australians </w:t>
      </w:r>
      <w:r>
        <w:t>own</w:t>
      </w:r>
      <w:r w:rsidRPr="00B06041">
        <w:t xml:space="preserve"> investment properties. The majority (71</w:t>
      </w:r>
      <w:r w:rsidR="00E67AFE">
        <w:t> per </w:t>
      </w:r>
      <w:r w:rsidRPr="00B06041">
        <w:t>cent) of investors own just one property, while 19</w:t>
      </w:r>
      <w:r w:rsidR="00E67AFE">
        <w:t> per </w:t>
      </w:r>
      <w:r w:rsidRPr="00B06041">
        <w:t xml:space="preserve">cent own </w:t>
      </w:r>
      <w:r w:rsidR="00A066EB">
        <w:t>2</w:t>
      </w:r>
      <w:r w:rsidR="00A066EB" w:rsidRPr="00B06041">
        <w:t xml:space="preserve"> </w:t>
      </w:r>
      <w:r w:rsidRPr="00B06041">
        <w:t>properties and 10</w:t>
      </w:r>
      <w:r w:rsidR="00E67AFE">
        <w:t> per </w:t>
      </w:r>
      <w:r w:rsidRPr="00B06041">
        <w:t xml:space="preserve">cent own </w:t>
      </w:r>
      <w:r w:rsidR="00A066EB">
        <w:t>3</w:t>
      </w:r>
      <w:r w:rsidR="00A066EB" w:rsidRPr="00B06041">
        <w:t xml:space="preserve"> </w:t>
      </w:r>
      <w:r w:rsidRPr="00B06041">
        <w:t>or more (</w:t>
      </w:r>
      <w:r>
        <w:t xml:space="preserve">Longview – </w:t>
      </w:r>
      <w:r w:rsidRPr="00B06041">
        <w:t>PEXA 2023</w:t>
      </w:r>
      <w:r>
        <w:t>a</w:t>
      </w:r>
      <w:r w:rsidRPr="00B06041">
        <w:t xml:space="preserve">). Many </w:t>
      </w:r>
      <w:r w:rsidR="00566FB7">
        <w:t>individual</w:t>
      </w:r>
      <w:r w:rsidRPr="00B06041">
        <w:t xml:space="preserve"> landlords and tenants have respectful and mutually beneficial arrangements. But the preferences, circumstances and needs of individual landlords and tenants may not always match, which can lead to sub</w:t>
      </w:r>
      <w:r w:rsidR="00563A2B">
        <w:noBreakHyphen/>
      </w:r>
      <w:r w:rsidRPr="00B06041">
        <w:t xml:space="preserve">optimal rental experiences, including poorer rental quality and inflexible tenant conditions. Rental insecurity is particularly </w:t>
      </w:r>
      <w:r>
        <w:t>common</w:t>
      </w:r>
      <w:r w:rsidRPr="00B06041">
        <w:t xml:space="preserve">, </w:t>
      </w:r>
      <w:r w:rsidRPr="008503F5">
        <w:t>with around 90</w:t>
      </w:r>
      <w:r w:rsidR="00E67AFE">
        <w:t> per </w:t>
      </w:r>
      <w:r w:rsidRPr="008503F5">
        <w:t>cent of lease agreements of durations of 12 months or less (</w:t>
      </w:r>
      <w:proofErr w:type="spellStart"/>
      <w:r w:rsidRPr="00E630B5">
        <w:t>Hanmer</w:t>
      </w:r>
      <w:proofErr w:type="spellEnd"/>
      <w:r w:rsidRPr="00E630B5">
        <w:t xml:space="preserve"> and Marquardt</w:t>
      </w:r>
      <w:r w:rsidRPr="00E630B5" w:rsidDel="00E630B5">
        <w:t xml:space="preserve"> </w:t>
      </w:r>
      <w:r w:rsidRPr="008503F5">
        <w:t>2023). By contrast,</w:t>
      </w:r>
      <w:r w:rsidR="00A158C0">
        <w:t xml:space="preserve"> </w:t>
      </w:r>
      <w:r w:rsidRPr="008503F5">
        <w:t xml:space="preserve">tenants indicate that they would like </w:t>
      </w:r>
      <w:r w:rsidR="00E059DF">
        <w:t>great</w:t>
      </w:r>
      <w:r w:rsidR="00444F1F">
        <w:t>er</w:t>
      </w:r>
      <w:r w:rsidRPr="008503F5">
        <w:t xml:space="preserve"> choice and stability </w:t>
      </w:r>
      <w:r w:rsidR="00BE2BC9">
        <w:t xml:space="preserve">regarding </w:t>
      </w:r>
      <w:r w:rsidR="00FE3DF9">
        <w:t>the term</w:t>
      </w:r>
      <w:r w:rsidR="00444F1F">
        <w:t xml:space="preserve"> of leases </w:t>
      </w:r>
      <w:r w:rsidRPr="008503F5">
        <w:t>(Tenants Union of NSW 2021).</w:t>
      </w:r>
      <w:r w:rsidRPr="00B06041">
        <w:t xml:space="preserve"> </w:t>
      </w:r>
    </w:p>
    <w:p w14:paraId="2D318547" w14:textId="720D292F" w:rsidR="00D73BC3" w:rsidRPr="00165348" w:rsidRDefault="001B62BF" w:rsidP="006C6F85">
      <w:pPr>
        <w:rPr>
          <w:rFonts w:cstheme="minorHAnsi"/>
        </w:rPr>
      </w:pPr>
      <w:r>
        <w:rPr>
          <w:rFonts w:cstheme="minorHAnsi"/>
        </w:rPr>
        <w:t>A</w:t>
      </w:r>
      <w:r w:rsidR="009A4DA0" w:rsidRPr="00B06041">
        <w:rPr>
          <w:rFonts w:cstheme="minorHAnsi"/>
        </w:rPr>
        <w:t xml:space="preserve"> major investment of capital </w:t>
      </w:r>
      <w:r>
        <w:rPr>
          <w:rFonts w:cstheme="minorHAnsi"/>
        </w:rPr>
        <w:t>is needed to</w:t>
      </w:r>
      <w:r w:rsidR="009A4DA0" w:rsidRPr="00B06041">
        <w:rPr>
          <w:rFonts w:cstheme="minorHAnsi"/>
        </w:rPr>
        <w:t xml:space="preserve"> fund a significant increase in the quantity and diversity of Australia</w:t>
      </w:r>
      <w:r w:rsidR="00563A2B">
        <w:rPr>
          <w:rFonts w:cstheme="minorHAnsi"/>
        </w:rPr>
        <w:t>’</w:t>
      </w:r>
      <w:r w:rsidR="009A4DA0" w:rsidRPr="00B06041">
        <w:rPr>
          <w:rFonts w:cstheme="minorHAnsi"/>
        </w:rPr>
        <w:t>s stock of rental properties. As in the past, much of this capital will be provided by individual investors. Some will come from government through the creation of new social housing. Institutional capital can also play a role</w:t>
      </w:r>
      <w:r w:rsidR="00E03662">
        <w:rPr>
          <w:rFonts w:cstheme="minorHAnsi"/>
        </w:rPr>
        <w:t>,</w:t>
      </w:r>
      <w:r w:rsidR="00FC6CB0">
        <w:rPr>
          <w:rFonts w:cstheme="minorHAnsi"/>
        </w:rPr>
        <w:t xml:space="preserve"> and </w:t>
      </w:r>
      <w:r w:rsidR="009A4DA0">
        <w:t xml:space="preserve">has </w:t>
      </w:r>
      <w:r w:rsidR="00FC6CB0">
        <w:t xml:space="preserve">been part of </w:t>
      </w:r>
      <w:r w:rsidR="009A4DA0">
        <w:t>the provision of rental services in other countries for decades. In Australia, i</w:t>
      </w:r>
      <w:r w:rsidR="009A4DA0" w:rsidRPr="007667E4">
        <w:t xml:space="preserve">nstitutional investment </w:t>
      </w:r>
      <w:r w:rsidR="009A4DA0">
        <w:t xml:space="preserve">in </w:t>
      </w:r>
      <w:r w:rsidR="009A4DA0" w:rsidRPr="007667E4">
        <w:t xml:space="preserve">housing has been </w:t>
      </w:r>
      <w:r w:rsidR="009A4DA0">
        <w:t>of interest to policy makers and academics since at least the 1990s (see Berry and Hall 2002 for an overview of pre</w:t>
      </w:r>
      <w:r w:rsidR="00563A2B">
        <w:noBreakHyphen/>
      </w:r>
      <w:r w:rsidR="009A4DA0">
        <w:t>2000s reports).</w:t>
      </w:r>
      <w:r w:rsidR="009A4DA0" w:rsidRPr="00B938EF">
        <w:t xml:space="preserve"> </w:t>
      </w:r>
    </w:p>
    <w:p w14:paraId="6203513F" w14:textId="54A4F76D" w:rsidR="00104C6A" w:rsidRPr="00165348" w:rsidRDefault="00104C6A" w:rsidP="00B13F48">
      <w:pPr>
        <w:spacing w:before="0" w:after="160" w:line="259" w:lineRule="auto"/>
        <w:rPr>
          <w:rFonts w:cstheme="minorHAnsi"/>
        </w:rPr>
      </w:pPr>
      <w:r>
        <w:br w:type="page"/>
      </w:r>
    </w:p>
    <w:tbl>
      <w:tblPr>
        <w:tblpPr w:leftFromText="181" w:rightFromText="181" w:bottomFromText="160" w:vertAnchor="text" w:tblpY="1"/>
        <w:tblOverlap w:val="never"/>
        <w:tblW w:w="5000" w:type="pct"/>
        <w:shd w:val="clear" w:color="auto" w:fill="F2E3C7" w:themeFill="background2"/>
        <w:tblCellMar>
          <w:top w:w="284" w:type="dxa"/>
          <w:left w:w="284" w:type="dxa"/>
          <w:bottom w:w="284" w:type="dxa"/>
          <w:right w:w="284" w:type="dxa"/>
        </w:tblCellMar>
        <w:tblLook w:val="0600" w:firstRow="0" w:lastRow="0" w:firstColumn="0" w:lastColumn="0" w:noHBand="1" w:noVBand="1"/>
      </w:tblPr>
      <w:tblGrid>
        <w:gridCol w:w="9070"/>
      </w:tblGrid>
      <w:tr w:rsidR="00767D13" w14:paraId="267C0E3A" w14:textId="77777777" w:rsidTr="235B11DD">
        <w:tc>
          <w:tcPr>
            <w:tcW w:w="5000" w:type="pct"/>
            <w:shd w:val="clear" w:color="auto" w:fill="F2E3C7" w:themeFill="accent6"/>
            <w:hideMark/>
          </w:tcPr>
          <w:p w14:paraId="37078C89" w14:textId="7D46F5FC" w:rsidR="00767D13" w:rsidRPr="0084542C" w:rsidRDefault="00767D13" w:rsidP="0084542C">
            <w:pPr>
              <w:pStyle w:val="BoxHeading"/>
            </w:pPr>
            <w:r w:rsidRPr="0084542C">
              <w:lastRenderedPageBreak/>
              <w:t xml:space="preserve">Box 1: Types of rental accommodation </w:t>
            </w:r>
          </w:p>
          <w:p w14:paraId="2BD609C5" w14:textId="37EDB100" w:rsidR="003974EA" w:rsidRDefault="00D73BC3" w:rsidP="0084542C">
            <w:pPr>
              <w:pStyle w:val="BoxText"/>
              <w:rPr>
                <w:rFonts w:cstheme="minorHAnsi"/>
                <w:lang w:eastAsia="en-US"/>
              </w:rPr>
            </w:pPr>
            <w:r>
              <w:rPr>
                <w:lang w:eastAsia="en-US"/>
              </w:rPr>
              <w:t>Rental accommodation in Australia is provided by the private sector, for profit and not</w:t>
            </w:r>
            <w:r w:rsidR="00563A2B">
              <w:rPr>
                <w:lang w:eastAsia="en-US"/>
              </w:rPr>
              <w:noBreakHyphen/>
            </w:r>
            <w:r>
              <w:rPr>
                <w:lang w:eastAsia="en-US"/>
              </w:rPr>
              <w:t>for</w:t>
            </w:r>
            <w:r w:rsidR="00563A2B">
              <w:rPr>
                <w:rFonts w:cstheme="minorHAnsi"/>
                <w:lang w:eastAsia="en-US"/>
              </w:rPr>
              <w:noBreakHyphen/>
            </w:r>
            <w:r>
              <w:rPr>
                <w:rFonts w:cstheme="minorHAnsi"/>
                <w:lang w:eastAsia="en-US"/>
              </w:rPr>
              <w:t xml:space="preserve">profit community </w:t>
            </w:r>
            <w:r w:rsidR="00A6077C">
              <w:rPr>
                <w:rFonts w:cstheme="minorHAnsi"/>
                <w:lang w:eastAsia="en-US"/>
              </w:rPr>
              <w:t xml:space="preserve">housing </w:t>
            </w:r>
            <w:r>
              <w:rPr>
                <w:rFonts w:cstheme="minorHAnsi"/>
                <w:lang w:eastAsia="en-US"/>
              </w:rPr>
              <w:t>providers, and by governments. Renters tend to have lower incomes and spend a larger share of their disposable income on housing costs compared with owner</w:t>
            </w:r>
            <w:r w:rsidR="00563A2B">
              <w:rPr>
                <w:rFonts w:cstheme="minorHAnsi"/>
                <w:lang w:eastAsia="en-US"/>
              </w:rPr>
              <w:noBreakHyphen/>
            </w:r>
            <w:r>
              <w:rPr>
                <w:rFonts w:cstheme="minorHAnsi"/>
                <w:lang w:eastAsia="en-US"/>
              </w:rPr>
              <w:t>occupier households</w:t>
            </w:r>
            <w:r w:rsidR="003974EA">
              <w:rPr>
                <w:rFonts w:cstheme="minorHAnsi"/>
                <w:lang w:eastAsia="en-US"/>
              </w:rPr>
              <w:t>.</w:t>
            </w:r>
            <w:r>
              <w:rPr>
                <w:rFonts w:cstheme="minorHAnsi"/>
                <w:lang w:eastAsia="en-US"/>
              </w:rPr>
              <w:t xml:space="preserve"> </w:t>
            </w:r>
            <w:r w:rsidR="003974EA" w:rsidRPr="00E7296A">
              <w:rPr>
                <w:szCs w:val="22"/>
              </w:rPr>
              <w:t>The</w:t>
            </w:r>
            <w:r w:rsidR="00C32E20">
              <w:rPr>
                <w:szCs w:val="22"/>
              </w:rPr>
              <w:t> </w:t>
            </w:r>
            <w:r w:rsidR="003974EA" w:rsidRPr="00E7296A">
              <w:rPr>
                <w:szCs w:val="22"/>
              </w:rPr>
              <w:t xml:space="preserve">share of income needed to service rent across Australia </w:t>
            </w:r>
            <w:r w:rsidR="003974EA">
              <w:rPr>
                <w:szCs w:val="22"/>
              </w:rPr>
              <w:t xml:space="preserve">was </w:t>
            </w:r>
            <w:r w:rsidR="003974EA" w:rsidRPr="00E7296A">
              <w:rPr>
                <w:szCs w:val="22"/>
              </w:rPr>
              <w:t>30.8</w:t>
            </w:r>
            <w:r w:rsidR="00E67AFE">
              <w:rPr>
                <w:szCs w:val="22"/>
              </w:rPr>
              <w:t> per </w:t>
            </w:r>
            <w:r w:rsidR="003974EA" w:rsidRPr="00E7296A">
              <w:rPr>
                <w:szCs w:val="22"/>
              </w:rPr>
              <w:t>cent in March 2023 (ANZ – CoreLogic 2023).</w:t>
            </w:r>
            <w:r>
              <w:rPr>
                <w:rFonts w:cstheme="minorHAnsi"/>
                <w:lang w:eastAsia="en-US"/>
              </w:rPr>
              <w:t xml:space="preserve"> Within this context, access to appropriate and affordable rental accommodation is especially important for the wellbeing of renter households.</w:t>
            </w:r>
          </w:p>
          <w:p w14:paraId="41A014C4" w14:textId="42404C84" w:rsidR="007E34FD" w:rsidRPr="00A24ECE" w:rsidRDefault="007E34FD" w:rsidP="002423F2">
            <w:pPr>
              <w:pStyle w:val="BoxText"/>
            </w:pPr>
            <w:r w:rsidRPr="00A24ECE">
              <w:t xml:space="preserve">There are </w:t>
            </w:r>
            <w:r w:rsidR="005E0009">
              <w:t>several</w:t>
            </w:r>
            <w:r w:rsidRPr="00A24ECE">
              <w:t xml:space="preserve"> types of housing in the rental market. </w:t>
            </w:r>
          </w:p>
          <w:p w14:paraId="7360E380" w14:textId="77777777" w:rsidR="00D73BC3" w:rsidRDefault="00D73BC3" w:rsidP="00D018FC">
            <w:pPr>
              <w:pStyle w:val="BoxHeading2"/>
              <w:framePr w:hSpace="0" w:wrap="auto" w:vAnchor="margin" w:yAlign="inline"/>
              <w:suppressOverlap w:val="0"/>
              <w:rPr>
                <w:lang w:eastAsia="en-US"/>
              </w:rPr>
            </w:pPr>
            <w:r>
              <w:rPr>
                <w:lang w:eastAsia="en-US"/>
              </w:rPr>
              <w:t>Private rental housing</w:t>
            </w:r>
          </w:p>
          <w:p w14:paraId="6704AB65" w14:textId="23721445" w:rsidR="00D73BC3" w:rsidRDefault="00D73BC3" w:rsidP="0084542C">
            <w:pPr>
              <w:pStyle w:val="BoxText"/>
              <w:rPr>
                <w:lang w:eastAsia="en-US"/>
              </w:rPr>
            </w:pPr>
            <w:r>
              <w:rPr>
                <w:lang w:eastAsia="en-US"/>
              </w:rPr>
              <w:t>Private rental housing refers to privately owned housing made available for rent to tenants with prices set by the market. Private rental housing comprises the majority of rental housing in Australia, accounting for 2.4 million of the 2.9 million households that rent (AIHW 2023c)</w:t>
            </w:r>
            <w:r w:rsidR="00EB496D">
              <w:rPr>
                <w:lang w:eastAsia="en-US"/>
              </w:rPr>
              <w:t xml:space="preserve">. </w:t>
            </w:r>
            <w:r w:rsidR="00DE5497">
              <w:rPr>
                <w:rFonts w:cstheme="minorHAnsi"/>
                <w:lang w:eastAsia="en-US"/>
              </w:rPr>
              <w:t>According to the 2021 Census, around 3</w:t>
            </w:r>
            <w:r w:rsidR="00D13430">
              <w:rPr>
                <w:rFonts w:cstheme="minorHAnsi"/>
                <w:lang w:eastAsia="en-US"/>
              </w:rPr>
              <w:t>1</w:t>
            </w:r>
            <w:r w:rsidR="00E67AFE">
              <w:rPr>
                <w:rFonts w:cstheme="minorHAnsi"/>
                <w:lang w:eastAsia="en-US"/>
              </w:rPr>
              <w:t> per </w:t>
            </w:r>
            <w:r w:rsidR="00DE5497">
              <w:rPr>
                <w:rFonts w:cstheme="minorHAnsi"/>
                <w:lang w:eastAsia="en-US"/>
              </w:rPr>
              <w:t xml:space="preserve">cent of households rent their home in the private rental market, a share that has risen over the past few decades (ABS 2022). </w:t>
            </w:r>
            <w:r>
              <w:rPr>
                <w:lang w:eastAsia="en-US"/>
              </w:rPr>
              <w:t>Housing is predominately provided by individual landlords (</w:t>
            </w:r>
            <w:r w:rsidR="00563A2B">
              <w:rPr>
                <w:lang w:eastAsia="en-US"/>
              </w:rPr>
              <w:t>‘</w:t>
            </w:r>
            <w:r>
              <w:rPr>
                <w:lang w:eastAsia="en-US"/>
              </w:rPr>
              <w:t>mum and dad investors</w:t>
            </w:r>
            <w:r w:rsidR="00563A2B">
              <w:rPr>
                <w:lang w:eastAsia="en-US"/>
              </w:rPr>
              <w:t>’</w:t>
            </w:r>
            <w:r>
              <w:rPr>
                <w:lang w:eastAsia="en-US"/>
              </w:rPr>
              <w:t>).</w:t>
            </w:r>
          </w:p>
          <w:p w14:paraId="3930324F" w14:textId="748EAAE3" w:rsidR="00D73BC3" w:rsidRDefault="00D73BC3" w:rsidP="0084542C">
            <w:pPr>
              <w:pStyle w:val="BoxText"/>
              <w:rPr>
                <w:lang w:eastAsia="en-US"/>
              </w:rPr>
            </w:pPr>
            <w:r>
              <w:rPr>
                <w:lang w:eastAsia="en-US"/>
              </w:rPr>
              <w:t>Private rental meets the housing needs of many people. It is more flexible and usually lower cost than home ownership.</w:t>
            </w:r>
            <w:r w:rsidDel="006436BD">
              <w:rPr>
                <w:lang w:eastAsia="en-US"/>
              </w:rPr>
              <w:t xml:space="preserve"> </w:t>
            </w:r>
            <w:r w:rsidR="00767D13">
              <w:rPr>
                <w:lang w:eastAsia="en-US"/>
              </w:rPr>
              <w:t xml:space="preserve">However, </w:t>
            </w:r>
            <w:r w:rsidR="00A9520D">
              <w:rPr>
                <w:lang w:eastAsia="en-US"/>
              </w:rPr>
              <w:t>p</w:t>
            </w:r>
            <w:r w:rsidR="00767D13">
              <w:rPr>
                <w:lang w:eastAsia="en-US"/>
              </w:rPr>
              <w:t>rivate</w:t>
            </w:r>
            <w:r>
              <w:rPr>
                <w:lang w:eastAsia="en-US"/>
              </w:rPr>
              <w:t xml:space="preserve"> renters typically have less control over their property than homeowners, and their tenancies are likely to be less stable and secure than those of homeowners or public housing tenants.</w:t>
            </w:r>
          </w:p>
          <w:p w14:paraId="0906DAC4" w14:textId="77777777" w:rsidR="00D73BC3" w:rsidRDefault="00D73BC3" w:rsidP="00D018FC">
            <w:pPr>
              <w:pStyle w:val="BoxHeading2"/>
              <w:framePr w:hSpace="0" w:wrap="auto" w:vAnchor="margin" w:yAlign="inline"/>
              <w:suppressOverlap w:val="0"/>
            </w:pPr>
            <w:r>
              <w:rPr>
                <w:lang w:eastAsia="en-US"/>
              </w:rPr>
              <w:t>Below market rate rental housing</w:t>
            </w:r>
            <w:r>
              <w:t xml:space="preserve"> </w:t>
            </w:r>
          </w:p>
          <w:p w14:paraId="424B5271" w14:textId="35CDEFC6" w:rsidR="00767D13" w:rsidRDefault="00D73BC3">
            <w:pPr>
              <w:pStyle w:val="BoxText"/>
              <w:rPr>
                <w:lang w:eastAsia="en-US"/>
              </w:rPr>
            </w:pPr>
            <w:r>
              <w:rPr>
                <w:lang w:eastAsia="en-US"/>
              </w:rPr>
              <w:t>Below market rate rental housing</w:t>
            </w:r>
            <w:r w:rsidR="007E34FD">
              <w:rPr>
                <w:lang w:eastAsia="en-US"/>
              </w:rPr>
              <w:t xml:space="preserve"> </w:t>
            </w:r>
            <w:r>
              <w:rPr>
                <w:lang w:eastAsia="en-US"/>
              </w:rPr>
              <w:t xml:space="preserve">refers to housing that </w:t>
            </w:r>
            <w:r w:rsidR="00B37B29">
              <w:rPr>
                <w:lang w:eastAsia="en-US"/>
              </w:rPr>
              <w:t xml:space="preserve">is </w:t>
            </w:r>
            <w:r>
              <w:rPr>
                <w:lang w:eastAsia="en-US"/>
              </w:rPr>
              <w:t xml:space="preserve">offered </w:t>
            </w:r>
            <w:r w:rsidR="00767D13">
              <w:rPr>
                <w:bCs/>
                <w:lang w:eastAsia="en-US"/>
              </w:rPr>
              <w:t>at a</w:t>
            </w:r>
            <w:r>
              <w:rPr>
                <w:lang w:eastAsia="en-US"/>
              </w:rPr>
              <w:t xml:space="preserve"> </w:t>
            </w:r>
            <w:r w:rsidR="00645337">
              <w:rPr>
                <w:bCs/>
                <w:lang w:eastAsia="en-US"/>
              </w:rPr>
              <w:t xml:space="preserve">discount to market </w:t>
            </w:r>
            <w:r>
              <w:rPr>
                <w:lang w:eastAsia="en-US"/>
              </w:rPr>
              <w:t>price</w:t>
            </w:r>
            <w:r w:rsidR="001467B3">
              <w:rPr>
                <w:lang w:eastAsia="en-US"/>
              </w:rPr>
              <w:t xml:space="preserve">, </w:t>
            </w:r>
            <w:r w:rsidR="001467B3" w:rsidRPr="00A31631">
              <w:rPr>
                <w:lang w:eastAsia="en-US"/>
              </w:rPr>
              <w:t>with rents typically set at between 70 and 80</w:t>
            </w:r>
            <w:r w:rsidR="00E67AFE">
              <w:rPr>
                <w:lang w:eastAsia="en-US"/>
              </w:rPr>
              <w:t> per </w:t>
            </w:r>
            <w:r w:rsidR="001467B3" w:rsidRPr="00A31631">
              <w:rPr>
                <w:lang w:eastAsia="en-US"/>
              </w:rPr>
              <w:t>cent of the prevailing market rent</w:t>
            </w:r>
            <w:r>
              <w:rPr>
                <w:lang w:eastAsia="en-US"/>
              </w:rPr>
              <w:t xml:space="preserve">. </w:t>
            </w:r>
            <w:r w:rsidR="008D0A4D">
              <w:rPr>
                <w:lang w:eastAsia="en-US"/>
              </w:rPr>
              <w:t xml:space="preserve">This </w:t>
            </w:r>
            <w:r w:rsidR="00645337">
              <w:rPr>
                <w:lang w:eastAsia="en-US"/>
              </w:rPr>
              <w:t xml:space="preserve">type of </w:t>
            </w:r>
            <w:r w:rsidR="00274B03" w:rsidRPr="00A31631">
              <w:rPr>
                <w:lang w:eastAsia="en-US"/>
              </w:rPr>
              <w:t>rental housing</w:t>
            </w:r>
            <w:r w:rsidR="00274B03">
              <w:t xml:space="preserve"> </w:t>
            </w:r>
            <w:r w:rsidR="00274B03" w:rsidRPr="00A31631">
              <w:rPr>
                <w:lang w:eastAsia="en-US"/>
              </w:rPr>
              <w:t>may be made</w:t>
            </w:r>
            <w:r w:rsidR="00274B03" w:rsidRPr="008D0A4D">
              <w:rPr>
                <w:lang w:eastAsia="en-US"/>
              </w:rPr>
              <w:t xml:space="preserve"> </w:t>
            </w:r>
            <w:r w:rsidR="00274B03" w:rsidRPr="00A31631">
              <w:rPr>
                <w:lang w:eastAsia="en-US"/>
              </w:rPr>
              <w:t xml:space="preserve">available </w:t>
            </w:r>
            <w:r w:rsidR="00082871">
              <w:rPr>
                <w:lang w:eastAsia="en-US"/>
              </w:rPr>
              <w:t>to</w:t>
            </w:r>
            <w:r w:rsidR="00274B03">
              <w:t xml:space="preserve"> </w:t>
            </w:r>
            <w:r w:rsidR="00274B03" w:rsidRPr="00A31631">
              <w:rPr>
                <w:lang w:eastAsia="en-US"/>
              </w:rPr>
              <w:t>individuals who work in a range of essential services, or to provide access to affordable accommodation for workers that is close to their specific place of employment. It</w:t>
            </w:r>
            <w:r w:rsidR="00C32E20">
              <w:rPr>
                <w:lang w:eastAsia="en-US"/>
              </w:rPr>
              <w:t> </w:t>
            </w:r>
            <w:r w:rsidR="00274B03" w:rsidRPr="00A31631">
              <w:rPr>
                <w:lang w:eastAsia="en-US"/>
              </w:rPr>
              <w:t>may also include</w:t>
            </w:r>
            <w:r w:rsidR="00134852">
              <w:rPr>
                <w:lang w:eastAsia="en-US"/>
              </w:rPr>
              <w:t xml:space="preserve"> boarding </w:t>
            </w:r>
            <w:r w:rsidR="00274B03" w:rsidRPr="00C03541">
              <w:rPr>
                <w:lang w:eastAsia="en-US"/>
              </w:rPr>
              <w:t>houses</w:t>
            </w:r>
            <w:r w:rsidR="00274B03" w:rsidRPr="00A31631">
              <w:rPr>
                <w:lang w:eastAsia="en-US"/>
              </w:rPr>
              <w:t xml:space="preserve"> and student accommodation.</w:t>
            </w:r>
            <w:r w:rsidR="00274B03" w:rsidRPr="00C03541">
              <w:rPr>
                <w:lang w:eastAsia="en-US"/>
              </w:rPr>
              <w:t xml:space="preserve"> This type of housing is also sometimes referred to as affordable housing. Due to a lack of clarity in definitions, there is </w:t>
            </w:r>
            <w:r w:rsidR="00274B03" w:rsidRPr="002E655F">
              <w:t xml:space="preserve">a lack of quality data on the stock of </w:t>
            </w:r>
            <w:r w:rsidR="00274B03">
              <w:t>below market rate</w:t>
            </w:r>
            <w:r w:rsidR="00274B03" w:rsidRPr="002E655F">
              <w:t xml:space="preserve"> </w:t>
            </w:r>
            <w:r w:rsidR="00274B03">
              <w:t xml:space="preserve">rental </w:t>
            </w:r>
            <w:r w:rsidR="00274B03" w:rsidRPr="002E655F">
              <w:t>housing</w:t>
            </w:r>
            <w:r w:rsidR="00274B03">
              <w:t xml:space="preserve"> in</w:t>
            </w:r>
            <w:r w:rsidR="00274B03" w:rsidRPr="00EE19AA">
              <w:t xml:space="preserve"> </w:t>
            </w:r>
            <w:r w:rsidR="00274B03" w:rsidRPr="002E655F">
              <w:t>Australia</w:t>
            </w:r>
            <w:r w:rsidR="00274B03">
              <w:t xml:space="preserve"> (Chapter 7).</w:t>
            </w:r>
          </w:p>
          <w:p w14:paraId="50831328" w14:textId="10EF5D4F" w:rsidR="00722625" w:rsidRPr="00BD0B76" w:rsidRDefault="00722625" w:rsidP="00D018FC">
            <w:pPr>
              <w:pStyle w:val="BoxHeading2"/>
              <w:framePr w:hSpace="0" w:wrap="auto" w:vAnchor="margin" w:yAlign="inline"/>
              <w:suppressOverlap w:val="0"/>
              <w:rPr>
                <w:lang w:eastAsia="en-US"/>
              </w:rPr>
            </w:pPr>
            <w:r w:rsidRPr="00BD0B76">
              <w:rPr>
                <w:lang w:eastAsia="en-US"/>
              </w:rPr>
              <w:t xml:space="preserve">Affordable rental housing </w:t>
            </w:r>
          </w:p>
          <w:p w14:paraId="4F82CDD5" w14:textId="7C07D804" w:rsidR="00722625" w:rsidRPr="00E63F52" w:rsidRDefault="0040480E" w:rsidP="00722625">
            <w:pPr>
              <w:pStyle w:val="BoxText"/>
              <w:rPr>
                <w:szCs w:val="22"/>
                <w:lang w:eastAsia="en-US"/>
              </w:rPr>
            </w:pPr>
            <w:r>
              <w:rPr>
                <w:lang w:eastAsia="en-US"/>
              </w:rPr>
              <w:t>Broadly defined, a</w:t>
            </w:r>
            <w:r w:rsidR="00722625" w:rsidRPr="007D2B36">
              <w:rPr>
                <w:lang w:eastAsia="en-US"/>
              </w:rPr>
              <w:t xml:space="preserve">ffordable rental housing </w:t>
            </w:r>
            <w:r w:rsidR="0067530F">
              <w:rPr>
                <w:lang w:eastAsia="en-US"/>
              </w:rPr>
              <w:t xml:space="preserve">refers to housing available </w:t>
            </w:r>
            <w:r w:rsidR="00B710E1">
              <w:rPr>
                <w:lang w:eastAsia="en-US"/>
              </w:rPr>
              <w:t xml:space="preserve">for rent at a price related to a measure of affordability. </w:t>
            </w:r>
            <w:r w:rsidR="002E0A9D">
              <w:rPr>
                <w:lang w:eastAsia="en-US"/>
              </w:rPr>
              <w:t xml:space="preserve">The measure of affordability can be general, or specific to </w:t>
            </w:r>
            <w:r w:rsidR="005900D9">
              <w:rPr>
                <w:lang w:eastAsia="en-US"/>
              </w:rPr>
              <w:t xml:space="preserve">the </w:t>
            </w:r>
            <w:r w:rsidR="002E0A9D">
              <w:rPr>
                <w:lang w:eastAsia="en-US"/>
              </w:rPr>
              <w:t>individual households</w:t>
            </w:r>
            <w:r w:rsidR="005900D9">
              <w:rPr>
                <w:lang w:eastAsia="en-US"/>
              </w:rPr>
              <w:t xml:space="preserve"> utilising the housing</w:t>
            </w:r>
            <w:r w:rsidR="002E0A9D">
              <w:rPr>
                <w:lang w:eastAsia="en-US"/>
              </w:rPr>
              <w:t xml:space="preserve">. </w:t>
            </w:r>
            <w:r>
              <w:rPr>
                <w:lang w:eastAsia="en-US"/>
              </w:rPr>
              <w:t>It</w:t>
            </w:r>
            <w:r w:rsidR="00722625" w:rsidRPr="007D2B36">
              <w:rPr>
                <w:lang w:eastAsia="en-US"/>
              </w:rPr>
              <w:t xml:space="preserve"> is targeted at ver</w:t>
            </w:r>
            <w:r w:rsidR="00722625" w:rsidRPr="00E63F52">
              <w:rPr>
                <w:szCs w:val="22"/>
                <w:lang w:eastAsia="en-US"/>
              </w:rPr>
              <w:t>y low</w:t>
            </w:r>
            <w:r w:rsidR="00563A2B">
              <w:rPr>
                <w:szCs w:val="22"/>
                <w:lang w:eastAsia="en-US"/>
              </w:rPr>
              <w:noBreakHyphen/>
            </w:r>
            <w:r w:rsidR="00722625" w:rsidRPr="00E63F52">
              <w:rPr>
                <w:szCs w:val="22"/>
                <w:lang w:eastAsia="en-US"/>
              </w:rPr>
              <w:t>to moderate</w:t>
            </w:r>
            <w:r w:rsidR="00563A2B">
              <w:rPr>
                <w:szCs w:val="22"/>
                <w:lang w:eastAsia="en-US"/>
              </w:rPr>
              <w:noBreakHyphen/>
            </w:r>
            <w:r w:rsidR="00722625" w:rsidRPr="00E63F52">
              <w:rPr>
                <w:szCs w:val="22"/>
                <w:lang w:eastAsia="en-US"/>
              </w:rPr>
              <w:t xml:space="preserve">income households to reduce or eliminate housing stress. </w:t>
            </w:r>
            <w:r w:rsidR="00722625" w:rsidRPr="00E63F52">
              <w:rPr>
                <w:lang w:eastAsia="en-US"/>
              </w:rPr>
              <w:t xml:space="preserve">It is usually developed with some government assistance and can be owned by private investors or community housing providers. As with below market rental housing, </w:t>
            </w:r>
            <w:r w:rsidR="00722625">
              <w:rPr>
                <w:lang w:eastAsia="en-US"/>
              </w:rPr>
              <w:t>the</w:t>
            </w:r>
            <w:r w:rsidR="00722625" w:rsidRPr="00E63F52">
              <w:rPr>
                <w:lang w:eastAsia="en-US"/>
              </w:rPr>
              <w:t xml:space="preserve"> lack of clarity in definitions</w:t>
            </w:r>
            <w:r w:rsidR="00722625">
              <w:rPr>
                <w:lang w:eastAsia="en-US"/>
              </w:rPr>
              <w:t xml:space="preserve"> contributes to </w:t>
            </w:r>
            <w:r w:rsidR="00722625" w:rsidRPr="00E63F52">
              <w:rPr>
                <w:lang w:eastAsia="en-US"/>
              </w:rPr>
              <w:t xml:space="preserve">a lack of data on the stock of affordable rental housing in Australia (see further below in Chapter </w:t>
            </w:r>
            <w:r w:rsidR="00FD61A2">
              <w:rPr>
                <w:lang w:eastAsia="en-US"/>
              </w:rPr>
              <w:t>8</w:t>
            </w:r>
            <w:r w:rsidR="00722625" w:rsidRPr="00E63F52">
              <w:rPr>
                <w:lang w:eastAsia="en-US"/>
              </w:rPr>
              <w:t>)</w:t>
            </w:r>
            <w:r w:rsidR="00EB496D">
              <w:rPr>
                <w:lang w:eastAsia="en-US"/>
              </w:rPr>
              <w:t xml:space="preserve">. </w:t>
            </w:r>
          </w:p>
          <w:p w14:paraId="2A695D30" w14:textId="3E2A7E15" w:rsidR="00722625" w:rsidRPr="00BD0B76" w:rsidRDefault="00722625" w:rsidP="00D018FC">
            <w:pPr>
              <w:pStyle w:val="BoxHeading2"/>
              <w:framePr w:hSpace="0" w:wrap="auto" w:vAnchor="margin" w:yAlign="inline"/>
              <w:suppressOverlap w:val="0"/>
              <w:rPr>
                <w:lang w:eastAsia="en-US"/>
              </w:rPr>
            </w:pPr>
            <w:r w:rsidRPr="00BD0B76">
              <w:rPr>
                <w:lang w:eastAsia="en-US"/>
              </w:rPr>
              <w:t xml:space="preserve">Social </w:t>
            </w:r>
            <w:r w:rsidR="00300E50">
              <w:rPr>
                <w:lang w:eastAsia="en-US"/>
              </w:rPr>
              <w:t>h</w:t>
            </w:r>
            <w:r w:rsidR="00300E50" w:rsidRPr="00BD0B76">
              <w:rPr>
                <w:lang w:eastAsia="en-US"/>
              </w:rPr>
              <w:t>ousing</w:t>
            </w:r>
          </w:p>
          <w:p w14:paraId="2728B21C" w14:textId="11CA8B4E" w:rsidR="00722625" w:rsidRPr="007D2B36" w:rsidRDefault="00722625" w:rsidP="00722625">
            <w:pPr>
              <w:pStyle w:val="BoxText"/>
              <w:rPr>
                <w:lang w:eastAsia="en-US"/>
              </w:rPr>
            </w:pPr>
            <w:r w:rsidRPr="007D2B36">
              <w:rPr>
                <w:lang w:eastAsia="en-US"/>
              </w:rPr>
              <w:t>Social housing is government</w:t>
            </w:r>
            <w:r w:rsidR="00563A2B">
              <w:rPr>
                <w:lang w:eastAsia="en-US"/>
              </w:rPr>
              <w:noBreakHyphen/>
            </w:r>
            <w:r w:rsidRPr="007D2B36">
              <w:rPr>
                <w:lang w:eastAsia="en-US"/>
              </w:rPr>
              <w:t>subsidised short and long</w:t>
            </w:r>
            <w:r w:rsidR="00563A2B">
              <w:rPr>
                <w:lang w:eastAsia="en-US"/>
              </w:rPr>
              <w:noBreakHyphen/>
            </w:r>
            <w:r w:rsidRPr="007D2B36">
              <w:rPr>
                <w:lang w:eastAsia="en-US"/>
              </w:rPr>
              <w:t>term rental housing</w:t>
            </w:r>
            <w:r w:rsidR="0038151E">
              <w:rPr>
                <w:lang w:eastAsia="en-US"/>
              </w:rPr>
              <w:t xml:space="preserve"> for people on </w:t>
            </w:r>
            <w:r w:rsidR="007B59B1">
              <w:rPr>
                <w:lang w:eastAsia="en-US"/>
              </w:rPr>
              <w:t>very</w:t>
            </w:r>
            <w:r w:rsidR="00563A2B">
              <w:rPr>
                <w:lang w:eastAsia="en-US"/>
              </w:rPr>
              <w:noBreakHyphen/>
            </w:r>
            <w:r w:rsidR="007B59B1">
              <w:rPr>
                <w:lang w:eastAsia="en-US"/>
              </w:rPr>
              <w:t xml:space="preserve">low to </w:t>
            </w:r>
            <w:r w:rsidR="0038151E">
              <w:rPr>
                <w:lang w:eastAsia="en-US"/>
              </w:rPr>
              <w:t>low incomes</w:t>
            </w:r>
            <w:r w:rsidRPr="007D2B36">
              <w:rPr>
                <w:lang w:eastAsia="en-US"/>
              </w:rPr>
              <w:t>. Sometimes these tenants have experienced homelessness or family violence.</w:t>
            </w:r>
          </w:p>
          <w:p w14:paraId="6367F703" w14:textId="41EFA2CA" w:rsidR="00767D13" w:rsidRDefault="00722625" w:rsidP="0084542C">
            <w:pPr>
              <w:pStyle w:val="BoxText"/>
              <w:rPr>
                <w:lang w:eastAsia="en-US"/>
              </w:rPr>
            </w:pPr>
            <w:r w:rsidRPr="007D2B36">
              <w:rPr>
                <w:lang w:eastAsia="en-US"/>
              </w:rPr>
              <w:t xml:space="preserve">Originally conceived as essential infrastructure to house workers for the industrialisation of Australia in the early post war period, decades of reduced or negligible investment in social housing means that, today, the available stock is largely rationed for households on income support, and very low or low incomes. </w:t>
            </w:r>
          </w:p>
        </w:tc>
      </w:tr>
    </w:tbl>
    <w:p w14:paraId="6D49568C" w14:textId="77777777" w:rsidR="00405182" w:rsidRDefault="00405182" w:rsidP="00405182">
      <w:bookmarkStart w:id="35" w:name="_Toc134440043"/>
      <w:bookmarkStart w:id="36" w:name="_Toc136869557"/>
      <w:bookmarkStart w:id="37" w:name="_Toc139618802"/>
      <w:bookmarkStart w:id="38" w:name="_Toc139635529"/>
    </w:p>
    <w:tbl>
      <w:tblPr>
        <w:tblpPr w:leftFromText="181" w:rightFromText="181" w:bottomFromText="160" w:vertAnchor="text" w:tblpY="1"/>
        <w:tblOverlap w:val="never"/>
        <w:tblW w:w="5000" w:type="pct"/>
        <w:shd w:val="clear" w:color="auto" w:fill="F2E3C7" w:themeFill="background2"/>
        <w:tblCellMar>
          <w:top w:w="284" w:type="dxa"/>
          <w:left w:w="284" w:type="dxa"/>
          <w:bottom w:w="284" w:type="dxa"/>
          <w:right w:w="284" w:type="dxa"/>
        </w:tblCellMar>
        <w:tblLook w:val="0600" w:firstRow="0" w:lastRow="0" w:firstColumn="0" w:lastColumn="0" w:noHBand="1" w:noVBand="1"/>
      </w:tblPr>
      <w:tblGrid>
        <w:gridCol w:w="9070"/>
      </w:tblGrid>
      <w:tr w:rsidR="00256FE3" w14:paraId="0F7B5817" w14:textId="77777777" w:rsidTr="235B11DD">
        <w:tc>
          <w:tcPr>
            <w:tcW w:w="5000" w:type="pct"/>
            <w:shd w:val="clear" w:color="auto" w:fill="F2E3C7" w:themeFill="accent6"/>
            <w:hideMark/>
          </w:tcPr>
          <w:p w14:paraId="654CFADB" w14:textId="4D9A5F58" w:rsidR="00D018FC" w:rsidRDefault="00D018FC" w:rsidP="00D018FC">
            <w:pPr>
              <w:pStyle w:val="BoxHeading"/>
            </w:pPr>
            <w:r w:rsidRPr="0084542C">
              <w:lastRenderedPageBreak/>
              <w:t xml:space="preserve">Box 1: Types of rental accommodation </w:t>
            </w:r>
            <w:r>
              <w:t>(continued)</w:t>
            </w:r>
          </w:p>
          <w:p w14:paraId="056EB502" w14:textId="432B0AE0" w:rsidR="00B951DD" w:rsidRDefault="00256FE3" w:rsidP="0084542C">
            <w:pPr>
              <w:pStyle w:val="BoxText"/>
              <w:rPr>
                <w:lang w:eastAsia="en-US"/>
              </w:rPr>
            </w:pPr>
            <w:r w:rsidRPr="007D2B36">
              <w:rPr>
                <w:lang w:eastAsia="en-US"/>
              </w:rPr>
              <w:t xml:space="preserve">Today, rents are generally charged on the basis of household income. </w:t>
            </w:r>
            <w:r w:rsidR="00D60CFF">
              <w:rPr>
                <w:lang w:eastAsia="en-US"/>
              </w:rPr>
              <w:t>Social housing t</w:t>
            </w:r>
            <w:r w:rsidR="00401DD1">
              <w:rPr>
                <w:lang w:eastAsia="en-US"/>
              </w:rPr>
              <w:t xml:space="preserve">enants must also satisfy other </w:t>
            </w:r>
            <w:r w:rsidR="006071F7">
              <w:rPr>
                <w:lang w:eastAsia="en-US"/>
              </w:rPr>
              <w:t>eligibility criteria</w:t>
            </w:r>
            <w:r w:rsidRPr="007D2B36">
              <w:rPr>
                <w:lang w:eastAsia="en-US"/>
              </w:rPr>
              <w:t xml:space="preserve">. There are </w:t>
            </w:r>
            <w:r w:rsidR="00B951DD">
              <w:rPr>
                <w:lang w:eastAsia="en-US"/>
              </w:rPr>
              <w:t>2</w:t>
            </w:r>
            <w:r w:rsidR="00B951DD" w:rsidRPr="007D2B36">
              <w:rPr>
                <w:lang w:eastAsia="en-US"/>
              </w:rPr>
              <w:t xml:space="preserve"> </w:t>
            </w:r>
            <w:r w:rsidRPr="007D2B36">
              <w:rPr>
                <w:lang w:eastAsia="en-US"/>
              </w:rPr>
              <w:t xml:space="preserve">types of social housing: </w:t>
            </w:r>
          </w:p>
          <w:p w14:paraId="184EA689" w14:textId="67562005" w:rsidR="00567E52" w:rsidRPr="00983A09" w:rsidRDefault="00256FE3" w:rsidP="00C37F23">
            <w:pPr>
              <w:pStyle w:val="Bullet"/>
              <w:rPr>
                <w:sz w:val="20"/>
                <w:lang w:eastAsia="en-US"/>
              </w:rPr>
            </w:pPr>
            <w:r w:rsidRPr="00983A09">
              <w:rPr>
                <w:sz w:val="20"/>
                <w:lang w:eastAsia="en-US"/>
              </w:rPr>
              <w:t xml:space="preserve">public housing, which is owned and managed by state and territory governments </w:t>
            </w:r>
          </w:p>
          <w:p w14:paraId="42EE9DEB" w14:textId="57A679DD" w:rsidR="00567E52" w:rsidRPr="00983A09" w:rsidRDefault="00256FE3" w:rsidP="00C37F23">
            <w:pPr>
              <w:pStyle w:val="Bullet"/>
              <w:rPr>
                <w:sz w:val="20"/>
                <w:lang w:eastAsia="en-US"/>
              </w:rPr>
            </w:pPr>
            <w:r w:rsidRPr="00983A09">
              <w:rPr>
                <w:sz w:val="20"/>
                <w:lang w:eastAsia="en-US"/>
              </w:rPr>
              <w:t>community housing, which is managed and often owned by not</w:t>
            </w:r>
            <w:r w:rsidR="00563A2B">
              <w:rPr>
                <w:sz w:val="20"/>
                <w:lang w:eastAsia="en-US"/>
              </w:rPr>
              <w:noBreakHyphen/>
            </w:r>
            <w:r w:rsidRPr="00983A09">
              <w:rPr>
                <w:sz w:val="20"/>
                <w:lang w:eastAsia="en-US"/>
              </w:rPr>
              <w:t>for</w:t>
            </w:r>
            <w:r w:rsidR="00563A2B">
              <w:rPr>
                <w:sz w:val="20"/>
                <w:lang w:eastAsia="en-US"/>
              </w:rPr>
              <w:noBreakHyphen/>
            </w:r>
            <w:r w:rsidRPr="00983A09">
              <w:rPr>
                <w:sz w:val="20"/>
                <w:lang w:eastAsia="en-US"/>
              </w:rPr>
              <w:t xml:space="preserve">profit community housing providers. </w:t>
            </w:r>
          </w:p>
          <w:p w14:paraId="41E73C8E" w14:textId="0EDF13AA" w:rsidR="00256FE3" w:rsidRDefault="00256FE3" w:rsidP="0084542C">
            <w:pPr>
              <w:pStyle w:val="BoxText"/>
            </w:pPr>
            <w:r w:rsidRPr="007D2B36">
              <w:rPr>
                <w:lang w:eastAsia="en-US"/>
              </w:rPr>
              <w:t>There has been a steady trend in social housing dwellings shifting from being managed by public housing authorities to community housing providers</w:t>
            </w:r>
            <w:r w:rsidR="00EB496D">
              <w:rPr>
                <w:lang w:eastAsia="en-US"/>
              </w:rPr>
              <w:t xml:space="preserve">. </w:t>
            </w:r>
            <w:r w:rsidR="00567E52">
              <w:rPr>
                <w:lang w:eastAsia="en-US"/>
              </w:rPr>
              <w:t>T</w:t>
            </w:r>
            <w:r w:rsidRPr="007D2B36">
              <w:rPr>
                <w:lang w:eastAsia="en-US"/>
              </w:rPr>
              <w:t>he number of community housing dwellings more than tripled between 2006 and 2022 (AIHW 2023a). More than 440,000 social housing dwellings were rented in 2022, with less than 300,000 being public housing dwellings (AIHW 2023a).</w:t>
            </w:r>
            <w:r w:rsidRPr="007D2B36" w:rsidDel="006F5B61">
              <w:rPr>
                <w:lang w:eastAsia="en-US"/>
              </w:rPr>
              <w:t xml:space="preserve"> </w:t>
            </w:r>
          </w:p>
          <w:p w14:paraId="5F0AD91E" w14:textId="77777777" w:rsidR="00256FE3" w:rsidRPr="00FB3CD2" w:rsidRDefault="00256FE3" w:rsidP="0084542C">
            <w:pPr>
              <w:pStyle w:val="BoxText"/>
              <w:rPr>
                <w:b/>
                <w:lang w:eastAsia="en-US"/>
              </w:rPr>
            </w:pPr>
            <w:r w:rsidRPr="00531C64">
              <w:rPr>
                <w:b/>
                <w:lang w:eastAsia="en-US"/>
              </w:rPr>
              <w:t>Crisis and sp</w:t>
            </w:r>
            <w:r w:rsidRPr="00FB3CD2">
              <w:rPr>
                <w:b/>
                <w:lang w:eastAsia="en-US"/>
              </w:rPr>
              <w:t>ecialist rental accommodation</w:t>
            </w:r>
          </w:p>
          <w:p w14:paraId="3E384351" w14:textId="50BAF279" w:rsidR="00256FE3" w:rsidRDefault="00256FE3" w:rsidP="0084542C">
            <w:pPr>
              <w:pStyle w:val="BoxText"/>
              <w:rPr>
                <w:lang w:eastAsia="en-US"/>
              </w:rPr>
            </w:pPr>
            <w:r>
              <w:rPr>
                <w:lang w:eastAsia="en-US"/>
              </w:rPr>
              <w:t xml:space="preserve">Crisis accommodation and specialist housing are for people with high support needs, or at risk of homelessness. </w:t>
            </w:r>
            <w:r>
              <w:t>Crisis accommodation includes emergency and temporary accommodation provided as part of the specialist homelessness services accommodation in Australia. Specialist rental accommodation is purpose</w:t>
            </w:r>
            <w:r w:rsidR="00563A2B">
              <w:noBreakHyphen/>
            </w:r>
            <w:r>
              <w:t xml:space="preserve">built and run for particular cohorts, for example </w:t>
            </w:r>
            <w:r>
              <w:rPr>
                <w:lang w:eastAsia="en-US"/>
              </w:rPr>
              <w:t>Specialist Disability Accommodation.</w:t>
            </w:r>
          </w:p>
        </w:tc>
      </w:tr>
    </w:tbl>
    <w:p w14:paraId="018BEFD2" w14:textId="77777777" w:rsidR="00256FE3" w:rsidRDefault="00256FE3" w:rsidP="00405182"/>
    <w:p w14:paraId="1DC4B7AF" w14:textId="77777777" w:rsidR="00405182" w:rsidRDefault="00405182">
      <w:pPr>
        <w:spacing w:before="0" w:after="160" w:line="259" w:lineRule="auto"/>
      </w:pPr>
      <w:r>
        <w:br w:type="page"/>
      </w:r>
    </w:p>
    <w:p w14:paraId="639F889F" w14:textId="77777777" w:rsidR="009A4DA0" w:rsidRPr="004A38A2" w:rsidRDefault="009A4DA0" w:rsidP="004A38A2">
      <w:pPr>
        <w:pStyle w:val="Heading2Numbered"/>
      </w:pPr>
      <w:bookmarkStart w:id="39" w:name="_Toc141355238"/>
      <w:r w:rsidRPr="004A38A2">
        <w:lastRenderedPageBreak/>
        <w:t>How institutional investors can invest in residential property</w:t>
      </w:r>
      <w:bookmarkEnd w:id="39"/>
      <w:r w:rsidRPr="004A38A2">
        <w:t xml:space="preserve"> </w:t>
      </w:r>
    </w:p>
    <w:p w14:paraId="096539C9" w14:textId="65A4730C" w:rsidR="00D453AE" w:rsidRDefault="009A4DA0" w:rsidP="00886E17">
      <w:pPr>
        <w:spacing w:after="120"/>
      </w:pPr>
      <w:r w:rsidRPr="007F0C74">
        <w:t xml:space="preserve">There are </w:t>
      </w:r>
      <w:r w:rsidR="00D453AE">
        <w:t>2</w:t>
      </w:r>
      <w:r w:rsidR="00D453AE" w:rsidRPr="007F0C74">
        <w:t xml:space="preserve"> </w:t>
      </w:r>
      <w:r w:rsidRPr="007F0C74">
        <w:t>distinct phases in the lifecycle of residential property</w:t>
      </w:r>
      <w:r w:rsidR="00652F6D">
        <w:t xml:space="preserve"> (see Figure 1)</w:t>
      </w:r>
      <w:r w:rsidRPr="007F0C74">
        <w:t xml:space="preserve">: </w:t>
      </w:r>
    </w:p>
    <w:p w14:paraId="7456A320" w14:textId="46825F41" w:rsidR="00D453AE" w:rsidRPr="006C6F85" w:rsidRDefault="009A4DA0" w:rsidP="006C6F85">
      <w:pPr>
        <w:pStyle w:val="Bullet"/>
      </w:pPr>
      <w:r w:rsidRPr="007F0C74">
        <w:t xml:space="preserve">the </w:t>
      </w:r>
      <w:r w:rsidRPr="006C6F85">
        <w:t>development phase, which involves the creation of the housing asset</w:t>
      </w:r>
    </w:p>
    <w:p w14:paraId="7A492ACD" w14:textId="6DF8941A" w:rsidR="009A4DA0" w:rsidRDefault="009A4DA0" w:rsidP="006C6F85">
      <w:pPr>
        <w:pStyle w:val="Bullet"/>
      </w:pPr>
      <w:r w:rsidRPr="006C6F85">
        <w:t>the asset ownership phase, which involves maintaining the asset and managing it to provide housing s</w:t>
      </w:r>
      <w:r w:rsidRPr="007F0C74">
        <w:t>ervices</w:t>
      </w:r>
      <w:r>
        <w:t xml:space="preserve"> and derive rental income</w:t>
      </w:r>
      <w:r w:rsidRPr="007F0C74">
        <w:t>.</w:t>
      </w:r>
      <w:r w:rsidR="00C84AF4">
        <w:t xml:space="preserve"> </w:t>
      </w:r>
    </w:p>
    <w:p w14:paraId="63FC0204" w14:textId="77777777" w:rsidR="009A4DA0" w:rsidRDefault="009A4DA0" w:rsidP="006C6F85">
      <w:r>
        <w:t xml:space="preserve">Globally, most institutional investment occurs in the asset ownership phase. This reflects the core capability of institutional investors to manage assets on behalf of members to generate passive income. </w:t>
      </w:r>
    </w:p>
    <w:p w14:paraId="55E643EB" w14:textId="77777777" w:rsidR="009A4DA0" w:rsidRDefault="009A4DA0" w:rsidP="006C6F85">
      <w:r>
        <w:t xml:space="preserve">Asset ownership can be a direct equity stake, where the institutional investor directly holds the property asset (for example, a residential tower). Tenant and other property management services are usually outsourced to a specialised firm. </w:t>
      </w:r>
    </w:p>
    <w:p w14:paraId="7DC880DC" w14:textId="141A60B7" w:rsidR="009A4DA0" w:rsidRPr="007F0C74" w:rsidRDefault="009A4DA0" w:rsidP="006C6F85">
      <w:r>
        <w:t>Equity stakes can also be acquired through real estate investment trusts, which are listed or unlisted vehicles that pool capital from investors to invest in a collection of property assets. Real estate</w:t>
      </w:r>
      <w:r w:rsidR="00685BE8">
        <w:t xml:space="preserve"> </w:t>
      </w:r>
      <w:r>
        <w:t>investment trusts</w:t>
      </w:r>
      <w:r w:rsidRPr="007F0C74">
        <w:t xml:space="preserve"> </w:t>
      </w:r>
      <w:r>
        <w:t xml:space="preserve">confer several advantages to </w:t>
      </w:r>
      <w:r w:rsidRPr="007F0C74">
        <w:t>institutional investors</w:t>
      </w:r>
      <w:r>
        <w:t>, such</w:t>
      </w:r>
      <w:r w:rsidRPr="007F0C74">
        <w:t xml:space="preserve"> as a lower cost of entry to the property market, access to professional property managers</w:t>
      </w:r>
      <w:r>
        <w:t xml:space="preserve">, and </w:t>
      </w:r>
      <w:r w:rsidRPr="007F0C74">
        <w:t>diversification across a portfolio of properties</w:t>
      </w:r>
      <w:r>
        <w:t xml:space="preserve"> (in exchange for a management fee). That said, very few real estate investment trusts build and invest in build</w:t>
      </w:r>
      <w:r w:rsidR="00563A2B">
        <w:noBreakHyphen/>
      </w:r>
      <w:r>
        <w:t>to</w:t>
      </w:r>
      <w:r w:rsidR="00563A2B">
        <w:noBreakHyphen/>
      </w:r>
      <w:r>
        <w:t>rent properties</w:t>
      </w:r>
      <w:r w:rsidR="00EC0FC9">
        <w:t xml:space="preserve"> in Australia</w:t>
      </w:r>
      <w:r>
        <w:t>.</w:t>
      </w:r>
    </w:p>
    <w:p w14:paraId="100466BE" w14:textId="5413B5DC" w:rsidR="009A4DA0" w:rsidRDefault="009A4DA0" w:rsidP="006C6F85">
      <w:r>
        <w:t>Institutional investors can also provide debt financing to large</w:t>
      </w:r>
      <w:r w:rsidR="00563A2B">
        <w:noBreakHyphen/>
      </w:r>
      <w:r>
        <w:t>scale property assets. Housing, like infrastructure, is a long</w:t>
      </w:r>
      <w:r w:rsidR="00563A2B">
        <w:noBreakHyphen/>
      </w:r>
      <w:r>
        <w:t>term investment with a relatively stable income stream. As such, the equity investment can generally be underpinned by some form of borrowing to spread the high up</w:t>
      </w:r>
      <w:r w:rsidR="00563A2B">
        <w:noBreakHyphen/>
      </w:r>
      <w:r>
        <w:t xml:space="preserve">front capital costs over time. </w:t>
      </w:r>
    </w:p>
    <w:p w14:paraId="13E65361" w14:textId="7DAE9FDC" w:rsidR="009A4DA0" w:rsidRDefault="009A4DA0" w:rsidP="006C6F85">
      <w:r>
        <w:t xml:space="preserve">There are vehicles </w:t>
      </w:r>
      <w:r w:rsidR="008238BD">
        <w:t xml:space="preserve">and markets </w:t>
      </w:r>
      <w:r>
        <w:t>that pool debt stakes in housing assets. The largest is the residential mortgage</w:t>
      </w:r>
      <w:r w:rsidR="00563A2B">
        <w:noBreakHyphen/>
      </w:r>
      <w:r>
        <w:t>backed securities market, which involves banks or other institutions packaging retail mortgages, with the principal and interest streams allocated to investors on a prioritised basis. Real</w:t>
      </w:r>
      <w:r w:rsidR="00C32E20">
        <w:t> </w:t>
      </w:r>
      <w:r>
        <w:t xml:space="preserve">estate investment trusts also pool debt exposures, in addition to equity exposures. </w:t>
      </w:r>
    </w:p>
    <w:p w14:paraId="0619673D" w14:textId="77777777" w:rsidR="009A4DA0" w:rsidRDefault="009A4DA0" w:rsidP="006C6F85">
      <w:r>
        <w:t>Finally, i</w:t>
      </w:r>
      <w:r w:rsidRPr="007F0C74">
        <w:t>nstitutional investors</w:t>
      </w:r>
      <w:r>
        <w:t>, particularly those in Australia,</w:t>
      </w:r>
      <w:r w:rsidRPr="007F0C74">
        <w:t xml:space="preserve"> also typically have significant indirect exposure to residential property via their holdings of retail bank stocks, as housing lending accounts for a large share of banking industry assets and profits</w:t>
      </w:r>
      <w:r>
        <w:t xml:space="preserve"> and is a significant determinant of bank profitability.</w:t>
      </w:r>
    </w:p>
    <w:p w14:paraId="54F54FD1" w14:textId="4FEFB538" w:rsidR="009700E5" w:rsidRPr="00AB342D" w:rsidRDefault="009A4DA0" w:rsidP="00AB342D">
      <w:pPr>
        <w:pStyle w:val="ChartMainHeading"/>
      </w:pPr>
      <w:r w:rsidRPr="00AB342D">
        <w:lastRenderedPageBreak/>
        <w:t>Figure 1: Stylised model of institutional investment in housing</w:t>
      </w:r>
    </w:p>
    <w:p w14:paraId="7CD21302" w14:textId="20EE35BD" w:rsidR="009A4DA0" w:rsidRPr="00D15BFB" w:rsidRDefault="00DA38A1" w:rsidP="009637D5">
      <w:pPr>
        <w:pStyle w:val="ChartGraphic"/>
      </w:pPr>
      <w:r>
        <w:rPr>
          <w:noProof/>
        </w:rPr>
        <w:drawing>
          <wp:inline distT="0" distB="0" distL="0" distR="0" wp14:anchorId="457C1834" wp14:editId="36344083">
            <wp:extent cx="5682734" cy="5057775"/>
            <wp:effectExtent l="0" t="0" r="0" b="0"/>
            <wp:docPr id="9" name="Picture 9" descr="This figure displays a stylised flow chart of the 2 distinct phases in the life cycle of a housing asset in which an institutional investor could invest. The diagram first shows the development phase of a project, where an institutional investor or a developer can undertake a development to create an asset. The diagram then shows the asset ownership phase of a project, where the asset is either sold to an institutional investor or real estate investment trust, or is retained by the original institutional investor. The asset is then let to a cohort of tenants to generate an income stream for the asset ow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figure displays a stylised flow chart of the 2 distinct phases in the life cycle of a housing asset in which an institutional investor could invest. The diagram first shows the development phase of a project, where an institutional investor or a developer can undertake a development to create an asset. The diagram then shows the asset ownership phase of a project, where the asset is either sold to an institutional investor or real estate investment trust, or is retained by the original institutional investor. The asset is then let to a cohort of tenants to generate an income stream for the asset own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96408" cy="5069945"/>
                    </a:xfrm>
                    <a:prstGeom prst="rect">
                      <a:avLst/>
                    </a:prstGeom>
                    <a:noFill/>
                  </pic:spPr>
                </pic:pic>
              </a:graphicData>
            </a:graphic>
          </wp:inline>
        </w:drawing>
      </w:r>
    </w:p>
    <w:p w14:paraId="67867940" w14:textId="0303B5F5" w:rsidR="009A4DA0" w:rsidRPr="00514183" w:rsidRDefault="009A4DA0" w:rsidP="00A83E6C">
      <w:pPr>
        <w:pStyle w:val="Heading2Numbered"/>
      </w:pPr>
      <w:bookmarkStart w:id="40" w:name="_Toc141355239"/>
      <w:r w:rsidRPr="00514183">
        <w:t>Potential benefits to households</w:t>
      </w:r>
      <w:bookmarkEnd w:id="35"/>
      <w:bookmarkEnd w:id="36"/>
      <w:bookmarkEnd w:id="37"/>
      <w:bookmarkEnd w:id="38"/>
      <w:r w:rsidR="00FC66E6">
        <w:t xml:space="preserve"> and the community</w:t>
      </w:r>
      <w:bookmarkEnd w:id="40"/>
    </w:p>
    <w:p w14:paraId="2CE68D47" w14:textId="77777777" w:rsidR="009A4DA0" w:rsidRPr="00B401CF" w:rsidRDefault="009A4DA0" w:rsidP="006C6F85">
      <w:pPr>
        <w:pStyle w:val="Heading3"/>
      </w:pPr>
      <w:r w:rsidRPr="00B401CF">
        <w:t>Increased housing supply</w:t>
      </w:r>
      <w:r>
        <w:t xml:space="preserve"> and improved affordability</w:t>
      </w:r>
    </w:p>
    <w:p w14:paraId="404340F1" w14:textId="77777777" w:rsidR="00DD5CA0" w:rsidRDefault="009A4DA0" w:rsidP="00886E17">
      <w:pPr>
        <w:spacing w:after="120"/>
      </w:pPr>
      <w:r w:rsidRPr="007F0C74">
        <w:t xml:space="preserve">To the extent that additional institutional investment in housing flows into new supply, </w:t>
      </w:r>
      <w:r>
        <w:t>institutional</w:t>
      </w:r>
      <w:r w:rsidR="00383D66">
        <w:t> </w:t>
      </w:r>
      <w:r>
        <w:t>investment</w:t>
      </w:r>
      <w:r w:rsidRPr="007F0C74">
        <w:t xml:space="preserve"> </w:t>
      </w:r>
      <w:r>
        <w:t>can</w:t>
      </w:r>
      <w:r w:rsidR="00DD5CA0">
        <w:t>:</w:t>
      </w:r>
    </w:p>
    <w:p w14:paraId="761465BE" w14:textId="3DC32FAB" w:rsidR="00DD5CA0" w:rsidRDefault="009A4DA0" w:rsidP="005E7F41">
      <w:pPr>
        <w:pStyle w:val="Bullet"/>
      </w:pPr>
      <w:r w:rsidRPr="007F0C74">
        <w:t xml:space="preserve">reduce housing costs for households </w:t>
      </w:r>
    </w:p>
    <w:p w14:paraId="1C597690" w14:textId="6ABF8B76" w:rsidR="00DD5CA0" w:rsidRDefault="009A4DA0" w:rsidP="005E7F41">
      <w:pPr>
        <w:pStyle w:val="Bullet"/>
      </w:pPr>
      <w:r w:rsidRPr="007F0C74">
        <w:t xml:space="preserve">improve housing affordability </w:t>
      </w:r>
    </w:p>
    <w:p w14:paraId="23C6AE64" w14:textId="02734CE4" w:rsidR="009A4DA0" w:rsidRDefault="009A4DA0" w:rsidP="005E7F41">
      <w:pPr>
        <w:pStyle w:val="Bullet"/>
      </w:pPr>
      <w:r w:rsidRPr="007F0C74">
        <w:t xml:space="preserve">alleviate financial stress across Australia. </w:t>
      </w:r>
    </w:p>
    <w:p w14:paraId="63303008" w14:textId="34FFFC69" w:rsidR="005D55FC" w:rsidRPr="007F0C74" w:rsidRDefault="009A4DA0" w:rsidP="00FC6985">
      <w:pPr>
        <w:keepLines/>
      </w:pPr>
      <w:r w:rsidRPr="00EA52A6">
        <w:lastRenderedPageBreak/>
        <w:t>Some investors have a</w:t>
      </w:r>
      <w:r>
        <w:t>lso a</w:t>
      </w:r>
      <w:r w:rsidRPr="00EA52A6">
        <w:t xml:space="preserve">dopted innovative approaches to help to </w:t>
      </w:r>
      <w:r>
        <w:t xml:space="preserve">address </w:t>
      </w:r>
      <w:r w:rsidRPr="00EA52A6">
        <w:t>housing affordability issue</w:t>
      </w:r>
      <w:r>
        <w:t>s</w:t>
      </w:r>
      <w:r w:rsidRPr="00EA52A6">
        <w:t>, such as build</w:t>
      </w:r>
      <w:r w:rsidR="00563A2B">
        <w:noBreakHyphen/>
      </w:r>
      <w:r w:rsidRPr="00EA52A6">
        <w:t>to</w:t>
      </w:r>
      <w:r w:rsidR="00563A2B">
        <w:noBreakHyphen/>
      </w:r>
      <w:r w:rsidRPr="00EA52A6">
        <w:t>rent</w:t>
      </w:r>
      <w:r w:rsidR="00563A2B">
        <w:noBreakHyphen/>
      </w:r>
      <w:r w:rsidRPr="00EA52A6">
        <w:t>to</w:t>
      </w:r>
      <w:r w:rsidR="00563A2B">
        <w:noBreakHyphen/>
      </w:r>
      <w:r w:rsidRPr="00EA52A6">
        <w:t>buy to assist key workers with accessing home ownership (Assemble</w:t>
      </w:r>
      <w:r w:rsidR="00711BC5">
        <w:t> </w:t>
      </w:r>
      <w:r w:rsidRPr="00EA52A6">
        <w:t xml:space="preserve">2020). </w:t>
      </w:r>
      <w:r>
        <w:t>In consultation with stakeholders, the Council heard that</w:t>
      </w:r>
      <w:r w:rsidRPr="00EA52A6">
        <w:t xml:space="preserve"> </w:t>
      </w:r>
      <w:r>
        <w:t xml:space="preserve">investors </w:t>
      </w:r>
      <w:r w:rsidRPr="00EA52A6">
        <w:t>have also adapted to meet the needs of the community, changing from originally targeting mobile young people to targeting high income earners, young families and single women over 45 years</w:t>
      </w:r>
      <w:r>
        <w:t xml:space="preserve">. </w:t>
      </w:r>
    </w:p>
    <w:p w14:paraId="7C78E675" w14:textId="77777777" w:rsidR="009A4DA0" w:rsidRPr="00B401CF" w:rsidRDefault="009A4DA0" w:rsidP="006C6F85">
      <w:pPr>
        <w:pStyle w:val="Heading3"/>
      </w:pPr>
      <w:r w:rsidRPr="00B401CF">
        <w:t>Efficien</w:t>
      </w:r>
      <w:r>
        <w:t>t delivery of housing services</w:t>
      </w:r>
    </w:p>
    <w:p w14:paraId="21212D2E" w14:textId="15DD7C44" w:rsidR="006F493F" w:rsidRDefault="009A4DA0" w:rsidP="006C6F85">
      <w:r w:rsidRPr="007F0C74">
        <w:t xml:space="preserve">Institutional investment in residential property </w:t>
      </w:r>
      <w:r>
        <w:t>can</w:t>
      </w:r>
      <w:r w:rsidRPr="007F0C74">
        <w:t xml:space="preserve"> enable greater economies of scale in </w:t>
      </w:r>
      <w:r w:rsidR="00DD5CA0" w:rsidRPr="007F0C74">
        <w:t>develop</w:t>
      </w:r>
      <w:r w:rsidR="00DD5CA0">
        <w:t>ing</w:t>
      </w:r>
      <w:r w:rsidR="00DD5CA0" w:rsidRPr="007F0C74">
        <w:t xml:space="preserve"> </w:t>
      </w:r>
      <w:r w:rsidRPr="007F0C74">
        <w:t>and provi</w:t>
      </w:r>
      <w:r w:rsidR="00DD5CA0">
        <w:t>ding</w:t>
      </w:r>
      <w:r w:rsidRPr="007F0C74">
        <w:t xml:space="preserve"> housing services, which could in part be passed onto consumers of</w:t>
      </w:r>
      <w:r w:rsidR="006B178F">
        <w:t> </w:t>
      </w:r>
      <w:r w:rsidRPr="007F0C74">
        <w:t xml:space="preserve">housing services. </w:t>
      </w:r>
    </w:p>
    <w:p w14:paraId="452E0C5E" w14:textId="0A5CB1E4" w:rsidR="009A4DA0" w:rsidRPr="007F0C74" w:rsidRDefault="009A4DA0" w:rsidP="006C6F85">
      <w:r w:rsidRPr="007F0C74">
        <w:t xml:space="preserve">For example, the fixed costs associated with property and tenant management </w:t>
      </w:r>
      <w:r>
        <w:t xml:space="preserve">can </w:t>
      </w:r>
      <w:r w:rsidRPr="007F0C74">
        <w:t>be apportioned over a greater number of properties, reducing average costs. Institutional</w:t>
      </w:r>
      <w:r w:rsidR="00730AC8" w:rsidRPr="007F0C74">
        <w:t xml:space="preserve"> </w:t>
      </w:r>
      <w:r w:rsidRPr="007F0C74">
        <w:t>investors may also be able to negotiate lower cost ancillary services for their properties. Institutional investors holding large residential property projects may also have a lower cost of capital.</w:t>
      </w:r>
    </w:p>
    <w:p w14:paraId="129D415A" w14:textId="77777777" w:rsidR="009A4DA0" w:rsidRPr="00B401CF" w:rsidRDefault="009A4DA0" w:rsidP="006C6F85">
      <w:pPr>
        <w:pStyle w:val="Heading3"/>
      </w:pPr>
      <w:r>
        <w:t>Higher q</w:t>
      </w:r>
      <w:r w:rsidRPr="00B401CF">
        <w:t>uality housing services</w:t>
      </w:r>
    </w:p>
    <w:p w14:paraId="35E0CCF2" w14:textId="517669D0" w:rsidR="009A4DA0" w:rsidRPr="007F0C74" w:rsidRDefault="009A4DA0" w:rsidP="006C6F85">
      <w:r w:rsidRPr="007F0C74">
        <w:t>Institutional investors providing long</w:t>
      </w:r>
      <w:r w:rsidR="00563A2B">
        <w:noBreakHyphen/>
      </w:r>
      <w:r w:rsidRPr="007F0C74">
        <w:t xml:space="preserve">term housing are likely to be incentivised to lift design and construction standards to increase the economic life of their investment and reduce ongoing maintenance and operating expenses. They may also be incentivised to reduce energy and other costs. As a result of these incentives, housing provided by institutional investors </w:t>
      </w:r>
      <w:r>
        <w:t xml:space="preserve">overseas </w:t>
      </w:r>
      <w:r w:rsidRPr="007F0C74">
        <w:t>is generally of higher quality in terms of design</w:t>
      </w:r>
      <w:r>
        <w:t xml:space="preserve"> and</w:t>
      </w:r>
      <w:r w:rsidRPr="007F0C74">
        <w:t xml:space="preserve"> build standards</w:t>
      </w:r>
      <w:r>
        <w:t xml:space="preserve"> (</w:t>
      </w:r>
      <w:r w:rsidRPr="001436EA">
        <w:t xml:space="preserve">Pawson </w:t>
      </w:r>
      <w:r w:rsidR="006F493F">
        <w:t>and others</w:t>
      </w:r>
      <w:r w:rsidRPr="001436EA">
        <w:t xml:space="preserve"> 2019)</w:t>
      </w:r>
      <w:r w:rsidRPr="007F0C74">
        <w:t xml:space="preserve">. </w:t>
      </w:r>
    </w:p>
    <w:p w14:paraId="0C23430C" w14:textId="3B5E22B4" w:rsidR="009A4DA0" w:rsidRPr="007F0C74" w:rsidRDefault="009A4DA0" w:rsidP="006C6F85">
      <w:r>
        <w:t>Institutional housing is</w:t>
      </w:r>
      <w:r w:rsidRPr="007F0C74">
        <w:t xml:space="preserve"> </w:t>
      </w:r>
      <w:r>
        <w:t xml:space="preserve">usually </w:t>
      </w:r>
      <w:r w:rsidRPr="007F0C74">
        <w:t>well located</w:t>
      </w:r>
      <w:r>
        <w:t>,</w:t>
      </w:r>
      <w:r w:rsidRPr="007F0C74">
        <w:t xml:space="preserve"> with good access to transport and employment centres. The standard of facilities, particularly communal facilities, is also higher, often featuring gyms, pools, co</w:t>
      </w:r>
      <w:r w:rsidR="00563A2B">
        <w:noBreakHyphen/>
      </w:r>
      <w:r w:rsidRPr="007F0C74">
        <w:t xml:space="preserve">working spaces, </w:t>
      </w:r>
      <w:r>
        <w:t>barbeque</w:t>
      </w:r>
      <w:r w:rsidRPr="007F0C74">
        <w:t xml:space="preserve"> areas and other amenities. </w:t>
      </w:r>
    </w:p>
    <w:p w14:paraId="3FCFE2C0" w14:textId="59F67838" w:rsidR="009A4DA0" w:rsidRDefault="009A4DA0" w:rsidP="006C6F85">
      <w:r>
        <w:t xml:space="preserve">Institutional housing </w:t>
      </w:r>
      <w:r w:rsidRPr="007F0C74">
        <w:t>also typically seek</w:t>
      </w:r>
      <w:r>
        <w:t>s</w:t>
      </w:r>
      <w:r w:rsidRPr="007F0C74">
        <w:t xml:space="preserve"> to provide a professional and customer</w:t>
      </w:r>
      <w:r w:rsidR="00563A2B">
        <w:noBreakHyphen/>
      </w:r>
      <w:r w:rsidRPr="007F0C74">
        <w:t xml:space="preserve">oriented approach to property management which </w:t>
      </w:r>
      <w:r>
        <w:t>can</w:t>
      </w:r>
      <w:r w:rsidRPr="007F0C74">
        <w:t xml:space="preserve"> improve property management standards in the rental sector more generally</w:t>
      </w:r>
      <w:r>
        <w:t xml:space="preserve"> (Scanlon </w:t>
      </w:r>
      <w:r w:rsidR="006F493F">
        <w:t>and others</w:t>
      </w:r>
      <w:r>
        <w:t xml:space="preserve"> 2018)</w:t>
      </w:r>
      <w:r w:rsidRPr="007F0C74">
        <w:t>.</w:t>
      </w:r>
    </w:p>
    <w:p w14:paraId="7AB03484" w14:textId="77777777" w:rsidR="009A22BD" w:rsidRDefault="009A22BD" w:rsidP="006C6F85">
      <w:pPr>
        <w:pStyle w:val="Heading3"/>
      </w:pPr>
      <w:r>
        <w:t xml:space="preserve">Innovation </w:t>
      </w:r>
    </w:p>
    <w:p w14:paraId="54DB97D9" w14:textId="28D4DD31" w:rsidR="009A22BD" w:rsidRPr="007F0C74" w:rsidRDefault="009A22BD" w:rsidP="006C6F85">
      <w:r>
        <w:t>Large</w:t>
      </w:r>
      <w:r w:rsidR="00563A2B">
        <w:noBreakHyphen/>
      </w:r>
      <w:r>
        <w:t xml:space="preserve">scale investment by institutions can also support innovation in the financing, </w:t>
      </w:r>
      <w:r w:rsidR="005D1B0B">
        <w:t>provision</w:t>
      </w:r>
      <w:r>
        <w:t>, access and management of rental housing (</w:t>
      </w:r>
      <w:hyperlink r:id="rId24" w:history="1">
        <w:r w:rsidRPr="00C3333E">
          <w:t xml:space="preserve">Hulse </w:t>
        </w:r>
        <w:r w:rsidR="006F493F">
          <w:t>and others</w:t>
        </w:r>
        <w:r w:rsidRPr="00C3333E">
          <w:t xml:space="preserve"> 2018</w:t>
        </w:r>
      </w:hyperlink>
      <w:r>
        <w:t>). Large</w:t>
      </w:r>
      <w:r w:rsidR="00563A2B">
        <w:noBreakHyphen/>
      </w:r>
      <w:r>
        <w:t>scale investment enables innovative models of housing finance and provision to be developed which would not be possible through smaller</w:t>
      </w:r>
      <w:r w:rsidR="00563A2B">
        <w:noBreakHyphen/>
      </w:r>
      <w:r>
        <w:t>scale investment. Institutional investment in higher</w:t>
      </w:r>
      <w:r w:rsidR="00563A2B">
        <w:noBreakHyphen/>
      </w:r>
      <w:r>
        <w:t xml:space="preserve">density housing also encourages the design and development of multiple types of dwellings with different features and amenities, which can better match the diverse needs of rental households and lead to improved housing sustainability. The involvement of institutional investors in the access and management of rental housing can also create efficiencies in the administration of tenancy applications, inspection bookings, repair requests, rent collection </w:t>
      </w:r>
      <w:r w:rsidR="00316D36">
        <w:t xml:space="preserve">and </w:t>
      </w:r>
      <w:r>
        <w:t>property management across multiple rental properties (</w:t>
      </w:r>
      <w:hyperlink r:id="rId25" w:history="1">
        <w:r w:rsidRPr="00C3333E">
          <w:t>Hulse</w:t>
        </w:r>
        <w:r w:rsidR="005D1B0B">
          <w:t> </w:t>
        </w:r>
        <w:r w:rsidR="005F7DBF">
          <w:t>and others</w:t>
        </w:r>
        <w:r w:rsidRPr="00C3333E">
          <w:t xml:space="preserve"> 2018</w:t>
        </w:r>
      </w:hyperlink>
      <w:r>
        <w:t>). These innovations also benefit institutional investors by increasing productive efficiency through economies of scale, and by catering to a greater range of market, social, and affordable rental housing tenants.</w:t>
      </w:r>
    </w:p>
    <w:p w14:paraId="253AACDA" w14:textId="77777777" w:rsidR="009A4DA0" w:rsidRPr="00B401CF" w:rsidRDefault="009A4DA0" w:rsidP="006C6F85">
      <w:pPr>
        <w:pStyle w:val="Heading3"/>
      </w:pPr>
      <w:r w:rsidRPr="00B401CF">
        <w:lastRenderedPageBreak/>
        <w:t xml:space="preserve">Security of tenure </w:t>
      </w:r>
    </w:p>
    <w:p w14:paraId="5705FD83" w14:textId="35918E3E" w:rsidR="009A4DA0" w:rsidRPr="007F0C74" w:rsidRDefault="004A1FA2" w:rsidP="006C6F85">
      <w:r>
        <w:t>Around 43</w:t>
      </w:r>
      <w:r w:rsidR="00E67AFE">
        <w:t> per </w:t>
      </w:r>
      <w:r w:rsidR="00EA3A59">
        <w:t>cent</w:t>
      </w:r>
      <w:r w:rsidR="009A4DA0">
        <w:t xml:space="preserve"> of </w:t>
      </w:r>
      <w:r w:rsidR="009A4DA0" w:rsidRPr="007F0C74">
        <w:t xml:space="preserve">Australian </w:t>
      </w:r>
      <w:r w:rsidR="009A4DA0">
        <w:t>renters rent for 10 years or more (National Shelter 2017). W</w:t>
      </w:r>
      <w:r w:rsidR="009A4DA0" w:rsidRPr="007F0C74">
        <w:t>hen they do move, it</w:t>
      </w:r>
      <w:r w:rsidR="00563A2B">
        <w:t>’</w:t>
      </w:r>
      <w:r w:rsidR="009A4DA0" w:rsidRPr="007F0C74">
        <w:t xml:space="preserve">s often due to the decision of the landlord. This inherent insecurity of renting in Australia </w:t>
      </w:r>
      <w:r w:rsidR="009A4DA0">
        <w:t>can</w:t>
      </w:r>
      <w:r w:rsidR="009A4DA0" w:rsidRPr="007F0C74">
        <w:t xml:space="preserve"> </w:t>
      </w:r>
      <w:r w:rsidR="00CF4B6A">
        <w:t xml:space="preserve">affect </w:t>
      </w:r>
      <w:r w:rsidR="009A4DA0" w:rsidRPr="007F0C74">
        <w:t>quality of life by disrupting family, social, educational and employment networks.</w:t>
      </w:r>
      <w:r w:rsidR="009A4DA0">
        <w:t xml:space="preserve"> </w:t>
      </w:r>
    </w:p>
    <w:p w14:paraId="1BDB6E06" w14:textId="20133635" w:rsidR="009A4DA0" w:rsidRDefault="009A4DA0" w:rsidP="006C6F85">
      <w:r w:rsidRPr="007F0C74">
        <w:t>Institutional investors involved in rental projects may be more willing to offer long</w:t>
      </w:r>
      <w:r w:rsidR="00563A2B">
        <w:noBreakHyphen/>
      </w:r>
      <w:r w:rsidRPr="007F0C74">
        <w:t xml:space="preserve">term tenancies and </w:t>
      </w:r>
      <w:r>
        <w:t>are</w:t>
      </w:r>
      <w:r w:rsidRPr="007F0C74">
        <w:t xml:space="preserve"> less likely to terminate lease arrangements to </w:t>
      </w:r>
      <w:r>
        <w:t>dispose of</w:t>
      </w:r>
      <w:r w:rsidRPr="007F0C74">
        <w:t xml:space="preserve"> their asset, reflecting their long</w:t>
      </w:r>
      <w:r w:rsidR="00563A2B">
        <w:noBreakHyphen/>
      </w:r>
      <w:r w:rsidRPr="007F0C74">
        <w:t xml:space="preserve">term investment horizon. They are also more likely to renew lease arrangements at the election of the tenant, providing the benefit of flexibility in addition to long term security. </w:t>
      </w:r>
      <w:r>
        <w:t xml:space="preserve">Institutional investors may also be better placed to implement policy settings </w:t>
      </w:r>
      <w:r w:rsidRPr="007F0C74">
        <w:t>that seek to support security of tenure.</w:t>
      </w:r>
    </w:p>
    <w:p w14:paraId="65828F3E" w14:textId="6EA40C27" w:rsidR="009A4DA0" w:rsidRPr="00572D60" w:rsidRDefault="00ED7980" w:rsidP="006C6F85">
      <w:pPr>
        <w:pStyle w:val="Heading3"/>
      </w:pPr>
      <w:r>
        <w:t>A more stable</w:t>
      </w:r>
      <w:r w:rsidR="009A4DA0">
        <w:t xml:space="preserve"> housing supply</w:t>
      </w:r>
      <w:r w:rsidR="00563A2B">
        <w:t xml:space="preserve"> </w:t>
      </w:r>
    </w:p>
    <w:p w14:paraId="291E2ADE" w14:textId="48E65470" w:rsidR="009A4DA0" w:rsidRDefault="009A4DA0" w:rsidP="006C6F85">
      <w:r w:rsidRPr="00B06041">
        <w:t>Benefits can extend to the broader community. Evidence indicates that institutional investment in housing</w:t>
      </w:r>
      <w:r>
        <w:t xml:space="preserve"> </w:t>
      </w:r>
      <w:r w:rsidRPr="00B06041">
        <w:t>may have counter</w:t>
      </w:r>
      <w:r w:rsidR="00563A2B">
        <w:noBreakHyphen/>
      </w:r>
      <w:r w:rsidRPr="00B06041">
        <w:t>cyclical benefits, by maintaining construction activity during periods where traditional build</w:t>
      </w:r>
      <w:r w:rsidR="00563A2B">
        <w:noBreakHyphen/>
      </w:r>
      <w:r w:rsidRPr="00B06041">
        <w:t>to</w:t>
      </w:r>
      <w:r w:rsidR="00563A2B">
        <w:noBreakHyphen/>
      </w:r>
      <w:r w:rsidRPr="00B06041">
        <w:t>sell construction activity is weak</w:t>
      </w:r>
      <w:r>
        <w:t xml:space="preserve"> (Pawson </w:t>
      </w:r>
      <w:r w:rsidR="007D1ED5">
        <w:t>and others</w:t>
      </w:r>
      <w:r>
        <w:t xml:space="preserve"> 2019). </w:t>
      </w:r>
      <w:r w:rsidR="000B5636">
        <w:t>This reflects the fact that, i</w:t>
      </w:r>
      <w:r>
        <w:t xml:space="preserve">n contrast to the </w:t>
      </w:r>
      <w:r w:rsidR="000B5636">
        <w:t xml:space="preserve">individual investor </w:t>
      </w:r>
      <w:r>
        <w:t xml:space="preserve">market, </w:t>
      </w:r>
      <w:r w:rsidR="000B5636">
        <w:t xml:space="preserve">institutional </w:t>
      </w:r>
      <w:r>
        <w:t xml:space="preserve">investors </w:t>
      </w:r>
      <w:r w:rsidR="000B5636">
        <w:t xml:space="preserve">are </w:t>
      </w:r>
      <w:r>
        <w:t xml:space="preserve">primarily motivated by long term rental yield. In this sense, the assets in question can be seen to have infrastructure like characteristics. This may mean that the creation of these assets may not be as tied to the general housing cycle, shifts in monetary policy </w:t>
      </w:r>
      <w:r w:rsidR="00143F7D">
        <w:t xml:space="preserve">and </w:t>
      </w:r>
      <w:r w:rsidR="007B55CC">
        <w:t xml:space="preserve">shocks to the supply of </w:t>
      </w:r>
      <w:r>
        <w:t>materials and land. Smoothed housing supply through cycles would have further benefits in terms of greater stability in associated labour and materials markets, promoting efficiency.</w:t>
      </w:r>
    </w:p>
    <w:p w14:paraId="49EF3E6B" w14:textId="2087BDA4" w:rsidR="002340EA" w:rsidRDefault="003D622D" w:rsidP="006C6F85">
      <w:pPr>
        <w:pStyle w:val="Heading3"/>
      </w:pPr>
      <w:r>
        <w:t>Meeting the upfront cost of</w:t>
      </w:r>
      <w:r w:rsidR="002340EA">
        <w:t xml:space="preserve"> </w:t>
      </w:r>
      <w:r w:rsidR="00AA7E39">
        <w:t>providing</w:t>
      </w:r>
      <w:r w:rsidR="002340EA">
        <w:t xml:space="preserve"> social and affordable housing</w:t>
      </w:r>
      <w:r>
        <w:t xml:space="preserve"> </w:t>
      </w:r>
    </w:p>
    <w:p w14:paraId="3F3908ED" w14:textId="7A94474F" w:rsidR="00D0677F" w:rsidRDefault="002340EA" w:rsidP="006C6F85">
      <w:r>
        <w:t xml:space="preserve">Leveraging private </w:t>
      </w:r>
      <w:r w:rsidR="00025AA8">
        <w:t xml:space="preserve">capital </w:t>
      </w:r>
      <w:r w:rsidR="00AA7E39">
        <w:t>to support investment in</w:t>
      </w:r>
      <w:r>
        <w:t xml:space="preserve"> social and affordable housing </w:t>
      </w:r>
      <w:r w:rsidR="00D22451">
        <w:t xml:space="preserve">can and </w:t>
      </w:r>
      <w:r w:rsidR="00F4462B">
        <w:t xml:space="preserve">is </w:t>
      </w:r>
      <w:r w:rsidR="0075462D">
        <w:t xml:space="preserve">increasingly </w:t>
      </w:r>
      <w:r w:rsidR="00D22451">
        <w:t xml:space="preserve">being </w:t>
      </w:r>
      <w:r w:rsidR="0075462D">
        <w:t xml:space="preserve">used </w:t>
      </w:r>
      <w:r w:rsidR="00B31C34">
        <w:t xml:space="preserve">by governments operating in </w:t>
      </w:r>
      <w:r w:rsidR="001151E4">
        <w:t>a fiscally constrained environment</w:t>
      </w:r>
      <w:r w:rsidR="00B31C34">
        <w:t xml:space="preserve"> to meet the upfront costs of </w:t>
      </w:r>
      <w:r w:rsidR="00856FBA">
        <w:t>new social and affordable housing</w:t>
      </w:r>
      <w:r w:rsidR="002C52C6">
        <w:t xml:space="preserve"> stock</w:t>
      </w:r>
      <w:r w:rsidR="001151E4">
        <w:t xml:space="preserve">. </w:t>
      </w:r>
      <w:r w:rsidR="001151E4" w:rsidRPr="00514183">
        <w:t xml:space="preserve">The 2021 </w:t>
      </w:r>
      <w:r w:rsidR="001151E4" w:rsidRPr="001436EA">
        <w:t xml:space="preserve">Statutory </w:t>
      </w:r>
      <w:r w:rsidR="001151E4" w:rsidRPr="00514183">
        <w:t xml:space="preserve">Review of the </w:t>
      </w:r>
      <w:r w:rsidR="001151E4" w:rsidRPr="001436EA">
        <w:t>Operation of the</w:t>
      </w:r>
      <w:r w:rsidR="001151E4">
        <w:rPr>
          <w:i/>
          <w:iCs/>
        </w:rPr>
        <w:t xml:space="preserve"> </w:t>
      </w:r>
      <w:r w:rsidR="001151E4" w:rsidRPr="00514183">
        <w:rPr>
          <w:i/>
        </w:rPr>
        <w:t>National Housing Finance and Investment Corporation Act</w:t>
      </w:r>
      <w:r w:rsidR="001151E4" w:rsidRPr="00514183">
        <w:t xml:space="preserve"> 2018 </w:t>
      </w:r>
      <w:r w:rsidR="001151E4">
        <w:t>(NHFIC Review)</w:t>
      </w:r>
      <w:r w:rsidR="001151E4" w:rsidRPr="00514183">
        <w:rPr>
          <w:i/>
        </w:rPr>
        <w:t xml:space="preserve"> </w:t>
      </w:r>
      <w:r w:rsidR="001151E4" w:rsidRPr="00514183">
        <w:t xml:space="preserve">estimated a total capital investment of around $290 billion </w:t>
      </w:r>
      <w:r w:rsidR="002C52C6">
        <w:t>is</w:t>
      </w:r>
      <w:r w:rsidR="001151E4" w:rsidRPr="00514183">
        <w:t xml:space="preserve"> required over the next </w:t>
      </w:r>
      <w:r w:rsidR="00815E0F">
        <w:t>2</w:t>
      </w:r>
      <w:r w:rsidR="001151E4" w:rsidRPr="00514183">
        <w:t xml:space="preserve"> decades</w:t>
      </w:r>
      <w:r w:rsidR="001151E4" w:rsidRPr="00BC7275">
        <w:t xml:space="preserve"> to meet the current and projected shortfall of social and affordable housing, and</w:t>
      </w:r>
      <w:r w:rsidR="009C00EA">
        <w:t xml:space="preserve"> noted</w:t>
      </w:r>
      <w:r w:rsidR="001151E4" w:rsidRPr="00BC7275">
        <w:t xml:space="preserve"> governments alone cannot meet this projected shortfall in investment</w:t>
      </w:r>
      <w:r w:rsidR="001151E4">
        <w:t xml:space="preserve"> (Treasury 2021)</w:t>
      </w:r>
      <w:r w:rsidR="001151E4" w:rsidRPr="00BC7275">
        <w:t xml:space="preserve">. </w:t>
      </w:r>
    </w:p>
    <w:p w14:paraId="7246BA56" w14:textId="15233304" w:rsidR="0082644C" w:rsidRDefault="00871C54" w:rsidP="000A677F">
      <w:r w:rsidRPr="479AD369">
        <w:t>Institutional investors</w:t>
      </w:r>
      <w:r w:rsidR="00035480">
        <w:t xml:space="preserve"> can meet some of this need</w:t>
      </w:r>
      <w:r w:rsidR="0024405D" w:rsidRPr="479AD369">
        <w:t xml:space="preserve">. </w:t>
      </w:r>
      <w:r w:rsidR="0024405D">
        <w:rPr>
          <w:rFonts w:cstheme="minorHAnsi"/>
        </w:rPr>
        <w:t xml:space="preserve">This </w:t>
      </w:r>
      <w:r w:rsidR="00297375">
        <w:rPr>
          <w:rFonts w:cstheme="minorHAnsi"/>
        </w:rPr>
        <w:t xml:space="preserve">reflects their </w:t>
      </w:r>
      <w:r w:rsidR="00735FFA">
        <w:rPr>
          <w:rFonts w:cstheme="minorHAnsi"/>
        </w:rPr>
        <w:t>requirement</w:t>
      </w:r>
      <w:r w:rsidR="0084059E" w:rsidRPr="479AD369">
        <w:t xml:space="preserve"> </w:t>
      </w:r>
      <w:r w:rsidR="0024405D" w:rsidRPr="479AD369">
        <w:t>for</w:t>
      </w:r>
      <w:r w:rsidR="0084059E" w:rsidRPr="479AD369">
        <w:t xml:space="preserve"> stable, long</w:t>
      </w:r>
      <w:r w:rsidR="00563A2B">
        <w:noBreakHyphen/>
      </w:r>
      <w:r w:rsidR="0084059E" w:rsidRPr="479AD369">
        <w:t xml:space="preserve">term income streams and </w:t>
      </w:r>
      <w:r w:rsidR="00735FFA">
        <w:rPr>
          <w:rFonts w:cstheme="minorHAnsi"/>
        </w:rPr>
        <w:t>need to meet e</w:t>
      </w:r>
      <w:r w:rsidR="0084059E">
        <w:rPr>
          <w:rFonts w:cstheme="minorHAnsi"/>
        </w:rPr>
        <w:t xml:space="preserve">nvironmental, </w:t>
      </w:r>
      <w:r w:rsidR="00735FFA">
        <w:rPr>
          <w:rFonts w:cstheme="minorHAnsi"/>
        </w:rPr>
        <w:t>s</w:t>
      </w:r>
      <w:r w:rsidR="0084059E">
        <w:rPr>
          <w:rFonts w:cstheme="minorHAnsi"/>
        </w:rPr>
        <w:t xml:space="preserve">ocial and </w:t>
      </w:r>
      <w:r w:rsidR="00A15500">
        <w:rPr>
          <w:rFonts w:cstheme="minorHAnsi"/>
        </w:rPr>
        <w:t>governance</w:t>
      </w:r>
      <w:r w:rsidR="0084059E">
        <w:rPr>
          <w:rFonts w:cstheme="minorHAnsi"/>
        </w:rPr>
        <w:t xml:space="preserve"> </w:t>
      </w:r>
      <w:r w:rsidR="0084059E" w:rsidRPr="479AD369">
        <w:t>(ESG) considerations.</w:t>
      </w:r>
      <w:r w:rsidR="00240D6E" w:rsidRPr="479AD369">
        <w:t xml:space="preserve"> </w:t>
      </w:r>
    </w:p>
    <w:p w14:paraId="055F4AC3" w14:textId="77777777" w:rsidR="009A4DA0" w:rsidRPr="00514183" w:rsidRDefault="009A4DA0" w:rsidP="00A83E6C">
      <w:pPr>
        <w:pStyle w:val="Heading2Numbered"/>
      </w:pPr>
      <w:bookmarkStart w:id="41" w:name="_Toc134440044"/>
      <w:bookmarkStart w:id="42" w:name="_Toc136869558"/>
      <w:bookmarkStart w:id="43" w:name="_Toc139618803"/>
      <w:bookmarkStart w:id="44" w:name="_Toc139635530"/>
      <w:bookmarkStart w:id="45" w:name="_Toc141355240"/>
      <w:r w:rsidRPr="00514183">
        <w:t>Potential benefits to institutional investors</w:t>
      </w:r>
      <w:bookmarkEnd w:id="41"/>
      <w:bookmarkEnd w:id="42"/>
      <w:bookmarkEnd w:id="43"/>
      <w:bookmarkEnd w:id="44"/>
      <w:bookmarkEnd w:id="45"/>
    </w:p>
    <w:p w14:paraId="33C3D296" w14:textId="776B1A14" w:rsidR="009A4DA0" w:rsidRPr="00B401CF" w:rsidRDefault="009A4DA0" w:rsidP="006C6F85">
      <w:pPr>
        <w:pStyle w:val="Heading3"/>
      </w:pPr>
      <w:r>
        <w:t>A large a</w:t>
      </w:r>
      <w:r w:rsidRPr="00B401CF">
        <w:t xml:space="preserve">sset class size </w:t>
      </w:r>
      <w:r>
        <w:t>with a s</w:t>
      </w:r>
      <w:r w:rsidRPr="00B401CF">
        <w:t>table income stream</w:t>
      </w:r>
    </w:p>
    <w:p w14:paraId="3D8A581F" w14:textId="585CD437" w:rsidR="00392CED" w:rsidRDefault="009A4DA0" w:rsidP="006C6F85">
      <w:r w:rsidRPr="007F0C74">
        <w:t xml:space="preserve">Residential property </w:t>
      </w:r>
      <w:r w:rsidR="00684808">
        <w:t>could be</w:t>
      </w:r>
      <w:r w:rsidR="00684808" w:rsidRPr="007F0C74">
        <w:t xml:space="preserve"> </w:t>
      </w:r>
      <w:r w:rsidRPr="007F0C74">
        <w:t>a very large alternative asset class for institutional investors. The value of Australia</w:t>
      </w:r>
      <w:r w:rsidR="00563A2B">
        <w:t>’</w:t>
      </w:r>
      <w:r w:rsidRPr="007F0C74">
        <w:t>s housing stock is about $9.</w:t>
      </w:r>
      <w:r>
        <w:t>9</w:t>
      </w:r>
      <w:r w:rsidRPr="007F0C74">
        <w:t xml:space="preserve"> trillion – greater than the value of the Australian Securities Exchange</w:t>
      </w:r>
      <w:r>
        <w:t xml:space="preserve"> and the</w:t>
      </w:r>
      <w:r w:rsidRPr="007F0C74">
        <w:t xml:space="preserve"> government and corporate bond market</w:t>
      </w:r>
      <w:r>
        <w:t>s</w:t>
      </w:r>
      <w:r w:rsidRPr="007F0C74">
        <w:t xml:space="preserve"> combined</w:t>
      </w:r>
      <w:r>
        <w:t xml:space="preserve"> (ABS 2023c</w:t>
      </w:r>
      <w:r w:rsidR="00A71314">
        <w:t>; ASX</w:t>
      </w:r>
      <w:r w:rsidR="003863BA">
        <w:t xml:space="preserve"> </w:t>
      </w:r>
      <w:r w:rsidR="0091680C">
        <w:t>2023</w:t>
      </w:r>
      <w:r w:rsidR="0018589A">
        <w:t xml:space="preserve">; </w:t>
      </w:r>
      <w:r w:rsidR="003863BA">
        <w:t>RBA</w:t>
      </w:r>
      <w:r w:rsidR="0018589A">
        <w:t> 2023a</w:t>
      </w:r>
      <w:r>
        <w:t>)</w:t>
      </w:r>
      <w:r w:rsidRPr="007F0C74">
        <w:t>. </w:t>
      </w:r>
    </w:p>
    <w:p w14:paraId="7A72A3B9" w14:textId="32B97B9E" w:rsidR="009A4DA0" w:rsidRPr="007F0C74" w:rsidRDefault="009A4DA0" w:rsidP="006C6F85">
      <w:r>
        <w:lastRenderedPageBreak/>
        <w:t>Housing assets are also long</w:t>
      </w:r>
      <w:r w:rsidR="00563A2B">
        <w:noBreakHyphen/>
      </w:r>
      <w:r>
        <w:t>lived, consistent with the investment horizon of most institutional investors</w:t>
      </w:r>
      <w:r w:rsidR="00392CED">
        <w:t>.</w:t>
      </w:r>
      <w:r>
        <w:t xml:space="preserve"> </w:t>
      </w:r>
      <w:r w:rsidR="00392CED">
        <w:t>They</w:t>
      </w:r>
      <w:r w:rsidDel="00392CED">
        <w:t xml:space="preserve"> </w:t>
      </w:r>
      <w:r>
        <w:t xml:space="preserve">offer </w:t>
      </w:r>
      <w:r w:rsidRPr="007F0C74">
        <w:t>a long</w:t>
      </w:r>
      <w:r w:rsidR="00563A2B">
        <w:noBreakHyphen/>
      </w:r>
      <w:r w:rsidRPr="007F0C74">
        <w:t>term and reliable rental yield</w:t>
      </w:r>
      <w:r>
        <w:t xml:space="preserve"> with </w:t>
      </w:r>
      <w:r w:rsidR="005355E3">
        <w:t xml:space="preserve">relatively </w:t>
      </w:r>
      <w:r>
        <w:t>low</w:t>
      </w:r>
      <w:r w:rsidR="005355E3">
        <w:t xml:space="preserve"> ongoing</w:t>
      </w:r>
      <w:r>
        <w:t xml:space="preserve"> cap</w:t>
      </w:r>
      <w:r w:rsidR="000C5718">
        <w:t>ital</w:t>
      </w:r>
      <w:r>
        <w:t xml:space="preserve"> ex</w:t>
      </w:r>
      <w:r w:rsidR="004D1A86">
        <w:t>penditure</w:t>
      </w:r>
      <w:r>
        <w:t xml:space="preserve"> </w:t>
      </w:r>
      <w:r w:rsidR="005355E3">
        <w:t xml:space="preserve">requirements </w:t>
      </w:r>
      <w:r>
        <w:t xml:space="preserve">and short </w:t>
      </w:r>
      <w:r w:rsidR="00422465">
        <w:t xml:space="preserve">vacancy </w:t>
      </w:r>
      <w:r w:rsidR="002A2B1C">
        <w:t>periods relative to other property types</w:t>
      </w:r>
      <w:r>
        <w:t xml:space="preserve">. These features make residential property particularly </w:t>
      </w:r>
      <w:r w:rsidRPr="007F0C74">
        <w:t xml:space="preserve">suitable for institutional investors </w:t>
      </w:r>
      <w:r w:rsidR="00B07FB1">
        <w:t xml:space="preserve">targeting </w:t>
      </w:r>
      <w:r>
        <w:t>stable return</w:t>
      </w:r>
      <w:r w:rsidR="00B07FB1">
        <w:t>s</w:t>
      </w:r>
      <w:r>
        <w:t xml:space="preserve"> </w:t>
      </w:r>
      <w:r w:rsidR="00B07FB1">
        <w:t xml:space="preserve">for </w:t>
      </w:r>
      <w:r>
        <w:t xml:space="preserve">members seeking a consistent income stream, including those receiving a pension. </w:t>
      </w:r>
    </w:p>
    <w:p w14:paraId="1AFFEB3E" w14:textId="0D7251CA" w:rsidR="009A4DA0" w:rsidRPr="007F0C74" w:rsidRDefault="009A4DA0" w:rsidP="006C6F85">
      <w:r w:rsidRPr="007F0C74">
        <w:t>Investment in residential property can be made using either debt or equity instruments, giving institutional investors the flexibility to choose specific investment types that match the risk preferences of their investors and members. Investors can also acquire an indirect interest in a housing asset through vehicles such as unlisted or listed real estate investment trusts</w:t>
      </w:r>
      <w:r>
        <w:t xml:space="preserve"> (although there are as yet few of these in the Australian market). Investments in social and affordable housing can also meet social and environmental objectives of those institutional investors with environmental, social and governance mandates. </w:t>
      </w:r>
    </w:p>
    <w:p w14:paraId="66F066E3" w14:textId="091D4E55" w:rsidR="009A4DA0" w:rsidRPr="00B401CF" w:rsidRDefault="009A4DA0" w:rsidP="006C6F85">
      <w:pPr>
        <w:pStyle w:val="Heading3"/>
      </w:pPr>
      <w:r w:rsidRPr="00B401CF">
        <w:t>Diversification benefits</w:t>
      </w:r>
    </w:p>
    <w:p w14:paraId="56B1C01A" w14:textId="77777777" w:rsidR="009B4E56" w:rsidRDefault="009A4DA0" w:rsidP="006C6F85">
      <w:r w:rsidRPr="007F0C74">
        <w:t xml:space="preserve">Investment in residential property may allow institutional investors to increase diversification within existing investment portfolios. As returns on residential property are imperfectly correlated with other asset classes such as equity and bonds, diversifying into residential property may help institutions to reduce portfolio investment risk for a given level of return. </w:t>
      </w:r>
    </w:p>
    <w:p w14:paraId="2FA8099A" w14:textId="697CCEDC" w:rsidR="009A4DA0" w:rsidRDefault="009A4DA0" w:rsidP="006C6F85">
      <w:r w:rsidRPr="007F0C74">
        <w:t xml:space="preserve">Investment in residential property can also be internally diversified across geographic regions and property types, reducing concentration risk. </w:t>
      </w:r>
      <w:r>
        <w:t>I</w:t>
      </w:r>
      <w:r w:rsidRPr="007F0C74">
        <w:t xml:space="preserve">nvestment in residential property </w:t>
      </w:r>
      <w:r>
        <w:t>is</w:t>
      </w:r>
      <w:r w:rsidRPr="007F0C74">
        <w:t xml:space="preserve"> also </w:t>
      </w:r>
      <w:r>
        <w:t>likely to be</w:t>
      </w:r>
      <w:r w:rsidRPr="007F0C74">
        <w:t xml:space="preserve"> an effective hedge against inflation, reflecting the fact rents generally rise in line with inflation over the long</w:t>
      </w:r>
      <w:r w:rsidR="00563A2B">
        <w:noBreakHyphen/>
      </w:r>
      <w:r w:rsidRPr="007F0C74">
        <w:t xml:space="preserve">term. </w:t>
      </w:r>
    </w:p>
    <w:p w14:paraId="6AEA4867" w14:textId="77777777" w:rsidR="009A4DA0" w:rsidRPr="00514183" w:rsidRDefault="009A4DA0" w:rsidP="00A83E6C">
      <w:pPr>
        <w:pStyle w:val="Heading2Numbered"/>
      </w:pPr>
      <w:bookmarkStart w:id="46" w:name="_Toc141355241"/>
      <w:bookmarkStart w:id="47" w:name="_Toc136869559"/>
      <w:r w:rsidRPr="00514183">
        <w:t>Potential downsides</w:t>
      </w:r>
      <w:bookmarkEnd w:id="46"/>
      <w:r w:rsidRPr="00514183">
        <w:t xml:space="preserve"> </w:t>
      </w:r>
    </w:p>
    <w:p w14:paraId="38E88DBB" w14:textId="60093360" w:rsidR="009A4DA0" w:rsidRDefault="009A4DA0" w:rsidP="006C6F85">
      <w:r>
        <w:t xml:space="preserve">Institutional investment in housing has attracted controversy overseas due to the strategies pursued by investors and the housing outcomes delivered. Much of this criticism </w:t>
      </w:r>
      <w:r w:rsidR="009A6149">
        <w:t>arises</w:t>
      </w:r>
      <w:r>
        <w:t xml:space="preserve"> from the fact that most institutional investors are profit</w:t>
      </w:r>
      <w:r w:rsidR="00563A2B">
        <w:noBreakHyphen/>
      </w:r>
      <w:r>
        <w:t>maximising entities</w:t>
      </w:r>
      <w:r w:rsidR="00C02044">
        <w:t>. I</w:t>
      </w:r>
      <w:r w:rsidR="00F268A2">
        <w:t>ndividual landlords, on the other hand, while also profit</w:t>
      </w:r>
      <w:r w:rsidR="00563A2B">
        <w:noBreakHyphen/>
      </w:r>
      <w:r w:rsidR="00F268A2">
        <w:t>maximising, may value non</w:t>
      </w:r>
      <w:r w:rsidR="00563A2B">
        <w:noBreakHyphen/>
      </w:r>
      <w:r w:rsidR="00F268A2">
        <w:t xml:space="preserve">financial aspects of tenancy arrangements, such as knowing their tenants personally. </w:t>
      </w:r>
      <w:r w:rsidR="00A37B11">
        <w:t xml:space="preserve">While </w:t>
      </w:r>
      <w:r w:rsidR="00C02044">
        <w:t xml:space="preserve">profit maximisation </w:t>
      </w:r>
      <w:r w:rsidR="00A37B11">
        <w:t xml:space="preserve">is consistent with </w:t>
      </w:r>
      <w:r w:rsidR="00C02044">
        <w:t xml:space="preserve">the </w:t>
      </w:r>
      <w:r w:rsidR="00A37B11">
        <w:t xml:space="preserve">legal duties </w:t>
      </w:r>
      <w:r w:rsidR="00C02044">
        <w:t xml:space="preserve">of institutional investors </w:t>
      </w:r>
      <w:r w:rsidR="00A37B11">
        <w:t>to members and shareholders, this may not always lead to optimal outcomes for tenants, particularly for low</w:t>
      </w:r>
      <w:r w:rsidR="00563A2B">
        <w:noBreakHyphen/>
      </w:r>
      <w:r w:rsidR="00A37B11">
        <w:t xml:space="preserve">income cohorts with limited market power. </w:t>
      </w:r>
    </w:p>
    <w:p w14:paraId="4C921194" w14:textId="344ED3BA" w:rsidR="009A4DA0" w:rsidRDefault="009A4DA0" w:rsidP="00FC6985">
      <w:pPr>
        <w:keepLines/>
      </w:pPr>
      <w:r>
        <w:t xml:space="preserve">There is some evidence that institutional investment can result in higher rents and a deterioration in the quality of managed property </w:t>
      </w:r>
      <w:r w:rsidRPr="00FD4D9D">
        <w:t xml:space="preserve">(European Commission 2020, Gabor </w:t>
      </w:r>
      <w:r>
        <w:t>and</w:t>
      </w:r>
      <w:r w:rsidRPr="00FD4D9D">
        <w:t xml:space="preserve"> Kohl 2022)</w:t>
      </w:r>
      <w:r>
        <w:t xml:space="preserve">. In some countries, institutional investors have been accused of using market downturns, such as the </w:t>
      </w:r>
      <w:r w:rsidR="0003749D">
        <w:t>GFC</w:t>
      </w:r>
      <w:r>
        <w:t xml:space="preserve">, to buy up distressed housing assets, or using periods of fiscal austerity to acquire social housing assets from governments. Some institutions have also been criticised for purchasing discount housing stock and renovating it to justify a significant uplift in rents (Christophers 2022). </w:t>
      </w:r>
    </w:p>
    <w:p w14:paraId="1AB94205" w14:textId="41D3E919" w:rsidR="009A4DA0" w:rsidRDefault="009A4DA0" w:rsidP="006C6F85">
      <w:r>
        <w:t>Public concerns over adverse consequences has led directly to rent controls and other forms of increased government regulation in some countries, including</w:t>
      </w:r>
      <w:r w:rsidR="00770FA8">
        <w:t xml:space="preserve"> in</w:t>
      </w:r>
      <w:r>
        <w:t xml:space="preserve"> parts of Germany, Denmark and Ireland (Gabor and Kohl 2022; The Economist 2021).</w:t>
      </w:r>
    </w:p>
    <w:p w14:paraId="502678D5" w14:textId="6750D372" w:rsidR="009A4DA0" w:rsidRDefault="009A4DA0" w:rsidP="006C6F85">
      <w:r>
        <w:t xml:space="preserve">The Council </w:t>
      </w:r>
      <w:r w:rsidR="00C02044">
        <w:t>recognises</w:t>
      </w:r>
      <w:r>
        <w:t xml:space="preserve"> the need to avoid adverse outcomes</w:t>
      </w:r>
      <w:r w:rsidR="00C02044">
        <w:t xml:space="preserve"> </w:t>
      </w:r>
      <w:r w:rsidR="00874516">
        <w:t>from</w:t>
      </w:r>
      <w:r w:rsidR="00096F15">
        <w:t xml:space="preserve"> greater institutional investment </w:t>
      </w:r>
      <w:r w:rsidR="003609FE">
        <w:t xml:space="preserve">and the need to ensure that tenancy regulation protects </w:t>
      </w:r>
      <w:r w:rsidR="00280043">
        <w:t xml:space="preserve">all </w:t>
      </w:r>
      <w:r w:rsidR="00874516">
        <w:t>users of the housing system</w:t>
      </w:r>
      <w:r>
        <w:t xml:space="preserve">. </w:t>
      </w:r>
      <w:r w:rsidR="00AF2ECD">
        <w:t>Accordingly, the</w:t>
      </w:r>
      <w:r w:rsidR="007906A4">
        <w:t xml:space="preserve"> </w:t>
      </w:r>
      <w:r w:rsidR="007906A4">
        <w:lastRenderedPageBreak/>
        <w:t>Council believe</w:t>
      </w:r>
      <w:r w:rsidR="00116D3C">
        <w:t>s</w:t>
      </w:r>
      <w:r>
        <w:t xml:space="preserve"> that </w:t>
      </w:r>
      <w:r w:rsidR="007906A4">
        <w:t xml:space="preserve">regulatory regimes need to </w:t>
      </w:r>
      <w:r w:rsidR="00601822">
        <w:t xml:space="preserve">appropriately </w:t>
      </w:r>
      <w:r w:rsidR="00116D3C">
        <w:t>balance</w:t>
      </w:r>
      <w:r>
        <w:t xml:space="preserve"> the needs and </w:t>
      </w:r>
      <w:r w:rsidR="00116D3C">
        <w:t>powers of market participants</w:t>
      </w:r>
      <w:r w:rsidR="00AF2ECD">
        <w:t>,</w:t>
      </w:r>
      <w:r w:rsidR="00116D3C">
        <w:t xml:space="preserve"> and </w:t>
      </w:r>
      <w:r>
        <w:t xml:space="preserve">are </w:t>
      </w:r>
      <w:r w:rsidR="00116D3C">
        <w:t>sufficiently</w:t>
      </w:r>
      <w:r>
        <w:t xml:space="preserve"> transparent </w:t>
      </w:r>
      <w:r w:rsidR="007906A4">
        <w:t>to</w:t>
      </w:r>
      <w:r>
        <w:t xml:space="preserve"> ensure parties understand their rights and obligations in advance of their respective transactions.</w:t>
      </w:r>
      <w:r w:rsidR="00D60C71">
        <w:t xml:space="preserve"> </w:t>
      </w:r>
    </w:p>
    <w:bookmarkEnd w:id="47"/>
    <w:p w14:paraId="6A232663" w14:textId="461DEA48" w:rsidR="00E72FC9" w:rsidRDefault="00566A12" w:rsidP="006C6F85">
      <w:pPr>
        <w:pStyle w:val="Heading3"/>
      </w:pPr>
      <w:r>
        <w:t>Implications for s</w:t>
      </w:r>
      <w:r w:rsidR="00E72FC9">
        <w:t>ocial and affordable housing</w:t>
      </w:r>
    </w:p>
    <w:p w14:paraId="7B352139" w14:textId="57157669" w:rsidR="00CF5B29" w:rsidRDefault="00D65AB9" w:rsidP="006C6F85">
      <w:r>
        <w:t>The use</w:t>
      </w:r>
      <w:r w:rsidR="00625DFC" w:rsidRPr="479AD369">
        <w:t xml:space="preserve"> of </w:t>
      </w:r>
      <w:r w:rsidR="00E72FC9" w:rsidRPr="479AD369">
        <w:t xml:space="preserve">private </w:t>
      </w:r>
      <w:r w:rsidR="00C77E48" w:rsidRPr="479AD369">
        <w:t xml:space="preserve">capital to meet the upfront </w:t>
      </w:r>
      <w:r>
        <w:t xml:space="preserve">(investment) cost of </w:t>
      </w:r>
      <w:r w:rsidR="00F324B1">
        <w:t>constructing</w:t>
      </w:r>
      <w:r>
        <w:t xml:space="preserve"> </w:t>
      </w:r>
      <w:r w:rsidR="00625DFC" w:rsidRPr="479AD369">
        <w:t xml:space="preserve">social and affordable </w:t>
      </w:r>
      <w:r w:rsidR="00F324B1">
        <w:t xml:space="preserve">housing </w:t>
      </w:r>
      <w:r w:rsidR="003F333A">
        <w:t>may result in</w:t>
      </w:r>
      <w:r w:rsidR="00E72FC9" w:rsidRPr="479AD369">
        <w:t xml:space="preserve"> a greater </w:t>
      </w:r>
      <w:r w:rsidR="00A41666" w:rsidRPr="479AD369">
        <w:t xml:space="preserve">fiscal </w:t>
      </w:r>
      <w:r w:rsidR="00E72FC9" w:rsidRPr="479AD369">
        <w:t xml:space="preserve">cost </w:t>
      </w:r>
      <w:r w:rsidR="00866AA3">
        <w:t>over the life of the dwelling</w:t>
      </w:r>
      <w:r w:rsidR="00E72FC9" w:rsidRPr="479AD369">
        <w:t xml:space="preserve"> than </w:t>
      </w:r>
      <w:r w:rsidR="00A41666" w:rsidRPr="479AD369">
        <w:t xml:space="preserve">if </w:t>
      </w:r>
      <w:r w:rsidR="00F64E24" w:rsidRPr="479AD369">
        <w:t>governments</w:t>
      </w:r>
      <w:r w:rsidR="00E72FC9" w:rsidRPr="479AD369">
        <w:t xml:space="preserve"> direct</w:t>
      </w:r>
      <w:r w:rsidR="00F64E24" w:rsidRPr="479AD369">
        <w:t>ly</w:t>
      </w:r>
      <w:r w:rsidR="00E72FC9" w:rsidRPr="479AD369">
        <w:t xml:space="preserve"> fund social and affordable housing</w:t>
      </w:r>
      <w:r w:rsidR="00F64E24" w:rsidRPr="479AD369">
        <w:t xml:space="preserve"> </w:t>
      </w:r>
      <w:r w:rsidR="00866AA3">
        <w:t xml:space="preserve">stock </w:t>
      </w:r>
      <w:r w:rsidR="00F64E24" w:rsidRPr="479AD369">
        <w:t>themselves</w:t>
      </w:r>
      <w:r w:rsidR="008E1480">
        <w:t xml:space="preserve"> (</w:t>
      </w:r>
      <w:r w:rsidR="000041E3" w:rsidRPr="479AD369">
        <w:t xml:space="preserve">Lawson </w:t>
      </w:r>
      <w:r w:rsidR="005F7DBF">
        <w:t>and others</w:t>
      </w:r>
      <w:r w:rsidR="000041E3" w:rsidRPr="479AD369">
        <w:t xml:space="preserve"> 2018</w:t>
      </w:r>
      <w:r w:rsidR="00C50332">
        <w:t xml:space="preserve">, </w:t>
      </w:r>
      <w:r w:rsidR="0084145F">
        <w:t>Industry Commission 1993)</w:t>
      </w:r>
      <w:r w:rsidR="00E72FC9" w:rsidRPr="479AD369">
        <w:t xml:space="preserve">. </w:t>
      </w:r>
      <w:r w:rsidR="003F333A">
        <w:t>Whether this occurs depends on whether</w:t>
      </w:r>
      <w:r w:rsidR="00866AA3">
        <w:t xml:space="preserve"> the </w:t>
      </w:r>
      <w:r w:rsidR="00896357">
        <w:t>addition</w:t>
      </w:r>
      <w:r w:rsidR="0005151B">
        <w:t>al</w:t>
      </w:r>
      <w:r w:rsidR="00896357">
        <w:t xml:space="preserve"> returns required by </w:t>
      </w:r>
      <w:r w:rsidR="001D578B" w:rsidRPr="479AD369">
        <w:t>private capital</w:t>
      </w:r>
      <w:r w:rsidR="001006B8">
        <w:t xml:space="preserve"> above that</w:t>
      </w:r>
      <w:r w:rsidR="005E77C3" w:rsidRPr="479AD369">
        <w:t xml:space="preserve"> at which sovereign governments </w:t>
      </w:r>
      <w:r w:rsidR="00FA73B2" w:rsidRPr="479AD369">
        <w:t>can raise finance</w:t>
      </w:r>
      <w:r w:rsidR="00896357">
        <w:t xml:space="preserve"> exceeds </w:t>
      </w:r>
      <w:r w:rsidR="000D6037">
        <w:t xml:space="preserve">efficiency gains associated with the </w:t>
      </w:r>
      <w:r w:rsidR="007C13ED">
        <w:t xml:space="preserve">private </w:t>
      </w:r>
      <w:r w:rsidR="000D6037">
        <w:t xml:space="preserve">development of housing stock </w:t>
      </w:r>
      <w:r w:rsidR="001B1CD2">
        <w:t>or</w:t>
      </w:r>
      <w:r w:rsidR="000D6037">
        <w:t xml:space="preserve"> the provision of housing services.</w:t>
      </w:r>
      <w:r w:rsidR="00896357">
        <w:t xml:space="preserve"> </w:t>
      </w:r>
      <w:r w:rsidR="000E6DEA">
        <w:t xml:space="preserve">One study by </w:t>
      </w:r>
      <w:r w:rsidR="00FA3538" w:rsidRPr="479AD369">
        <w:t xml:space="preserve">AHURI </w:t>
      </w:r>
      <w:r w:rsidR="001C088A" w:rsidRPr="479AD369">
        <w:t xml:space="preserve">found that a mixture of capital grants </w:t>
      </w:r>
      <w:r w:rsidR="00263C01">
        <w:t>and</w:t>
      </w:r>
      <w:r w:rsidR="001C088A" w:rsidRPr="479AD369">
        <w:t xml:space="preserve"> low</w:t>
      </w:r>
      <w:r w:rsidR="00563A2B">
        <w:rPr>
          <w:rFonts w:cstheme="minorHAnsi"/>
        </w:rPr>
        <w:noBreakHyphen/>
      </w:r>
      <w:r w:rsidR="001C088A" w:rsidRPr="479AD369">
        <w:t xml:space="preserve">cost finance </w:t>
      </w:r>
      <w:r w:rsidR="005C6BB3" w:rsidRPr="479AD369">
        <w:t xml:space="preserve">available </w:t>
      </w:r>
      <w:r w:rsidR="000E6DEA">
        <w:t xml:space="preserve">(such as that </w:t>
      </w:r>
      <w:r w:rsidR="00C318F7">
        <w:t xml:space="preserve">available from </w:t>
      </w:r>
      <w:r w:rsidR="000C25A5" w:rsidRPr="479AD369">
        <w:t xml:space="preserve">the </w:t>
      </w:r>
      <w:r w:rsidR="006A6BB0" w:rsidRPr="479AD369">
        <w:t>Affordable</w:t>
      </w:r>
      <w:r w:rsidR="000C25A5" w:rsidRPr="479AD369">
        <w:t xml:space="preserve"> Housing </w:t>
      </w:r>
      <w:r w:rsidR="006A6BB0" w:rsidRPr="479AD369">
        <w:t>Bond Aggregator</w:t>
      </w:r>
      <w:r w:rsidR="000C25A5" w:rsidRPr="479AD369">
        <w:t xml:space="preserve">) is </w:t>
      </w:r>
      <w:r w:rsidR="0086226A">
        <w:t xml:space="preserve">more </w:t>
      </w:r>
      <w:r w:rsidR="00CF5B29" w:rsidRPr="479AD369">
        <w:t>cost</w:t>
      </w:r>
      <w:r w:rsidR="0086226A">
        <w:rPr>
          <w:rFonts w:cstheme="minorHAnsi"/>
        </w:rPr>
        <w:t xml:space="preserve"> </w:t>
      </w:r>
      <w:r w:rsidR="00CF5B29" w:rsidRPr="479AD369">
        <w:t>effective</w:t>
      </w:r>
      <w:r w:rsidR="000C25A5" w:rsidRPr="479AD369">
        <w:t xml:space="preserve"> </w:t>
      </w:r>
      <w:r w:rsidR="00C318F7">
        <w:t>c</w:t>
      </w:r>
      <w:r w:rsidR="00C318F7" w:rsidRPr="479AD369">
        <w:t>ompared</w:t>
      </w:r>
      <w:r w:rsidR="000C25A5" w:rsidRPr="479AD369">
        <w:t xml:space="preserve"> to a </w:t>
      </w:r>
      <w:r w:rsidR="00D06070" w:rsidRPr="479AD369">
        <w:t>model where</w:t>
      </w:r>
      <w:r w:rsidR="000C25A5" w:rsidRPr="479AD369">
        <w:t xml:space="preserve"> </w:t>
      </w:r>
      <w:r w:rsidR="00465C99" w:rsidRPr="479AD369">
        <w:t>debt</w:t>
      </w:r>
      <w:r w:rsidR="00563A2B">
        <w:noBreakHyphen/>
      </w:r>
      <w:r w:rsidR="00C318F7" w:rsidRPr="479AD369">
        <w:t>finance</w:t>
      </w:r>
      <w:r w:rsidR="00465C99" w:rsidRPr="479AD369">
        <w:t xml:space="preserve"> </w:t>
      </w:r>
      <w:r w:rsidR="00D06070" w:rsidRPr="479AD369">
        <w:t>is raised from private capital providers</w:t>
      </w:r>
      <w:r w:rsidR="00465C99" w:rsidRPr="479AD369">
        <w:t xml:space="preserve"> with </w:t>
      </w:r>
      <w:r w:rsidR="000C25A5" w:rsidRPr="479AD369">
        <w:t xml:space="preserve">ongoing operational subsidy (Lawson </w:t>
      </w:r>
      <w:r w:rsidR="005F7DBF">
        <w:t>and others</w:t>
      </w:r>
      <w:r w:rsidR="000C25A5" w:rsidRPr="479AD369">
        <w:t xml:space="preserve"> 2018). </w:t>
      </w:r>
    </w:p>
    <w:p w14:paraId="585EC839" w14:textId="7B68EBCB" w:rsidR="0039548F" w:rsidRDefault="00C318F7" w:rsidP="006C6F85">
      <w:r>
        <w:t>That said</w:t>
      </w:r>
      <w:r w:rsidR="0039548F">
        <w:t xml:space="preserve">, </w:t>
      </w:r>
      <w:r w:rsidR="0039548F" w:rsidRPr="479AD369">
        <w:t xml:space="preserve">governments capture the </w:t>
      </w:r>
      <w:r w:rsidR="0039548F">
        <w:t>positive externalities</w:t>
      </w:r>
      <w:r w:rsidR="0039548F" w:rsidRPr="479AD369">
        <w:t xml:space="preserve"> of social housing</w:t>
      </w:r>
      <w:r w:rsidR="0039548F">
        <w:t xml:space="preserve"> whatever the financing mechanism</w:t>
      </w:r>
      <w:r w:rsidR="0039548F" w:rsidRPr="479AD369">
        <w:t xml:space="preserve">, through savings on other government expenditures related to greater </w:t>
      </w:r>
      <w:r w:rsidR="0039548F">
        <w:t>social inclusion,</w:t>
      </w:r>
      <w:r w:rsidR="0039548F" w:rsidRPr="479AD369">
        <w:t xml:space="preserve"> education and employment outcomes associated with social and affordable housing</w:t>
      </w:r>
      <w:r w:rsidR="0039548F">
        <w:t xml:space="preserve"> (Lawson </w:t>
      </w:r>
      <w:r w:rsidR="005F7DBF">
        <w:t>and others</w:t>
      </w:r>
      <w:r w:rsidR="0039548F">
        <w:t xml:space="preserve"> 2019).</w:t>
      </w:r>
    </w:p>
    <w:p w14:paraId="681C2D05" w14:textId="6EB8AD20" w:rsidR="007912DD" w:rsidRPr="007F0C74" w:rsidRDefault="0050374A" w:rsidP="006C6F85">
      <w:r>
        <w:t>P</w:t>
      </w:r>
      <w:r w:rsidR="00866C76">
        <w:t xml:space="preserve">rivate investment in social and affordable housing developments </w:t>
      </w:r>
      <w:r w:rsidR="007912DD" w:rsidRPr="479AD369">
        <w:t>often rely on the sale of the asset after a period of time to finance new assets and capital maintenance</w:t>
      </w:r>
      <w:r w:rsidR="005260B4">
        <w:t>,</w:t>
      </w:r>
      <w:r w:rsidR="007912DD" w:rsidRPr="479AD369">
        <w:t xml:space="preserve"> rather than long term reliance on rental streams (Benedict </w:t>
      </w:r>
      <w:r w:rsidR="005F7DBF">
        <w:t>and others</w:t>
      </w:r>
      <w:r w:rsidR="007912DD" w:rsidRPr="479AD369">
        <w:t xml:space="preserve"> 2022). This creates the risk that </w:t>
      </w:r>
      <w:r w:rsidR="005260B4">
        <w:t xml:space="preserve">privately financed </w:t>
      </w:r>
      <w:r w:rsidR="007912DD" w:rsidRPr="479AD369">
        <w:t xml:space="preserve">social and affordable housing </w:t>
      </w:r>
      <w:r w:rsidR="005260B4">
        <w:t xml:space="preserve">eventually </w:t>
      </w:r>
      <w:r w:rsidR="00E875F7">
        <w:t xml:space="preserve">reverts to market </w:t>
      </w:r>
      <w:r w:rsidR="00566A12">
        <w:t>housing</w:t>
      </w:r>
      <w:r w:rsidR="007912DD" w:rsidRPr="479AD369">
        <w:t>.</w:t>
      </w:r>
      <w:r w:rsidR="00745E1A">
        <w:t xml:space="preserve"> These risks </w:t>
      </w:r>
      <w:r w:rsidR="007279CF">
        <w:t xml:space="preserve">can be mitigated </w:t>
      </w:r>
      <w:r w:rsidR="00DE4B8D">
        <w:t xml:space="preserve">by ensuring operating subsidies </w:t>
      </w:r>
      <w:r w:rsidR="005653D0">
        <w:t xml:space="preserve">or other income streams </w:t>
      </w:r>
      <w:r w:rsidR="00DE4B8D">
        <w:t xml:space="preserve">are </w:t>
      </w:r>
      <w:r w:rsidR="004F3BD6">
        <w:t xml:space="preserve">sufficient to </w:t>
      </w:r>
      <w:r w:rsidR="005653D0">
        <w:t>ensure that</w:t>
      </w:r>
      <w:r w:rsidR="00021044">
        <w:t xml:space="preserve"> housing assets</w:t>
      </w:r>
      <w:r w:rsidR="005653D0">
        <w:t xml:space="preserve"> are maintained</w:t>
      </w:r>
      <w:r w:rsidR="00C03B16">
        <w:t xml:space="preserve">, and the new </w:t>
      </w:r>
      <w:r w:rsidR="0021283C">
        <w:t>funding</w:t>
      </w:r>
      <w:r w:rsidR="00C03B16">
        <w:t xml:space="preserve"> is available to finance </w:t>
      </w:r>
      <w:r w:rsidR="0021283C">
        <w:t>additional housing stock</w:t>
      </w:r>
      <w:r w:rsidR="00EF206C">
        <w:t xml:space="preserve"> over time</w:t>
      </w:r>
      <w:r w:rsidR="0021283C">
        <w:t xml:space="preserve">. </w:t>
      </w:r>
    </w:p>
    <w:p w14:paraId="1C68DFF9" w14:textId="7297A696" w:rsidR="00566A12" w:rsidRPr="00BC7275" w:rsidRDefault="0050374A" w:rsidP="006C6F85">
      <w:pPr>
        <w:rPr>
          <w:rFonts w:cstheme="minorHAnsi"/>
        </w:rPr>
      </w:pPr>
      <w:r>
        <w:t>In terms of outcomes for tenants, t</w:t>
      </w:r>
      <w:r w:rsidR="00566A12" w:rsidRPr="00566A12">
        <w:t xml:space="preserve">here are concerns that greater reliance on the private sector to provide social and affordable housing </w:t>
      </w:r>
      <w:r>
        <w:t>can</w:t>
      </w:r>
      <w:r w:rsidR="00566A12" w:rsidRPr="00566A12">
        <w:t xml:space="preserve"> shift priority away from the groups in highest need </w:t>
      </w:r>
      <w:r>
        <w:t>towards</w:t>
      </w:r>
      <w:r w:rsidR="00566A12" w:rsidRPr="00566A12">
        <w:t xml:space="preserve"> housing</w:t>
      </w:r>
      <w:r>
        <w:t xml:space="preserve"> those better suited to </w:t>
      </w:r>
      <w:r w:rsidR="00ED368A">
        <w:t>higher</w:t>
      </w:r>
      <w:r w:rsidR="00563A2B">
        <w:noBreakHyphen/>
      </w:r>
      <w:r w:rsidR="00ED368A">
        <w:t>end affordable housing</w:t>
      </w:r>
      <w:r w:rsidR="00566A12" w:rsidRPr="00566A12">
        <w:t>, jeopardising public assets and increasing tenant insecurity (Benedict </w:t>
      </w:r>
      <w:r w:rsidR="005F7DBF">
        <w:t>and others</w:t>
      </w:r>
      <w:r w:rsidR="00566A12" w:rsidRPr="00566A12">
        <w:t xml:space="preserve"> 2022).</w:t>
      </w:r>
      <w:r w:rsidR="00566A12" w:rsidRPr="00566A12">
        <w:rPr>
          <w:rFonts w:cstheme="minorHAnsi"/>
        </w:rPr>
        <w:t xml:space="preserve"> </w:t>
      </w:r>
      <w:r w:rsidR="00890A35">
        <w:rPr>
          <w:rFonts w:cstheme="minorHAnsi"/>
        </w:rPr>
        <w:t>Accordingly, a</w:t>
      </w:r>
      <w:r w:rsidR="0068429D">
        <w:rPr>
          <w:rFonts w:cstheme="minorHAnsi"/>
        </w:rPr>
        <w:t xml:space="preserve">s the private provision of </w:t>
      </w:r>
      <w:r w:rsidR="007225C2">
        <w:rPr>
          <w:rFonts w:cstheme="minorHAnsi"/>
        </w:rPr>
        <w:t xml:space="preserve">social and affordable housing becomes more common, </w:t>
      </w:r>
      <w:r w:rsidR="00890A35">
        <w:rPr>
          <w:rFonts w:cstheme="minorHAnsi"/>
        </w:rPr>
        <w:t xml:space="preserve">there is a need </w:t>
      </w:r>
      <w:r w:rsidR="00A2194E">
        <w:rPr>
          <w:rFonts w:cstheme="minorHAnsi"/>
        </w:rPr>
        <w:t>for</w:t>
      </w:r>
      <w:r w:rsidR="00890A35">
        <w:rPr>
          <w:rFonts w:cstheme="minorHAnsi"/>
        </w:rPr>
        <w:t xml:space="preserve"> funding allocations and regulatory regimes </w:t>
      </w:r>
      <w:r w:rsidR="00A2194E">
        <w:rPr>
          <w:rFonts w:cstheme="minorHAnsi"/>
        </w:rPr>
        <w:t>to be</w:t>
      </w:r>
      <w:r w:rsidR="00890A35">
        <w:rPr>
          <w:rFonts w:cstheme="minorHAnsi"/>
        </w:rPr>
        <w:t xml:space="preserve"> appropriately calibrated to ensure </w:t>
      </w:r>
      <w:r w:rsidR="0039180C">
        <w:rPr>
          <w:rFonts w:cstheme="minorHAnsi"/>
        </w:rPr>
        <w:t xml:space="preserve">the ongoing provision of </w:t>
      </w:r>
      <w:r w:rsidR="00F156AE">
        <w:rPr>
          <w:rFonts w:cstheme="minorHAnsi"/>
        </w:rPr>
        <w:t>housing services for high need</w:t>
      </w:r>
      <w:r w:rsidR="008C1178">
        <w:rPr>
          <w:rFonts w:cstheme="minorHAnsi"/>
        </w:rPr>
        <w:t xml:space="preserve"> </w:t>
      </w:r>
      <w:r w:rsidR="00854B0B">
        <w:rPr>
          <w:rFonts w:cstheme="minorHAnsi"/>
        </w:rPr>
        <w:t>tenants</w:t>
      </w:r>
      <w:r w:rsidR="00BA0984">
        <w:rPr>
          <w:rFonts w:cstheme="minorHAnsi"/>
        </w:rPr>
        <w:t xml:space="preserve">. </w:t>
      </w:r>
    </w:p>
    <w:p w14:paraId="55E666DA" w14:textId="2087BDA4" w:rsidR="00E72FC9" w:rsidRDefault="00E72FC9" w:rsidP="002C2697"/>
    <w:p w14:paraId="051DE7A5" w14:textId="77777777" w:rsidR="002C2697" w:rsidRPr="00B430DA" w:rsidRDefault="002C2697" w:rsidP="00B430DA">
      <w:pPr>
        <w:sectPr w:rsidR="002C2697" w:rsidRPr="00B430DA">
          <w:footerReference w:type="default" r:id="rId26"/>
          <w:pgSz w:w="11906" w:h="16838" w:code="9"/>
          <w:pgMar w:top="1843" w:right="1418" w:bottom="1418" w:left="1418" w:header="709" w:footer="709" w:gutter="0"/>
          <w:cols w:space="708"/>
          <w:docGrid w:linePitch="360"/>
        </w:sectPr>
      </w:pPr>
    </w:p>
    <w:p w14:paraId="6EF65400" w14:textId="755D0ADA" w:rsidR="009A4DA0" w:rsidRDefault="009A4DA0" w:rsidP="009A4DA0">
      <w:pPr>
        <w:pStyle w:val="Heading1Numbered"/>
      </w:pPr>
      <w:bookmarkStart w:id="48" w:name="_Toc141355242"/>
      <w:r w:rsidRPr="00B06041">
        <w:lastRenderedPageBreak/>
        <w:t>Institutional investment in property in Australia</w:t>
      </w:r>
      <w:bookmarkEnd w:id="48"/>
    </w:p>
    <w:p w14:paraId="7B016EEB" w14:textId="4958F5FB" w:rsidR="009A4DA0" w:rsidRDefault="009A4DA0" w:rsidP="006C6F85">
      <w:r w:rsidRPr="00225C6B">
        <w:t xml:space="preserve">Institutional investors are </w:t>
      </w:r>
      <w:r w:rsidR="00FC58A8">
        <w:t xml:space="preserve">one of </w:t>
      </w:r>
      <w:r w:rsidRPr="00225C6B">
        <w:t>the largest class</w:t>
      </w:r>
      <w:r w:rsidR="00B24E2C">
        <w:t>es</w:t>
      </w:r>
      <w:r w:rsidRPr="00225C6B">
        <w:t xml:space="preserve"> of investors globally</w:t>
      </w:r>
      <w:r w:rsidR="00416709">
        <w:t xml:space="preserve"> </w:t>
      </w:r>
      <w:r w:rsidR="00FC58A8">
        <w:t>(</w:t>
      </w:r>
      <w:proofErr w:type="spellStart"/>
      <w:r w:rsidR="005D4CFA">
        <w:t>Fukami</w:t>
      </w:r>
      <w:proofErr w:type="spellEnd"/>
      <w:r w:rsidR="005D4CFA">
        <w:t xml:space="preserve"> </w:t>
      </w:r>
      <w:r w:rsidR="00770FA8">
        <w:t>and others</w:t>
      </w:r>
      <w:r w:rsidR="005D4CFA">
        <w:t xml:space="preserve"> 2022)</w:t>
      </w:r>
      <w:r w:rsidRPr="00225C6B">
        <w:t>. Domestic</w:t>
      </w:r>
      <w:r>
        <w:t>ally,</w:t>
      </w:r>
      <w:r w:rsidRPr="00225C6B">
        <w:t xml:space="preserve"> </w:t>
      </w:r>
      <w:r>
        <w:t>they</w:t>
      </w:r>
      <w:r w:rsidRPr="00225C6B">
        <w:t xml:space="preserve"> manage around $4.5 trillion</w:t>
      </w:r>
      <w:r w:rsidRPr="005015B1">
        <w:rPr>
          <w:color w:val="auto"/>
        </w:rPr>
        <w:t xml:space="preserve"> (</w:t>
      </w:r>
      <w:hyperlink r:id="rId27" w:anchor="data-downloads" w:history="1">
        <w:r w:rsidRPr="005015B1">
          <w:rPr>
            <w:rStyle w:val="Hyperlink"/>
            <w:color w:val="auto"/>
          </w:rPr>
          <w:t>ABS 2023</w:t>
        </w:r>
      </w:hyperlink>
      <w:r>
        <w:rPr>
          <w:rStyle w:val="Hyperlink"/>
          <w:color w:val="auto"/>
        </w:rPr>
        <w:t>d</w:t>
      </w:r>
      <w:r w:rsidRPr="00F73991">
        <w:rPr>
          <w:rStyle w:val="Hyperlink"/>
          <w:color w:val="auto"/>
        </w:rPr>
        <w:t>)</w:t>
      </w:r>
      <w:r w:rsidR="009A3D06" w:rsidRPr="00F73991">
        <w:rPr>
          <w:rStyle w:val="Hyperlink"/>
          <w:color w:val="auto"/>
        </w:rPr>
        <w:t>,</w:t>
      </w:r>
      <w:r w:rsidR="009A3D06" w:rsidRPr="009E389A">
        <w:rPr>
          <w:rStyle w:val="Hyperlink"/>
          <w:color w:val="auto"/>
        </w:rPr>
        <w:t xml:space="preserve"> </w:t>
      </w:r>
      <w:r w:rsidR="00766734" w:rsidRPr="00416709">
        <w:rPr>
          <w:rStyle w:val="Hyperlink"/>
          <w:color w:val="auto"/>
        </w:rPr>
        <w:t xml:space="preserve">second only to </w:t>
      </w:r>
      <w:r w:rsidR="00091193">
        <w:rPr>
          <w:rStyle w:val="Hyperlink"/>
          <w:color w:val="auto"/>
        </w:rPr>
        <w:t>d</w:t>
      </w:r>
      <w:r w:rsidR="00091193" w:rsidRPr="009E389A">
        <w:rPr>
          <w:rStyle w:val="Hyperlink"/>
          <w:color w:val="auto"/>
        </w:rPr>
        <w:t xml:space="preserve">omestic </w:t>
      </w:r>
      <w:r w:rsidR="00766734" w:rsidRPr="00416709">
        <w:rPr>
          <w:rStyle w:val="Hyperlink"/>
          <w:color w:val="auto"/>
        </w:rPr>
        <w:t xml:space="preserve">banks, which manage </w:t>
      </w:r>
      <w:r w:rsidR="0029622A" w:rsidRPr="001436EA">
        <w:rPr>
          <w:rStyle w:val="Hyperlink"/>
          <w:color w:val="auto"/>
        </w:rPr>
        <w:t xml:space="preserve">$6.1 trillion </w:t>
      </w:r>
      <w:r w:rsidR="00F73991" w:rsidRPr="00F73991">
        <w:rPr>
          <w:rStyle w:val="Hyperlink"/>
          <w:color w:val="auto"/>
        </w:rPr>
        <w:t>i</w:t>
      </w:r>
      <w:r w:rsidR="00F73991" w:rsidRPr="009E389A">
        <w:rPr>
          <w:rStyle w:val="Hyperlink"/>
          <w:color w:val="auto"/>
        </w:rPr>
        <w:t xml:space="preserve">n assets </w:t>
      </w:r>
      <w:r w:rsidR="0029622A" w:rsidRPr="001436EA">
        <w:rPr>
          <w:rStyle w:val="Hyperlink"/>
          <w:color w:val="auto"/>
        </w:rPr>
        <w:t>(</w:t>
      </w:r>
      <w:r w:rsidR="00EE5B8C">
        <w:rPr>
          <w:rStyle w:val="Hyperlink"/>
          <w:color w:val="auto"/>
        </w:rPr>
        <w:t>Reserve Bank of Australia (</w:t>
      </w:r>
      <w:r w:rsidR="0029622A" w:rsidRPr="001436EA">
        <w:rPr>
          <w:rStyle w:val="Hyperlink"/>
          <w:color w:val="auto"/>
        </w:rPr>
        <w:t>RBA</w:t>
      </w:r>
      <w:r w:rsidR="00EE5B8C">
        <w:rPr>
          <w:rStyle w:val="Hyperlink"/>
          <w:color w:val="auto"/>
        </w:rPr>
        <w:t>)</w:t>
      </w:r>
      <w:r w:rsidR="0029622A" w:rsidRPr="001436EA">
        <w:rPr>
          <w:rStyle w:val="Hyperlink"/>
          <w:color w:val="auto"/>
        </w:rPr>
        <w:t xml:space="preserve"> 2023</w:t>
      </w:r>
      <w:r w:rsidR="00666E1D">
        <w:rPr>
          <w:rStyle w:val="Hyperlink"/>
          <w:color w:val="auto"/>
        </w:rPr>
        <w:t>b</w:t>
      </w:r>
      <w:r w:rsidR="0029622A" w:rsidRPr="001436EA">
        <w:rPr>
          <w:rStyle w:val="Hyperlink"/>
          <w:color w:val="auto"/>
        </w:rPr>
        <w:t>)</w:t>
      </w:r>
      <w:r w:rsidRPr="00416709">
        <w:rPr>
          <w:color w:val="auto"/>
        </w:rPr>
        <w:t>.</w:t>
      </w:r>
      <w:r w:rsidRPr="00225C6B">
        <w:t xml:space="preserve"> </w:t>
      </w:r>
      <w:r w:rsidR="00F73991">
        <w:t xml:space="preserve">In Australia, superannuation funds are the largest cohort of </w:t>
      </w:r>
      <w:r w:rsidR="00BF15C1">
        <w:t xml:space="preserve">institutional </w:t>
      </w:r>
      <w:r w:rsidR="00F73991">
        <w:t xml:space="preserve">investors, managing </w:t>
      </w:r>
      <w:r w:rsidRPr="00225C6B">
        <w:t>assets of $3.</w:t>
      </w:r>
      <w:r>
        <w:t>5</w:t>
      </w:r>
      <w:r w:rsidRPr="00225C6B">
        <w:t> trillion</w:t>
      </w:r>
      <w:r w:rsidR="00736FFA" w:rsidRPr="00736FFA">
        <w:rPr>
          <w:szCs w:val="22"/>
        </w:rPr>
        <w:t xml:space="preserve"> (</w:t>
      </w:r>
      <w:hyperlink r:id="rId28" w:anchor="data-downloads" w:history="1">
        <w:r w:rsidR="00736FFA" w:rsidRPr="00736FFA">
          <w:rPr>
            <w:rStyle w:val="Hyperlink"/>
            <w:color w:val="auto"/>
            <w:szCs w:val="22"/>
          </w:rPr>
          <w:t>ABS 2023</w:t>
        </w:r>
      </w:hyperlink>
      <w:r w:rsidR="00736FFA" w:rsidRPr="00736FFA">
        <w:rPr>
          <w:rStyle w:val="Hyperlink"/>
          <w:color w:val="auto"/>
          <w:szCs w:val="22"/>
        </w:rPr>
        <w:t>d)</w:t>
      </w:r>
      <w:r w:rsidRPr="00514183">
        <w:t>.</w:t>
      </w:r>
    </w:p>
    <w:p w14:paraId="0109355F" w14:textId="0664CBD1" w:rsidR="009A4DA0" w:rsidRDefault="009A4DA0" w:rsidP="006C6F85">
      <w:r>
        <w:t>The</w:t>
      </w:r>
      <w:r w:rsidR="00EE5B8C">
        <w:t xml:space="preserve"> institutional investor</w:t>
      </w:r>
      <w:r>
        <w:t xml:space="preserve"> sector has grown substantially since the 1990s, driven largely by the growth of superannuation funds following the introduction of the Superannuation Guarantee in 1992 (</w:t>
      </w:r>
      <w:r w:rsidR="00015950">
        <w:t>see </w:t>
      </w:r>
      <w:r>
        <w:t>Chart 1). As discussed in Chapter 5, the regulations and requirements governing the activities of the superannuation sector are particularly important for considering the incentives for institutional investment in residential property as a whole.</w:t>
      </w:r>
    </w:p>
    <w:p w14:paraId="595124B3" w14:textId="4898934F" w:rsidR="009A4DA0" w:rsidRPr="00360F52" w:rsidRDefault="009A4DA0" w:rsidP="006C6F85">
      <w:pPr>
        <w:pStyle w:val="ChartMainHeading"/>
        <w:rPr>
          <w:rStyle w:val="Strong"/>
          <w:b/>
        </w:rPr>
      </w:pPr>
      <w:r w:rsidRPr="00514183">
        <w:rPr>
          <w:rStyle w:val="Strong"/>
          <w:b/>
        </w:rPr>
        <w:t xml:space="preserve">Chart </w:t>
      </w:r>
      <w:r w:rsidRPr="009E389A">
        <w:rPr>
          <w:rStyle w:val="Strong"/>
          <w:b/>
        </w:rPr>
        <w:t xml:space="preserve">1: </w:t>
      </w:r>
      <w:r w:rsidRPr="00887031">
        <w:rPr>
          <w:rStyle w:val="Strong"/>
          <w:b/>
        </w:rPr>
        <w:t>Size</w:t>
      </w:r>
      <w:r w:rsidRPr="009E389A">
        <w:rPr>
          <w:rStyle w:val="Strong"/>
          <w:b/>
        </w:rPr>
        <w:t xml:space="preserve"> of </w:t>
      </w:r>
      <w:r w:rsidR="009E389A">
        <w:rPr>
          <w:rStyle w:val="Strong"/>
          <w:b/>
        </w:rPr>
        <w:t xml:space="preserve">the Australian institutional </w:t>
      </w:r>
      <w:r w:rsidR="00360F52">
        <w:rPr>
          <w:rStyle w:val="Strong"/>
          <w:b/>
        </w:rPr>
        <w:t xml:space="preserve">investor </w:t>
      </w:r>
      <w:r w:rsidRPr="009E389A">
        <w:rPr>
          <w:rStyle w:val="Strong"/>
          <w:b/>
        </w:rPr>
        <w:t>sector</w:t>
      </w:r>
    </w:p>
    <w:p w14:paraId="12B44169" w14:textId="25BC33A1" w:rsidR="00756538" w:rsidRDefault="00756538" w:rsidP="006C6F85">
      <w:pPr>
        <w:pStyle w:val="ChartorTableNote"/>
      </w:pPr>
      <w:r>
        <w:rPr>
          <w:noProof/>
        </w:rPr>
        <w:drawing>
          <wp:inline distT="0" distB="0" distL="0" distR="0" wp14:anchorId="770C5783" wp14:editId="5523E456">
            <wp:extent cx="5883275" cy="3237230"/>
            <wp:effectExtent l="0" t="0" r="0" b="1270"/>
            <wp:docPr id="1" name="Picture 1" descr="Chart 1 displays the growth in the Australian managed funds sector from March 1990 to March 2023. The chart shows the managed funds sector increasing in size from $241 billion to $4.2 trillion over this period. Most of this increase comes from the significant increase in the size of the superannuation funds sector, which rose from $111 billion in March 1990 to $3.5 billion in March 2023. Of the remaining subsectors, public offer (retail) unit trusts show a relatively modest increase in size, life insurance corporations show a slight drop in size over the past six years, and ‘other’ appears stable over the period. The figure uses data from the ABS Managed Funds, Australia publ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1 displays the growth in the Australian managed funds sector from March 1990 to March 2023. The chart shows the managed funds sector increasing in size from $241 billion to $4.2 trillion over this period. Most of this increase comes from the significant increase in the size of the superannuation funds sector, which rose from $111 billion in March 1990 to $3.5 billion in March 2023. Of the remaining subsectors, public offer (retail) unit trusts show a relatively modest increase in size, life insurance corporations show a slight drop in size over the past six years, and ‘other’ appears stable over the period. The figure uses data from the ABS Managed Funds, Australia publication.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3275" cy="3237230"/>
                    </a:xfrm>
                    <a:prstGeom prst="rect">
                      <a:avLst/>
                    </a:prstGeom>
                    <a:noFill/>
                  </pic:spPr>
                </pic:pic>
              </a:graphicData>
            </a:graphic>
          </wp:inline>
        </w:drawing>
      </w:r>
    </w:p>
    <w:p w14:paraId="406601EA" w14:textId="35BB7D45" w:rsidR="009A4DA0" w:rsidRPr="00514183" w:rsidRDefault="009A4DA0" w:rsidP="00C32E20">
      <w:pPr>
        <w:pStyle w:val="ChartorTableNote"/>
      </w:pPr>
      <w:r w:rsidRPr="001436EA">
        <w:t xml:space="preserve">Note: Assets defined as unconsolidated assets of total managed funds institutions. Unconsolidated assets refers to the sum of transactions or balance sheet items, including those between entities in the same subsector, company group, or level </w:t>
      </w:r>
      <w:r w:rsidR="00733779">
        <w:t xml:space="preserve">of </w:t>
      </w:r>
      <w:r w:rsidRPr="001436EA">
        <w:t xml:space="preserve">government (cross </w:t>
      </w:r>
      <w:r w:rsidRPr="006C6F85">
        <w:t>investment</w:t>
      </w:r>
      <w:r w:rsidRPr="001436EA">
        <w:t>).</w:t>
      </w:r>
      <w:r w:rsidRPr="00514183">
        <w:t xml:space="preserve"> </w:t>
      </w:r>
      <w:r w:rsidR="00563A2B">
        <w:t>‘</w:t>
      </w:r>
      <w:r w:rsidRPr="00514183">
        <w:t>Other</w:t>
      </w:r>
      <w:r w:rsidR="00563A2B">
        <w:t>’</w:t>
      </w:r>
      <w:r w:rsidRPr="00514183">
        <w:t xml:space="preserve"> is the sum of </w:t>
      </w:r>
      <w:r w:rsidR="00563A2B">
        <w:t>‘</w:t>
      </w:r>
      <w:r w:rsidRPr="00514183">
        <w:t>friendly societies</w:t>
      </w:r>
      <w:r w:rsidR="00563A2B">
        <w:t>’</w:t>
      </w:r>
      <w:r w:rsidRPr="00514183">
        <w:t xml:space="preserve">, </w:t>
      </w:r>
      <w:r w:rsidR="00563A2B">
        <w:t>‘</w:t>
      </w:r>
      <w:r w:rsidRPr="00514183">
        <w:t>common funds</w:t>
      </w:r>
      <w:r w:rsidR="00563A2B">
        <w:t>’</w:t>
      </w:r>
      <w:r w:rsidRPr="00514183">
        <w:t xml:space="preserve"> and </w:t>
      </w:r>
      <w:r w:rsidR="00BB119D">
        <w:t>‘</w:t>
      </w:r>
      <w:r w:rsidRPr="00514183">
        <w:t xml:space="preserve">cash </w:t>
      </w:r>
      <w:r w:rsidRPr="00C32E20">
        <w:t>management</w:t>
      </w:r>
      <w:r w:rsidRPr="00514183">
        <w:t xml:space="preserve"> trusts</w:t>
      </w:r>
      <w:r w:rsidR="00563A2B">
        <w:t>’</w:t>
      </w:r>
      <w:r w:rsidRPr="00514183">
        <w:t>.</w:t>
      </w:r>
    </w:p>
    <w:p w14:paraId="24644381" w14:textId="563BA07C" w:rsidR="009A4DA0" w:rsidRPr="00514183" w:rsidRDefault="009A4DA0" w:rsidP="00C32E20">
      <w:pPr>
        <w:pStyle w:val="ChartorTableNote"/>
      </w:pPr>
      <w:r w:rsidRPr="00514183">
        <w:t xml:space="preserve">Source: ABS </w:t>
      </w:r>
      <w:r w:rsidRPr="00C32E20">
        <w:t>2023</w:t>
      </w:r>
      <w:r w:rsidR="003D489F" w:rsidRPr="00C32E20">
        <w:t>d</w:t>
      </w:r>
      <w:r w:rsidR="002C25F1">
        <w:t>.</w:t>
      </w:r>
    </w:p>
    <w:p w14:paraId="357E6901" w14:textId="45D66FC9" w:rsidR="009A4DA0" w:rsidRDefault="009A4DA0" w:rsidP="006C6F85">
      <w:r>
        <w:t>Institutional investors invest in a</w:t>
      </w:r>
      <w:r w:rsidRPr="00E47DFF">
        <w:t xml:space="preserve"> range of assets</w:t>
      </w:r>
      <w:r>
        <w:t>,</w:t>
      </w:r>
      <w:r w:rsidRPr="00E47DFF">
        <w:t xml:space="preserve"> including equity, property, bonds, and infrastructure</w:t>
      </w:r>
      <w:r>
        <w:t>. These asset allocation decisions are broadly determined by the investment mandate of the fund, with some scope to vary allocation according to the fund</w:t>
      </w:r>
      <w:r w:rsidR="00563A2B">
        <w:t>’</w:t>
      </w:r>
      <w:r>
        <w:t xml:space="preserve">s strategic and tactical outlook. </w:t>
      </w:r>
    </w:p>
    <w:p w14:paraId="4D8F2D98" w14:textId="16612F16" w:rsidR="009A4DA0" w:rsidRDefault="009A4DA0" w:rsidP="006C6F85">
      <w:r>
        <w:t xml:space="preserve">The most comprehensive data on the asset allocation of institutional investors is for </w:t>
      </w:r>
      <w:r w:rsidR="00CB166D">
        <w:t xml:space="preserve">superannuation funds regulated by the </w:t>
      </w:r>
      <w:r>
        <w:t>Australian Prudential Regulation Authority</w:t>
      </w:r>
      <w:r w:rsidR="00EE5B8C">
        <w:t xml:space="preserve"> (APRA)</w:t>
      </w:r>
      <w:r>
        <w:t>. Over half of superannuation assets are invested in equity securities; only 7.5</w:t>
      </w:r>
      <w:r w:rsidR="00E67AFE">
        <w:t> per </w:t>
      </w:r>
      <w:r>
        <w:t>cent are invested in property</w:t>
      </w:r>
      <w:r w:rsidDel="0011705A">
        <w:t xml:space="preserve"> </w:t>
      </w:r>
      <w:r>
        <w:t>(</w:t>
      </w:r>
      <w:r w:rsidR="00015950">
        <w:t xml:space="preserve">see </w:t>
      </w:r>
      <w:r w:rsidRPr="007F0C74">
        <w:t xml:space="preserve">Chart </w:t>
      </w:r>
      <w:r>
        <w:t>2). As at March 2023, this equated to around $180 billion invested in property assets (APRA 2023).</w:t>
      </w:r>
    </w:p>
    <w:p w14:paraId="08D4FF15" w14:textId="021419DE" w:rsidR="009A4DA0" w:rsidRPr="00DF056E" w:rsidRDefault="009A4DA0" w:rsidP="006C6F85">
      <w:pPr>
        <w:pStyle w:val="ChartMainHeading"/>
      </w:pPr>
      <w:r w:rsidRPr="00DF056E">
        <w:lastRenderedPageBreak/>
        <w:t xml:space="preserve">Chart 2: </w:t>
      </w:r>
      <w:r w:rsidR="00CB166D">
        <w:t>A</w:t>
      </w:r>
      <w:r w:rsidRPr="00DF056E">
        <w:t>sset allocations for APRA</w:t>
      </w:r>
      <w:r w:rsidR="00563A2B">
        <w:noBreakHyphen/>
      </w:r>
      <w:r w:rsidRPr="00DF056E">
        <w:t xml:space="preserve">regulated </w:t>
      </w:r>
      <w:r w:rsidRPr="006C6F85">
        <w:t>superannuation</w:t>
      </w:r>
      <w:r w:rsidRPr="00DF056E">
        <w:t xml:space="preserve"> funds, March 2023</w:t>
      </w:r>
    </w:p>
    <w:p w14:paraId="6E4A7A74" w14:textId="6C95B7A5" w:rsidR="009A4DA0" w:rsidRDefault="009A4DA0" w:rsidP="00B430DA">
      <w:pPr>
        <w:pStyle w:val="ChartGraphic"/>
      </w:pPr>
      <w:r>
        <w:rPr>
          <w:noProof/>
        </w:rPr>
        <w:drawing>
          <wp:inline distT="0" distB="0" distL="0" distR="0" wp14:anchorId="5BE2FC3E" wp14:editId="305D1C76">
            <wp:extent cx="5759450" cy="3074670"/>
            <wp:effectExtent l="0" t="0" r="0" b="0"/>
            <wp:docPr id="95" name="Chart 95" descr="Chart 2 displays the proportion of APRA-regulated superannuation fund holdings in different asset types as at March quarter 2023. Asset holdings are grouped into six broad categories: equity, fixed income, cash, property, infrastructure and ‘other’. Equity accounts for about 53.9 per cent of the allocation, fixed income accounts for 19.0 per cent, cash accounts for 9.3 per cent, property accounts for 7.5 per cent, infrastructure accounts for 8.0 per cent, and ‘other’ accounts for 2.2 per cent. The figure uses data from the APRA Quarterly Superannuation Statistics publication. ">
              <a:extLst xmlns:a="http://schemas.openxmlformats.org/drawingml/2006/main">
                <a:ext uri="{FF2B5EF4-FFF2-40B4-BE49-F238E27FC236}">
                  <a16:creationId xmlns:a16="http://schemas.microsoft.com/office/drawing/2014/main" id="{3408E72A-6A9A-4484-8DEB-17D6A0B7C5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A48AC54" w14:textId="2818DFBD" w:rsidR="009A4DA0" w:rsidRPr="00514183" w:rsidRDefault="009A4DA0" w:rsidP="00F335BC">
      <w:pPr>
        <w:pStyle w:val="ChartorTableNote"/>
      </w:pPr>
      <w:r w:rsidRPr="00DF056E">
        <w:t xml:space="preserve">Source: </w:t>
      </w:r>
      <w:r w:rsidR="009C0B73">
        <w:t>APRA 2023.</w:t>
      </w:r>
    </w:p>
    <w:tbl>
      <w:tblPr>
        <w:tblpPr w:leftFromText="180" w:rightFromText="180" w:vertAnchor="text" w:horzAnchor="margin" w:tblpY="395"/>
        <w:tblW w:w="5000" w:type="pct"/>
        <w:shd w:val="clear" w:color="auto" w:fill="F2E3C7" w:themeFill="background2"/>
        <w:tblCellMar>
          <w:top w:w="284" w:type="dxa"/>
          <w:left w:w="284" w:type="dxa"/>
          <w:bottom w:w="284" w:type="dxa"/>
          <w:right w:w="284" w:type="dxa"/>
        </w:tblCellMar>
        <w:tblLook w:val="0600" w:firstRow="0" w:lastRow="0" w:firstColumn="0" w:lastColumn="0" w:noHBand="1" w:noVBand="1"/>
      </w:tblPr>
      <w:tblGrid>
        <w:gridCol w:w="9070"/>
      </w:tblGrid>
      <w:tr w:rsidR="008C045F" w:rsidRPr="00A042B8" w14:paraId="1E730177" w14:textId="77777777" w:rsidTr="00B13F48">
        <w:tc>
          <w:tcPr>
            <w:tcW w:w="5000" w:type="pct"/>
            <w:shd w:val="clear" w:color="auto" w:fill="F2E3C7" w:themeFill="accent6"/>
            <w:hideMark/>
          </w:tcPr>
          <w:p w14:paraId="39821E70" w14:textId="781EB855" w:rsidR="00722625" w:rsidRDefault="00722625" w:rsidP="006C6F85">
            <w:pPr>
              <w:pStyle w:val="BoxHeading"/>
            </w:pPr>
            <w:r w:rsidRPr="00670373">
              <w:t xml:space="preserve">Box 2: </w:t>
            </w:r>
            <w:r w:rsidRPr="006C6F85">
              <w:t>What</w:t>
            </w:r>
            <w:r w:rsidRPr="00670373">
              <w:t xml:space="preserve"> are institutional investors?</w:t>
            </w:r>
          </w:p>
          <w:p w14:paraId="4F6397EB" w14:textId="39B12AC2" w:rsidR="008C045F" w:rsidRPr="00BA28B9" w:rsidRDefault="008C045F" w:rsidP="006C6F85">
            <w:pPr>
              <w:pStyle w:val="BoxText"/>
            </w:pPr>
            <w:r w:rsidRPr="00BA28B9">
              <w:t>Institutional investors are entities that pool funds from clients or members to invest in financial and real assets. Their defining characteristic is that they are very large. They also typically invest on the behalf of others. This is in contrast</w:t>
            </w:r>
            <w:r w:rsidRPr="00BA28B9" w:rsidDel="00647BB5">
              <w:t xml:space="preserve"> </w:t>
            </w:r>
            <w:r w:rsidRPr="00BA28B9">
              <w:t xml:space="preserve">to </w:t>
            </w:r>
            <w:r w:rsidRPr="006C6F85">
              <w:t>retail</w:t>
            </w:r>
            <w:r w:rsidRPr="00BA28B9">
              <w:t xml:space="preserve"> investors, who are typically individual investors, with limited funds, investing on their own behalf. Institutional investors can be for</w:t>
            </w:r>
            <w:r w:rsidR="00563A2B">
              <w:noBreakHyphen/>
            </w:r>
            <w:r w:rsidRPr="00BA28B9">
              <w:t>profit or not</w:t>
            </w:r>
            <w:r w:rsidR="00563A2B">
              <w:noBreakHyphen/>
            </w:r>
            <w:r w:rsidRPr="00BA28B9">
              <w:t>for</w:t>
            </w:r>
            <w:r w:rsidR="00563A2B">
              <w:noBreakHyphen/>
            </w:r>
            <w:r w:rsidRPr="00BA28B9">
              <w:t xml:space="preserve">profit, domestic or foreign, passive or active. They include superannuation funds, unit trusts and other managed investment schemes, insurance companies, hedge funds, endowments and sovereign wealth funds. </w:t>
            </w:r>
          </w:p>
          <w:p w14:paraId="68D05C0B" w14:textId="188C4F3D" w:rsidR="008C045F" w:rsidRPr="00BA28B9" w:rsidRDefault="008C045F" w:rsidP="001436EA">
            <w:pPr>
              <w:pStyle w:val="BoxText"/>
            </w:pPr>
            <w:r w:rsidRPr="00BA28B9">
              <w:t>As a group, institutional investors are by far the largest participants in equity, debt and other securities markets, both in Australia and internationally. They are also the largest type of</w:t>
            </w:r>
            <w:r w:rsidR="007C0162">
              <w:t xml:space="preserve"> private</w:t>
            </w:r>
            <w:r w:rsidRPr="00BA28B9">
              <w:t xml:space="preserve"> investor in many real asset classes, including infrastructure and commodity markets. </w:t>
            </w:r>
          </w:p>
          <w:p w14:paraId="36FF9791" w14:textId="7386EF9F" w:rsidR="00D3558E" w:rsidRDefault="008C045F" w:rsidP="00BA28B9">
            <w:pPr>
              <w:pStyle w:val="BoxText"/>
            </w:pPr>
            <w:r w:rsidRPr="00BA28B9">
              <w:t>However, they have only a small presence in the Australian housing market, participating primarily through specialist or niche products such as student accommodation and residential aged care facilities. They do, however, invest extensively in housing offshore.</w:t>
            </w:r>
          </w:p>
          <w:p w14:paraId="24F67854" w14:textId="451BAA5D" w:rsidR="008C045F" w:rsidRPr="00BA28B9" w:rsidRDefault="008C045F" w:rsidP="008C045F">
            <w:pPr>
              <w:pStyle w:val="BoxText"/>
            </w:pPr>
            <w:r w:rsidRPr="00BA28B9">
              <w:t>Institutional investors have fiduciary responsibilities to their investors or members to operate in their financial interest. There is generally no requirement on institutional investors to invest in a manner that supports policies such as increasing the amount of housing. However, a growing sub</w:t>
            </w:r>
            <w:r w:rsidR="00563A2B">
              <w:noBreakHyphen/>
            </w:r>
            <w:r w:rsidRPr="00BA28B9">
              <w:t xml:space="preserve">segment of institutional investor is the </w:t>
            </w:r>
            <w:r w:rsidR="00563A2B">
              <w:t>‘</w:t>
            </w:r>
            <w:r w:rsidRPr="00BA28B9">
              <w:t>impact investor</w:t>
            </w:r>
            <w:r w:rsidR="00563A2B">
              <w:t>’</w:t>
            </w:r>
            <w:r w:rsidRPr="00BA28B9">
              <w:t>. These investors have mandates to invest in a manner that generates outcomes that support environmental, social and governance goals. In the housing market, this is most likely to involve investing in social and affordable housing.</w:t>
            </w:r>
          </w:p>
        </w:tc>
      </w:tr>
    </w:tbl>
    <w:p w14:paraId="31E6C9E3" w14:textId="242CAF5B" w:rsidR="008C045F" w:rsidRPr="00514183" w:rsidRDefault="008C045F" w:rsidP="00B13F48">
      <w:pPr>
        <w:pStyle w:val="SingleParagraph"/>
      </w:pPr>
    </w:p>
    <w:p w14:paraId="2C91C9EB" w14:textId="77777777" w:rsidR="00886E17" w:rsidRPr="00886E17" w:rsidRDefault="00886E17" w:rsidP="00886E17">
      <w:bookmarkStart w:id="49" w:name="_Toc139618807"/>
      <w:bookmarkStart w:id="50" w:name="_Toc139635534"/>
      <w:bookmarkStart w:id="51" w:name="_Toc141355243"/>
    </w:p>
    <w:p w14:paraId="5C86374C" w14:textId="48ACE9CA" w:rsidR="009A4DA0" w:rsidRPr="00514183" w:rsidRDefault="009A4DA0" w:rsidP="00A83E6C">
      <w:pPr>
        <w:pStyle w:val="Heading2Numbered"/>
      </w:pPr>
      <w:r w:rsidRPr="00514183">
        <w:lastRenderedPageBreak/>
        <w:t>Property as an asset class in Australia</w:t>
      </w:r>
      <w:bookmarkEnd w:id="49"/>
      <w:bookmarkEnd w:id="50"/>
      <w:bookmarkEnd w:id="51"/>
    </w:p>
    <w:p w14:paraId="240445F0" w14:textId="40DED79C" w:rsidR="009A4DA0" w:rsidRDefault="009A4DA0" w:rsidP="006C6F85">
      <w:r>
        <w:t xml:space="preserve">Most institutional capital that is allocated to property is invested in </w:t>
      </w:r>
      <w:r w:rsidR="00301DCC">
        <w:t xml:space="preserve">office, </w:t>
      </w:r>
      <w:r>
        <w:t>retail and industrial property</w:t>
      </w:r>
      <w:r w:rsidR="0091111F">
        <w:t>.</w:t>
      </w:r>
      <w:r w:rsidR="001A6EC5">
        <w:t xml:space="preserve"> </w:t>
      </w:r>
      <w:r w:rsidR="00471F7D" w:rsidRPr="00471F7D">
        <w:t xml:space="preserve">As an example, </w:t>
      </w:r>
      <w:r w:rsidR="0038521A">
        <w:t>T</w:t>
      </w:r>
      <w:r w:rsidR="00471F7D" w:rsidRPr="00471F7D">
        <w:t xml:space="preserve">able 1 depicts </w:t>
      </w:r>
      <w:r w:rsidR="00205D0C">
        <w:t xml:space="preserve">the </w:t>
      </w:r>
      <w:r w:rsidR="00471F7D" w:rsidRPr="00471F7D">
        <w:t xml:space="preserve">property asset </w:t>
      </w:r>
      <w:r w:rsidR="00205D0C">
        <w:t>allocation</w:t>
      </w:r>
      <w:r w:rsidR="00471F7D" w:rsidRPr="00471F7D">
        <w:t xml:space="preserve"> for ISPT, one of the largest fund managers of Australian unlisted property that invests on behalf of superannuation funds.</w:t>
      </w:r>
      <w:r w:rsidR="00471F7D" w:rsidRPr="00471F7D" w:rsidDel="00471F7D">
        <w:t xml:space="preserve"> </w:t>
      </w:r>
      <w:r w:rsidR="00295042">
        <w:t xml:space="preserve">Generally, the large share of institutional investment in property directed to office, retail and industrial property </w:t>
      </w:r>
      <w:r>
        <w:t xml:space="preserve">reflects the fact that these property types are </w:t>
      </w:r>
      <w:r w:rsidR="0091111F">
        <w:t>common</w:t>
      </w:r>
      <w:r w:rsidR="00044D3E">
        <w:t xml:space="preserve"> and available </w:t>
      </w:r>
      <w:r w:rsidR="00BD2763">
        <w:t>at sufficient</w:t>
      </w:r>
      <w:r>
        <w:t xml:space="preserve"> scale to justify investment costs, have relatively high returns</w:t>
      </w:r>
      <w:r w:rsidR="004B3F7C">
        <w:t xml:space="preserve"> (see Table 2)</w:t>
      </w:r>
      <w:r>
        <w:t>, and have extensive performance histories (such as cash flow information, operating costs and occupancy turnover)</w:t>
      </w:r>
      <w:r w:rsidR="00500D3C">
        <w:t>.</w:t>
      </w:r>
      <w:r>
        <w:t xml:space="preserve"> </w:t>
      </w:r>
    </w:p>
    <w:p w14:paraId="7D2181A5" w14:textId="4F6B6722" w:rsidR="00315777" w:rsidRPr="00514183" w:rsidRDefault="00315777" w:rsidP="006C6F85">
      <w:pPr>
        <w:pStyle w:val="TableMainHeading"/>
      </w:pPr>
      <w:r w:rsidRPr="00514183">
        <w:rPr>
          <w:rFonts w:eastAsia="Tahoma"/>
        </w:rPr>
        <w:t xml:space="preserve">Table 1: </w:t>
      </w:r>
      <w:r w:rsidR="00382725">
        <w:rPr>
          <w:rFonts w:eastAsia="Tahoma"/>
        </w:rPr>
        <w:t xml:space="preserve">Institutional </w:t>
      </w:r>
      <w:r w:rsidR="00382725" w:rsidRPr="006C6F85">
        <w:rPr>
          <w:rFonts w:eastAsia="Tahoma"/>
        </w:rPr>
        <w:t>i</w:t>
      </w:r>
      <w:r w:rsidRPr="006C6F85">
        <w:t>nvestment</w:t>
      </w:r>
      <w:r w:rsidRPr="00514183">
        <w:t xml:space="preserve"> in </w:t>
      </w:r>
      <w:r w:rsidR="00A1135D">
        <w:t xml:space="preserve">Australian </w:t>
      </w:r>
      <w:r w:rsidRPr="00514183">
        <w:t>property</w:t>
      </w:r>
      <w:r w:rsidR="00393E9E">
        <w:t xml:space="preserve"> </w:t>
      </w:r>
    </w:p>
    <w:tbl>
      <w:tblPr>
        <w:tblStyle w:val="TableGrid1"/>
        <w:tblW w:w="5000" w:type="pct"/>
        <w:tblCellMar>
          <w:top w:w="28" w:type="dxa"/>
          <w:bottom w:w="28" w:type="dxa"/>
        </w:tblCellMar>
        <w:tblLook w:val="04A0" w:firstRow="1" w:lastRow="0" w:firstColumn="1" w:lastColumn="0" w:noHBand="0" w:noVBand="1"/>
      </w:tblPr>
      <w:tblGrid>
        <w:gridCol w:w="5975"/>
        <w:gridCol w:w="3085"/>
      </w:tblGrid>
      <w:tr w:rsidR="008011E3" w:rsidRPr="00E45403" w14:paraId="1DDC85DA" w14:textId="77777777" w:rsidTr="00886E17">
        <w:trPr>
          <w:tblHeader/>
        </w:trPr>
        <w:tc>
          <w:tcPr>
            <w:tcW w:w="5975" w:type="dxa"/>
            <w:shd w:val="clear" w:color="auto" w:fill="BAD4E8" w:themeFill="accent5"/>
          </w:tcPr>
          <w:p w14:paraId="5BECF93A" w14:textId="71FA5A8F" w:rsidR="00223ECD" w:rsidRPr="00637E44" w:rsidRDefault="00223ECD" w:rsidP="00A97C93">
            <w:pPr>
              <w:pStyle w:val="TableColumnHeadingLeft"/>
              <w:rPr>
                <w:rFonts w:eastAsia="Tahoma"/>
                <w:lang w:eastAsia="en-US"/>
              </w:rPr>
            </w:pPr>
            <w:r w:rsidRPr="00B13F48">
              <w:rPr>
                <w:rFonts w:eastAsia="Tahoma"/>
              </w:rPr>
              <w:t>Allocation</w:t>
            </w:r>
            <w:r>
              <w:rPr>
                <w:rFonts w:eastAsia="Tahoma"/>
                <w:lang w:eastAsia="en-US"/>
              </w:rPr>
              <w:t xml:space="preserve"> across Australian property – ISPT</w:t>
            </w:r>
            <w:r w:rsidR="00563A2B">
              <w:rPr>
                <w:rFonts w:eastAsia="Tahoma"/>
                <w:lang w:eastAsia="en-US"/>
              </w:rPr>
              <w:t xml:space="preserve"> </w:t>
            </w:r>
          </w:p>
        </w:tc>
        <w:tc>
          <w:tcPr>
            <w:tcW w:w="3085" w:type="dxa"/>
            <w:shd w:val="clear" w:color="auto" w:fill="BAD4E8" w:themeFill="accent5"/>
          </w:tcPr>
          <w:p w14:paraId="2D221FD5" w14:textId="77777777" w:rsidR="00223ECD" w:rsidRPr="00637E44" w:rsidRDefault="00223ECD" w:rsidP="00F25A9D">
            <w:pPr>
              <w:pStyle w:val="TableColumnHeadingRight"/>
              <w:rPr>
                <w:rFonts w:eastAsia="Tahoma"/>
                <w:lang w:eastAsia="en-US"/>
              </w:rPr>
            </w:pPr>
            <w:r w:rsidRPr="00637E44">
              <w:rPr>
                <w:rFonts w:eastAsia="Tahoma"/>
                <w:lang w:eastAsia="en-US"/>
              </w:rPr>
              <w:t>Share (per cent)</w:t>
            </w:r>
          </w:p>
        </w:tc>
      </w:tr>
      <w:tr w:rsidR="008011E3" w:rsidRPr="00E45403" w14:paraId="75292DEC" w14:textId="77777777" w:rsidTr="00886E17">
        <w:tc>
          <w:tcPr>
            <w:tcW w:w="5975" w:type="dxa"/>
          </w:tcPr>
          <w:p w14:paraId="5C78B53C" w14:textId="77777777" w:rsidR="00223ECD" w:rsidRPr="00514183" w:rsidRDefault="00223ECD" w:rsidP="00A97C93">
            <w:pPr>
              <w:pStyle w:val="TableTextLeft"/>
              <w:rPr>
                <w:rFonts w:eastAsia="Tahoma"/>
              </w:rPr>
            </w:pPr>
            <w:r w:rsidRPr="00B13F48">
              <w:rPr>
                <w:rFonts w:eastAsia="Tahoma"/>
              </w:rPr>
              <w:t>Office</w:t>
            </w:r>
          </w:p>
        </w:tc>
        <w:tc>
          <w:tcPr>
            <w:tcW w:w="3085" w:type="dxa"/>
          </w:tcPr>
          <w:p w14:paraId="1DCDB988" w14:textId="77777777" w:rsidR="00223ECD" w:rsidRPr="00514183" w:rsidRDefault="00223ECD" w:rsidP="00F25A9D">
            <w:pPr>
              <w:pStyle w:val="TableTextRight"/>
              <w:rPr>
                <w:rFonts w:eastAsia="Tahoma"/>
              </w:rPr>
            </w:pPr>
            <w:r>
              <w:rPr>
                <w:rFonts w:eastAsia="Tahoma"/>
                <w:lang w:eastAsia="en-US"/>
              </w:rPr>
              <w:t>49</w:t>
            </w:r>
          </w:p>
        </w:tc>
      </w:tr>
      <w:tr w:rsidR="008011E3" w:rsidRPr="00E45403" w14:paraId="22556AAB" w14:textId="77777777" w:rsidTr="00886E17">
        <w:tc>
          <w:tcPr>
            <w:tcW w:w="5975" w:type="dxa"/>
          </w:tcPr>
          <w:p w14:paraId="314E51DB" w14:textId="77777777" w:rsidR="00223ECD" w:rsidRPr="00514183" w:rsidRDefault="00223ECD" w:rsidP="00A97C93">
            <w:pPr>
              <w:pStyle w:val="TableTextLeft"/>
              <w:rPr>
                <w:rFonts w:eastAsia="Tahoma"/>
              </w:rPr>
            </w:pPr>
            <w:r>
              <w:rPr>
                <w:rFonts w:eastAsia="Tahoma" w:cstheme="minorHAnsi"/>
                <w:lang w:eastAsia="en-US"/>
              </w:rPr>
              <w:t>Retail</w:t>
            </w:r>
          </w:p>
        </w:tc>
        <w:tc>
          <w:tcPr>
            <w:tcW w:w="3085" w:type="dxa"/>
          </w:tcPr>
          <w:p w14:paraId="24A717CD" w14:textId="77777777" w:rsidR="00223ECD" w:rsidRPr="00514183" w:rsidRDefault="00223ECD" w:rsidP="00F25A9D">
            <w:pPr>
              <w:pStyle w:val="TableTextRight"/>
              <w:rPr>
                <w:rFonts w:eastAsia="Tahoma"/>
              </w:rPr>
            </w:pPr>
            <w:r>
              <w:rPr>
                <w:rFonts w:eastAsia="Tahoma"/>
                <w:lang w:eastAsia="en-US"/>
              </w:rPr>
              <w:t>35</w:t>
            </w:r>
          </w:p>
        </w:tc>
      </w:tr>
      <w:tr w:rsidR="008011E3" w:rsidRPr="00E45403" w14:paraId="0909140C" w14:textId="77777777" w:rsidTr="00886E17">
        <w:tc>
          <w:tcPr>
            <w:tcW w:w="5975" w:type="dxa"/>
          </w:tcPr>
          <w:p w14:paraId="39F0B3D6" w14:textId="77777777" w:rsidR="00223ECD" w:rsidRPr="00514183" w:rsidRDefault="00223ECD" w:rsidP="00A97C93">
            <w:pPr>
              <w:pStyle w:val="TableTextLeft"/>
              <w:rPr>
                <w:rFonts w:eastAsia="Tahoma"/>
              </w:rPr>
            </w:pPr>
            <w:r w:rsidRPr="003A7464">
              <w:rPr>
                <w:rFonts w:eastAsia="Tahoma" w:cstheme="minorHAnsi"/>
                <w:lang w:eastAsia="en-US"/>
              </w:rPr>
              <w:t>Indus</w:t>
            </w:r>
            <w:r w:rsidRPr="00514183">
              <w:rPr>
                <w:rFonts w:eastAsia="Tahoma"/>
              </w:rPr>
              <w:t>trial</w:t>
            </w:r>
          </w:p>
        </w:tc>
        <w:tc>
          <w:tcPr>
            <w:tcW w:w="3085" w:type="dxa"/>
          </w:tcPr>
          <w:p w14:paraId="622FE3F8" w14:textId="77777777" w:rsidR="00223ECD" w:rsidRPr="00514183" w:rsidRDefault="00223ECD" w:rsidP="00F25A9D">
            <w:pPr>
              <w:pStyle w:val="TableTextRight"/>
              <w:rPr>
                <w:rFonts w:eastAsia="Tahoma"/>
              </w:rPr>
            </w:pPr>
            <w:r>
              <w:rPr>
                <w:rFonts w:eastAsia="Tahoma"/>
                <w:lang w:eastAsia="en-US"/>
              </w:rPr>
              <w:t>11</w:t>
            </w:r>
          </w:p>
        </w:tc>
      </w:tr>
      <w:tr w:rsidR="00223ECD" w:rsidRPr="00E45403" w14:paraId="1CAF4064" w14:textId="77777777" w:rsidTr="00886E17">
        <w:tc>
          <w:tcPr>
            <w:tcW w:w="5975" w:type="dxa"/>
          </w:tcPr>
          <w:p w14:paraId="3A1A5C2F" w14:textId="77777777" w:rsidR="00223ECD" w:rsidRPr="00514183" w:rsidRDefault="00223ECD" w:rsidP="00A97C93">
            <w:pPr>
              <w:pStyle w:val="TableTextLeft"/>
              <w:rPr>
                <w:rFonts w:eastAsia="Tahoma"/>
              </w:rPr>
            </w:pPr>
            <w:r w:rsidRPr="003A7464">
              <w:rPr>
                <w:rFonts w:eastAsia="Tahoma" w:cstheme="minorHAnsi"/>
                <w:lang w:eastAsia="en-US"/>
              </w:rPr>
              <w:t>Residential</w:t>
            </w:r>
            <w:r>
              <w:rPr>
                <w:rFonts w:eastAsia="Tahoma" w:cstheme="minorHAnsi"/>
                <w:lang w:eastAsia="en-US"/>
              </w:rPr>
              <w:t xml:space="preserve"> &amp; accommodation</w:t>
            </w:r>
          </w:p>
        </w:tc>
        <w:tc>
          <w:tcPr>
            <w:tcW w:w="3085" w:type="dxa"/>
          </w:tcPr>
          <w:p w14:paraId="204F48F9" w14:textId="77777777" w:rsidR="00223ECD" w:rsidRPr="00514183" w:rsidRDefault="00223ECD" w:rsidP="00F25A9D">
            <w:pPr>
              <w:pStyle w:val="TableTextRight"/>
              <w:rPr>
                <w:rFonts w:eastAsia="Tahoma"/>
              </w:rPr>
            </w:pPr>
            <w:r>
              <w:rPr>
                <w:rFonts w:eastAsia="Tahoma"/>
                <w:lang w:eastAsia="en-US"/>
              </w:rPr>
              <w:t>1</w:t>
            </w:r>
          </w:p>
        </w:tc>
      </w:tr>
      <w:tr w:rsidR="00223ECD" w:rsidRPr="00E45403" w14:paraId="2E4A56A0" w14:textId="77777777" w:rsidTr="00886E17">
        <w:tc>
          <w:tcPr>
            <w:tcW w:w="5975" w:type="dxa"/>
          </w:tcPr>
          <w:p w14:paraId="0A45FE32" w14:textId="77777777" w:rsidR="00223ECD" w:rsidRPr="00514183" w:rsidRDefault="00223ECD" w:rsidP="00A97C93">
            <w:pPr>
              <w:pStyle w:val="TableTextLeft"/>
              <w:rPr>
                <w:rFonts w:eastAsia="Tahoma"/>
              </w:rPr>
            </w:pPr>
            <w:r w:rsidRPr="003A7464">
              <w:rPr>
                <w:rFonts w:eastAsia="Tahoma" w:cstheme="minorHAnsi"/>
                <w:lang w:eastAsia="en-US"/>
              </w:rPr>
              <w:t>Other</w:t>
            </w:r>
          </w:p>
        </w:tc>
        <w:tc>
          <w:tcPr>
            <w:tcW w:w="3085" w:type="dxa"/>
          </w:tcPr>
          <w:p w14:paraId="3A356AAE" w14:textId="77777777" w:rsidR="00223ECD" w:rsidRPr="00514183" w:rsidRDefault="00223ECD" w:rsidP="00F25A9D">
            <w:pPr>
              <w:pStyle w:val="TableTextRight"/>
              <w:rPr>
                <w:rFonts w:eastAsia="Tahoma"/>
              </w:rPr>
            </w:pPr>
            <w:r>
              <w:rPr>
                <w:rFonts w:eastAsia="Tahoma"/>
                <w:lang w:eastAsia="en-US"/>
              </w:rPr>
              <w:t>3</w:t>
            </w:r>
          </w:p>
        </w:tc>
      </w:tr>
    </w:tbl>
    <w:p w14:paraId="6A18552B" w14:textId="4632A513" w:rsidR="00A97C93" w:rsidRPr="009B59FB" w:rsidRDefault="00A97C93" w:rsidP="006C6F85">
      <w:pPr>
        <w:pStyle w:val="ChartorTableNote"/>
        <w:rPr>
          <w:rFonts w:eastAsia="Tahoma"/>
        </w:rPr>
      </w:pPr>
      <w:r w:rsidRPr="009B59FB">
        <w:rPr>
          <w:rFonts w:eastAsia="Tahoma"/>
        </w:rPr>
        <w:t>Note: Shares may not sum to 100</w:t>
      </w:r>
      <w:r w:rsidR="00E67AFE">
        <w:rPr>
          <w:rFonts w:eastAsia="Tahoma"/>
        </w:rPr>
        <w:t> per </w:t>
      </w:r>
      <w:r w:rsidRPr="009B59FB">
        <w:rPr>
          <w:rFonts w:eastAsia="Tahoma"/>
        </w:rPr>
        <w:t xml:space="preserve">cent due to rounding. </w:t>
      </w:r>
      <w:r w:rsidR="00563A2B">
        <w:rPr>
          <w:rFonts w:eastAsia="Tahoma"/>
        </w:rPr>
        <w:t>‘</w:t>
      </w:r>
      <w:r w:rsidRPr="009B59FB">
        <w:rPr>
          <w:rFonts w:eastAsia="Tahoma"/>
        </w:rPr>
        <w:t>Other</w:t>
      </w:r>
      <w:r w:rsidR="00563A2B">
        <w:rPr>
          <w:rFonts w:eastAsia="Tahoma"/>
        </w:rPr>
        <w:t>’</w:t>
      </w:r>
      <w:r w:rsidRPr="009B59FB">
        <w:rPr>
          <w:rFonts w:eastAsia="Tahoma"/>
        </w:rPr>
        <w:t xml:space="preserve"> includes education, social infrastructure, and healthcare &amp; life sciences. </w:t>
      </w:r>
      <w:r w:rsidR="006031D3" w:rsidRPr="009B59FB">
        <w:rPr>
          <w:rFonts w:eastAsia="Tahoma"/>
        </w:rPr>
        <w:t>ISPT was co</w:t>
      </w:r>
      <w:r w:rsidR="00563A2B">
        <w:rPr>
          <w:rFonts w:eastAsia="Tahoma"/>
        </w:rPr>
        <w:noBreakHyphen/>
      </w:r>
      <w:r w:rsidR="006031D3" w:rsidRPr="009B59FB">
        <w:rPr>
          <w:rFonts w:eastAsia="Tahoma"/>
        </w:rPr>
        <w:t xml:space="preserve">founded in 1994 by </w:t>
      </w:r>
      <w:proofErr w:type="spellStart"/>
      <w:r w:rsidR="006031D3" w:rsidRPr="009B59FB">
        <w:rPr>
          <w:rFonts w:eastAsia="Tahoma"/>
        </w:rPr>
        <w:t>AustralianSuper</w:t>
      </w:r>
      <w:proofErr w:type="spellEnd"/>
      <w:r w:rsidR="006031D3" w:rsidRPr="009B59FB">
        <w:rPr>
          <w:rFonts w:eastAsia="Tahoma"/>
        </w:rPr>
        <w:t>, Cbus and HESTA, and has grown to represent a diverse base of investors.</w:t>
      </w:r>
    </w:p>
    <w:p w14:paraId="1E5D362B" w14:textId="4F6B6722" w:rsidR="00A97C93" w:rsidRPr="009B59FB" w:rsidRDefault="00A97C93" w:rsidP="00B13F48">
      <w:pPr>
        <w:pStyle w:val="ChartorTableNote"/>
      </w:pPr>
      <w:r w:rsidRPr="009B59FB">
        <w:rPr>
          <w:rFonts w:eastAsia="Tahoma"/>
        </w:rPr>
        <w:t>Source: ISPT Annual Review 2022.</w:t>
      </w:r>
    </w:p>
    <w:p w14:paraId="763C0F81" w14:textId="5DDD68F4" w:rsidR="00266F20" w:rsidRPr="00B20C3F" w:rsidRDefault="00095BC0" w:rsidP="006C6F85">
      <w:pPr>
        <w:rPr>
          <w:rFonts w:eastAsia="Tahoma"/>
        </w:rPr>
      </w:pPr>
      <w:r>
        <w:t>Currently, m</w:t>
      </w:r>
      <w:r w:rsidR="009A4DA0" w:rsidRPr="004D3CA2">
        <w:t>ost institutional investment in Australian residential property is concentrated in niche areas, such as the purpose</w:t>
      </w:r>
      <w:r w:rsidR="00563A2B">
        <w:noBreakHyphen/>
      </w:r>
      <w:r w:rsidR="009A4DA0" w:rsidRPr="004D3CA2">
        <w:t xml:space="preserve">built student accommodation, </w:t>
      </w:r>
      <w:r w:rsidR="00092224">
        <w:t>residential aged care facilities</w:t>
      </w:r>
      <w:r w:rsidR="009A4DA0" w:rsidRPr="004D3CA2">
        <w:t xml:space="preserve">, and </w:t>
      </w:r>
      <w:r w:rsidR="00546FAC">
        <w:t>t</w:t>
      </w:r>
      <w:r w:rsidR="009A4DA0">
        <w:t>he emerging build</w:t>
      </w:r>
      <w:r w:rsidR="00563A2B">
        <w:noBreakHyphen/>
      </w:r>
      <w:r w:rsidR="009A4DA0">
        <w:t>to</w:t>
      </w:r>
      <w:r w:rsidR="00563A2B">
        <w:noBreakHyphen/>
      </w:r>
      <w:r w:rsidR="009A4DA0">
        <w:t>rent</w:t>
      </w:r>
      <w:r w:rsidR="009A4DA0" w:rsidRPr="004D3CA2">
        <w:t xml:space="preserve"> sub</w:t>
      </w:r>
      <w:r w:rsidR="00563A2B">
        <w:noBreakHyphen/>
      </w:r>
      <w:r w:rsidR="009A4DA0" w:rsidRPr="004D3CA2">
        <w:t>sectors</w:t>
      </w:r>
      <w:r w:rsidR="006F18D5">
        <w:t xml:space="preserve"> (EY 2023; JLL 202</w:t>
      </w:r>
      <w:r w:rsidR="00D177D8">
        <w:t>2)</w:t>
      </w:r>
      <w:r w:rsidR="009A4DA0" w:rsidRPr="004D3CA2">
        <w:t xml:space="preserve">. </w:t>
      </w:r>
      <w:r w:rsidR="009A4DA0">
        <w:t>T</w:t>
      </w:r>
      <w:r w:rsidR="009A4DA0" w:rsidRPr="004D3CA2">
        <w:t xml:space="preserve">his reflects the fact that yields on these dwelling types are relatively higher as they attract premium rents, or </w:t>
      </w:r>
      <w:r w:rsidR="00044D3E">
        <w:t xml:space="preserve">that these dwelling types </w:t>
      </w:r>
      <w:r w:rsidR="009A4DA0" w:rsidRPr="004D3CA2">
        <w:t>are more efficient to deliver due to their low floor area</w:t>
      </w:r>
      <w:r w:rsidR="00E67AFE">
        <w:t> per </w:t>
      </w:r>
      <w:r w:rsidR="009A4DA0" w:rsidRPr="004D3CA2">
        <w:t xml:space="preserve">dwelling and ability to share amenities. These dwelling types are also typically </w:t>
      </w:r>
      <w:r w:rsidR="009A4DA0">
        <w:t>less</w:t>
      </w:r>
      <w:r w:rsidR="009A4DA0" w:rsidRPr="004D3CA2">
        <w:t xml:space="preserve"> risk</w:t>
      </w:r>
      <w:r w:rsidR="009A4DA0">
        <w:t>y</w:t>
      </w:r>
      <w:r w:rsidR="009A4DA0" w:rsidRPr="004D3CA2">
        <w:t xml:space="preserve"> </w:t>
      </w:r>
      <w:r w:rsidR="00220398">
        <w:t xml:space="preserve">and cheaper </w:t>
      </w:r>
      <w:r w:rsidR="009A4DA0" w:rsidRPr="004D3CA2">
        <w:t xml:space="preserve">to construct and own because the approval process, construction and service delivery </w:t>
      </w:r>
      <w:r w:rsidR="00220398">
        <w:t xml:space="preserve">is simpler or </w:t>
      </w:r>
      <w:r w:rsidR="009A4DA0" w:rsidRPr="004D3CA2">
        <w:t>is managed by external developers and operators</w:t>
      </w:r>
      <w:r w:rsidR="00220398">
        <w:t xml:space="preserve">, or land is more readily available for such property </w:t>
      </w:r>
      <w:r w:rsidR="00220398" w:rsidRPr="00B20C3F">
        <w:t>types</w:t>
      </w:r>
      <w:r w:rsidR="009A4DA0" w:rsidRPr="00B20C3F">
        <w:t xml:space="preserve">. </w:t>
      </w:r>
      <w:r w:rsidR="00266F20" w:rsidRPr="00B20C3F">
        <w:rPr>
          <w:rFonts w:eastAsia="Tahoma"/>
        </w:rPr>
        <w:br w:type="page"/>
      </w:r>
    </w:p>
    <w:p w14:paraId="2394D0E9" w14:textId="4E91C14E" w:rsidR="009A4DA0" w:rsidRDefault="009A4DA0" w:rsidP="009A4DA0">
      <w:pPr>
        <w:pStyle w:val="TableMainHeading"/>
        <w:rPr>
          <w:rFonts w:eastAsia="Tahoma"/>
        </w:rPr>
      </w:pPr>
      <w:r w:rsidRPr="008E0716">
        <w:rPr>
          <w:rFonts w:eastAsia="Tahoma"/>
        </w:rPr>
        <w:lastRenderedPageBreak/>
        <w:t xml:space="preserve">Table 2: </w:t>
      </w:r>
      <w:r w:rsidR="00A669BF">
        <w:rPr>
          <w:rFonts w:eastAsia="Tahoma"/>
        </w:rPr>
        <w:t>Gross r</w:t>
      </w:r>
      <w:r w:rsidRPr="008E0716">
        <w:rPr>
          <w:rFonts w:eastAsia="Tahoma"/>
        </w:rPr>
        <w:t>ental yields on property assets</w:t>
      </w:r>
      <w:r>
        <w:rPr>
          <w:rFonts w:eastAsia="Tahoma"/>
        </w:rPr>
        <w:t xml:space="preserve"> </w:t>
      </w:r>
      <w:r w:rsidR="002001B2">
        <w:rPr>
          <w:rFonts w:eastAsia="Tahoma"/>
        </w:rPr>
        <w:t>in Australia</w:t>
      </w:r>
      <w:r w:rsidRPr="008E0716">
        <w:rPr>
          <w:rFonts w:eastAsia="Tahoma"/>
        </w:rPr>
        <w:t xml:space="preserve"> </w:t>
      </w:r>
    </w:p>
    <w:tbl>
      <w:tblPr>
        <w:tblStyle w:val="TableGrid1"/>
        <w:tblW w:w="5000" w:type="pct"/>
        <w:jc w:val="center"/>
        <w:tblCellMar>
          <w:top w:w="28" w:type="dxa"/>
          <w:left w:w="113" w:type="dxa"/>
          <w:bottom w:w="28" w:type="dxa"/>
          <w:right w:w="113" w:type="dxa"/>
        </w:tblCellMar>
        <w:tblLook w:val="04A0" w:firstRow="1" w:lastRow="0" w:firstColumn="1" w:lastColumn="0" w:noHBand="0" w:noVBand="1"/>
      </w:tblPr>
      <w:tblGrid>
        <w:gridCol w:w="5524"/>
        <w:gridCol w:w="3536"/>
      </w:tblGrid>
      <w:tr w:rsidR="002001B2" w:rsidRPr="00E45403" w14:paraId="79942AEF" w14:textId="77777777" w:rsidTr="00886E17">
        <w:trPr>
          <w:tblHeader/>
          <w:jc w:val="center"/>
        </w:trPr>
        <w:tc>
          <w:tcPr>
            <w:tcW w:w="5524" w:type="dxa"/>
            <w:shd w:val="clear" w:color="auto" w:fill="BAD4E8" w:themeFill="accent5"/>
            <w:tcMar>
              <w:left w:w="113" w:type="dxa"/>
              <w:right w:w="113" w:type="dxa"/>
            </w:tcMar>
          </w:tcPr>
          <w:p w14:paraId="290E16EF" w14:textId="77777777" w:rsidR="002001B2" w:rsidRPr="00886E17" w:rsidRDefault="002001B2" w:rsidP="00886E17">
            <w:pPr>
              <w:pStyle w:val="TableColumnHeadingLeft"/>
              <w:rPr>
                <w:rFonts w:eastAsia="Tahoma"/>
              </w:rPr>
            </w:pPr>
            <w:r w:rsidRPr="00E45403">
              <w:rPr>
                <w:rFonts w:eastAsia="Tahoma"/>
                <w:lang w:eastAsia="en-US"/>
              </w:rPr>
              <w:t>Property class</w:t>
            </w:r>
          </w:p>
        </w:tc>
        <w:tc>
          <w:tcPr>
            <w:tcW w:w="3536" w:type="dxa"/>
            <w:shd w:val="clear" w:color="auto" w:fill="BAD4E8" w:themeFill="accent5"/>
            <w:tcMar>
              <w:left w:w="113" w:type="dxa"/>
              <w:right w:w="113" w:type="dxa"/>
            </w:tcMar>
          </w:tcPr>
          <w:p w14:paraId="1C929BEE" w14:textId="4C90CCA6" w:rsidR="002001B2" w:rsidRPr="00E45403" w:rsidRDefault="002001B2" w:rsidP="00886E17">
            <w:pPr>
              <w:pStyle w:val="TableColumnHeadingRight"/>
              <w:rPr>
                <w:rFonts w:eastAsia="Tahoma"/>
                <w:lang w:eastAsia="en-US"/>
              </w:rPr>
            </w:pPr>
            <w:r>
              <w:rPr>
                <w:rFonts w:eastAsia="Tahoma"/>
                <w:lang w:eastAsia="en-US"/>
              </w:rPr>
              <w:t>Annual rental yield (</w:t>
            </w:r>
            <w:r w:rsidR="003168B8">
              <w:rPr>
                <w:rFonts w:eastAsia="Tahoma"/>
                <w:lang w:eastAsia="en-US"/>
              </w:rPr>
              <w:t>per cent</w:t>
            </w:r>
            <w:r>
              <w:rPr>
                <w:rFonts w:eastAsia="Tahoma"/>
                <w:lang w:eastAsia="en-US"/>
              </w:rPr>
              <w:t>)</w:t>
            </w:r>
          </w:p>
        </w:tc>
      </w:tr>
      <w:tr w:rsidR="00DF7DD2" w:rsidRPr="00E45403" w14:paraId="35A97E16" w14:textId="77777777" w:rsidTr="00886E17">
        <w:trPr>
          <w:jc w:val="center"/>
        </w:trPr>
        <w:tc>
          <w:tcPr>
            <w:tcW w:w="5524" w:type="dxa"/>
            <w:tcMar>
              <w:left w:w="113" w:type="dxa"/>
              <w:right w:w="113" w:type="dxa"/>
            </w:tcMar>
          </w:tcPr>
          <w:p w14:paraId="17F77A54" w14:textId="26FFB182" w:rsidR="00DF7DD2" w:rsidRPr="00202FF2" w:rsidRDefault="003E0CDD" w:rsidP="00886E17">
            <w:pPr>
              <w:pStyle w:val="TableTextLeft"/>
            </w:pPr>
            <w:r>
              <w:t>Aged care</w:t>
            </w:r>
          </w:p>
        </w:tc>
        <w:tc>
          <w:tcPr>
            <w:tcW w:w="3536" w:type="dxa"/>
            <w:tcMar>
              <w:left w:w="113" w:type="dxa"/>
              <w:right w:w="113" w:type="dxa"/>
            </w:tcMar>
          </w:tcPr>
          <w:p w14:paraId="0C1CB83E" w14:textId="64DEA024" w:rsidR="00DF7DD2" w:rsidRPr="00756012" w:rsidRDefault="000124C8" w:rsidP="00886E17">
            <w:pPr>
              <w:pStyle w:val="TableTextRight"/>
              <w:spacing w:after="80"/>
            </w:pPr>
            <w:r>
              <w:t>6.</w:t>
            </w:r>
            <w:r w:rsidR="003E0CDD">
              <w:t>5</w:t>
            </w:r>
            <w:r w:rsidR="00FE6DF6" w:rsidRPr="00C7188B">
              <w:rPr>
                <w:vertAlign w:val="superscript"/>
              </w:rPr>
              <w:t>a</w:t>
            </w:r>
          </w:p>
        </w:tc>
      </w:tr>
      <w:tr w:rsidR="002001B2" w:rsidRPr="00E45403" w14:paraId="5846DA5F" w14:textId="77777777" w:rsidTr="00886E17">
        <w:trPr>
          <w:jc w:val="center"/>
        </w:trPr>
        <w:tc>
          <w:tcPr>
            <w:tcW w:w="5524" w:type="dxa"/>
            <w:tcMar>
              <w:left w:w="113" w:type="dxa"/>
              <w:right w:w="113" w:type="dxa"/>
            </w:tcMar>
          </w:tcPr>
          <w:p w14:paraId="44401473" w14:textId="77777777" w:rsidR="002001B2" w:rsidRPr="00E45403" w:rsidRDefault="002001B2" w:rsidP="00886E17">
            <w:pPr>
              <w:pStyle w:val="TableTextLeft"/>
              <w:rPr>
                <w:rFonts w:eastAsia="Tahoma"/>
                <w:lang w:eastAsia="en-US"/>
              </w:rPr>
            </w:pPr>
            <w:r w:rsidRPr="00202FF2">
              <w:t>Office</w:t>
            </w:r>
          </w:p>
        </w:tc>
        <w:tc>
          <w:tcPr>
            <w:tcW w:w="3536" w:type="dxa"/>
            <w:tcMar>
              <w:left w:w="113" w:type="dxa"/>
              <w:right w:w="113" w:type="dxa"/>
            </w:tcMar>
          </w:tcPr>
          <w:p w14:paraId="695D62E8" w14:textId="3FE15CCA" w:rsidR="002001B2" w:rsidRDefault="002001B2" w:rsidP="00886E17">
            <w:pPr>
              <w:pStyle w:val="TableTextRight"/>
              <w:spacing w:after="80"/>
              <w:rPr>
                <w:rFonts w:eastAsia="Tahoma"/>
                <w:lang w:eastAsia="en-US"/>
              </w:rPr>
            </w:pPr>
            <w:r w:rsidRPr="00756012">
              <w:t>5.</w:t>
            </w:r>
            <w:r w:rsidR="003E0CDD" w:rsidRPr="00756012">
              <w:t>6</w:t>
            </w:r>
            <w:r w:rsidR="00FE6DF6">
              <w:rPr>
                <w:vertAlign w:val="superscript"/>
              </w:rPr>
              <w:t>b</w:t>
            </w:r>
          </w:p>
        </w:tc>
      </w:tr>
      <w:tr w:rsidR="002001B2" w:rsidRPr="00E45403" w14:paraId="63E43BD3" w14:textId="77777777" w:rsidTr="00886E17">
        <w:trPr>
          <w:jc w:val="center"/>
        </w:trPr>
        <w:tc>
          <w:tcPr>
            <w:tcW w:w="5524" w:type="dxa"/>
            <w:tcMar>
              <w:left w:w="113" w:type="dxa"/>
              <w:right w:w="113" w:type="dxa"/>
            </w:tcMar>
          </w:tcPr>
          <w:p w14:paraId="313444D5" w14:textId="77777777" w:rsidR="002001B2" w:rsidRPr="00E45403" w:rsidRDefault="002001B2" w:rsidP="00886E17">
            <w:pPr>
              <w:pStyle w:val="TableTextLeft"/>
              <w:rPr>
                <w:rFonts w:eastAsia="Tahoma"/>
                <w:lang w:eastAsia="en-US"/>
              </w:rPr>
            </w:pPr>
            <w:r w:rsidRPr="00202FF2">
              <w:t>Retail</w:t>
            </w:r>
          </w:p>
        </w:tc>
        <w:tc>
          <w:tcPr>
            <w:tcW w:w="3536" w:type="dxa"/>
            <w:tcMar>
              <w:left w:w="113" w:type="dxa"/>
              <w:right w:w="113" w:type="dxa"/>
            </w:tcMar>
          </w:tcPr>
          <w:p w14:paraId="3D415C72" w14:textId="4813EFBF" w:rsidR="002001B2" w:rsidRPr="00E45403" w:rsidRDefault="002001B2" w:rsidP="00886E17">
            <w:pPr>
              <w:pStyle w:val="TableTextRight"/>
              <w:spacing w:after="80"/>
              <w:rPr>
                <w:rFonts w:eastAsia="Tahoma"/>
                <w:lang w:eastAsia="en-US"/>
              </w:rPr>
            </w:pPr>
            <w:r w:rsidRPr="00756012">
              <w:t>5.</w:t>
            </w:r>
            <w:r w:rsidR="003E0CDD" w:rsidRPr="00756012">
              <w:t>6</w:t>
            </w:r>
            <w:r w:rsidR="00FE6DF6">
              <w:rPr>
                <w:vertAlign w:val="superscript"/>
              </w:rPr>
              <w:t>c</w:t>
            </w:r>
          </w:p>
        </w:tc>
      </w:tr>
      <w:tr w:rsidR="002001B2" w:rsidRPr="00E45403" w14:paraId="54AD2367" w14:textId="77777777" w:rsidTr="00886E17">
        <w:trPr>
          <w:jc w:val="center"/>
        </w:trPr>
        <w:tc>
          <w:tcPr>
            <w:tcW w:w="5524" w:type="dxa"/>
            <w:tcMar>
              <w:left w:w="113" w:type="dxa"/>
              <w:right w:w="113" w:type="dxa"/>
            </w:tcMar>
          </w:tcPr>
          <w:p w14:paraId="45D80BD5" w14:textId="65591561" w:rsidR="002001B2" w:rsidRPr="00E45403" w:rsidRDefault="002001B2" w:rsidP="00886E17">
            <w:pPr>
              <w:pStyle w:val="TableTextLeft"/>
              <w:rPr>
                <w:rFonts w:eastAsia="Tahoma"/>
                <w:lang w:eastAsia="en-US"/>
              </w:rPr>
            </w:pPr>
            <w:r w:rsidRPr="00202FF2">
              <w:t>Purpose</w:t>
            </w:r>
            <w:r w:rsidR="00563A2B">
              <w:noBreakHyphen/>
            </w:r>
            <w:r w:rsidRPr="00202FF2">
              <w:t xml:space="preserve">built student accommodation </w:t>
            </w:r>
          </w:p>
        </w:tc>
        <w:tc>
          <w:tcPr>
            <w:tcW w:w="3536" w:type="dxa"/>
            <w:tcMar>
              <w:left w:w="113" w:type="dxa"/>
              <w:right w:w="113" w:type="dxa"/>
            </w:tcMar>
          </w:tcPr>
          <w:p w14:paraId="0C4ABFBA" w14:textId="743DC6CE" w:rsidR="002001B2" w:rsidRPr="00E45403" w:rsidRDefault="003E0CDD" w:rsidP="00886E17">
            <w:pPr>
              <w:pStyle w:val="TableTextRight"/>
              <w:spacing w:after="80"/>
              <w:rPr>
                <w:rFonts w:eastAsia="Tahoma"/>
                <w:lang w:eastAsia="en-US"/>
              </w:rPr>
            </w:pPr>
            <w:r>
              <w:t>5.</w:t>
            </w:r>
            <w:r w:rsidR="00FA183F">
              <w:t>5</w:t>
            </w:r>
            <w:r w:rsidR="00FE6DF6">
              <w:rPr>
                <w:vertAlign w:val="superscript"/>
              </w:rPr>
              <w:t>d</w:t>
            </w:r>
          </w:p>
        </w:tc>
      </w:tr>
      <w:tr w:rsidR="002001B2" w:rsidRPr="00E45403" w14:paraId="56C8A872" w14:textId="77777777" w:rsidTr="00886E17">
        <w:trPr>
          <w:jc w:val="center"/>
        </w:trPr>
        <w:tc>
          <w:tcPr>
            <w:tcW w:w="5524" w:type="dxa"/>
            <w:tcMar>
              <w:left w:w="113" w:type="dxa"/>
              <w:right w:w="113" w:type="dxa"/>
            </w:tcMar>
          </w:tcPr>
          <w:p w14:paraId="11340488" w14:textId="77777777" w:rsidR="002001B2" w:rsidRPr="00C30BFF" w:rsidRDefault="002001B2" w:rsidP="00886E17">
            <w:pPr>
              <w:pStyle w:val="TableTextLeft"/>
              <w:rPr>
                <w:rFonts w:eastAsia="Tahoma"/>
                <w:lang w:eastAsia="en-US"/>
              </w:rPr>
            </w:pPr>
            <w:r w:rsidRPr="00202FF2">
              <w:t xml:space="preserve">Logistics &amp; industrial </w:t>
            </w:r>
          </w:p>
        </w:tc>
        <w:tc>
          <w:tcPr>
            <w:tcW w:w="3536" w:type="dxa"/>
            <w:tcMar>
              <w:left w:w="113" w:type="dxa"/>
              <w:right w:w="113" w:type="dxa"/>
            </w:tcMar>
          </w:tcPr>
          <w:p w14:paraId="139E8E48" w14:textId="24F91510" w:rsidR="002001B2" w:rsidRPr="00C30BFF" w:rsidRDefault="002001B2" w:rsidP="00886E17">
            <w:pPr>
              <w:pStyle w:val="TableTextRight"/>
              <w:spacing w:after="80"/>
              <w:rPr>
                <w:rFonts w:eastAsia="Tahoma"/>
                <w:lang w:eastAsia="en-US"/>
              </w:rPr>
            </w:pPr>
            <w:r w:rsidRPr="00756012">
              <w:t>4.</w:t>
            </w:r>
            <w:r w:rsidR="003E0CDD" w:rsidRPr="00756012">
              <w:t>8</w:t>
            </w:r>
            <w:r w:rsidR="00FE6DF6">
              <w:rPr>
                <w:vertAlign w:val="superscript"/>
              </w:rPr>
              <w:t>e</w:t>
            </w:r>
          </w:p>
        </w:tc>
      </w:tr>
      <w:tr w:rsidR="002001B2" w:rsidRPr="00E45403" w14:paraId="079F40E2" w14:textId="77777777" w:rsidTr="00886E17">
        <w:trPr>
          <w:jc w:val="center"/>
        </w:trPr>
        <w:tc>
          <w:tcPr>
            <w:tcW w:w="5524" w:type="dxa"/>
            <w:tcMar>
              <w:left w:w="113" w:type="dxa"/>
              <w:right w:w="113" w:type="dxa"/>
            </w:tcMar>
          </w:tcPr>
          <w:p w14:paraId="0FDE324D" w14:textId="214DD7C6" w:rsidR="002001B2" w:rsidRPr="00C30BFF" w:rsidRDefault="002001B2" w:rsidP="00886E17">
            <w:pPr>
              <w:pStyle w:val="TableTextLeft"/>
              <w:rPr>
                <w:rFonts w:eastAsia="Tahoma"/>
                <w:lang w:eastAsia="en-US"/>
              </w:rPr>
            </w:pPr>
            <w:r w:rsidRPr="00202FF2">
              <w:t>Build</w:t>
            </w:r>
            <w:r w:rsidR="00563A2B">
              <w:noBreakHyphen/>
            </w:r>
            <w:r w:rsidRPr="00202FF2">
              <w:t>to</w:t>
            </w:r>
            <w:r w:rsidR="00563A2B">
              <w:noBreakHyphen/>
            </w:r>
            <w:r w:rsidRPr="00202FF2">
              <w:t xml:space="preserve">rent </w:t>
            </w:r>
          </w:p>
        </w:tc>
        <w:tc>
          <w:tcPr>
            <w:tcW w:w="3536" w:type="dxa"/>
            <w:tcMar>
              <w:left w:w="113" w:type="dxa"/>
              <w:right w:w="113" w:type="dxa"/>
            </w:tcMar>
          </w:tcPr>
          <w:p w14:paraId="5A3C7C34" w14:textId="221E55A6" w:rsidR="002001B2" w:rsidRPr="00C30BFF" w:rsidRDefault="003E0CDD" w:rsidP="00886E17">
            <w:pPr>
              <w:pStyle w:val="TableTextRight"/>
              <w:spacing w:after="80"/>
              <w:rPr>
                <w:rFonts w:eastAsia="Tahoma"/>
                <w:lang w:eastAsia="en-US"/>
              </w:rPr>
            </w:pPr>
            <w:r w:rsidRPr="00756012">
              <w:t>4.</w:t>
            </w:r>
            <w:r>
              <w:t>4</w:t>
            </w:r>
            <w:r w:rsidR="00FA183F">
              <w:rPr>
                <w:vertAlign w:val="superscript"/>
              </w:rPr>
              <w:t>f</w:t>
            </w:r>
          </w:p>
        </w:tc>
      </w:tr>
    </w:tbl>
    <w:p w14:paraId="097768B7" w14:textId="609CB27A" w:rsidR="00F65635" w:rsidRPr="00213F18" w:rsidRDefault="00872312" w:rsidP="00872312">
      <w:pPr>
        <w:pStyle w:val="ChartorTableNote"/>
      </w:pPr>
      <w:bookmarkStart w:id="52" w:name="_Toc139618808"/>
      <w:bookmarkStart w:id="53" w:name="_Toc139635535"/>
      <w:r w:rsidRPr="00213F18">
        <w:t xml:space="preserve">Note: </w:t>
      </w:r>
      <w:r w:rsidR="00FB4D33" w:rsidRPr="00213F18">
        <w:t>All data</w:t>
      </w:r>
      <w:r w:rsidR="008302A2" w:rsidRPr="00213F18">
        <w:t xml:space="preserve"> is</w:t>
      </w:r>
      <w:r w:rsidR="00F65635" w:rsidRPr="00213F18">
        <w:t xml:space="preserve"> for</w:t>
      </w:r>
      <w:r w:rsidR="00930323" w:rsidRPr="00213F18">
        <w:t xml:space="preserve"> </w:t>
      </w:r>
      <w:r w:rsidR="00FB4D33" w:rsidRPr="00213F18">
        <w:t>the</w:t>
      </w:r>
      <w:r w:rsidR="00F65635" w:rsidRPr="00213F18">
        <w:t xml:space="preserve"> </w:t>
      </w:r>
      <w:r w:rsidR="00930323" w:rsidRPr="00213F18">
        <w:t xml:space="preserve">March quarter 2023, </w:t>
      </w:r>
      <w:r w:rsidR="00FB4D33" w:rsidRPr="00213F18">
        <w:t>except for</w:t>
      </w:r>
      <w:r w:rsidR="00930323" w:rsidRPr="00213F18">
        <w:t xml:space="preserve"> </w:t>
      </w:r>
      <w:r w:rsidR="006C0B98" w:rsidRPr="00213F18">
        <w:t>aged care and purpose</w:t>
      </w:r>
      <w:r w:rsidR="00563A2B">
        <w:noBreakHyphen/>
      </w:r>
      <w:r w:rsidR="006C0B98" w:rsidRPr="00213F18">
        <w:t xml:space="preserve">built student accommodation (which are midpoints of </w:t>
      </w:r>
      <w:r w:rsidR="00CE2DAE" w:rsidRPr="00213F18">
        <w:t>their respective prime yield ranges), and</w:t>
      </w:r>
      <w:r w:rsidR="00DF7DD2" w:rsidRPr="00213F18">
        <w:t xml:space="preserve"> </w:t>
      </w:r>
      <w:r w:rsidR="000124C8" w:rsidRPr="00213F18">
        <w:t>build</w:t>
      </w:r>
      <w:r w:rsidR="00563A2B">
        <w:noBreakHyphen/>
      </w:r>
      <w:r w:rsidR="000124C8" w:rsidRPr="00213F18">
        <w:t>to</w:t>
      </w:r>
      <w:r w:rsidR="00563A2B">
        <w:noBreakHyphen/>
      </w:r>
      <w:r w:rsidR="000124C8" w:rsidRPr="00213F18">
        <w:t>rent</w:t>
      </w:r>
      <w:r w:rsidR="00DF7DD2" w:rsidRPr="00213F18">
        <w:t xml:space="preserve"> </w:t>
      </w:r>
      <w:r w:rsidR="000124C8" w:rsidRPr="00213F18">
        <w:t>(which is the midpoint of the target return)</w:t>
      </w:r>
      <w:r w:rsidR="003E0CDD" w:rsidRPr="00213F18">
        <w:t>.</w:t>
      </w:r>
    </w:p>
    <w:p w14:paraId="5267939A" w14:textId="4AC3063E" w:rsidR="003E0CDD" w:rsidRPr="00213F18" w:rsidRDefault="008302A2" w:rsidP="006D10A1">
      <w:pPr>
        <w:pStyle w:val="ChartandTableFootnoteAlpha"/>
      </w:pPr>
      <w:r w:rsidRPr="00213F18">
        <w:t xml:space="preserve">JLL </w:t>
      </w:r>
      <w:r w:rsidR="001027E1" w:rsidRPr="00213F18">
        <w:t xml:space="preserve">Prime yield. </w:t>
      </w:r>
    </w:p>
    <w:p w14:paraId="26B69E5B" w14:textId="7533E22D" w:rsidR="00872312" w:rsidRPr="00213F18" w:rsidRDefault="00872312" w:rsidP="006D10A1">
      <w:pPr>
        <w:pStyle w:val="ChartandTableFootnoteAlpha"/>
      </w:pPr>
      <w:r w:rsidRPr="00213F18">
        <w:t>JLL Prime weighted average yield (CBD prime office midpoint yield).</w:t>
      </w:r>
    </w:p>
    <w:p w14:paraId="46E5D4BC" w14:textId="32513AFE" w:rsidR="00872312" w:rsidRPr="00213F18" w:rsidRDefault="00872312" w:rsidP="006D10A1">
      <w:pPr>
        <w:pStyle w:val="ChartandTableFootnoteAlpha"/>
      </w:pPr>
      <w:r w:rsidRPr="00213F18">
        <w:t>JLL National regional weighed average yield.</w:t>
      </w:r>
    </w:p>
    <w:p w14:paraId="7A1F1BAA" w14:textId="359D2EBD" w:rsidR="00872312" w:rsidRPr="00213F18" w:rsidRDefault="00872312" w:rsidP="006D10A1">
      <w:pPr>
        <w:pStyle w:val="ChartandTableFootnoteAlpha"/>
      </w:pPr>
      <w:r w:rsidRPr="00213F18">
        <w:t xml:space="preserve">JLL Prime yield. </w:t>
      </w:r>
    </w:p>
    <w:p w14:paraId="16755421" w14:textId="1D443E92" w:rsidR="00872312" w:rsidRPr="00213F18" w:rsidRDefault="00872312" w:rsidP="006D10A1">
      <w:pPr>
        <w:pStyle w:val="ChartandTableFootnoteAlpha"/>
      </w:pPr>
      <w:r w:rsidRPr="00213F18">
        <w:t xml:space="preserve">JLL Weighted prime national yield. </w:t>
      </w:r>
    </w:p>
    <w:p w14:paraId="7B4E15BA" w14:textId="434111DE" w:rsidR="00872312" w:rsidRPr="00213F18" w:rsidRDefault="00872312" w:rsidP="006D10A1">
      <w:pPr>
        <w:pStyle w:val="ChartandTableFootnoteAlpha"/>
      </w:pPr>
      <w:r w:rsidRPr="00213F18">
        <w:t>JLL Prime metropolitan yield (target stabilised range).</w:t>
      </w:r>
    </w:p>
    <w:p w14:paraId="6537273C" w14:textId="65B220E6" w:rsidR="00872312" w:rsidRPr="00213F18" w:rsidRDefault="00872312" w:rsidP="00B13F48">
      <w:pPr>
        <w:pStyle w:val="ChartorTableNote"/>
      </w:pPr>
      <w:r w:rsidRPr="00213F18">
        <w:t xml:space="preserve">Source: </w:t>
      </w:r>
      <w:r w:rsidR="00D0454A" w:rsidRPr="00213F18">
        <w:t>JLL</w:t>
      </w:r>
      <w:r w:rsidR="00384CF0">
        <w:t>.</w:t>
      </w:r>
    </w:p>
    <w:p w14:paraId="615E7DED" w14:textId="428AB627" w:rsidR="009A4DA0" w:rsidRPr="00514183" w:rsidRDefault="009A4DA0" w:rsidP="00330153">
      <w:pPr>
        <w:pStyle w:val="Heading2Numbered"/>
      </w:pPr>
      <w:bookmarkStart w:id="54" w:name="_Toc141355244"/>
      <w:r w:rsidRPr="00514183">
        <w:t>Purpose</w:t>
      </w:r>
      <w:r w:rsidR="00563A2B">
        <w:noBreakHyphen/>
      </w:r>
      <w:r w:rsidRPr="00514183">
        <w:t>built student accommodation</w:t>
      </w:r>
      <w:bookmarkEnd w:id="52"/>
      <w:bookmarkEnd w:id="53"/>
      <w:bookmarkEnd w:id="54"/>
      <w:r w:rsidR="00563A2B">
        <w:t xml:space="preserve"> </w:t>
      </w:r>
    </w:p>
    <w:p w14:paraId="0111D148" w14:textId="2FBFC6C3" w:rsidR="009A4DA0" w:rsidRPr="00563A2B" w:rsidRDefault="009A4DA0" w:rsidP="002F40E7">
      <w:r>
        <w:t>P</w:t>
      </w:r>
      <w:r w:rsidRPr="004D3CA2">
        <w:rPr>
          <w:szCs w:val="22"/>
        </w:rPr>
        <w:t>urpose</w:t>
      </w:r>
      <w:r w:rsidR="00563A2B">
        <w:rPr>
          <w:szCs w:val="22"/>
        </w:rPr>
        <w:noBreakHyphen/>
      </w:r>
      <w:r w:rsidRPr="004D3CA2">
        <w:rPr>
          <w:szCs w:val="22"/>
        </w:rPr>
        <w:t>built student accommodation</w:t>
      </w:r>
      <w:r w:rsidRPr="00D654EC">
        <w:t xml:space="preserve"> is a niche form of rental accommodation available to university students</w:t>
      </w:r>
      <w:r w:rsidR="00D45F55" w:rsidRPr="00D45F55">
        <w:t>.</w:t>
      </w:r>
      <w:r w:rsidR="00D45F55">
        <w:t xml:space="preserve"> </w:t>
      </w:r>
      <w:r w:rsidRPr="00D654EC">
        <w:t xml:space="preserve">The </w:t>
      </w:r>
      <w:r w:rsidRPr="004D3CA2">
        <w:rPr>
          <w:szCs w:val="22"/>
        </w:rPr>
        <w:t>purpose</w:t>
      </w:r>
      <w:r w:rsidR="00563A2B">
        <w:rPr>
          <w:szCs w:val="22"/>
        </w:rPr>
        <w:noBreakHyphen/>
      </w:r>
      <w:r w:rsidRPr="004D3CA2">
        <w:rPr>
          <w:szCs w:val="22"/>
        </w:rPr>
        <w:t>built student accommodation</w:t>
      </w:r>
      <w:r w:rsidRPr="00D654EC">
        <w:t xml:space="preserve"> sector currently has </w:t>
      </w:r>
      <w:r>
        <w:t>around 85,000</w:t>
      </w:r>
      <w:r w:rsidRPr="00D654EC">
        <w:t xml:space="preserve"> </w:t>
      </w:r>
      <w:r w:rsidRPr="004D3CA2">
        <w:rPr>
          <w:szCs w:val="22"/>
        </w:rPr>
        <w:t>purpose</w:t>
      </w:r>
      <w:r w:rsidR="00563A2B">
        <w:rPr>
          <w:szCs w:val="22"/>
        </w:rPr>
        <w:noBreakHyphen/>
      </w:r>
      <w:r w:rsidRPr="004D3CA2">
        <w:rPr>
          <w:szCs w:val="22"/>
        </w:rPr>
        <w:t>built student accommodation</w:t>
      </w:r>
      <w:r w:rsidRPr="00D654EC">
        <w:t xml:space="preserve"> beds across Australia</w:t>
      </w:r>
      <w:r w:rsidR="00563A2B">
        <w:t>’</w:t>
      </w:r>
      <w:r w:rsidRPr="00D654EC">
        <w:t>s capital cities</w:t>
      </w:r>
      <w:r>
        <w:t xml:space="preserve"> (Savills 2022</w:t>
      </w:r>
      <w:r w:rsidR="00DB4DD6">
        <w:t>a</w:t>
      </w:r>
      <w:r>
        <w:t>)</w:t>
      </w:r>
      <w:r w:rsidRPr="00D654EC">
        <w:t>.</w:t>
      </w:r>
      <w:r w:rsidRPr="00D654EC" w:rsidDel="00D8167A">
        <w:rPr>
          <w:vertAlign w:val="superscript"/>
        </w:rPr>
        <w:t xml:space="preserve"> </w:t>
      </w:r>
      <w:r w:rsidRPr="00D654EC">
        <w:t>The size of the sector doubled over the 2012–22 period, driven by international student enrolments at Australian universities. The sector has been underwritten by overseas</w:t>
      </w:r>
      <w:r w:rsidR="00563A2B">
        <w:noBreakHyphen/>
      </w:r>
      <w:r w:rsidRPr="00D654EC">
        <w:t>based institutional investors, while domestic investors have historically been less interested</w:t>
      </w:r>
      <w:r>
        <w:t xml:space="preserve"> (Property Council of Australia and Student Accommodation Council 2022</w:t>
      </w:r>
      <w:r w:rsidRPr="00563A2B">
        <w:t>)</w:t>
      </w:r>
      <w:r w:rsidR="00563A2B" w:rsidRPr="00563A2B">
        <w:t xml:space="preserve">. </w:t>
      </w:r>
    </w:p>
    <w:p w14:paraId="23966504" w14:textId="309B279A" w:rsidR="009A4DA0" w:rsidRPr="00514183" w:rsidRDefault="00092224" w:rsidP="00330153">
      <w:pPr>
        <w:pStyle w:val="Heading2Numbered"/>
      </w:pPr>
      <w:bookmarkStart w:id="55" w:name="_Toc141355245"/>
      <w:r w:rsidRPr="001436EA">
        <w:rPr>
          <w:szCs w:val="20"/>
        </w:rPr>
        <w:t>Residential aged</w:t>
      </w:r>
      <w:r w:rsidRPr="00514183">
        <w:t xml:space="preserve"> care </w:t>
      </w:r>
      <w:r w:rsidRPr="001436EA">
        <w:rPr>
          <w:szCs w:val="20"/>
        </w:rPr>
        <w:t>facilities</w:t>
      </w:r>
      <w:bookmarkEnd w:id="55"/>
      <w:r w:rsidR="00563A2B">
        <w:rPr>
          <w:szCs w:val="20"/>
        </w:rPr>
        <w:t xml:space="preserve"> </w:t>
      </w:r>
    </w:p>
    <w:p w14:paraId="5BAE0439" w14:textId="66F200E5" w:rsidR="009A4DA0" w:rsidRDefault="009A4DA0" w:rsidP="002F40E7">
      <w:r w:rsidRPr="00CA27B2">
        <w:t xml:space="preserve">Since the early 2000s, institutional capital has been attracted to the </w:t>
      </w:r>
      <w:r w:rsidR="00092224">
        <w:t xml:space="preserve">residential aged care </w:t>
      </w:r>
      <w:r w:rsidRPr="00CA27B2">
        <w:t>sector by its sound fundamentals</w:t>
      </w:r>
      <w:r>
        <w:t>, in part</w:t>
      </w:r>
      <w:r w:rsidRPr="00CA27B2">
        <w:t xml:space="preserve"> underpinned by the ag</w:t>
      </w:r>
      <w:r w:rsidR="007177AF">
        <w:t>e</w:t>
      </w:r>
      <w:r w:rsidRPr="00CA27B2">
        <w:t>ing of Australia</w:t>
      </w:r>
      <w:r w:rsidR="00563A2B">
        <w:t>’</w:t>
      </w:r>
      <w:r w:rsidRPr="00CA27B2">
        <w:t xml:space="preserve">s population. </w:t>
      </w:r>
      <w:r>
        <w:t>Several large early projects supported by</w:t>
      </w:r>
      <w:r w:rsidRPr="00CA27B2">
        <w:t xml:space="preserve"> Macquarie Bank, AMP Capital and BUPA helped create scale in the sector</w:t>
      </w:r>
      <w:r>
        <w:t xml:space="preserve"> and </w:t>
      </w:r>
      <w:r w:rsidRPr="00CA27B2">
        <w:t>establish</w:t>
      </w:r>
      <w:r>
        <w:t>ed</w:t>
      </w:r>
      <w:r w:rsidRPr="00CA27B2">
        <w:t xml:space="preserve"> </w:t>
      </w:r>
      <w:r>
        <w:t>specialised</w:t>
      </w:r>
      <w:r w:rsidRPr="00CA27B2">
        <w:t xml:space="preserve"> third</w:t>
      </w:r>
      <w:r w:rsidR="00563A2B">
        <w:noBreakHyphen/>
      </w:r>
      <w:r w:rsidRPr="00CA27B2">
        <w:t>party operators</w:t>
      </w:r>
      <w:r w:rsidR="00EE5B8C">
        <w:t>, which</w:t>
      </w:r>
      <w:r w:rsidDel="002D45EF">
        <w:t xml:space="preserve"> </w:t>
      </w:r>
      <w:r w:rsidRPr="00CA27B2">
        <w:t xml:space="preserve">manage planning approvals, construction, </w:t>
      </w:r>
      <w:r>
        <w:t xml:space="preserve">and the </w:t>
      </w:r>
      <w:r w:rsidRPr="00CA27B2">
        <w:t xml:space="preserve">operation of </w:t>
      </w:r>
      <w:r w:rsidR="00092224">
        <w:t>residential aged care facilities</w:t>
      </w:r>
      <w:r>
        <w:t xml:space="preserve"> on behalf of investors </w:t>
      </w:r>
      <w:r w:rsidRPr="00CA27B2">
        <w:t xml:space="preserve">(Ansell Strategic 2014). </w:t>
      </w:r>
      <w:r>
        <w:t>Since then, p</w:t>
      </w:r>
      <w:r>
        <w:rPr>
          <w:rStyle w:val="ui-provider"/>
        </w:rPr>
        <w:t>rivate equity firms and foreign investors (sovereign wealth funds and international superannuation funds) have invested in the sector. C</w:t>
      </w:r>
      <w:r w:rsidRPr="00CA27B2">
        <w:t>ontinuing demographic fundamentals</w:t>
      </w:r>
      <w:r>
        <w:t xml:space="preserve"> and attractive net annual yields of 5.5 to 7.5</w:t>
      </w:r>
      <w:r w:rsidR="00E67AFE">
        <w:t> per </w:t>
      </w:r>
      <w:r>
        <w:t>cent (</w:t>
      </w:r>
      <w:r w:rsidR="00E6774A">
        <w:t>JLL</w:t>
      </w:r>
      <w:r>
        <w:t xml:space="preserve"> 2022) continue to underpin investment in the sector.</w:t>
      </w:r>
    </w:p>
    <w:p w14:paraId="114F9DAC" w14:textId="5490D02C" w:rsidR="009A4DA0" w:rsidRPr="00514183" w:rsidRDefault="009A4DA0" w:rsidP="00330153">
      <w:pPr>
        <w:pStyle w:val="Heading2Numbered"/>
      </w:pPr>
      <w:bookmarkStart w:id="56" w:name="_Toc141355246"/>
      <w:r w:rsidRPr="00514183">
        <w:lastRenderedPageBreak/>
        <w:t>Build</w:t>
      </w:r>
      <w:r w:rsidR="00563A2B">
        <w:noBreakHyphen/>
      </w:r>
      <w:r w:rsidRPr="00514183">
        <w:t>to</w:t>
      </w:r>
      <w:r w:rsidR="00563A2B">
        <w:noBreakHyphen/>
      </w:r>
      <w:r w:rsidRPr="00514183">
        <w:t>rent housing</w:t>
      </w:r>
      <w:bookmarkEnd w:id="56"/>
      <w:r w:rsidRPr="00514183">
        <w:t xml:space="preserve"> </w:t>
      </w:r>
      <w:bookmarkStart w:id="57" w:name="_Hlk140060836"/>
    </w:p>
    <w:bookmarkEnd w:id="57"/>
    <w:p w14:paraId="430A3D18" w14:textId="515C3B13" w:rsidR="005E5DB2" w:rsidRPr="005E5DB2" w:rsidRDefault="009A4DA0" w:rsidP="00B20C3F">
      <w:pPr>
        <w:keepLines/>
      </w:pPr>
      <w:r w:rsidRPr="005E5DB2">
        <w:t>Build</w:t>
      </w:r>
      <w:r w:rsidR="00563A2B">
        <w:noBreakHyphen/>
      </w:r>
      <w:r w:rsidRPr="005E5DB2">
        <w:t>to</w:t>
      </w:r>
      <w:r w:rsidR="00563A2B">
        <w:noBreakHyphen/>
      </w:r>
      <w:r w:rsidRPr="005E5DB2">
        <w:t xml:space="preserve">rent has slowly emerged in Australia over the last decade. </w:t>
      </w:r>
      <w:r w:rsidR="005E5DB2" w:rsidRPr="005E5DB2">
        <w:t>Build</w:t>
      </w:r>
      <w:r w:rsidR="00563A2B">
        <w:noBreakHyphen/>
      </w:r>
      <w:r w:rsidR="005E5DB2" w:rsidRPr="005E5DB2">
        <w:t>to</w:t>
      </w:r>
      <w:r w:rsidR="00563A2B">
        <w:noBreakHyphen/>
      </w:r>
      <w:r w:rsidR="005E5DB2" w:rsidRPr="005E5DB2">
        <w:t>rent housing is purpose built and designed</w:t>
      </w:r>
      <w:r w:rsidR="004B4F04">
        <w:t>,</w:t>
      </w:r>
      <w:r w:rsidR="005E5DB2" w:rsidRPr="005E5DB2">
        <w:t xml:space="preserve"> long</w:t>
      </w:r>
      <w:r w:rsidR="00563A2B">
        <w:noBreakHyphen/>
      </w:r>
      <w:r w:rsidR="005E5DB2" w:rsidRPr="005E5DB2">
        <w:t xml:space="preserve">term residential rental accommodation which is owned </w:t>
      </w:r>
      <w:r w:rsidR="004B4F04">
        <w:t xml:space="preserve">(and often also </w:t>
      </w:r>
      <w:r w:rsidR="005E5DB2" w:rsidRPr="005E5DB2">
        <w:t>managed and operated</w:t>
      </w:r>
      <w:r w:rsidR="004B4F04">
        <w:t>, rather than outsourced)</w:t>
      </w:r>
      <w:r w:rsidR="005E5DB2" w:rsidRPr="005E5DB2">
        <w:t xml:space="preserve"> by an institutional investor. Revenue is generated primarily through rental services, with additional income generated from ancillary services. These developments are often well located with good access to transport and employment centres. The standard of facilities, particularly communal facilities, is also higher, with build</w:t>
      </w:r>
      <w:r w:rsidR="00563A2B">
        <w:noBreakHyphen/>
      </w:r>
      <w:r w:rsidR="005E5DB2" w:rsidRPr="005E5DB2">
        <w:t>to</w:t>
      </w:r>
      <w:r w:rsidR="00563A2B">
        <w:noBreakHyphen/>
      </w:r>
      <w:r w:rsidR="005E5DB2" w:rsidRPr="005E5DB2">
        <w:t>rent developments often featuring gyms, pools, co</w:t>
      </w:r>
      <w:r w:rsidR="00563A2B">
        <w:noBreakHyphen/>
      </w:r>
      <w:r w:rsidR="005E5DB2" w:rsidRPr="005E5DB2">
        <w:t>working spaces, barbeque areas and other amenities. Build</w:t>
      </w:r>
      <w:r w:rsidR="00563A2B">
        <w:noBreakHyphen/>
      </w:r>
      <w:r w:rsidR="005E5DB2" w:rsidRPr="005E5DB2">
        <w:t>to</w:t>
      </w:r>
      <w:r w:rsidR="00563A2B">
        <w:noBreakHyphen/>
      </w:r>
      <w:r w:rsidR="005E5DB2" w:rsidRPr="005E5DB2">
        <w:t>rent accommodation typically provides 4 to 7 square metres of communal amenities per apartment, compared to 1 square metre for traditional build</w:t>
      </w:r>
      <w:r w:rsidR="00563A2B">
        <w:noBreakHyphen/>
      </w:r>
      <w:r w:rsidR="005E5DB2" w:rsidRPr="005E5DB2">
        <w:t>to</w:t>
      </w:r>
      <w:r w:rsidR="00563A2B">
        <w:noBreakHyphen/>
      </w:r>
      <w:r w:rsidR="005E5DB2" w:rsidRPr="005E5DB2">
        <w:t>sell developments (EY 2023).</w:t>
      </w:r>
    </w:p>
    <w:p w14:paraId="397AE275" w14:textId="33BAC28B" w:rsidR="00173B90" w:rsidRPr="00AC1CE1" w:rsidRDefault="009A4DA0" w:rsidP="002F40E7">
      <w:pPr>
        <w:rPr>
          <w:b/>
        </w:rPr>
      </w:pPr>
      <w:r>
        <w:t>A</w:t>
      </w:r>
      <w:r w:rsidRPr="00D654EC">
        <w:t xml:space="preserve">s at February 2023, there </w:t>
      </w:r>
      <w:r>
        <w:t>were</w:t>
      </w:r>
      <w:r w:rsidRPr="00D654EC">
        <w:t xml:space="preserve"> 11 operating </w:t>
      </w:r>
      <w:r>
        <w:t>build</w:t>
      </w:r>
      <w:r w:rsidR="00563A2B">
        <w:noBreakHyphen/>
      </w:r>
      <w:r>
        <w:t>to</w:t>
      </w:r>
      <w:r w:rsidR="00563A2B">
        <w:noBreakHyphen/>
      </w:r>
      <w:r>
        <w:t>rent</w:t>
      </w:r>
      <w:r w:rsidRPr="00D654EC">
        <w:t xml:space="preserve"> projects</w:t>
      </w:r>
      <w:r>
        <w:t xml:space="preserve"> worth $16.</w:t>
      </w:r>
      <w:r w:rsidR="000D35D5">
        <w:t>9</w:t>
      </w:r>
      <w:r>
        <w:t xml:space="preserve"> billion</w:t>
      </w:r>
      <w:r w:rsidRPr="00D654EC" w:rsidDel="00756DFE">
        <w:t>,</w:t>
      </w:r>
      <w:r w:rsidRPr="00D654EC">
        <w:t xml:space="preserve"> </w:t>
      </w:r>
      <w:r w:rsidR="00ED2361">
        <w:t>9</w:t>
      </w:r>
      <w:r w:rsidR="00ED2361" w:rsidRPr="00D654EC">
        <w:t xml:space="preserve"> </w:t>
      </w:r>
      <w:r w:rsidRPr="00D654EC">
        <w:t>of which are funded by foreign capital</w:t>
      </w:r>
      <w:r w:rsidRPr="00490FA1">
        <w:rPr>
          <w:szCs w:val="22"/>
        </w:rPr>
        <w:t xml:space="preserve"> (</w:t>
      </w:r>
      <w:r>
        <w:rPr>
          <w:szCs w:val="22"/>
        </w:rPr>
        <w:t>EY</w:t>
      </w:r>
      <w:r w:rsidRPr="00490FA1">
        <w:rPr>
          <w:szCs w:val="22"/>
        </w:rPr>
        <w:t xml:space="preserve"> 2023).</w:t>
      </w:r>
      <w:r>
        <w:t xml:space="preserve"> </w:t>
      </w:r>
      <w:r w:rsidRPr="00B72342">
        <w:t>To date, most investment has taken place in Melbourne</w:t>
      </w:r>
      <w:r>
        <w:t xml:space="preserve">, largely reflecting the fact that that city has </w:t>
      </w:r>
      <w:r w:rsidR="00FB581A">
        <w:t xml:space="preserve">lower land prices and </w:t>
      </w:r>
      <w:r>
        <w:t xml:space="preserve">more large sites available for development, especially in the inner city </w:t>
      </w:r>
      <w:r w:rsidRPr="00614F57">
        <w:t>(</w:t>
      </w:r>
      <w:r w:rsidR="00E6774A">
        <w:t>JLL</w:t>
      </w:r>
      <w:r w:rsidRPr="00614F57">
        <w:t xml:space="preserve"> 2023</w:t>
      </w:r>
      <w:r w:rsidR="00CF2CEC">
        <w:t>d</w:t>
      </w:r>
      <w:r w:rsidRPr="00614F57">
        <w:t>)</w:t>
      </w:r>
      <w:r>
        <w:t xml:space="preserve">. </w:t>
      </w:r>
    </w:p>
    <w:p w14:paraId="48E13032" w14:textId="45442714" w:rsidR="0031717C" w:rsidRPr="005E5DB2" w:rsidRDefault="009A4DA0" w:rsidP="002F40E7">
      <w:r w:rsidRPr="00D654EC">
        <w:t xml:space="preserve">The </w:t>
      </w:r>
      <w:r>
        <w:t>build</w:t>
      </w:r>
      <w:r w:rsidR="00563A2B">
        <w:noBreakHyphen/>
      </w:r>
      <w:r>
        <w:t>to</w:t>
      </w:r>
      <w:r w:rsidR="00563A2B">
        <w:noBreakHyphen/>
      </w:r>
      <w:r>
        <w:t>rent</w:t>
      </w:r>
      <w:r w:rsidRPr="00D654EC">
        <w:t xml:space="preserve"> sector </w:t>
      </w:r>
      <w:r>
        <w:t>is expected</w:t>
      </w:r>
      <w:r w:rsidRPr="00D654EC">
        <w:t xml:space="preserve"> </w:t>
      </w:r>
      <w:r>
        <w:t xml:space="preserve">to </w:t>
      </w:r>
      <w:r w:rsidRPr="00D654EC">
        <w:t>continue to grow in the coming years, with 72</w:t>
      </w:r>
      <w:r>
        <w:t> </w:t>
      </w:r>
      <w:r w:rsidRPr="00D654EC">
        <w:t>projects in the pipeline</w:t>
      </w:r>
      <w:r>
        <w:t xml:space="preserve"> </w:t>
      </w:r>
      <w:r w:rsidRPr="00490FA1">
        <w:rPr>
          <w:szCs w:val="22"/>
        </w:rPr>
        <w:t>(</w:t>
      </w:r>
      <w:r>
        <w:rPr>
          <w:szCs w:val="22"/>
        </w:rPr>
        <w:t>EY</w:t>
      </w:r>
      <w:r w:rsidRPr="00490FA1">
        <w:rPr>
          <w:szCs w:val="22"/>
        </w:rPr>
        <w:t xml:space="preserve"> 2023).</w:t>
      </w:r>
      <w:r>
        <w:t xml:space="preserve"> </w:t>
      </w:r>
      <w:r w:rsidRPr="00BA0F9C">
        <w:t>Australia</w:t>
      </w:r>
      <w:r w:rsidR="00563A2B">
        <w:t>’</w:t>
      </w:r>
      <w:r w:rsidRPr="00BA0F9C">
        <w:t xml:space="preserve">s tight rental market and strong population and economic growth relative to other advanced economies is expected to drive the </w:t>
      </w:r>
      <w:r>
        <w:t>build</w:t>
      </w:r>
      <w:r w:rsidR="00563A2B">
        <w:noBreakHyphen/>
      </w:r>
      <w:r>
        <w:t>to</w:t>
      </w:r>
      <w:r w:rsidR="00563A2B">
        <w:noBreakHyphen/>
      </w:r>
      <w:r>
        <w:t>rent</w:t>
      </w:r>
      <w:r w:rsidRPr="00BA0F9C">
        <w:t xml:space="preserve"> sector from 2024 to 2026</w:t>
      </w:r>
      <w:r>
        <w:t xml:space="preserve"> </w:t>
      </w:r>
      <w:r w:rsidRPr="00614F57">
        <w:t>(</w:t>
      </w:r>
      <w:r w:rsidR="00926568">
        <w:t xml:space="preserve">JLL </w:t>
      </w:r>
      <w:r w:rsidRPr="00614F57">
        <w:t>2023</w:t>
      </w:r>
      <w:r w:rsidR="00CF2CEC">
        <w:t>d</w:t>
      </w:r>
      <w:r w:rsidRPr="00614F57">
        <w:t>)</w:t>
      </w:r>
      <w:r w:rsidRPr="00BA0F9C">
        <w:t>.</w:t>
      </w:r>
      <w:r>
        <w:t xml:space="preserve"> </w:t>
      </w:r>
      <w:r w:rsidRPr="00614F57">
        <w:t>At the end of 2022, there were 5,413 build</w:t>
      </w:r>
      <w:r w:rsidR="00563A2B">
        <w:noBreakHyphen/>
      </w:r>
      <w:r w:rsidRPr="00614F57">
        <w:t>to</w:t>
      </w:r>
      <w:r w:rsidR="00563A2B">
        <w:noBreakHyphen/>
      </w:r>
      <w:r w:rsidRPr="00614F57">
        <w:t>rent apartments under construction, a further 5,944 build</w:t>
      </w:r>
      <w:r w:rsidR="00563A2B">
        <w:noBreakHyphen/>
      </w:r>
      <w:r w:rsidRPr="00614F57">
        <w:t>to</w:t>
      </w:r>
      <w:r w:rsidR="00563A2B">
        <w:noBreakHyphen/>
      </w:r>
      <w:r w:rsidRPr="00614F57">
        <w:t>rent dwellings that had received planning approval and 9,158</w:t>
      </w:r>
      <w:r>
        <w:t> </w:t>
      </w:r>
      <w:r w:rsidRPr="00614F57">
        <w:t>build</w:t>
      </w:r>
      <w:r w:rsidR="00563A2B">
        <w:noBreakHyphen/>
      </w:r>
      <w:r w:rsidRPr="00614F57">
        <w:t>to</w:t>
      </w:r>
      <w:r w:rsidR="00563A2B">
        <w:noBreakHyphen/>
      </w:r>
      <w:r w:rsidRPr="00614F57">
        <w:t>rent units were in the planning stage (</w:t>
      </w:r>
      <w:r w:rsidR="00AB72F5">
        <w:t>JLL</w:t>
      </w:r>
      <w:r w:rsidRPr="00292A70" w:rsidDel="00292A70">
        <w:t xml:space="preserve"> </w:t>
      </w:r>
      <w:r w:rsidRPr="00614F57">
        <w:t>2023</w:t>
      </w:r>
      <w:r w:rsidR="00CF2CEC">
        <w:t>d</w:t>
      </w:r>
      <w:r w:rsidRPr="00614F57">
        <w:t>).</w:t>
      </w:r>
      <w:r w:rsidRPr="00BA0F9C">
        <w:t xml:space="preserve"> </w:t>
      </w:r>
      <w:r>
        <w:t>Most</w:t>
      </w:r>
      <w:r w:rsidRPr="00D654EC">
        <w:t xml:space="preserve"> of these projects are located in </w:t>
      </w:r>
      <w:r>
        <w:t>Victoria</w:t>
      </w:r>
      <w:r w:rsidRPr="00D654EC">
        <w:t xml:space="preserve"> (60 per</w:t>
      </w:r>
      <w:r w:rsidRPr="00614F57">
        <w:t> </w:t>
      </w:r>
      <w:r w:rsidRPr="00D654EC">
        <w:t>cent) followed by N</w:t>
      </w:r>
      <w:r>
        <w:t xml:space="preserve">ew </w:t>
      </w:r>
      <w:r w:rsidRPr="00D654EC">
        <w:t>S</w:t>
      </w:r>
      <w:r>
        <w:t xml:space="preserve">outh </w:t>
      </w:r>
      <w:r w:rsidRPr="00D654EC">
        <w:t>W</w:t>
      </w:r>
      <w:r>
        <w:t>ales</w:t>
      </w:r>
      <w:r w:rsidRPr="00D654EC">
        <w:t xml:space="preserve"> (20</w:t>
      </w:r>
      <w:r w:rsidR="00E67AFE">
        <w:t> per </w:t>
      </w:r>
      <w:r w:rsidRPr="00D654EC">
        <w:t xml:space="preserve">cent), </w:t>
      </w:r>
      <w:r>
        <w:t>Queensland</w:t>
      </w:r>
      <w:r w:rsidRPr="00D654EC">
        <w:t xml:space="preserve"> (18</w:t>
      </w:r>
      <w:r>
        <w:t> </w:t>
      </w:r>
      <w:r w:rsidRPr="00D654EC">
        <w:t>per</w:t>
      </w:r>
      <w:r>
        <w:t> </w:t>
      </w:r>
      <w:r w:rsidRPr="00D654EC">
        <w:t>cent) and W</w:t>
      </w:r>
      <w:r>
        <w:t>estern </w:t>
      </w:r>
      <w:r w:rsidRPr="00D654EC">
        <w:t>A</w:t>
      </w:r>
      <w:r>
        <w:t>ustralia</w:t>
      </w:r>
      <w:r w:rsidRPr="00D654EC">
        <w:t xml:space="preserve"> (2</w:t>
      </w:r>
      <w:r>
        <w:t> </w:t>
      </w:r>
      <w:r w:rsidRPr="00D654EC">
        <w:t>per</w:t>
      </w:r>
      <w:r>
        <w:t> </w:t>
      </w:r>
      <w:r w:rsidRPr="00D654EC">
        <w:t>cent)</w:t>
      </w:r>
      <w:r>
        <w:t xml:space="preserve"> (EY</w:t>
      </w:r>
      <w:r w:rsidR="00C32E20">
        <w:t> </w:t>
      </w:r>
      <w:r>
        <w:t>2023)</w:t>
      </w:r>
      <w:r w:rsidRPr="00D654EC">
        <w:t>.</w:t>
      </w:r>
      <w:r>
        <w:t xml:space="preserve"> </w:t>
      </w:r>
    </w:p>
    <w:p w14:paraId="0307C186" w14:textId="2087BDA4" w:rsidR="009A4DA0" w:rsidRPr="00514183" w:rsidRDefault="0080598C" w:rsidP="00330153">
      <w:pPr>
        <w:pStyle w:val="Heading2Numbered"/>
      </w:pPr>
      <w:bookmarkStart w:id="58" w:name="_Toc139618810"/>
      <w:bookmarkStart w:id="59" w:name="_Toc139635537"/>
      <w:bookmarkStart w:id="60" w:name="_Toc141355247"/>
      <w:r>
        <w:t>A</w:t>
      </w:r>
      <w:r w:rsidR="009A4DA0" w:rsidRPr="00514183">
        <w:t xml:space="preserve">ffordable </w:t>
      </w:r>
      <w:bookmarkEnd w:id="58"/>
      <w:bookmarkEnd w:id="59"/>
      <w:r w:rsidR="009A4DA0" w:rsidRPr="00514183">
        <w:t>housing</w:t>
      </w:r>
      <w:bookmarkEnd w:id="60"/>
    </w:p>
    <w:p w14:paraId="0B8BAE3E" w14:textId="29F393E7" w:rsidR="000524D4" w:rsidRPr="00177F0B" w:rsidRDefault="009A4DA0" w:rsidP="002F40E7">
      <w:pPr>
        <w:rPr>
          <w:b/>
        </w:rPr>
      </w:pPr>
      <w:r>
        <w:t>Some institutional investors invest in affordable housing projects</w:t>
      </w:r>
      <w:r w:rsidR="003660E9">
        <w:t xml:space="preserve"> (housing options that offer discounted or subsidised housing that can assist very low to moderate income households to avoid housing stress (</w:t>
      </w:r>
      <w:r w:rsidR="000C0FC0">
        <w:t>Box 1</w:t>
      </w:r>
      <w:r w:rsidR="003660E9">
        <w:t>)</w:t>
      </w:r>
      <w:r w:rsidR="009B00ED">
        <w:t>)</w:t>
      </w:r>
      <w:r w:rsidR="00F71568">
        <w:t>. This is</w:t>
      </w:r>
      <w:r>
        <w:t xml:space="preserve"> </w:t>
      </w:r>
      <w:r w:rsidR="00C76F21">
        <w:t xml:space="preserve">in part </w:t>
      </w:r>
      <w:r w:rsidR="00952CD5">
        <w:t xml:space="preserve">motivated by </w:t>
      </w:r>
      <w:r w:rsidR="005D1ACC">
        <w:t>e</w:t>
      </w:r>
      <w:r w:rsidR="00C76F21">
        <w:t xml:space="preserve">nvironmental, </w:t>
      </w:r>
      <w:r w:rsidR="005D1ACC">
        <w:t>s</w:t>
      </w:r>
      <w:r w:rsidR="00C76F21">
        <w:t xml:space="preserve">ocial, and </w:t>
      </w:r>
      <w:r w:rsidR="005D1ACC">
        <w:t>c</w:t>
      </w:r>
      <w:r w:rsidR="00C76F21">
        <w:t xml:space="preserve">orporate </w:t>
      </w:r>
      <w:r w:rsidR="005D1ACC">
        <w:t>g</w:t>
      </w:r>
      <w:r w:rsidR="00C76F21">
        <w:t>overnance considerations</w:t>
      </w:r>
      <w:r w:rsidR="001B04EE">
        <w:t>.</w:t>
      </w:r>
      <w:r w:rsidR="005D25E8">
        <w:t xml:space="preserve"> </w:t>
      </w:r>
      <w:r w:rsidR="00122BD9">
        <w:t>M</w:t>
      </w:r>
      <w:r w:rsidR="005D25E8">
        <w:t xml:space="preserve">any </w:t>
      </w:r>
      <w:r w:rsidR="00DD637F">
        <w:t>Australian</w:t>
      </w:r>
      <w:r w:rsidR="005D25E8">
        <w:t xml:space="preserve"> institutional investors </w:t>
      </w:r>
      <w:r w:rsidR="00DD637F">
        <w:t>routinely</w:t>
      </w:r>
      <w:r w:rsidR="00887317">
        <w:t xml:space="preserve"> invest in the provision of affordable housing overseas, particularly the U</w:t>
      </w:r>
      <w:r w:rsidR="00316BBB">
        <w:t>S</w:t>
      </w:r>
      <w:r w:rsidR="00887317">
        <w:t>, because of that nation</w:t>
      </w:r>
      <w:r w:rsidR="00563A2B">
        <w:t>’</w:t>
      </w:r>
      <w:r w:rsidR="00887317">
        <w:t>s Low</w:t>
      </w:r>
      <w:r w:rsidR="00563A2B">
        <w:noBreakHyphen/>
      </w:r>
      <w:r w:rsidR="00887317">
        <w:t xml:space="preserve">Income Housing Tax Credit Scheme – </w:t>
      </w:r>
      <w:r w:rsidR="004455D8">
        <w:t>(</w:t>
      </w:r>
      <w:r w:rsidR="00887317">
        <w:t xml:space="preserve">see </w:t>
      </w:r>
      <w:r w:rsidR="0085552D">
        <w:t>3.1</w:t>
      </w:r>
      <w:r w:rsidR="00DD637F">
        <w:t>)</w:t>
      </w:r>
      <w:r w:rsidR="00952CD5">
        <w:t>.</w:t>
      </w:r>
      <w:r>
        <w:t xml:space="preserve"> </w:t>
      </w:r>
      <w:r w:rsidR="00A5752B">
        <w:t>Some superannuation funds have invested to</w:t>
      </w:r>
      <w:r w:rsidR="000524D4">
        <w:t xml:space="preserve"> maintain </w:t>
      </w:r>
      <w:r w:rsidR="00A5752B">
        <w:t xml:space="preserve">their </w:t>
      </w:r>
      <w:r w:rsidR="00563A2B">
        <w:t>‘</w:t>
      </w:r>
      <w:r w:rsidR="000524D4">
        <w:t>social licence</w:t>
      </w:r>
      <w:r w:rsidR="00563A2B">
        <w:t>’</w:t>
      </w:r>
      <w:r w:rsidR="000524D4">
        <w:t xml:space="preserve"> by recognising that housing pressures affect many Australians, including fund members. </w:t>
      </w:r>
    </w:p>
    <w:p w14:paraId="5B97F3EA" w14:textId="70AD3FD3" w:rsidR="009A4DA0" w:rsidRDefault="002E29EC" w:rsidP="002F40E7">
      <w:r>
        <w:t>While t</w:t>
      </w:r>
      <w:r w:rsidR="009A4DA0">
        <w:t xml:space="preserve">raditionally the public sector has provided social housing, the private sector, </w:t>
      </w:r>
      <w:r w:rsidR="0026001F">
        <w:t>and for</w:t>
      </w:r>
      <w:r w:rsidR="00563A2B">
        <w:rPr>
          <w:rFonts w:cstheme="minorBidi"/>
        </w:rPr>
        <w:noBreakHyphen/>
      </w:r>
      <w:r w:rsidR="0026001F">
        <w:t>purpose organisations</w:t>
      </w:r>
      <w:r w:rsidR="002423F2">
        <w:t xml:space="preserve"> (community housing providers)</w:t>
      </w:r>
      <w:r w:rsidR="009A4DA0">
        <w:t xml:space="preserve">, have become increasingly involved in providing </w:t>
      </w:r>
      <w:r w:rsidR="00387BBF">
        <w:t xml:space="preserve">social and </w:t>
      </w:r>
      <w:r w:rsidR="009A4DA0">
        <w:t xml:space="preserve">affordable housing, in part due to government policies (Benedict </w:t>
      </w:r>
      <w:r w:rsidR="00380A83">
        <w:t>and others</w:t>
      </w:r>
      <w:r w:rsidR="009A4DA0">
        <w:t xml:space="preserve"> </w:t>
      </w:r>
      <w:r w:rsidR="009A4DA0" w:rsidRPr="00177F0B">
        <w:t>2022</w:t>
      </w:r>
      <w:r w:rsidR="009A4DA0">
        <w:t>). The emerging investment in affordable housing by institutional investors suggests that such investments can deliver good outcomes</w:t>
      </w:r>
      <w:r w:rsidR="0069666A">
        <w:t xml:space="preserve"> for those investors</w:t>
      </w:r>
      <w:r w:rsidR="009A4DA0">
        <w:t>, including meeting benchmark returns</w:t>
      </w:r>
      <w:r w:rsidR="005D25E8">
        <w:t>.</w:t>
      </w:r>
    </w:p>
    <w:p w14:paraId="4CE00647" w14:textId="1BA6AAB6" w:rsidR="009A35C9" w:rsidRDefault="00DF67B0" w:rsidP="002F40E7">
      <w:r>
        <w:t xml:space="preserve">Because of the funding gap in social and affordable housing – that is, </w:t>
      </w:r>
      <w:r w:rsidRPr="00054437">
        <w:t xml:space="preserve">the </w:t>
      </w:r>
      <w:r>
        <w:t xml:space="preserve">fact that </w:t>
      </w:r>
      <w:r w:rsidRPr="00054437">
        <w:t>revenues generated by social and affordable housing are insufficient to fund the cost of provision</w:t>
      </w:r>
      <w:r>
        <w:t xml:space="preserve"> without government subsidies</w:t>
      </w:r>
      <w:r w:rsidRPr="00054437">
        <w:t xml:space="preserve"> </w:t>
      </w:r>
      <w:r>
        <w:t xml:space="preserve">– institutional investors will typically only invest in developments where they assess there is sufficient certainty that the funding gap will be covered. In practice, this means that institutional investors are more likely to invest </w:t>
      </w:r>
      <w:r w:rsidR="000670A1">
        <w:t>at</w:t>
      </w:r>
      <w:r>
        <w:t xml:space="preserve"> the higher end of the social and affordable housing spectrum</w:t>
      </w:r>
      <w:r w:rsidR="00A27A0B">
        <w:t>.</w:t>
      </w:r>
      <w:r w:rsidRPr="00DE7A0E">
        <w:t xml:space="preserve"> These</w:t>
      </w:r>
      <w:r w:rsidR="00B20C3F">
        <w:t> </w:t>
      </w:r>
      <w:r w:rsidR="00FC313E">
        <w:t>developments</w:t>
      </w:r>
      <w:r w:rsidRPr="00DE7A0E">
        <w:t xml:space="preserve"> </w:t>
      </w:r>
      <w:r>
        <w:t>leverag</w:t>
      </w:r>
      <w:r w:rsidR="009A784F">
        <w:t>e</w:t>
      </w:r>
      <w:r>
        <w:t xml:space="preserve"> a mixture of charitable tax concessions, developer discounts, </w:t>
      </w:r>
      <w:r w:rsidRPr="008A36CB">
        <w:t>cross</w:t>
      </w:r>
      <w:r>
        <w:t xml:space="preserve"> </w:t>
      </w:r>
      <w:r w:rsidRPr="008A36CB">
        <w:t xml:space="preserve">subsidisation </w:t>
      </w:r>
      <w:r>
        <w:t>from at</w:t>
      </w:r>
      <w:r w:rsidR="00563A2B">
        <w:noBreakHyphen/>
      </w:r>
      <w:r>
        <w:t xml:space="preserve">market housing </w:t>
      </w:r>
      <w:r w:rsidRPr="008A36CB">
        <w:t>within mixed</w:t>
      </w:r>
      <w:r w:rsidR="00563A2B">
        <w:noBreakHyphen/>
      </w:r>
      <w:r w:rsidRPr="008A36CB">
        <w:t>tenure developments</w:t>
      </w:r>
      <w:r>
        <w:t xml:space="preserve">, and through financing </w:t>
      </w:r>
      <w:r>
        <w:lastRenderedPageBreak/>
        <w:t>models that capture returns from the uplift in capital value of the assets over time</w:t>
      </w:r>
      <w:r w:rsidR="0024125D">
        <w:t xml:space="preserve"> </w:t>
      </w:r>
      <w:r w:rsidR="0024125D" w:rsidRPr="479AD369">
        <w:rPr>
          <w:rFonts w:cstheme="minorBidi"/>
        </w:rPr>
        <w:t>(Benedict</w:t>
      </w:r>
      <w:r w:rsidR="001D57B1">
        <w:rPr>
          <w:rFonts w:cstheme="minorBidi"/>
        </w:rPr>
        <w:t> </w:t>
      </w:r>
      <w:r w:rsidR="009C09DA">
        <w:rPr>
          <w:rFonts w:cstheme="minorBidi"/>
        </w:rPr>
        <w:t>and others</w:t>
      </w:r>
      <w:r w:rsidR="001D57B1">
        <w:rPr>
          <w:rFonts w:cstheme="minorBidi"/>
        </w:rPr>
        <w:t> </w:t>
      </w:r>
      <w:r w:rsidR="0024125D" w:rsidRPr="479AD369">
        <w:rPr>
          <w:rFonts w:cstheme="minorBidi"/>
        </w:rPr>
        <w:t>2022)</w:t>
      </w:r>
      <w:r w:rsidRPr="00524E30">
        <w:t xml:space="preserve">. </w:t>
      </w:r>
      <w:r w:rsidR="000524D4">
        <w:t xml:space="preserve">Others used </w:t>
      </w:r>
      <w:r w:rsidR="000524D4" w:rsidRPr="479AD369">
        <w:t xml:space="preserve">low levels of vacancy and tenant turnover often found in affordable housing to </w:t>
      </w:r>
      <w:r w:rsidR="00CF2CEC">
        <w:t xml:space="preserve">manage </w:t>
      </w:r>
      <w:r w:rsidR="000524D4" w:rsidRPr="479AD369">
        <w:t>investment risks</w:t>
      </w:r>
      <w:r w:rsidR="000524D4">
        <w:rPr>
          <w:szCs w:val="22"/>
        </w:rPr>
        <w:t xml:space="preserve">. </w:t>
      </w:r>
      <w:r w:rsidR="00F56951">
        <w:t>E</w:t>
      </w:r>
      <w:r w:rsidRPr="00DE7A0E">
        <w:t>xample</w:t>
      </w:r>
      <w:r w:rsidR="00F56951">
        <w:t>s of the models described above include</w:t>
      </w:r>
      <w:r w:rsidR="00DC45CA">
        <w:t xml:space="preserve"> a partnership between</w:t>
      </w:r>
      <w:r w:rsidRPr="00DE7A0E">
        <w:t xml:space="preserve"> Lighthouse Infrastructure and St George Community Housing to deliver affordable housing (</w:t>
      </w:r>
      <w:r>
        <w:rPr>
          <w:rFonts w:eastAsia="Century Gothic"/>
        </w:rPr>
        <w:t>SGCH</w:t>
      </w:r>
      <w:r w:rsidRPr="001436EA">
        <w:rPr>
          <w:rFonts w:eastAsia="Century Gothic"/>
        </w:rPr>
        <w:t xml:space="preserve"> 2022</w:t>
      </w:r>
      <w:r w:rsidRPr="001968EC">
        <w:rPr>
          <w:rFonts w:eastAsia="Century Gothic"/>
        </w:rPr>
        <w:t>)</w:t>
      </w:r>
      <w:r w:rsidR="009462D2" w:rsidRPr="001968EC">
        <w:rPr>
          <w:rFonts w:eastAsia="Century Gothic"/>
        </w:rPr>
        <w:t>, and</w:t>
      </w:r>
      <w:r w:rsidRPr="001968EC">
        <w:t xml:space="preserve"> </w:t>
      </w:r>
      <w:r w:rsidR="001968EC" w:rsidRPr="001968EC">
        <w:t>an investment by</w:t>
      </w:r>
      <w:r w:rsidRPr="00DE7A0E">
        <w:t xml:space="preserve"> Aware Super</w:t>
      </w:r>
      <w:r w:rsidR="00563A2B">
        <w:t>’</w:t>
      </w:r>
      <w:r w:rsidRPr="00DE7A0E">
        <w:t xml:space="preserve">s real estate arm in </w:t>
      </w:r>
      <w:r w:rsidR="00563A2B">
        <w:t>‘</w:t>
      </w:r>
      <w:r w:rsidRPr="00DE7A0E">
        <w:t>essential worker</w:t>
      </w:r>
      <w:r w:rsidR="00563A2B">
        <w:t>’</w:t>
      </w:r>
      <w:r w:rsidRPr="00DE7A0E">
        <w:t xml:space="preserve"> affordable housing, </w:t>
      </w:r>
      <w:r w:rsidR="006211EA">
        <w:t xml:space="preserve">which </w:t>
      </w:r>
      <w:r w:rsidRPr="00DE7A0E">
        <w:t>provid</w:t>
      </w:r>
      <w:r w:rsidR="006211EA">
        <w:t>es</w:t>
      </w:r>
      <w:r w:rsidRPr="00DE7A0E">
        <w:t xml:space="preserve"> below market rental accommodation for moderate income</w:t>
      </w:r>
      <w:r w:rsidRPr="479AD369">
        <w:rPr>
          <w:rFonts w:cstheme="minorBidi"/>
        </w:rPr>
        <w:t xml:space="preserve"> workers in industries like health care, education, emergency services and law enforcement. </w:t>
      </w:r>
      <w:r w:rsidR="00DB35F0" w:rsidRPr="479AD369">
        <w:rPr>
          <w:rFonts w:cstheme="minorBidi"/>
        </w:rPr>
        <w:t>Others</w:t>
      </w:r>
      <w:r w:rsidR="00DB35F0" w:rsidRPr="00BE3C8A">
        <w:rPr>
          <w:szCs w:val="22"/>
        </w:rPr>
        <w:t xml:space="preserve"> </w:t>
      </w:r>
      <w:r w:rsidR="009A4DA0" w:rsidRPr="479AD369">
        <w:t>(including Aware, HESTA and Australian Super)</w:t>
      </w:r>
      <w:r w:rsidR="00DB35F0">
        <w:rPr>
          <w:szCs w:val="22"/>
        </w:rPr>
        <w:t xml:space="preserve"> </w:t>
      </w:r>
      <w:r w:rsidR="009A4DA0" w:rsidRPr="479AD369">
        <w:t>have invested in affordable housing as part of mixed residential developments.</w:t>
      </w:r>
      <w:r w:rsidR="001F02AD" w:rsidRPr="001F02AD">
        <w:rPr>
          <w:szCs w:val="22"/>
        </w:rPr>
        <w:t xml:space="preserve"> </w:t>
      </w:r>
    </w:p>
    <w:p w14:paraId="55C3145A" w14:textId="77777777" w:rsidR="009A4DA0" w:rsidRPr="00514183" w:rsidRDefault="009A4DA0" w:rsidP="00330153">
      <w:pPr>
        <w:pStyle w:val="Heading2Numbered"/>
      </w:pPr>
      <w:bookmarkStart w:id="61" w:name="_Toc139618811"/>
      <w:bookmarkStart w:id="62" w:name="_Toc139635538"/>
      <w:bookmarkStart w:id="63" w:name="_Toc141355248"/>
      <w:r w:rsidRPr="00514183">
        <w:t>Existing policy measures that support institutional investment in housing</w:t>
      </w:r>
      <w:bookmarkEnd w:id="61"/>
      <w:bookmarkEnd w:id="62"/>
      <w:bookmarkEnd w:id="63"/>
      <w:r w:rsidRPr="00514183">
        <w:t xml:space="preserve"> </w:t>
      </w:r>
    </w:p>
    <w:p w14:paraId="37F09B3F" w14:textId="463B251E" w:rsidR="009A4DA0" w:rsidRPr="00F0771D" w:rsidRDefault="009A4DA0" w:rsidP="002F40E7">
      <w:pPr>
        <w:rPr>
          <w:b/>
        </w:rPr>
      </w:pPr>
      <w:r>
        <w:t>I</w:t>
      </w:r>
      <w:r w:rsidRPr="00F0771D">
        <w:t>n recent years</w:t>
      </w:r>
      <w:r>
        <w:t>,</w:t>
      </w:r>
      <w:r w:rsidRPr="00F0771D">
        <w:t xml:space="preserve"> governments </w:t>
      </w:r>
      <w:r>
        <w:t xml:space="preserve">across Australia </w:t>
      </w:r>
      <w:r w:rsidRPr="00F0771D">
        <w:t xml:space="preserve">have implemented measures to encourage institutional investment </w:t>
      </w:r>
      <w:r>
        <w:t>to increase the supply of housing. These measures aim to attract private investment into the affordable housing sector, increase the supply of rental housing, and encourage the growth of professiona</w:t>
      </w:r>
      <w:r w:rsidRPr="00142236">
        <w:rPr>
          <w:color w:val="auto"/>
        </w:rPr>
        <w:t>l rental management services (</w:t>
      </w:r>
      <w:r>
        <w:t>Sukkar and Morrison</w:t>
      </w:r>
      <w:r w:rsidRPr="001436EA">
        <w:t xml:space="preserve"> 2017</w:t>
      </w:r>
      <w:r w:rsidRPr="00142236">
        <w:rPr>
          <w:color w:val="auto"/>
        </w:rPr>
        <w:t xml:space="preserve">; </w:t>
      </w:r>
      <w:r w:rsidRPr="001436EA">
        <w:t>NSW Government 202</w:t>
      </w:r>
      <w:r>
        <w:t>2</w:t>
      </w:r>
      <w:r w:rsidRPr="00142236">
        <w:rPr>
          <w:color w:val="auto"/>
        </w:rPr>
        <w:t>)</w:t>
      </w:r>
      <w:r>
        <w:rPr>
          <w:color w:val="auto"/>
        </w:rPr>
        <w:t>.</w:t>
      </w:r>
    </w:p>
    <w:p w14:paraId="24809A41" w14:textId="1BBAC8DF" w:rsidR="009A4DA0" w:rsidRPr="00F0771D" w:rsidRDefault="009A4DA0" w:rsidP="002F40E7">
      <w:r w:rsidRPr="00F0771D">
        <w:t xml:space="preserve">Since 1 July 2019, there has been a </w:t>
      </w:r>
      <w:r w:rsidRPr="00F0771D">
        <w:rPr>
          <w:bCs/>
        </w:rPr>
        <w:t>concessional 15</w:t>
      </w:r>
      <w:r w:rsidR="00E67AFE">
        <w:rPr>
          <w:bCs/>
        </w:rPr>
        <w:t> per </w:t>
      </w:r>
      <w:r w:rsidRPr="00F0771D">
        <w:rPr>
          <w:bCs/>
        </w:rPr>
        <w:t>cent managed investment trust</w:t>
      </w:r>
      <w:r w:rsidRPr="00F0771D">
        <w:t xml:space="preserve"> withholding tax rate on income and capital gains attributable to investments in certain affordable and disability housing assets.</w:t>
      </w:r>
    </w:p>
    <w:p w14:paraId="30ED9FC9" w14:textId="048F1277" w:rsidR="00B76E17" w:rsidRDefault="009A4DA0" w:rsidP="002F40E7">
      <w:r w:rsidRPr="00F0771D">
        <w:t xml:space="preserve">Since 2020, most </w:t>
      </w:r>
      <w:r>
        <w:rPr>
          <w:bCs/>
        </w:rPr>
        <w:t>s</w:t>
      </w:r>
      <w:r w:rsidRPr="00F0771D">
        <w:rPr>
          <w:bCs/>
        </w:rPr>
        <w:t xml:space="preserve">tate and </w:t>
      </w:r>
      <w:r>
        <w:rPr>
          <w:bCs/>
        </w:rPr>
        <w:t>t</w:t>
      </w:r>
      <w:r w:rsidRPr="00F0771D">
        <w:rPr>
          <w:bCs/>
        </w:rPr>
        <w:t>erritory</w:t>
      </w:r>
      <w:r w:rsidRPr="00F0771D">
        <w:t xml:space="preserve"> governments have </w:t>
      </w:r>
      <w:r>
        <w:t>announced</w:t>
      </w:r>
      <w:r w:rsidRPr="00F0771D">
        <w:t xml:space="preserve"> tax concessions to support institutional investment in build</w:t>
      </w:r>
      <w:r w:rsidR="00563A2B">
        <w:noBreakHyphen/>
      </w:r>
      <w:r w:rsidRPr="00F0771D">
        <w:t>to</w:t>
      </w:r>
      <w:r w:rsidR="00563A2B">
        <w:noBreakHyphen/>
      </w:r>
      <w:r w:rsidRPr="00F0771D">
        <w:t>rent developments, including 50</w:t>
      </w:r>
      <w:r w:rsidR="00E67AFE">
        <w:t> per </w:t>
      </w:r>
      <w:r w:rsidRPr="00F0771D">
        <w:t xml:space="preserve">cent </w:t>
      </w:r>
      <w:r w:rsidRPr="00F0771D">
        <w:rPr>
          <w:bCs/>
        </w:rPr>
        <w:t xml:space="preserve">reductions in land tax </w:t>
      </w:r>
      <w:r w:rsidRPr="00F0771D">
        <w:t>for eligible projects in New South Wales, Victoria, Queensland, Western</w:t>
      </w:r>
      <w:r w:rsidR="002B1C3F">
        <w:t xml:space="preserve"> Australia</w:t>
      </w:r>
      <w:r w:rsidRPr="00F0771D">
        <w:t xml:space="preserve"> and South Australia.</w:t>
      </w:r>
    </w:p>
    <w:p w14:paraId="47FE7726" w14:textId="205E2A75" w:rsidR="009A4DA0" w:rsidRPr="00F0771D" w:rsidRDefault="009A4DA0" w:rsidP="00886E17">
      <w:pPr>
        <w:spacing w:after="120"/>
      </w:pPr>
      <w:r>
        <w:t>I</w:t>
      </w:r>
      <w:r w:rsidRPr="00F0771D">
        <w:t>n the 2023</w:t>
      </w:r>
      <w:r w:rsidR="00234AC5">
        <w:t>–</w:t>
      </w:r>
      <w:r w:rsidRPr="00F0771D">
        <w:t xml:space="preserve">24 Budget, the </w:t>
      </w:r>
      <w:r w:rsidR="002B1C3F">
        <w:t xml:space="preserve">Australian </w:t>
      </w:r>
      <w:r w:rsidRPr="00F0771D">
        <w:t xml:space="preserve">Government announced </w:t>
      </w:r>
      <w:r w:rsidR="002B1C3F">
        <w:t xml:space="preserve">2 </w:t>
      </w:r>
      <w:r w:rsidRPr="00F0771D">
        <w:t xml:space="preserve">new measures to support institutional investment in </w:t>
      </w:r>
      <w:r>
        <w:t>build</w:t>
      </w:r>
      <w:r w:rsidR="00563A2B">
        <w:noBreakHyphen/>
      </w:r>
      <w:r>
        <w:t>to</w:t>
      </w:r>
      <w:r w:rsidR="00563A2B">
        <w:noBreakHyphen/>
      </w:r>
      <w:r>
        <w:t>rent t</w:t>
      </w:r>
      <w:r w:rsidRPr="00F0771D">
        <w:t>o improve the international competitiveness of the Australian sector</w:t>
      </w:r>
      <w:r>
        <w:t>:</w:t>
      </w:r>
      <w:r w:rsidR="00563A2B">
        <w:t xml:space="preserve"> </w:t>
      </w:r>
    </w:p>
    <w:p w14:paraId="082DBDA8" w14:textId="79DD8473" w:rsidR="009A4DA0" w:rsidRPr="002F40E7" w:rsidRDefault="00AB1316" w:rsidP="002F40E7">
      <w:pPr>
        <w:pStyle w:val="Bullet"/>
      </w:pPr>
      <w:r>
        <w:t>I</w:t>
      </w:r>
      <w:r w:rsidR="009A4DA0">
        <w:t xml:space="preserve">ncreasing the </w:t>
      </w:r>
      <w:r w:rsidR="009A4DA0" w:rsidRPr="002F40E7">
        <w:t>rate for the capital works tax deduction (depreciation) to 4</w:t>
      </w:r>
      <w:r w:rsidR="00E67AFE">
        <w:t> per </w:t>
      </w:r>
      <w:r w:rsidR="009A4DA0" w:rsidRPr="002F40E7">
        <w:t>cent per</w:t>
      </w:r>
      <w:r w:rsidR="000C1FD0" w:rsidRPr="002F40E7">
        <w:t> </w:t>
      </w:r>
      <w:r w:rsidR="009A4DA0" w:rsidRPr="002F40E7">
        <w:t>year</w:t>
      </w:r>
      <w:r w:rsidRPr="002F40E7">
        <w:t>.</w:t>
      </w:r>
    </w:p>
    <w:p w14:paraId="5DD18921" w14:textId="0840080F" w:rsidR="009A4DA0" w:rsidRDefault="00AB1316" w:rsidP="002F40E7">
      <w:pPr>
        <w:pStyle w:val="Bullet"/>
      </w:pPr>
      <w:r w:rsidRPr="002F40E7">
        <w:t>R</w:t>
      </w:r>
      <w:r w:rsidR="009A4DA0" w:rsidRPr="002F40E7">
        <w:t>educing the final</w:t>
      </w:r>
      <w:r w:rsidR="009A4DA0">
        <w:t xml:space="preserve"> withholding tax rate on eligible fund payments from managed investment trust (MIT) investments from 30</w:t>
      </w:r>
      <w:r w:rsidR="00E67AFE">
        <w:t> per </w:t>
      </w:r>
      <w:r w:rsidR="009A4DA0">
        <w:t>cent to 15</w:t>
      </w:r>
      <w:r w:rsidR="00E67AFE">
        <w:t> per </w:t>
      </w:r>
      <w:r w:rsidR="009A4DA0">
        <w:t>cent.</w:t>
      </w:r>
    </w:p>
    <w:p w14:paraId="3C5AEA20" w14:textId="77777777" w:rsidR="009A4DA0" w:rsidRDefault="009A4DA0" w:rsidP="009A4DA0"/>
    <w:tbl>
      <w:tblPr>
        <w:tblW w:w="5000" w:type="pct"/>
        <w:shd w:val="clear" w:color="auto" w:fill="F2E3C7" w:themeFill="background2"/>
        <w:tblCellMar>
          <w:top w:w="284" w:type="dxa"/>
          <w:left w:w="284" w:type="dxa"/>
          <w:bottom w:w="284" w:type="dxa"/>
          <w:right w:w="284" w:type="dxa"/>
        </w:tblCellMar>
        <w:tblLook w:val="0600" w:firstRow="0" w:lastRow="0" w:firstColumn="0" w:lastColumn="0" w:noHBand="1" w:noVBand="1"/>
      </w:tblPr>
      <w:tblGrid>
        <w:gridCol w:w="9070"/>
      </w:tblGrid>
      <w:tr w:rsidR="009A4DA0" w14:paraId="331B4E83" w14:textId="77777777">
        <w:trPr>
          <w:trHeight w:val="9641"/>
        </w:trPr>
        <w:tc>
          <w:tcPr>
            <w:tcW w:w="5000" w:type="pct"/>
            <w:shd w:val="clear" w:color="auto" w:fill="F2E3C7" w:themeFill="background2"/>
            <w:hideMark/>
          </w:tcPr>
          <w:p w14:paraId="06D4AAFD" w14:textId="2E1912F6" w:rsidR="009A4DA0" w:rsidRPr="00B13F48" w:rsidRDefault="009A4DA0">
            <w:pPr>
              <w:pStyle w:val="BoxHeading"/>
            </w:pPr>
            <w:r w:rsidRPr="00B13F48">
              <w:lastRenderedPageBreak/>
              <w:t>Box 3: State and territory government concession</w:t>
            </w:r>
            <w:r w:rsidR="002C20FB" w:rsidRPr="00B13F48">
              <w:t>s</w:t>
            </w:r>
            <w:r w:rsidRPr="00B13F48">
              <w:t xml:space="preserve"> to stimulate the build</w:t>
            </w:r>
            <w:r w:rsidR="00563A2B">
              <w:noBreakHyphen/>
            </w:r>
            <w:r w:rsidRPr="00B13F48">
              <w:t>to</w:t>
            </w:r>
            <w:r w:rsidR="00563A2B">
              <w:noBreakHyphen/>
            </w:r>
            <w:r w:rsidRPr="00B13F48">
              <w:t>rent sector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E3C7" w:themeFill="background2"/>
              <w:tblLook w:val="04A0" w:firstRow="1" w:lastRow="0" w:firstColumn="1" w:lastColumn="0" w:noHBand="0" w:noVBand="1"/>
            </w:tblPr>
            <w:tblGrid>
              <w:gridCol w:w="2536"/>
              <w:gridCol w:w="5956"/>
            </w:tblGrid>
            <w:tr w:rsidR="009A4DA0" w:rsidRPr="00251DA1" w14:paraId="51413274" w14:textId="77777777">
              <w:trPr>
                <w:trHeight w:val="571"/>
                <w:jc w:val="center"/>
              </w:trPr>
              <w:tc>
                <w:tcPr>
                  <w:tcW w:w="2640" w:type="dxa"/>
                  <w:shd w:val="clear" w:color="auto" w:fill="D4B08C" w:themeFill="accent4"/>
                  <w:hideMark/>
                </w:tcPr>
                <w:p w14:paraId="27B06BD3" w14:textId="77777777" w:rsidR="009A4DA0" w:rsidRPr="00251DA1" w:rsidRDefault="009A4DA0">
                  <w:pPr>
                    <w:pStyle w:val="BoxText"/>
                    <w:rPr>
                      <w:rFonts w:eastAsia="Tahoma" w:cstheme="minorHAnsi"/>
                      <w:b/>
                    </w:rPr>
                  </w:pPr>
                  <w:r w:rsidRPr="00514183">
                    <w:rPr>
                      <w:rFonts w:eastAsia="Tahoma"/>
                      <w:b/>
                    </w:rPr>
                    <w:t>State/Territory</w:t>
                  </w:r>
                </w:p>
              </w:tc>
              <w:tc>
                <w:tcPr>
                  <w:tcW w:w="6376" w:type="dxa"/>
                  <w:shd w:val="clear" w:color="auto" w:fill="D4B08C" w:themeFill="accent4"/>
                  <w:hideMark/>
                </w:tcPr>
                <w:p w14:paraId="3625552B" w14:textId="5C249CAD" w:rsidR="009A4DA0" w:rsidRPr="00251DA1" w:rsidRDefault="009A4DA0">
                  <w:pPr>
                    <w:pStyle w:val="BoxText"/>
                    <w:rPr>
                      <w:rFonts w:eastAsia="Tahoma" w:cstheme="minorHAnsi"/>
                      <w:b/>
                    </w:rPr>
                  </w:pPr>
                  <w:r w:rsidRPr="00514183">
                    <w:rPr>
                      <w:rFonts w:eastAsia="Tahoma"/>
                      <w:b/>
                    </w:rPr>
                    <w:t>Build</w:t>
                  </w:r>
                  <w:r w:rsidR="00563A2B">
                    <w:rPr>
                      <w:rFonts w:eastAsia="Tahoma"/>
                      <w:b/>
                    </w:rPr>
                    <w:noBreakHyphen/>
                  </w:r>
                  <w:r w:rsidRPr="00514183">
                    <w:rPr>
                      <w:rFonts w:eastAsia="Tahoma"/>
                      <w:b/>
                    </w:rPr>
                    <w:t>to</w:t>
                  </w:r>
                  <w:r w:rsidR="00563A2B">
                    <w:rPr>
                      <w:rFonts w:eastAsia="Tahoma"/>
                      <w:b/>
                    </w:rPr>
                    <w:noBreakHyphen/>
                  </w:r>
                  <w:r w:rsidR="00A97221">
                    <w:rPr>
                      <w:rFonts w:eastAsia="Tahoma"/>
                      <w:b/>
                    </w:rPr>
                    <w:t>r</w:t>
                  </w:r>
                  <w:r w:rsidRPr="001436EA">
                    <w:rPr>
                      <w:rFonts w:eastAsia="Tahoma"/>
                      <w:b/>
                    </w:rPr>
                    <w:t>ent</w:t>
                  </w:r>
                  <w:r w:rsidRPr="00514183">
                    <w:rPr>
                      <w:rFonts w:eastAsia="Tahoma"/>
                      <w:b/>
                    </w:rPr>
                    <w:t xml:space="preserve"> concessions </w:t>
                  </w:r>
                </w:p>
              </w:tc>
            </w:tr>
            <w:tr w:rsidR="009A4DA0" w:rsidRPr="00251DA1" w14:paraId="0C4A5A21" w14:textId="77777777">
              <w:trPr>
                <w:trHeight w:val="195"/>
                <w:jc w:val="center"/>
              </w:trPr>
              <w:tc>
                <w:tcPr>
                  <w:tcW w:w="2640" w:type="dxa"/>
                  <w:shd w:val="clear" w:color="auto" w:fill="F2E3C7" w:themeFill="background2"/>
                  <w:hideMark/>
                </w:tcPr>
                <w:p w14:paraId="4D397231" w14:textId="77777777" w:rsidR="009A4DA0" w:rsidRPr="00251DA1" w:rsidRDefault="009A4DA0">
                  <w:pPr>
                    <w:pStyle w:val="BoxText"/>
                    <w:rPr>
                      <w:rFonts w:eastAsia="Tahoma" w:cstheme="minorHAnsi"/>
                    </w:rPr>
                  </w:pPr>
                  <w:r w:rsidRPr="00251DA1">
                    <w:rPr>
                      <w:rFonts w:eastAsia="Tahoma"/>
                    </w:rPr>
                    <w:t>New South Wales</w:t>
                  </w:r>
                </w:p>
              </w:tc>
              <w:tc>
                <w:tcPr>
                  <w:tcW w:w="6376" w:type="dxa"/>
                  <w:shd w:val="clear" w:color="auto" w:fill="F2E3C7" w:themeFill="background2"/>
                  <w:hideMark/>
                </w:tcPr>
                <w:p w14:paraId="2FDEAAC7" w14:textId="1F3B5302" w:rsidR="009A4DA0" w:rsidRPr="00251DA1" w:rsidRDefault="009A4DA0">
                  <w:pPr>
                    <w:pStyle w:val="BoxText"/>
                    <w:rPr>
                      <w:rFonts w:eastAsia="Tahoma" w:cstheme="minorHAnsi"/>
                    </w:rPr>
                  </w:pPr>
                  <w:r w:rsidRPr="00251DA1">
                    <w:rPr>
                      <w:rFonts w:eastAsia="Tahoma"/>
                    </w:rPr>
                    <w:t xml:space="preserve">Eligible </w:t>
                  </w:r>
                  <w:r w:rsidRPr="00251DA1">
                    <w:rPr>
                      <w:rFonts w:cstheme="minorHAnsi"/>
                    </w:rPr>
                    <w:t>build</w:t>
                  </w:r>
                  <w:r w:rsidR="00563A2B">
                    <w:rPr>
                      <w:rFonts w:cstheme="minorHAnsi"/>
                    </w:rPr>
                    <w:noBreakHyphen/>
                  </w:r>
                  <w:r w:rsidRPr="00251DA1">
                    <w:rPr>
                      <w:rFonts w:cstheme="minorHAnsi"/>
                    </w:rPr>
                    <w:t>to</w:t>
                  </w:r>
                  <w:r w:rsidR="00563A2B">
                    <w:rPr>
                      <w:rFonts w:cstheme="minorHAnsi"/>
                    </w:rPr>
                    <w:noBreakHyphen/>
                  </w:r>
                  <w:r w:rsidRPr="00251DA1">
                    <w:rPr>
                      <w:rFonts w:cstheme="minorHAnsi"/>
                    </w:rPr>
                    <w:t>rent</w:t>
                  </w:r>
                  <w:r w:rsidRPr="00251DA1">
                    <w:rPr>
                      <w:rFonts w:eastAsia="Tahoma" w:cstheme="minorHAnsi"/>
                      <w:color w:val="000000"/>
                    </w:rPr>
                    <w:t xml:space="preserve"> properties will receive a 50</w:t>
                  </w:r>
                  <w:r w:rsidR="00E67AFE">
                    <w:rPr>
                      <w:rFonts w:eastAsia="Tahoma" w:cstheme="minorHAnsi"/>
                      <w:color w:val="000000"/>
                    </w:rPr>
                    <w:t> per </w:t>
                  </w:r>
                  <w:r w:rsidRPr="00251DA1">
                    <w:rPr>
                      <w:rFonts w:eastAsia="Tahoma" w:cstheme="minorHAnsi"/>
                      <w:color w:val="000000"/>
                    </w:rPr>
                    <w:t>cent reduction in land value for land tax purposes</w:t>
                  </w:r>
                  <w:r>
                    <w:rPr>
                      <w:rFonts w:eastAsia="Tahoma" w:cstheme="minorHAnsi"/>
                      <w:color w:val="000000"/>
                    </w:rPr>
                    <w:t xml:space="preserve"> for up to 20 years</w:t>
                  </w:r>
                  <w:r w:rsidRPr="00251DA1">
                    <w:rPr>
                      <w:rFonts w:eastAsia="Tahoma" w:cstheme="minorHAnsi"/>
                      <w:color w:val="000000"/>
                    </w:rPr>
                    <w:t>.</w:t>
                  </w:r>
                  <w:r>
                    <w:rPr>
                      <w:rFonts w:eastAsia="Tahoma" w:cstheme="minorHAnsi"/>
                      <w:color w:val="000000"/>
                    </w:rPr>
                    <w:t xml:space="preserve"> An exemption from the foreign investor surcharge also applies</w:t>
                  </w:r>
                  <w:r w:rsidRPr="00251DA1">
                    <w:rPr>
                      <w:rFonts w:eastAsia="Tahoma" w:cstheme="minorHAnsi"/>
                      <w:color w:val="000000"/>
                    </w:rPr>
                    <w:t>.</w:t>
                  </w:r>
                </w:p>
              </w:tc>
            </w:tr>
            <w:tr w:rsidR="009A4DA0" w:rsidRPr="00251DA1" w14:paraId="36E746EF" w14:textId="77777777">
              <w:trPr>
                <w:trHeight w:val="195"/>
                <w:jc w:val="center"/>
              </w:trPr>
              <w:tc>
                <w:tcPr>
                  <w:tcW w:w="2640" w:type="dxa"/>
                  <w:shd w:val="clear" w:color="auto" w:fill="F2E3C7" w:themeFill="background2"/>
                  <w:hideMark/>
                </w:tcPr>
                <w:p w14:paraId="1B70628E" w14:textId="77777777" w:rsidR="009A4DA0" w:rsidRPr="00251DA1" w:rsidRDefault="009A4DA0">
                  <w:pPr>
                    <w:pStyle w:val="BoxText"/>
                    <w:rPr>
                      <w:rFonts w:eastAsia="Tahoma" w:cstheme="minorHAnsi"/>
                    </w:rPr>
                  </w:pPr>
                  <w:r w:rsidRPr="00251DA1">
                    <w:rPr>
                      <w:rFonts w:eastAsia="Tahoma"/>
                    </w:rPr>
                    <w:t>Victoria</w:t>
                  </w:r>
                </w:p>
              </w:tc>
              <w:tc>
                <w:tcPr>
                  <w:tcW w:w="6376" w:type="dxa"/>
                  <w:shd w:val="clear" w:color="auto" w:fill="F2E3C7" w:themeFill="background2"/>
                  <w:hideMark/>
                </w:tcPr>
                <w:p w14:paraId="4181AEC3" w14:textId="7D80CCAC" w:rsidR="009A4DA0" w:rsidRDefault="009A4DA0">
                  <w:pPr>
                    <w:pStyle w:val="BoxText"/>
                    <w:rPr>
                      <w:rFonts w:eastAsia="Tahoma" w:cstheme="minorHAnsi"/>
                    </w:rPr>
                  </w:pPr>
                  <w:r w:rsidRPr="00251DA1">
                    <w:rPr>
                      <w:rFonts w:eastAsia="Tahoma"/>
                    </w:rPr>
                    <w:t xml:space="preserve">Eligible </w:t>
                  </w:r>
                  <w:r w:rsidRPr="00251DA1">
                    <w:rPr>
                      <w:rFonts w:cstheme="minorHAnsi"/>
                    </w:rPr>
                    <w:t>build</w:t>
                  </w:r>
                  <w:r w:rsidR="00563A2B">
                    <w:rPr>
                      <w:rFonts w:cstheme="minorHAnsi"/>
                    </w:rPr>
                    <w:noBreakHyphen/>
                  </w:r>
                  <w:r w:rsidRPr="00251DA1">
                    <w:rPr>
                      <w:rFonts w:cstheme="minorHAnsi"/>
                    </w:rPr>
                    <w:t>to</w:t>
                  </w:r>
                  <w:r w:rsidR="00563A2B">
                    <w:rPr>
                      <w:rFonts w:cstheme="minorHAnsi"/>
                    </w:rPr>
                    <w:noBreakHyphen/>
                  </w:r>
                  <w:r w:rsidRPr="00251DA1">
                    <w:rPr>
                      <w:rFonts w:cstheme="minorHAnsi"/>
                    </w:rPr>
                    <w:t>rent</w:t>
                  </w:r>
                  <w:r w:rsidRPr="00251DA1">
                    <w:rPr>
                      <w:rFonts w:eastAsia="Tahoma" w:cstheme="minorHAnsi"/>
                    </w:rPr>
                    <w:t xml:space="preserve"> developments are entitled to a 50</w:t>
                  </w:r>
                  <w:r w:rsidR="00E67AFE">
                    <w:rPr>
                      <w:rFonts w:eastAsia="Tahoma" w:cstheme="minorHAnsi"/>
                    </w:rPr>
                    <w:t> per </w:t>
                  </w:r>
                  <w:r w:rsidRPr="00251DA1">
                    <w:rPr>
                      <w:rFonts w:eastAsia="Tahoma" w:cstheme="minorHAnsi"/>
                    </w:rPr>
                    <w:t xml:space="preserve">cent reduction on the taxable value of the land used for the </w:t>
                  </w:r>
                  <w:r w:rsidRPr="00251DA1">
                    <w:rPr>
                      <w:rFonts w:cstheme="minorHAnsi"/>
                    </w:rPr>
                    <w:t>build</w:t>
                  </w:r>
                  <w:r w:rsidR="00563A2B">
                    <w:rPr>
                      <w:rFonts w:cstheme="minorHAnsi"/>
                    </w:rPr>
                    <w:noBreakHyphen/>
                  </w:r>
                  <w:r w:rsidRPr="00251DA1">
                    <w:rPr>
                      <w:rFonts w:cstheme="minorHAnsi"/>
                    </w:rPr>
                    <w:t>to</w:t>
                  </w:r>
                  <w:r w:rsidR="00563A2B">
                    <w:rPr>
                      <w:rFonts w:cstheme="minorHAnsi"/>
                    </w:rPr>
                    <w:noBreakHyphen/>
                  </w:r>
                  <w:r w:rsidRPr="00251DA1">
                    <w:rPr>
                      <w:rFonts w:cstheme="minorHAnsi"/>
                    </w:rPr>
                    <w:t>rent</w:t>
                  </w:r>
                  <w:r w:rsidRPr="00251DA1">
                    <w:rPr>
                      <w:rFonts w:eastAsia="Tahoma" w:cstheme="minorHAnsi"/>
                    </w:rPr>
                    <w:t xml:space="preserve"> development for up to 30 years.</w:t>
                  </w:r>
                </w:p>
                <w:p w14:paraId="271A4C21" w14:textId="280C06DE" w:rsidR="009A4DA0" w:rsidRPr="00251DA1" w:rsidRDefault="009A4DA0">
                  <w:pPr>
                    <w:pStyle w:val="BoxText"/>
                    <w:rPr>
                      <w:rFonts w:eastAsia="Tahoma" w:cstheme="minorHAnsi"/>
                    </w:rPr>
                  </w:pPr>
                  <w:r>
                    <w:rPr>
                      <w:rFonts w:eastAsia="Tahoma" w:cstheme="minorHAnsi"/>
                    </w:rPr>
                    <w:t>Full exemption from Absentee Owner Surcharge over same period.</w:t>
                  </w:r>
                </w:p>
              </w:tc>
            </w:tr>
            <w:tr w:rsidR="009A4DA0" w:rsidRPr="00251DA1" w14:paraId="60920857" w14:textId="77777777">
              <w:trPr>
                <w:trHeight w:val="195"/>
                <w:jc w:val="center"/>
              </w:trPr>
              <w:tc>
                <w:tcPr>
                  <w:tcW w:w="2640" w:type="dxa"/>
                  <w:shd w:val="clear" w:color="auto" w:fill="F2E3C7" w:themeFill="background2"/>
                  <w:hideMark/>
                </w:tcPr>
                <w:p w14:paraId="61991A76" w14:textId="77777777" w:rsidR="009A4DA0" w:rsidRPr="00251DA1" w:rsidRDefault="009A4DA0">
                  <w:pPr>
                    <w:pStyle w:val="BoxText"/>
                    <w:rPr>
                      <w:rFonts w:eastAsia="Tahoma" w:cstheme="minorHAnsi"/>
                    </w:rPr>
                  </w:pPr>
                  <w:r w:rsidRPr="00251DA1">
                    <w:rPr>
                      <w:rFonts w:eastAsia="Tahoma"/>
                    </w:rPr>
                    <w:t>Queensland</w:t>
                  </w:r>
                </w:p>
              </w:tc>
              <w:tc>
                <w:tcPr>
                  <w:tcW w:w="6376" w:type="dxa"/>
                  <w:shd w:val="clear" w:color="auto" w:fill="F2E3C7" w:themeFill="background2"/>
                  <w:hideMark/>
                </w:tcPr>
                <w:p w14:paraId="49990053" w14:textId="60802199" w:rsidR="009A4DA0" w:rsidRPr="00251DA1" w:rsidRDefault="009A4DA0">
                  <w:pPr>
                    <w:pStyle w:val="BoxText"/>
                    <w:rPr>
                      <w:rFonts w:eastAsia="Tahoma" w:cstheme="minorHAnsi"/>
                    </w:rPr>
                  </w:pPr>
                  <w:r w:rsidRPr="00251DA1">
                    <w:rPr>
                      <w:rFonts w:eastAsia="Tahoma"/>
                    </w:rPr>
                    <w:t>50</w:t>
                  </w:r>
                  <w:r w:rsidR="00E67AFE">
                    <w:rPr>
                      <w:rFonts w:eastAsia="Tahoma"/>
                    </w:rPr>
                    <w:t> per </w:t>
                  </w:r>
                  <w:r w:rsidRPr="00251DA1">
                    <w:rPr>
                      <w:rFonts w:eastAsia="Tahoma"/>
                    </w:rPr>
                    <w:t xml:space="preserve">cent </w:t>
                  </w:r>
                  <w:r w:rsidRPr="00251DA1">
                    <w:rPr>
                      <w:rFonts w:eastAsia="Tahoma" w:cstheme="minorHAnsi"/>
                    </w:rPr>
                    <w:t>discount on land tax payable for up to 20 years</w:t>
                  </w:r>
                  <w:r>
                    <w:rPr>
                      <w:rFonts w:eastAsia="Tahoma" w:cstheme="minorHAnsi"/>
                    </w:rPr>
                    <w:t>.</w:t>
                  </w:r>
                </w:p>
                <w:p w14:paraId="0DAE59BB" w14:textId="44A0ED4D" w:rsidR="009A4DA0" w:rsidRPr="00251DA1" w:rsidRDefault="009A4DA0">
                  <w:pPr>
                    <w:pStyle w:val="BoxText"/>
                    <w:rPr>
                      <w:rFonts w:eastAsia="Tahoma" w:cstheme="minorHAnsi"/>
                    </w:rPr>
                  </w:pPr>
                  <w:r>
                    <w:rPr>
                      <w:rFonts w:eastAsia="Tahoma"/>
                    </w:rPr>
                    <w:t>F</w:t>
                  </w:r>
                  <w:r w:rsidRPr="00251DA1">
                    <w:rPr>
                      <w:rFonts w:eastAsia="Tahoma"/>
                    </w:rPr>
                    <w:t>ull exemption for the 2</w:t>
                  </w:r>
                  <w:r w:rsidR="00E67AFE">
                    <w:rPr>
                      <w:rFonts w:eastAsia="Tahoma"/>
                    </w:rPr>
                    <w:t> per </w:t>
                  </w:r>
                  <w:r w:rsidRPr="00251DA1">
                    <w:rPr>
                      <w:rFonts w:eastAsia="Tahoma"/>
                    </w:rPr>
                    <w:t>cent foreign investor land tax surcharge for up to 20 years</w:t>
                  </w:r>
                  <w:r>
                    <w:rPr>
                      <w:rFonts w:eastAsia="Tahoma" w:cstheme="minorHAnsi"/>
                    </w:rPr>
                    <w:t>.</w:t>
                  </w:r>
                </w:p>
                <w:p w14:paraId="4143122D" w14:textId="66A70CE9" w:rsidR="009A4DA0" w:rsidRPr="00A45BAB" w:rsidRDefault="009A4DA0">
                  <w:pPr>
                    <w:pStyle w:val="BoxText"/>
                    <w:rPr>
                      <w:rFonts w:eastAsia="Tahoma"/>
                    </w:rPr>
                  </w:pPr>
                  <w:r>
                    <w:rPr>
                      <w:rFonts w:eastAsia="Tahoma"/>
                    </w:rPr>
                    <w:t>F</w:t>
                  </w:r>
                  <w:r w:rsidRPr="00251DA1">
                    <w:rPr>
                      <w:rFonts w:eastAsia="Tahoma"/>
                    </w:rPr>
                    <w:t xml:space="preserve">ull exemption from the Additional Foreign Acquirer Duty for </w:t>
                  </w:r>
                  <w:r w:rsidRPr="00251DA1">
                    <w:rPr>
                      <w:rFonts w:eastAsia="Tahoma" w:cstheme="minorHAnsi"/>
                    </w:rPr>
                    <w:t xml:space="preserve">the future transfer of a </w:t>
                  </w:r>
                  <w:r w:rsidR="00284BB4">
                    <w:rPr>
                      <w:rFonts w:eastAsia="Tahoma" w:cstheme="minorHAnsi"/>
                    </w:rPr>
                    <w:t>b</w:t>
                  </w:r>
                  <w:r w:rsidRPr="00251DA1">
                    <w:rPr>
                      <w:rFonts w:eastAsia="Tahoma" w:cstheme="minorHAnsi"/>
                    </w:rPr>
                    <w:t>uild</w:t>
                  </w:r>
                  <w:r w:rsidR="00563A2B">
                    <w:rPr>
                      <w:rFonts w:eastAsia="Tahoma" w:cstheme="minorHAnsi"/>
                    </w:rPr>
                    <w:noBreakHyphen/>
                  </w:r>
                  <w:r w:rsidRPr="00251DA1">
                    <w:rPr>
                      <w:rFonts w:eastAsia="Tahoma" w:cstheme="minorHAnsi"/>
                    </w:rPr>
                    <w:t>to</w:t>
                  </w:r>
                  <w:r w:rsidR="00563A2B">
                    <w:rPr>
                      <w:rFonts w:eastAsia="Tahoma" w:cstheme="minorHAnsi"/>
                    </w:rPr>
                    <w:noBreakHyphen/>
                  </w:r>
                  <w:r w:rsidR="00284BB4">
                    <w:rPr>
                      <w:rFonts w:eastAsia="Tahoma" w:cstheme="minorHAnsi"/>
                    </w:rPr>
                    <w:t>r</w:t>
                  </w:r>
                  <w:r w:rsidRPr="00251DA1">
                    <w:rPr>
                      <w:rFonts w:eastAsia="Tahoma" w:cstheme="minorHAnsi"/>
                    </w:rPr>
                    <w:t>ent site.</w:t>
                  </w:r>
                </w:p>
                <w:p w14:paraId="74B50BC9" w14:textId="6F413307" w:rsidR="009A4DA0" w:rsidRPr="00251DA1" w:rsidRDefault="00050F76">
                  <w:pPr>
                    <w:pStyle w:val="BoxText"/>
                    <w:rPr>
                      <w:rFonts w:eastAsia="Tahoma" w:cstheme="minorHAnsi"/>
                    </w:rPr>
                  </w:pPr>
                  <w:r>
                    <w:rPr>
                      <w:rFonts w:eastAsia="Tahoma"/>
                    </w:rPr>
                    <w:t xml:space="preserve">Note: </w:t>
                  </w:r>
                  <w:r w:rsidR="00A45BAB" w:rsidRPr="001436EA">
                    <w:rPr>
                      <w:rFonts w:eastAsia="Tahoma"/>
                    </w:rPr>
                    <w:t>10</w:t>
                  </w:r>
                  <w:r w:rsidR="00E67AFE">
                    <w:rPr>
                      <w:rFonts w:eastAsia="Tahoma"/>
                    </w:rPr>
                    <w:t> per </w:t>
                  </w:r>
                  <w:r w:rsidR="00A45BAB" w:rsidRPr="001436EA">
                    <w:rPr>
                      <w:rFonts w:eastAsia="Tahoma"/>
                    </w:rPr>
                    <w:t xml:space="preserve">cent of the tenancies in the dwellings must be </w:t>
                  </w:r>
                  <w:r w:rsidR="00563A2B">
                    <w:rPr>
                      <w:rFonts w:eastAsia="Tahoma"/>
                    </w:rPr>
                    <w:t>‘</w:t>
                  </w:r>
                  <w:r w:rsidR="00A45BAB" w:rsidRPr="001436EA">
                    <w:rPr>
                      <w:rFonts w:eastAsia="Tahoma"/>
                    </w:rPr>
                    <w:t>affordable housing.</w:t>
                  </w:r>
                  <w:r w:rsidR="00563A2B">
                    <w:rPr>
                      <w:rFonts w:eastAsia="Tahoma"/>
                    </w:rPr>
                    <w:t>’</w:t>
                  </w:r>
                </w:p>
              </w:tc>
            </w:tr>
            <w:tr w:rsidR="009A4DA0" w:rsidRPr="00251DA1" w14:paraId="748FE9C3" w14:textId="77777777" w:rsidTr="00C32E20">
              <w:trPr>
                <w:trHeight w:val="195"/>
                <w:jc w:val="center"/>
              </w:trPr>
              <w:tc>
                <w:tcPr>
                  <w:tcW w:w="2640" w:type="dxa"/>
                  <w:tcBorders>
                    <w:bottom w:val="single" w:sz="4" w:space="0" w:color="auto"/>
                  </w:tcBorders>
                  <w:shd w:val="clear" w:color="auto" w:fill="F2E3C7" w:themeFill="background2"/>
                  <w:hideMark/>
                </w:tcPr>
                <w:p w14:paraId="5D56E837" w14:textId="77777777" w:rsidR="009A4DA0" w:rsidRPr="00251DA1" w:rsidRDefault="009A4DA0">
                  <w:pPr>
                    <w:pStyle w:val="BoxText"/>
                    <w:rPr>
                      <w:rFonts w:eastAsia="Tahoma" w:cstheme="minorHAnsi"/>
                    </w:rPr>
                  </w:pPr>
                  <w:r w:rsidRPr="00251DA1">
                    <w:rPr>
                      <w:rFonts w:eastAsia="Tahoma"/>
                    </w:rPr>
                    <w:t xml:space="preserve">Western </w:t>
                  </w:r>
                  <w:r w:rsidRPr="00251DA1">
                    <w:rPr>
                      <w:rFonts w:eastAsia="Tahoma" w:cstheme="minorHAnsi"/>
                      <w:color w:val="000000"/>
                    </w:rPr>
                    <w:t>Australia</w:t>
                  </w:r>
                </w:p>
              </w:tc>
              <w:tc>
                <w:tcPr>
                  <w:tcW w:w="6376" w:type="dxa"/>
                  <w:shd w:val="clear" w:color="auto" w:fill="F2E3C7" w:themeFill="background2"/>
                  <w:hideMark/>
                </w:tcPr>
                <w:p w14:paraId="4BA0D81F" w14:textId="083E92DA" w:rsidR="009A4DA0" w:rsidRPr="00251DA1" w:rsidRDefault="009A4DA0">
                  <w:pPr>
                    <w:pStyle w:val="BoxText"/>
                    <w:rPr>
                      <w:rFonts w:eastAsia="Tahoma" w:cstheme="minorHAnsi"/>
                    </w:rPr>
                  </w:pPr>
                  <w:r w:rsidRPr="00251DA1">
                    <w:rPr>
                      <w:rFonts w:eastAsia="Tahoma"/>
                    </w:rPr>
                    <w:t>50</w:t>
                  </w:r>
                  <w:r w:rsidR="00E67AFE">
                    <w:rPr>
                      <w:rFonts w:eastAsia="Tahoma"/>
                    </w:rPr>
                    <w:t> per </w:t>
                  </w:r>
                  <w:r w:rsidRPr="00251DA1">
                    <w:rPr>
                      <w:rFonts w:eastAsia="Tahoma" w:cstheme="minorHAnsi"/>
                    </w:rPr>
                    <w:t>cent land tax concession for eligible large</w:t>
                  </w:r>
                  <w:r w:rsidR="00563A2B">
                    <w:rPr>
                      <w:rFonts w:eastAsia="Tahoma" w:cstheme="minorHAnsi"/>
                    </w:rPr>
                    <w:noBreakHyphen/>
                  </w:r>
                  <w:r w:rsidRPr="00251DA1">
                    <w:rPr>
                      <w:rFonts w:eastAsia="Tahoma" w:cstheme="minorHAnsi"/>
                    </w:rPr>
                    <w:t xml:space="preserve">scale </w:t>
                  </w:r>
                  <w:r w:rsidRPr="00251DA1">
                    <w:rPr>
                      <w:rFonts w:cstheme="minorHAnsi"/>
                    </w:rPr>
                    <w:t>build</w:t>
                  </w:r>
                  <w:r w:rsidR="00563A2B">
                    <w:rPr>
                      <w:rFonts w:cstheme="minorHAnsi"/>
                    </w:rPr>
                    <w:noBreakHyphen/>
                  </w:r>
                  <w:r w:rsidRPr="00251DA1">
                    <w:rPr>
                      <w:rFonts w:cstheme="minorHAnsi"/>
                    </w:rPr>
                    <w:t>to</w:t>
                  </w:r>
                  <w:r w:rsidR="00563A2B">
                    <w:rPr>
                      <w:rFonts w:cstheme="minorHAnsi"/>
                    </w:rPr>
                    <w:noBreakHyphen/>
                  </w:r>
                  <w:r w:rsidRPr="00251DA1">
                    <w:rPr>
                      <w:rFonts w:cstheme="minorHAnsi"/>
                    </w:rPr>
                    <w:t>rent</w:t>
                  </w:r>
                  <w:r w:rsidRPr="00251DA1">
                    <w:rPr>
                      <w:rFonts w:eastAsia="Tahoma" w:cstheme="minorHAnsi"/>
                    </w:rPr>
                    <w:t xml:space="preserve"> developments</w:t>
                  </w:r>
                  <w:r>
                    <w:rPr>
                      <w:rFonts w:eastAsia="Tahoma" w:cstheme="minorHAnsi"/>
                    </w:rPr>
                    <w:t xml:space="preserve"> for up to 20 years</w:t>
                  </w:r>
                  <w:r w:rsidRPr="00251DA1">
                    <w:rPr>
                      <w:rFonts w:eastAsia="Tahoma" w:cstheme="minorHAnsi"/>
                    </w:rPr>
                    <w:t>, commencing 1 July 2023.</w:t>
                  </w:r>
                  <w:r>
                    <w:rPr>
                      <w:rFonts w:eastAsia="Tahoma" w:cstheme="minorHAnsi"/>
                    </w:rPr>
                    <w:t xml:space="preserve"> </w:t>
                  </w:r>
                  <w:r w:rsidRPr="001F4BDC">
                    <w:rPr>
                      <w:rFonts w:eastAsia="Tahoma" w:cstheme="minorHAnsi"/>
                    </w:rPr>
                    <w:t xml:space="preserve">Developments must become operational between 12 May 2022 and </w:t>
                  </w:r>
                  <w:r w:rsidR="00CF2CEC">
                    <w:rPr>
                      <w:rFonts w:eastAsia="Tahoma" w:cstheme="minorHAnsi"/>
                    </w:rPr>
                    <w:t>1</w:t>
                  </w:r>
                  <w:r w:rsidR="00CD42FE">
                    <w:rPr>
                      <w:rFonts w:eastAsia="Tahoma" w:cstheme="minorHAnsi"/>
                    </w:rPr>
                    <w:t> </w:t>
                  </w:r>
                  <w:r w:rsidRPr="001F4BDC">
                    <w:rPr>
                      <w:rFonts w:eastAsia="Tahoma" w:cstheme="minorHAnsi"/>
                    </w:rPr>
                    <w:t>Ju</w:t>
                  </w:r>
                  <w:r w:rsidR="00CF2CEC">
                    <w:rPr>
                      <w:rFonts w:eastAsia="Tahoma" w:cstheme="minorHAnsi"/>
                    </w:rPr>
                    <w:t>ly</w:t>
                  </w:r>
                  <w:r w:rsidRPr="001F4BDC">
                    <w:rPr>
                      <w:rFonts w:eastAsia="Tahoma" w:cstheme="minorHAnsi"/>
                    </w:rPr>
                    <w:t xml:space="preserve"> 2032</w:t>
                  </w:r>
                  <w:r w:rsidRPr="00251DA1">
                    <w:rPr>
                      <w:rFonts w:eastAsia="Tahoma" w:cstheme="minorHAnsi"/>
                    </w:rPr>
                    <w:t>.</w:t>
                  </w:r>
                </w:p>
              </w:tc>
            </w:tr>
            <w:tr w:rsidR="009A4DA0" w:rsidRPr="00251DA1" w14:paraId="2D679B04" w14:textId="77777777" w:rsidTr="00C32E20">
              <w:trPr>
                <w:trHeight w:val="195"/>
                <w:jc w:val="center"/>
              </w:trPr>
              <w:tc>
                <w:tcPr>
                  <w:tcW w:w="2640" w:type="dxa"/>
                  <w:tcBorders>
                    <w:bottom w:val="single" w:sz="4" w:space="0" w:color="auto"/>
                  </w:tcBorders>
                  <w:shd w:val="clear" w:color="auto" w:fill="F2E3C7" w:themeFill="background2"/>
                  <w:hideMark/>
                </w:tcPr>
                <w:p w14:paraId="5007C923" w14:textId="77777777" w:rsidR="009A4DA0" w:rsidRPr="00251DA1" w:rsidRDefault="009A4DA0">
                  <w:pPr>
                    <w:pStyle w:val="BoxText"/>
                    <w:rPr>
                      <w:rFonts w:eastAsia="Tahoma" w:cstheme="minorHAnsi"/>
                    </w:rPr>
                  </w:pPr>
                  <w:r w:rsidRPr="00251DA1">
                    <w:rPr>
                      <w:rFonts w:eastAsia="Tahoma"/>
                    </w:rPr>
                    <w:t>South Australia</w:t>
                  </w:r>
                </w:p>
              </w:tc>
              <w:tc>
                <w:tcPr>
                  <w:tcW w:w="6376" w:type="dxa"/>
                  <w:shd w:val="clear" w:color="auto" w:fill="F2E3C7" w:themeFill="background2"/>
                  <w:hideMark/>
                </w:tcPr>
                <w:p w14:paraId="55BC21C0" w14:textId="1E809AA5" w:rsidR="009A4DA0" w:rsidRPr="00251DA1" w:rsidRDefault="009A4DA0">
                  <w:pPr>
                    <w:pStyle w:val="BoxText"/>
                    <w:rPr>
                      <w:rFonts w:eastAsia="Tahoma" w:cstheme="minorHAnsi"/>
                    </w:rPr>
                  </w:pPr>
                  <w:r w:rsidRPr="00251DA1">
                    <w:rPr>
                      <w:rFonts w:eastAsia="Tahoma"/>
                    </w:rPr>
                    <w:t>50</w:t>
                  </w:r>
                  <w:r w:rsidR="00E67AFE">
                    <w:rPr>
                      <w:rFonts w:eastAsia="Tahoma"/>
                    </w:rPr>
                    <w:t> per </w:t>
                  </w:r>
                  <w:r w:rsidRPr="00251DA1">
                    <w:rPr>
                      <w:rFonts w:eastAsia="Tahoma"/>
                    </w:rPr>
                    <w:t>cent reduction in the land value of relevant parcels of lan</w:t>
                  </w:r>
                  <w:r w:rsidRPr="00251DA1">
                    <w:rPr>
                      <w:rFonts w:eastAsia="Tahoma" w:cstheme="minorHAnsi"/>
                      <w:color w:val="000000"/>
                    </w:rPr>
                    <w:t xml:space="preserve">d, where the land is being used as an eligible </w:t>
                  </w:r>
                  <w:r w:rsidRPr="00251DA1">
                    <w:rPr>
                      <w:rFonts w:cstheme="minorHAnsi"/>
                    </w:rPr>
                    <w:t>build</w:t>
                  </w:r>
                  <w:r w:rsidR="00563A2B">
                    <w:rPr>
                      <w:rFonts w:cstheme="minorHAnsi"/>
                    </w:rPr>
                    <w:noBreakHyphen/>
                  </w:r>
                  <w:r w:rsidRPr="00251DA1">
                    <w:rPr>
                      <w:rFonts w:cstheme="minorHAnsi"/>
                    </w:rPr>
                    <w:t>to</w:t>
                  </w:r>
                  <w:r w:rsidR="00563A2B">
                    <w:rPr>
                      <w:rFonts w:cstheme="minorHAnsi"/>
                    </w:rPr>
                    <w:noBreakHyphen/>
                  </w:r>
                  <w:r w:rsidRPr="00251DA1">
                    <w:rPr>
                      <w:rFonts w:cstheme="minorHAnsi"/>
                    </w:rPr>
                    <w:t>rent</w:t>
                  </w:r>
                  <w:r w:rsidRPr="00251DA1">
                    <w:rPr>
                      <w:rFonts w:eastAsia="Tahoma" w:cstheme="minorHAnsi"/>
                      <w:color w:val="000000"/>
                    </w:rPr>
                    <w:t xml:space="preserve"> project.</w:t>
                  </w:r>
                </w:p>
              </w:tc>
            </w:tr>
            <w:tr w:rsidR="009A4DA0" w:rsidRPr="00251DA1" w14:paraId="0ABBAE4B" w14:textId="77777777" w:rsidTr="00C32E20">
              <w:trPr>
                <w:trHeight w:val="195"/>
                <w:jc w:val="center"/>
              </w:trPr>
              <w:tc>
                <w:tcPr>
                  <w:tcW w:w="2640" w:type="dxa"/>
                  <w:tcBorders>
                    <w:top w:val="single" w:sz="4" w:space="0" w:color="auto"/>
                  </w:tcBorders>
                  <w:shd w:val="clear" w:color="auto" w:fill="F2E3C7" w:themeFill="background2"/>
                  <w:hideMark/>
                </w:tcPr>
                <w:p w14:paraId="7AB2C13D" w14:textId="77777777" w:rsidR="009A4DA0" w:rsidRPr="00251DA1" w:rsidRDefault="009A4DA0">
                  <w:pPr>
                    <w:pStyle w:val="BoxText"/>
                    <w:rPr>
                      <w:rFonts w:eastAsia="Tahoma" w:cstheme="minorHAnsi"/>
                    </w:rPr>
                  </w:pPr>
                  <w:r w:rsidRPr="00251DA1">
                    <w:rPr>
                      <w:rFonts w:eastAsia="Tahoma"/>
                    </w:rPr>
                    <w:t>Tasmania</w:t>
                  </w:r>
                </w:p>
              </w:tc>
              <w:tc>
                <w:tcPr>
                  <w:tcW w:w="6376" w:type="dxa"/>
                  <w:shd w:val="clear" w:color="auto" w:fill="F2E3C7" w:themeFill="background2"/>
                  <w:hideMark/>
                </w:tcPr>
                <w:p w14:paraId="36AC4ABB" w14:textId="03651AED" w:rsidR="009A4DA0" w:rsidRPr="00251DA1" w:rsidRDefault="00B2729D">
                  <w:pPr>
                    <w:pStyle w:val="BoxText"/>
                    <w:rPr>
                      <w:rFonts w:eastAsia="Tahoma" w:cstheme="minorHAnsi"/>
                    </w:rPr>
                  </w:pPr>
                  <w:r>
                    <w:rPr>
                      <w:rFonts w:eastAsia="Tahoma" w:cstheme="minorHAnsi"/>
                    </w:rPr>
                    <w:t>3</w:t>
                  </w:r>
                  <w:r w:rsidR="00563A2B">
                    <w:rPr>
                      <w:rFonts w:eastAsia="Tahoma" w:cstheme="minorHAnsi"/>
                    </w:rPr>
                    <w:noBreakHyphen/>
                  </w:r>
                  <w:r w:rsidR="009A4DA0" w:rsidRPr="00251DA1">
                    <w:rPr>
                      <w:rFonts w:eastAsia="Tahoma" w:cstheme="minorHAnsi"/>
                    </w:rPr>
                    <w:t>year land tax exemption is available for newly built housing made available for long</w:t>
                  </w:r>
                  <w:r w:rsidR="00563A2B">
                    <w:rPr>
                      <w:rFonts w:eastAsia="Tahoma" w:cstheme="minorHAnsi"/>
                    </w:rPr>
                    <w:noBreakHyphen/>
                  </w:r>
                  <w:r w:rsidR="009A4DA0" w:rsidRPr="00251DA1">
                    <w:rPr>
                      <w:rFonts w:eastAsia="Tahoma" w:cstheme="minorHAnsi"/>
                    </w:rPr>
                    <w:t>term rental.</w:t>
                  </w:r>
                </w:p>
              </w:tc>
            </w:tr>
            <w:tr w:rsidR="009A4DA0" w:rsidRPr="00251DA1" w14:paraId="5FEB3FBF" w14:textId="77777777" w:rsidTr="00D377D4">
              <w:trPr>
                <w:trHeight w:val="1417"/>
                <w:jc w:val="center"/>
              </w:trPr>
              <w:tc>
                <w:tcPr>
                  <w:tcW w:w="2640" w:type="dxa"/>
                  <w:shd w:val="clear" w:color="auto" w:fill="F2E3C7" w:themeFill="background2"/>
                  <w:hideMark/>
                </w:tcPr>
                <w:p w14:paraId="5D1A3C3A" w14:textId="77777777" w:rsidR="009A4DA0" w:rsidRPr="00251DA1" w:rsidRDefault="009A4DA0">
                  <w:pPr>
                    <w:pStyle w:val="BoxText"/>
                    <w:rPr>
                      <w:rFonts w:eastAsia="Tahoma" w:cstheme="minorHAnsi"/>
                    </w:rPr>
                  </w:pPr>
                  <w:r w:rsidRPr="00251DA1">
                    <w:rPr>
                      <w:rFonts w:eastAsia="Tahoma"/>
                    </w:rPr>
                    <w:t>Australian Capital Territory</w:t>
                  </w:r>
                </w:p>
              </w:tc>
              <w:tc>
                <w:tcPr>
                  <w:tcW w:w="6376" w:type="dxa"/>
                  <w:shd w:val="clear" w:color="auto" w:fill="F2E3C7" w:themeFill="background2"/>
                  <w:hideMark/>
                </w:tcPr>
                <w:p w14:paraId="2634F3A5" w14:textId="1B1B09AB" w:rsidR="00050F76" w:rsidRDefault="009A4DA0" w:rsidP="00B13F48">
                  <w:pPr>
                    <w:pStyle w:val="BoxText"/>
                    <w:rPr>
                      <w:rFonts w:eastAsia="Tahoma" w:cstheme="minorHAnsi"/>
                      <w:iCs/>
                    </w:rPr>
                  </w:pPr>
                  <w:r w:rsidRPr="00514183">
                    <w:rPr>
                      <w:rFonts w:eastAsia="Tahoma"/>
                    </w:rPr>
                    <w:t>No unit titling of the individual dwellings allowing for substantially reduced land tax and general rates.</w:t>
                  </w:r>
                  <w:r w:rsidR="00635385" w:rsidRPr="001436EA">
                    <w:rPr>
                      <w:rFonts w:eastAsia="Tahoma" w:cstheme="minorHAnsi"/>
                    </w:rPr>
                    <w:t xml:space="preserve"> </w:t>
                  </w:r>
                </w:p>
                <w:p w14:paraId="528553C3" w14:textId="5040B811" w:rsidR="009A4DA0" w:rsidRPr="00D377D4" w:rsidRDefault="00050F76" w:rsidP="00FE12D6">
                  <w:pPr>
                    <w:pStyle w:val="BoxText"/>
                    <w:rPr>
                      <w:rFonts w:ascii="Segoe UI" w:eastAsia="Tahoma" w:hAnsi="Segoe UI" w:cs="Segoe UI"/>
                      <w:sz w:val="18"/>
                      <w:szCs w:val="18"/>
                    </w:rPr>
                  </w:pPr>
                  <w:r>
                    <w:rPr>
                      <w:rFonts w:eastAsia="Tahoma" w:cstheme="minorHAnsi"/>
                    </w:rPr>
                    <w:t xml:space="preserve">Note: </w:t>
                  </w:r>
                  <w:r w:rsidR="00635385" w:rsidRPr="001436EA">
                    <w:rPr>
                      <w:rFonts w:eastAsia="Tahoma" w:cstheme="minorHAnsi"/>
                    </w:rPr>
                    <w:t>15</w:t>
                  </w:r>
                  <w:r w:rsidR="00E67AFE">
                    <w:rPr>
                      <w:rFonts w:eastAsia="Tahoma" w:cstheme="minorHAnsi"/>
                    </w:rPr>
                    <w:t> per </w:t>
                  </w:r>
                  <w:r w:rsidR="00635385" w:rsidRPr="001436EA">
                    <w:rPr>
                      <w:rFonts w:eastAsia="Tahoma" w:cstheme="minorHAnsi"/>
                    </w:rPr>
                    <w:t xml:space="preserve">cent of the tenancies in the developments must be </w:t>
                  </w:r>
                  <w:r w:rsidR="00563A2B">
                    <w:rPr>
                      <w:rFonts w:eastAsia="Tahoma" w:cstheme="minorHAnsi"/>
                    </w:rPr>
                    <w:t>‘</w:t>
                  </w:r>
                  <w:r w:rsidR="00635385" w:rsidRPr="001436EA">
                    <w:rPr>
                      <w:rFonts w:eastAsia="Tahoma" w:cstheme="minorHAnsi"/>
                    </w:rPr>
                    <w:t>affordable housing</w:t>
                  </w:r>
                  <w:r w:rsidR="00563A2B">
                    <w:rPr>
                      <w:rFonts w:eastAsia="Tahoma" w:cstheme="minorHAnsi"/>
                    </w:rPr>
                    <w:t>’</w:t>
                  </w:r>
                  <w:r w:rsidR="00635385">
                    <w:t>.</w:t>
                  </w:r>
                </w:p>
              </w:tc>
            </w:tr>
            <w:tr w:rsidR="009A4DA0" w:rsidRPr="00251DA1" w14:paraId="3864AC6C" w14:textId="77777777">
              <w:trPr>
                <w:trHeight w:val="195"/>
                <w:jc w:val="center"/>
              </w:trPr>
              <w:tc>
                <w:tcPr>
                  <w:tcW w:w="2640" w:type="dxa"/>
                  <w:shd w:val="clear" w:color="auto" w:fill="F2E3C7" w:themeFill="background2"/>
                  <w:hideMark/>
                </w:tcPr>
                <w:p w14:paraId="5EF96F68" w14:textId="77777777" w:rsidR="009A4DA0" w:rsidRPr="00251DA1" w:rsidRDefault="009A4DA0">
                  <w:pPr>
                    <w:pStyle w:val="BoxText"/>
                    <w:rPr>
                      <w:rFonts w:eastAsia="Tahoma" w:cstheme="minorHAnsi"/>
                    </w:rPr>
                  </w:pPr>
                  <w:r w:rsidRPr="00251DA1">
                    <w:rPr>
                      <w:rFonts w:eastAsia="Tahoma"/>
                    </w:rPr>
                    <w:t>Nor</w:t>
                  </w:r>
                  <w:r w:rsidRPr="00251DA1">
                    <w:rPr>
                      <w:rFonts w:eastAsia="Tahoma" w:cstheme="minorHAnsi"/>
                      <w:color w:val="000000"/>
                    </w:rPr>
                    <w:t>thern Territory</w:t>
                  </w:r>
                </w:p>
              </w:tc>
              <w:tc>
                <w:tcPr>
                  <w:tcW w:w="6376" w:type="dxa"/>
                  <w:shd w:val="clear" w:color="auto" w:fill="F2E3C7" w:themeFill="background2"/>
                  <w:hideMark/>
                </w:tcPr>
                <w:p w14:paraId="2233CDA3" w14:textId="3AF4BD37" w:rsidR="009A4DA0" w:rsidRPr="00251DA1" w:rsidRDefault="007F20F5">
                  <w:pPr>
                    <w:pStyle w:val="BoxText"/>
                    <w:rPr>
                      <w:rFonts w:eastAsia="Tahoma" w:cstheme="minorHAnsi"/>
                    </w:rPr>
                  </w:pPr>
                  <w:r>
                    <w:rPr>
                      <w:rFonts w:eastAsia="Tahoma"/>
                    </w:rPr>
                    <w:t>None</w:t>
                  </w:r>
                  <w:r w:rsidR="009A4DA0" w:rsidRPr="00251DA1">
                    <w:rPr>
                      <w:rFonts w:eastAsia="Tahoma" w:cstheme="minorHAnsi"/>
                    </w:rPr>
                    <w:t xml:space="preserve"> </w:t>
                  </w:r>
                </w:p>
              </w:tc>
            </w:tr>
          </w:tbl>
          <w:p w14:paraId="09378CA5" w14:textId="4EDBD46E" w:rsidR="009A4DA0" w:rsidRPr="0052219A" w:rsidRDefault="009A4DA0" w:rsidP="005E3221">
            <w:pPr>
              <w:pStyle w:val="ChartorTableNote"/>
            </w:pPr>
            <w:r w:rsidRPr="0052219A">
              <w:t>Source: Clayton Utz 2023</w:t>
            </w:r>
            <w:r>
              <w:t>; Tasmanian Government 2023.</w:t>
            </w:r>
          </w:p>
        </w:tc>
      </w:tr>
    </w:tbl>
    <w:p w14:paraId="3C62CF82" w14:textId="77777777" w:rsidR="002C2697" w:rsidRDefault="002C2697" w:rsidP="002C2697">
      <w:pPr>
        <w:sectPr w:rsidR="002C2697">
          <w:pgSz w:w="11906" w:h="16838" w:code="9"/>
          <w:pgMar w:top="1843" w:right="1418" w:bottom="1418" w:left="1418" w:header="709" w:footer="709" w:gutter="0"/>
          <w:cols w:space="708"/>
          <w:docGrid w:linePitch="360"/>
        </w:sectPr>
      </w:pPr>
      <w:bookmarkStart w:id="64" w:name="_Toc139618812"/>
      <w:bookmarkStart w:id="65" w:name="_Toc139635539"/>
    </w:p>
    <w:p w14:paraId="0E87907B" w14:textId="77777777" w:rsidR="009A4DA0" w:rsidRPr="007C04FF" w:rsidRDefault="009A4DA0" w:rsidP="009A4DA0">
      <w:pPr>
        <w:pStyle w:val="Heading1Numbered"/>
      </w:pPr>
      <w:bookmarkStart w:id="66" w:name="_Toc141355249"/>
      <w:r w:rsidRPr="007C04FF">
        <w:lastRenderedPageBreak/>
        <w:t>Institutional investment in residential property overseas</w:t>
      </w:r>
      <w:bookmarkEnd w:id="64"/>
      <w:bookmarkEnd w:id="65"/>
      <w:bookmarkEnd w:id="66"/>
    </w:p>
    <w:p w14:paraId="01BE8126" w14:textId="09127D3D" w:rsidR="009A4DA0" w:rsidRPr="00FE75E5" w:rsidRDefault="009A4DA0" w:rsidP="002F40E7">
      <w:r w:rsidRPr="00FE75E5">
        <w:t xml:space="preserve">This section considers the experience of </w:t>
      </w:r>
      <w:r w:rsidR="00C80B57">
        <w:t xml:space="preserve">institutional </w:t>
      </w:r>
      <w:r w:rsidRPr="00FE75E5">
        <w:t xml:space="preserve">investors </w:t>
      </w:r>
      <w:r w:rsidR="00C80B57">
        <w:t>in housing markets</w:t>
      </w:r>
      <w:r w:rsidRPr="00FE75E5">
        <w:t xml:space="preserve"> </w:t>
      </w:r>
      <w:r>
        <w:t xml:space="preserve">in </w:t>
      </w:r>
      <w:r w:rsidR="004D097E">
        <w:t xml:space="preserve">selected </w:t>
      </w:r>
      <w:r>
        <w:t>jurisdictions</w:t>
      </w:r>
      <w:r w:rsidR="00641EDA" w:rsidRPr="00641EDA">
        <w:t xml:space="preserve"> </w:t>
      </w:r>
      <w:r w:rsidR="00641EDA">
        <w:t>overseas</w:t>
      </w:r>
      <w:r w:rsidR="008B7F5A">
        <w:t xml:space="preserve">, with the goal of </w:t>
      </w:r>
      <w:r w:rsidRPr="00FE75E5">
        <w:t>identify</w:t>
      </w:r>
      <w:r w:rsidR="008B7F5A">
        <w:t>ing</w:t>
      </w:r>
      <w:r w:rsidRPr="00FE75E5">
        <w:t xml:space="preserve"> the incentives and regulatory setting</w:t>
      </w:r>
      <w:r w:rsidR="00222A9C">
        <w:t>s</w:t>
      </w:r>
      <w:r w:rsidRPr="00FE75E5">
        <w:t xml:space="preserve"> that support institutional investment in housing in a manner that benefits both investors and tenants</w:t>
      </w:r>
      <w:r w:rsidR="00036446">
        <w:t>.</w:t>
      </w:r>
      <w:r w:rsidRPr="00FE75E5">
        <w:t xml:space="preserve"> </w:t>
      </w:r>
      <w:r w:rsidR="00C80B57">
        <w:t>While t</w:t>
      </w:r>
      <w:r w:rsidR="00083C87">
        <w:t xml:space="preserve">here are significant differences between the Australian and overseas housing markets </w:t>
      </w:r>
      <w:r w:rsidR="00C80B57">
        <w:t>– particularly those of Europe, which have significant amounts of rental housing that is subsidised and/or provided by non</w:t>
      </w:r>
      <w:r w:rsidR="00563A2B">
        <w:noBreakHyphen/>
      </w:r>
      <w:r w:rsidR="00C80B57">
        <w:t>Government organisations</w:t>
      </w:r>
      <w:r w:rsidR="00641EDA">
        <w:t xml:space="preserve"> – </w:t>
      </w:r>
      <w:r w:rsidR="00C80B57">
        <w:t>some common themes are identifiable</w:t>
      </w:r>
      <w:r w:rsidR="00036446">
        <w:t xml:space="preserve"> (</w:t>
      </w:r>
      <w:r w:rsidR="00382B08">
        <w:t>see</w:t>
      </w:r>
      <w:r w:rsidR="0087544E">
        <w:t xml:space="preserve"> </w:t>
      </w:r>
      <w:r w:rsidR="00036446">
        <w:t>Tables 3 and 4)</w:t>
      </w:r>
      <w:r w:rsidR="00C80B57">
        <w:t xml:space="preserve">. </w:t>
      </w:r>
    </w:p>
    <w:p w14:paraId="6F3E2E33" w14:textId="305716F8" w:rsidR="009A4DA0" w:rsidRPr="00FE75E5" w:rsidRDefault="009A4DA0" w:rsidP="002F40E7">
      <w:r w:rsidRPr="00FE75E5">
        <w:t>The defining characteristic of institutional investment overseas is demonstrated commercial viability. This include</w:t>
      </w:r>
      <w:r>
        <w:t>s</w:t>
      </w:r>
      <w:r w:rsidRPr="00FE75E5">
        <w:t xml:space="preserve"> attractive </w:t>
      </w:r>
      <w:r>
        <w:t>returns</w:t>
      </w:r>
      <w:r w:rsidRPr="00FE75E5">
        <w:t xml:space="preserve"> and </w:t>
      </w:r>
      <w:r>
        <w:t xml:space="preserve">moderate risks, </w:t>
      </w:r>
      <w:r w:rsidR="0037607F">
        <w:t xml:space="preserve">supported by </w:t>
      </w:r>
      <w:r>
        <w:t xml:space="preserve">the availability of good quality data on </w:t>
      </w:r>
      <w:r w:rsidR="0037607F">
        <w:t xml:space="preserve">revenues and </w:t>
      </w:r>
      <w:r w:rsidRPr="00FE75E5">
        <w:t xml:space="preserve">costs </w:t>
      </w:r>
      <w:r w:rsidR="0037607F">
        <w:t xml:space="preserve">associated with </w:t>
      </w:r>
      <w:r>
        <w:t>managing properties</w:t>
      </w:r>
      <w:r w:rsidRPr="00FE75E5">
        <w:t xml:space="preserve">. </w:t>
      </w:r>
      <w:r>
        <w:t>Jurisdictions with established markets also typically have dedicated and transparent regulatory, legal and tax arrangements for the sector, in</w:t>
      </w:r>
      <w:r w:rsidR="00886E17">
        <w:t> </w:t>
      </w:r>
      <w:r>
        <w:t xml:space="preserve">part due to the development of case law and </w:t>
      </w:r>
      <w:r w:rsidR="000C52E0">
        <w:t>regulation</w:t>
      </w:r>
      <w:r>
        <w:t xml:space="preserve"> over time.</w:t>
      </w:r>
      <w:r w:rsidRPr="00FE75E5">
        <w:t xml:space="preserve"> </w:t>
      </w:r>
    </w:p>
    <w:p w14:paraId="3F7F3DF3" w14:textId="46CCEAB8" w:rsidR="009A4DA0" w:rsidRPr="00FE75E5" w:rsidRDefault="009A4DA0" w:rsidP="002F40E7">
      <w:r w:rsidRPr="00FE75E5">
        <w:t>Another</w:t>
      </w:r>
      <w:r w:rsidRPr="00FE75E5" w:rsidDel="002B1C3F">
        <w:t xml:space="preserve"> </w:t>
      </w:r>
      <w:r w:rsidRPr="00FE75E5">
        <w:t>feature of markets overseas is some form of subsidy that fosters investment. These often take the form of tax concessions, either targeted at affordable housing or the rental market in general. Another common subsidy is debt concessions or guarantee</w:t>
      </w:r>
      <w:r>
        <w:t>s</w:t>
      </w:r>
      <w:r w:rsidRPr="00FE75E5">
        <w:t xml:space="preserve">, often designed to close gaps in the provision of finance in intermediated or capital markets. </w:t>
      </w:r>
      <w:r>
        <w:t>R</w:t>
      </w:r>
      <w:r w:rsidRPr="00FE75E5">
        <w:t xml:space="preserve">egulatory arrangements that support institutional housing are </w:t>
      </w:r>
      <w:r>
        <w:t xml:space="preserve">also an important </w:t>
      </w:r>
      <w:r w:rsidRPr="00FE75E5">
        <w:t xml:space="preserve">feature. Settings tend to be well </w:t>
      </w:r>
      <w:r>
        <w:t>e</w:t>
      </w:r>
      <w:r w:rsidRPr="00FE75E5">
        <w:t>stablished, stable and nationally harmonised, and there are often streamlined processes for large projects.</w:t>
      </w:r>
    </w:p>
    <w:p w14:paraId="5AC02881" w14:textId="2899B40C" w:rsidR="00C80B57" w:rsidRDefault="009A4DA0" w:rsidP="002F40E7">
      <w:r>
        <w:t>A third feature is a well</w:t>
      </w:r>
      <w:r w:rsidR="00563A2B">
        <w:noBreakHyphen/>
      </w:r>
      <w:r>
        <w:t>supplied pipeline of assets suited to institutional investment. In some jurisdictions, including the U</w:t>
      </w:r>
      <w:r w:rsidR="001F47DD">
        <w:t>S</w:t>
      </w:r>
      <w:r>
        <w:t xml:space="preserve">, </w:t>
      </w:r>
      <w:r w:rsidR="0097392D">
        <w:t>this</w:t>
      </w:r>
      <w:r>
        <w:t xml:space="preserve"> reflects the </w:t>
      </w:r>
      <w:r w:rsidR="000C52E0">
        <w:t>large</w:t>
      </w:r>
      <w:r>
        <w:t xml:space="preserve"> size of the </w:t>
      </w:r>
      <w:r w:rsidR="00211164">
        <w:t xml:space="preserve">economy, and the fact that </w:t>
      </w:r>
      <w:r>
        <w:t xml:space="preserve">institutional housing </w:t>
      </w:r>
      <w:r w:rsidR="00211164">
        <w:t xml:space="preserve">is </w:t>
      </w:r>
      <w:r>
        <w:t>a well</w:t>
      </w:r>
      <w:r w:rsidR="00563A2B">
        <w:noBreakHyphen/>
      </w:r>
      <w:r>
        <w:t>known asset class</w:t>
      </w:r>
      <w:r w:rsidR="00211164">
        <w:t xml:space="preserve">. </w:t>
      </w:r>
      <w:r w:rsidR="002645FB">
        <w:t>In</w:t>
      </w:r>
      <w:r>
        <w:t xml:space="preserve"> the U</w:t>
      </w:r>
      <w:r w:rsidR="001F47DD">
        <w:t>K</w:t>
      </w:r>
      <w:r>
        <w:t xml:space="preserve">, </w:t>
      </w:r>
      <w:r w:rsidR="002645FB">
        <w:t xml:space="preserve">this </w:t>
      </w:r>
      <w:r>
        <w:t>reflects policy settings and incentives that encourage new developments suitable for institutional investment</w:t>
      </w:r>
      <w:r w:rsidR="00CA2D05">
        <w:t xml:space="preserve"> (Box 4)</w:t>
      </w:r>
      <w:r>
        <w:t>. In others, particularly in Europe, it reflects the sale of public housing assets over time which are conducive to institutional ownership.</w:t>
      </w:r>
    </w:p>
    <w:p w14:paraId="7CEFBEFF" w14:textId="77777777" w:rsidR="00872312" w:rsidRPr="00B430DA" w:rsidRDefault="00872312" w:rsidP="00B430DA">
      <w:r w:rsidRPr="00B430DA">
        <w:br w:type="page"/>
      </w:r>
    </w:p>
    <w:p w14:paraId="5013CFC3" w14:textId="2BF43ED9" w:rsidR="008B371E" w:rsidRPr="00AB342D" w:rsidRDefault="009A4DA0" w:rsidP="00AB342D">
      <w:pPr>
        <w:pStyle w:val="TableMainHeading"/>
      </w:pPr>
      <w:r w:rsidRPr="00AB342D">
        <w:lastRenderedPageBreak/>
        <w:t xml:space="preserve">Table 3: Selected housing statistics across </w:t>
      </w:r>
      <w:r w:rsidR="00A66509" w:rsidRPr="00AB342D">
        <w:t xml:space="preserve">selected </w:t>
      </w:r>
      <w:r w:rsidRPr="00AB342D">
        <w:t>markets</w:t>
      </w:r>
      <w:bookmarkStart w:id="67" w:name="_Toc139618813"/>
      <w:bookmarkStart w:id="68" w:name="_Toc139635540"/>
    </w:p>
    <w:tbl>
      <w:tblPr>
        <w:tblStyle w:val="TableGrid"/>
        <w:tblW w:w="5000" w:type="pct"/>
        <w:tblBorders>
          <w:top w:val="single" w:sz="4" w:space="0" w:color="auto"/>
          <w:left w:val="single" w:sz="4" w:space="0" w:color="auto"/>
          <w:bottom w:val="single" w:sz="4" w:space="0" w:color="auto"/>
          <w:right w:val="single" w:sz="4" w:space="0" w:color="auto"/>
        </w:tblBorders>
        <w:tblLayout w:type="fixed"/>
        <w:tblCellMar>
          <w:top w:w="28" w:type="dxa"/>
          <w:left w:w="113" w:type="dxa"/>
          <w:bottom w:w="28" w:type="dxa"/>
          <w:right w:w="113" w:type="dxa"/>
        </w:tblCellMar>
        <w:tblLook w:val="0620" w:firstRow="1" w:lastRow="0" w:firstColumn="0" w:lastColumn="0" w:noHBand="1" w:noVBand="1"/>
      </w:tblPr>
      <w:tblGrid>
        <w:gridCol w:w="2264"/>
        <w:gridCol w:w="970"/>
        <w:gridCol w:w="971"/>
        <w:gridCol w:w="971"/>
        <w:gridCol w:w="971"/>
        <w:gridCol w:w="971"/>
        <w:gridCol w:w="971"/>
        <w:gridCol w:w="971"/>
      </w:tblGrid>
      <w:tr w:rsidR="00886E17" w:rsidRPr="005836C7" w14:paraId="3B3130D3" w14:textId="77777777" w:rsidTr="005836C7">
        <w:trPr>
          <w:cnfStyle w:val="100000000000" w:firstRow="1" w:lastRow="0" w:firstColumn="0" w:lastColumn="0" w:oddVBand="0" w:evenVBand="0" w:oddHBand="0" w:evenHBand="0" w:firstRowFirstColumn="0" w:firstRowLastColumn="0" w:lastRowFirstColumn="0" w:lastRowLastColumn="0"/>
          <w:trHeight w:val="20"/>
          <w:tblHeader/>
        </w:trPr>
        <w:tc>
          <w:tcPr>
            <w:tcW w:w="1249" w:type="pct"/>
            <w:tcBorders>
              <w:top w:val="single" w:sz="4" w:space="0" w:color="auto"/>
              <w:bottom w:val="single" w:sz="4" w:space="0" w:color="auto"/>
            </w:tcBorders>
            <w:shd w:val="clear" w:color="auto" w:fill="BAD4E8" w:themeFill="accent5"/>
            <w:vAlign w:val="center"/>
          </w:tcPr>
          <w:p w14:paraId="09EAFFE0" w14:textId="77777777" w:rsidR="00CF2CEC" w:rsidRPr="005836C7" w:rsidRDefault="00CF2CEC" w:rsidP="00886E17">
            <w:pPr>
              <w:pStyle w:val="TableColumnHeadingRight"/>
              <w:rPr>
                <w:b/>
                <w:bCs/>
              </w:rPr>
            </w:pPr>
          </w:p>
        </w:tc>
        <w:tc>
          <w:tcPr>
            <w:tcW w:w="535" w:type="pct"/>
            <w:tcBorders>
              <w:top w:val="single" w:sz="4" w:space="0" w:color="auto"/>
              <w:bottom w:val="single" w:sz="4" w:space="0" w:color="auto"/>
            </w:tcBorders>
            <w:shd w:val="clear" w:color="auto" w:fill="BAD4E8" w:themeFill="accent5"/>
            <w:vAlign w:val="center"/>
          </w:tcPr>
          <w:p w14:paraId="1766DB6A" w14:textId="77777777" w:rsidR="00CF2CEC" w:rsidRPr="005836C7" w:rsidRDefault="00CF2CEC" w:rsidP="00886E17">
            <w:pPr>
              <w:pStyle w:val="TableColumnHeadingRight"/>
              <w:rPr>
                <w:b/>
                <w:bCs/>
              </w:rPr>
            </w:pPr>
            <w:r w:rsidRPr="005836C7">
              <w:rPr>
                <w:b/>
                <w:bCs/>
              </w:rPr>
              <w:t>Australia</w:t>
            </w:r>
          </w:p>
        </w:tc>
        <w:tc>
          <w:tcPr>
            <w:tcW w:w="536" w:type="pct"/>
            <w:tcBorders>
              <w:top w:val="single" w:sz="4" w:space="0" w:color="auto"/>
              <w:bottom w:val="single" w:sz="4" w:space="0" w:color="auto"/>
            </w:tcBorders>
            <w:shd w:val="clear" w:color="auto" w:fill="BAD4E8" w:themeFill="accent5"/>
            <w:vAlign w:val="center"/>
          </w:tcPr>
          <w:p w14:paraId="5FFC3D55" w14:textId="77777777" w:rsidR="00CF2CEC" w:rsidRPr="005836C7" w:rsidRDefault="00CF2CEC" w:rsidP="00886E17">
            <w:pPr>
              <w:pStyle w:val="TableColumnHeadingRight"/>
              <w:rPr>
                <w:b/>
                <w:bCs/>
              </w:rPr>
            </w:pPr>
            <w:r w:rsidRPr="005836C7">
              <w:rPr>
                <w:b/>
                <w:bCs/>
              </w:rPr>
              <w:t>Canada</w:t>
            </w:r>
          </w:p>
        </w:tc>
        <w:tc>
          <w:tcPr>
            <w:tcW w:w="536" w:type="pct"/>
            <w:tcBorders>
              <w:top w:val="single" w:sz="4" w:space="0" w:color="auto"/>
              <w:bottom w:val="single" w:sz="4" w:space="0" w:color="auto"/>
            </w:tcBorders>
            <w:shd w:val="clear" w:color="auto" w:fill="BAD4E8" w:themeFill="accent5"/>
            <w:vAlign w:val="center"/>
          </w:tcPr>
          <w:p w14:paraId="6AC9DF2F" w14:textId="77777777" w:rsidR="00CF2CEC" w:rsidRPr="005836C7" w:rsidRDefault="00CF2CEC" w:rsidP="00886E17">
            <w:pPr>
              <w:pStyle w:val="TableColumnHeadingRight"/>
              <w:rPr>
                <w:b/>
                <w:bCs/>
              </w:rPr>
            </w:pPr>
            <w:r w:rsidRPr="005836C7">
              <w:rPr>
                <w:b/>
                <w:bCs/>
              </w:rPr>
              <w:t>France</w:t>
            </w:r>
          </w:p>
        </w:tc>
        <w:tc>
          <w:tcPr>
            <w:tcW w:w="536" w:type="pct"/>
            <w:tcBorders>
              <w:top w:val="single" w:sz="4" w:space="0" w:color="auto"/>
              <w:bottom w:val="single" w:sz="4" w:space="0" w:color="auto"/>
            </w:tcBorders>
            <w:shd w:val="clear" w:color="auto" w:fill="BAD4E8" w:themeFill="accent5"/>
            <w:vAlign w:val="center"/>
          </w:tcPr>
          <w:p w14:paraId="5D841132" w14:textId="77777777" w:rsidR="00CF2CEC" w:rsidRPr="005836C7" w:rsidRDefault="00CF2CEC" w:rsidP="00886E17">
            <w:pPr>
              <w:pStyle w:val="TableColumnHeadingRight"/>
              <w:rPr>
                <w:b/>
                <w:bCs/>
              </w:rPr>
            </w:pPr>
            <w:r w:rsidRPr="005836C7">
              <w:rPr>
                <w:b/>
                <w:bCs/>
              </w:rPr>
              <w:t>Germany</w:t>
            </w:r>
          </w:p>
        </w:tc>
        <w:tc>
          <w:tcPr>
            <w:tcW w:w="536" w:type="pct"/>
            <w:tcBorders>
              <w:top w:val="single" w:sz="4" w:space="0" w:color="auto"/>
              <w:bottom w:val="single" w:sz="4" w:space="0" w:color="auto"/>
            </w:tcBorders>
            <w:shd w:val="clear" w:color="auto" w:fill="BAD4E8" w:themeFill="accent5"/>
            <w:vAlign w:val="center"/>
          </w:tcPr>
          <w:p w14:paraId="2E94A693" w14:textId="77777777" w:rsidR="00CF2CEC" w:rsidRPr="005836C7" w:rsidRDefault="00CF2CEC" w:rsidP="00886E17">
            <w:pPr>
              <w:pStyle w:val="TableColumnHeadingRight"/>
              <w:rPr>
                <w:b/>
                <w:bCs/>
              </w:rPr>
            </w:pPr>
            <w:r w:rsidRPr="005836C7">
              <w:rPr>
                <w:b/>
                <w:bCs/>
              </w:rPr>
              <w:t>Japan</w:t>
            </w:r>
          </w:p>
        </w:tc>
        <w:tc>
          <w:tcPr>
            <w:tcW w:w="536" w:type="pct"/>
            <w:tcBorders>
              <w:top w:val="single" w:sz="4" w:space="0" w:color="auto"/>
              <w:bottom w:val="single" w:sz="4" w:space="0" w:color="auto"/>
            </w:tcBorders>
            <w:shd w:val="clear" w:color="auto" w:fill="BAD4E8" w:themeFill="accent5"/>
            <w:vAlign w:val="center"/>
          </w:tcPr>
          <w:p w14:paraId="4A9B06AD" w14:textId="77777777" w:rsidR="00CF2CEC" w:rsidRPr="005836C7" w:rsidRDefault="00CF2CEC" w:rsidP="00886E17">
            <w:pPr>
              <w:pStyle w:val="TableColumnHeadingRight"/>
              <w:rPr>
                <w:b/>
                <w:bCs/>
              </w:rPr>
            </w:pPr>
            <w:r w:rsidRPr="005836C7">
              <w:rPr>
                <w:b/>
                <w:bCs/>
              </w:rPr>
              <w:t xml:space="preserve">United </w:t>
            </w:r>
            <w:r w:rsidRPr="005836C7">
              <w:rPr>
                <w:b/>
                <w:bCs/>
              </w:rPr>
              <w:br/>
              <w:t>Kingdom</w:t>
            </w:r>
          </w:p>
        </w:tc>
        <w:tc>
          <w:tcPr>
            <w:tcW w:w="536" w:type="pct"/>
            <w:tcBorders>
              <w:top w:val="single" w:sz="4" w:space="0" w:color="auto"/>
              <w:bottom w:val="single" w:sz="4" w:space="0" w:color="auto"/>
            </w:tcBorders>
            <w:shd w:val="clear" w:color="auto" w:fill="BAD4E8" w:themeFill="accent5"/>
            <w:vAlign w:val="center"/>
          </w:tcPr>
          <w:p w14:paraId="385BF776" w14:textId="77777777" w:rsidR="00CF2CEC" w:rsidRPr="005836C7" w:rsidRDefault="00CF2CEC" w:rsidP="00886E17">
            <w:pPr>
              <w:pStyle w:val="TableColumnHeadingRight"/>
              <w:rPr>
                <w:b/>
                <w:bCs/>
              </w:rPr>
            </w:pPr>
            <w:r w:rsidRPr="005836C7">
              <w:rPr>
                <w:b/>
                <w:bCs/>
              </w:rPr>
              <w:t>United States</w:t>
            </w:r>
          </w:p>
        </w:tc>
      </w:tr>
      <w:tr w:rsidR="00886E17" w:rsidRPr="00514183" w14:paraId="67094186" w14:textId="77777777" w:rsidTr="005836C7">
        <w:trPr>
          <w:trHeight w:val="20"/>
        </w:trPr>
        <w:tc>
          <w:tcPr>
            <w:tcW w:w="1249" w:type="pct"/>
            <w:tcBorders>
              <w:top w:val="single" w:sz="4" w:space="0" w:color="auto"/>
              <w:bottom w:val="single" w:sz="4" w:space="0" w:color="auto"/>
            </w:tcBorders>
          </w:tcPr>
          <w:p w14:paraId="692AE904" w14:textId="77777777" w:rsidR="00CF2CEC" w:rsidRPr="00514183" w:rsidRDefault="00CF2CEC" w:rsidP="00F25A9D">
            <w:pPr>
              <w:pStyle w:val="TableTextLeft"/>
              <w:rPr>
                <w:b/>
              </w:rPr>
            </w:pPr>
            <w:r w:rsidRPr="00514183">
              <w:t xml:space="preserve">Home ownership rate </w:t>
            </w:r>
            <w:r w:rsidRPr="00514183">
              <w:br/>
              <w:t>(per cent)</w:t>
            </w:r>
            <w:r>
              <w:rPr>
                <w:vertAlign w:val="superscript"/>
              </w:rPr>
              <w:t>a</w:t>
            </w:r>
          </w:p>
        </w:tc>
        <w:tc>
          <w:tcPr>
            <w:tcW w:w="535" w:type="pct"/>
            <w:tcBorders>
              <w:top w:val="single" w:sz="4" w:space="0" w:color="auto"/>
              <w:bottom w:val="single" w:sz="4" w:space="0" w:color="auto"/>
            </w:tcBorders>
          </w:tcPr>
          <w:p w14:paraId="2E3A1A8B" w14:textId="77777777" w:rsidR="00CF2CEC" w:rsidRPr="00514183" w:rsidRDefault="00CF2CEC" w:rsidP="00F25A9D">
            <w:pPr>
              <w:pStyle w:val="TableTextRight"/>
            </w:pPr>
            <w:r w:rsidRPr="00514183">
              <w:t xml:space="preserve">63.0 </w:t>
            </w:r>
          </w:p>
        </w:tc>
        <w:tc>
          <w:tcPr>
            <w:tcW w:w="536" w:type="pct"/>
            <w:tcBorders>
              <w:top w:val="single" w:sz="4" w:space="0" w:color="auto"/>
              <w:bottom w:val="single" w:sz="4" w:space="0" w:color="auto"/>
            </w:tcBorders>
          </w:tcPr>
          <w:p w14:paraId="0619030B" w14:textId="77777777" w:rsidR="00CF2CEC" w:rsidRPr="00514183" w:rsidRDefault="00CF2CEC" w:rsidP="00F25A9D">
            <w:pPr>
              <w:pStyle w:val="TableTextRight"/>
            </w:pPr>
            <w:r w:rsidRPr="00514183">
              <w:t xml:space="preserve">69.2 </w:t>
            </w:r>
          </w:p>
        </w:tc>
        <w:tc>
          <w:tcPr>
            <w:tcW w:w="536" w:type="pct"/>
            <w:tcBorders>
              <w:top w:val="single" w:sz="4" w:space="0" w:color="auto"/>
              <w:bottom w:val="single" w:sz="4" w:space="0" w:color="auto"/>
            </w:tcBorders>
          </w:tcPr>
          <w:p w14:paraId="0896677C" w14:textId="77777777" w:rsidR="00CF2CEC" w:rsidRPr="00514183" w:rsidRDefault="00CF2CEC" w:rsidP="00F25A9D">
            <w:pPr>
              <w:pStyle w:val="TableTextRight"/>
            </w:pPr>
            <w:r w:rsidRPr="00514183">
              <w:t>61.7</w:t>
            </w:r>
          </w:p>
        </w:tc>
        <w:tc>
          <w:tcPr>
            <w:tcW w:w="536" w:type="pct"/>
            <w:tcBorders>
              <w:top w:val="single" w:sz="4" w:space="0" w:color="auto"/>
              <w:bottom w:val="single" w:sz="4" w:space="0" w:color="auto"/>
            </w:tcBorders>
          </w:tcPr>
          <w:p w14:paraId="0D0CB327" w14:textId="77777777" w:rsidR="00CF2CEC" w:rsidRPr="00514183" w:rsidRDefault="00CF2CEC" w:rsidP="00F25A9D">
            <w:pPr>
              <w:pStyle w:val="TableTextRight"/>
            </w:pPr>
            <w:r w:rsidRPr="00514183">
              <w:t xml:space="preserve">43.8 </w:t>
            </w:r>
          </w:p>
        </w:tc>
        <w:tc>
          <w:tcPr>
            <w:tcW w:w="536" w:type="pct"/>
            <w:tcBorders>
              <w:top w:val="single" w:sz="4" w:space="0" w:color="auto"/>
              <w:bottom w:val="single" w:sz="4" w:space="0" w:color="auto"/>
            </w:tcBorders>
          </w:tcPr>
          <w:p w14:paraId="3B418E00" w14:textId="77777777" w:rsidR="00CF2CEC" w:rsidRPr="00514183" w:rsidRDefault="00CF2CEC" w:rsidP="00F25A9D">
            <w:pPr>
              <w:pStyle w:val="TableTextRight"/>
            </w:pPr>
            <w:r w:rsidRPr="00514183">
              <w:t>61.2</w:t>
            </w:r>
          </w:p>
        </w:tc>
        <w:tc>
          <w:tcPr>
            <w:tcW w:w="536" w:type="pct"/>
            <w:tcBorders>
              <w:top w:val="single" w:sz="4" w:space="0" w:color="auto"/>
              <w:bottom w:val="single" w:sz="4" w:space="0" w:color="auto"/>
            </w:tcBorders>
          </w:tcPr>
          <w:p w14:paraId="32A1DC34" w14:textId="77777777" w:rsidR="00CF2CEC" w:rsidRPr="00514183" w:rsidRDefault="00CF2CEC" w:rsidP="00F25A9D">
            <w:pPr>
              <w:pStyle w:val="TableTextRight"/>
            </w:pPr>
            <w:r w:rsidRPr="00514183">
              <w:t xml:space="preserve">67.3 </w:t>
            </w:r>
          </w:p>
        </w:tc>
        <w:tc>
          <w:tcPr>
            <w:tcW w:w="536" w:type="pct"/>
            <w:tcBorders>
              <w:top w:val="single" w:sz="4" w:space="0" w:color="auto"/>
              <w:bottom w:val="single" w:sz="4" w:space="0" w:color="auto"/>
            </w:tcBorders>
          </w:tcPr>
          <w:p w14:paraId="06899441" w14:textId="77777777" w:rsidR="00CF2CEC" w:rsidRPr="00514183" w:rsidRDefault="00CF2CEC" w:rsidP="00F25A9D">
            <w:pPr>
              <w:pStyle w:val="TableTextRight"/>
            </w:pPr>
            <w:r>
              <w:t>65.5</w:t>
            </w:r>
          </w:p>
        </w:tc>
      </w:tr>
      <w:tr w:rsidR="00886E17" w:rsidRPr="00514183" w14:paraId="1B4F7113" w14:textId="77777777" w:rsidTr="005836C7">
        <w:trPr>
          <w:trHeight w:val="20"/>
        </w:trPr>
        <w:tc>
          <w:tcPr>
            <w:tcW w:w="1249" w:type="pct"/>
            <w:tcBorders>
              <w:top w:val="single" w:sz="4" w:space="0" w:color="auto"/>
              <w:bottom w:val="single" w:sz="4" w:space="0" w:color="auto"/>
            </w:tcBorders>
          </w:tcPr>
          <w:p w14:paraId="6923AF8F" w14:textId="77777777" w:rsidR="00CF2CEC" w:rsidRPr="00514183" w:rsidRDefault="00CF2CEC" w:rsidP="00F25A9D">
            <w:pPr>
              <w:pStyle w:val="TableTextLeft"/>
              <w:rPr>
                <w:b/>
              </w:rPr>
            </w:pPr>
            <w:r w:rsidRPr="00514183">
              <w:t xml:space="preserve">Housing stock growth </w:t>
            </w:r>
            <w:r w:rsidRPr="00514183">
              <w:br/>
              <w:t>(per cent)</w:t>
            </w:r>
            <w:r>
              <w:rPr>
                <w:vertAlign w:val="superscript"/>
              </w:rPr>
              <w:t>b</w:t>
            </w:r>
          </w:p>
        </w:tc>
        <w:tc>
          <w:tcPr>
            <w:tcW w:w="535" w:type="pct"/>
            <w:tcBorders>
              <w:top w:val="single" w:sz="4" w:space="0" w:color="auto"/>
              <w:bottom w:val="single" w:sz="4" w:space="0" w:color="auto"/>
            </w:tcBorders>
          </w:tcPr>
          <w:p w14:paraId="1912E0C9" w14:textId="77777777" w:rsidR="00CF2CEC" w:rsidRPr="00514183" w:rsidRDefault="00CF2CEC" w:rsidP="00F25A9D">
            <w:pPr>
              <w:pStyle w:val="TableTextRight"/>
            </w:pPr>
            <w:r w:rsidRPr="00514183">
              <w:t>1.7</w:t>
            </w:r>
          </w:p>
        </w:tc>
        <w:tc>
          <w:tcPr>
            <w:tcW w:w="536" w:type="pct"/>
            <w:tcBorders>
              <w:top w:val="single" w:sz="4" w:space="0" w:color="auto"/>
              <w:bottom w:val="single" w:sz="4" w:space="0" w:color="auto"/>
            </w:tcBorders>
          </w:tcPr>
          <w:p w14:paraId="04463EB6" w14:textId="77777777" w:rsidR="00CF2CEC" w:rsidRPr="00514183" w:rsidRDefault="00CF2CEC" w:rsidP="00F25A9D">
            <w:pPr>
              <w:pStyle w:val="TableTextRight"/>
            </w:pPr>
            <w:r w:rsidRPr="00514183">
              <w:t>1.1</w:t>
            </w:r>
          </w:p>
        </w:tc>
        <w:tc>
          <w:tcPr>
            <w:tcW w:w="536" w:type="pct"/>
            <w:tcBorders>
              <w:top w:val="single" w:sz="4" w:space="0" w:color="auto"/>
              <w:bottom w:val="single" w:sz="4" w:space="0" w:color="auto"/>
            </w:tcBorders>
          </w:tcPr>
          <w:p w14:paraId="15E08EBB" w14:textId="77777777" w:rsidR="00CF2CEC" w:rsidRPr="00514183" w:rsidRDefault="00CF2CEC" w:rsidP="00F25A9D">
            <w:pPr>
              <w:pStyle w:val="TableTextRight"/>
            </w:pPr>
            <w:r w:rsidRPr="00514183">
              <w:t>0.9</w:t>
            </w:r>
          </w:p>
        </w:tc>
        <w:tc>
          <w:tcPr>
            <w:tcW w:w="536" w:type="pct"/>
            <w:tcBorders>
              <w:top w:val="single" w:sz="4" w:space="0" w:color="auto"/>
              <w:bottom w:val="single" w:sz="4" w:space="0" w:color="auto"/>
            </w:tcBorders>
          </w:tcPr>
          <w:p w14:paraId="62D061C4" w14:textId="77777777" w:rsidR="00CF2CEC" w:rsidRPr="00514183" w:rsidRDefault="00CF2CEC" w:rsidP="00F25A9D">
            <w:pPr>
              <w:pStyle w:val="TableTextRight"/>
            </w:pPr>
            <w:r w:rsidRPr="00514183">
              <w:t>0.7</w:t>
            </w:r>
          </w:p>
        </w:tc>
        <w:tc>
          <w:tcPr>
            <w:tcW w:w="536" w:type="pct"/>
            <w:tcBorders>
              <w:top w:val="single" w:sz="4" w:space="0" w:color="auto"/>
              <w:bottom w:val="single" w:sz="4" w:space="0" w:color="auto"/>
            </w:tcBorders>
          </w:tcPr>
          <w:p w14:paraId="6F438121" w14:textId="77777777" w:rsidR="00CF2CEC" w:rsidRPr="00514183" w:rsidRDefault="00CF2CEC" w:rsidP="00F25A9D">
            <w:pPr>
              <w:pStyle w:val="TableTextRight"/>
            </w:pPr>
            <w:r w:rsidRPr="00514183">
              <w:t>0.6</w:t>
            </w:r>
          </w:p>
        </w:tc>
        <w:tc>
          <w:tcPr>
            <w:tcW w:w="536" w:type="pct"/>
            <w:tcBorders>
              <w:top w:val="single" w:sz="4" w:space="0" w:color="auto"/>
              <w:bottom w:val="single" w:sz="4" w:space="0" w:color="auto"/>
            </w:tcBorders>
          </w:tcPr>
          <w:p w14:paraId="09DC927B" w14:textId="77777777" w:rsidR="00CF2CEC" w:rsidRPr="00514183" w:rsidRDefault="00CF2CEC" w:rsidP="00F25A9D">
            <w:pPr>
              <w:pStyle w:val="TableTextRight"/>
            </w:pPr>
            <w:r w:rsidRPr="00514183">
              <w:t>1.0</w:t>
            </w:r>
          </w:p>
        </w:tc>
        <w:tc>
          <w:tcPr>
            <w:tcW w:w="536" w:type="pct"/>
            <w:tcBorders>
              <w:top w:val="single" w:sz="4" w:space="0" w:color="auto"/>
              <w:bottom w:val="single" w:sz="4" w:space="0" w:color="auto"/>
            </w:tcBorders>
          </w:tcPr>
          <w:p w14:paraId="6DEC3F90" w14:textId="77777777" w:rsidR="00CF2CEC" w:rsidRPr="00514183" w:rsidRDefault="00CF2CEC" w:rsidP="00F25A9D">
            <w:pPr>
              <w:pStyle w:val="TableTextRight"/>
            </w:pPr>
            <w:r>
              <w:t>0.9</w:t>
            </w:r>
          </w:p>
        </w:tc>
      </w:tr>
      <w:tr w:rsidR="00886E17" w:rsidRPr="00514183" w14:paraId="610EA824" w14:textId="77777777" w:rsidTr="005836C7">
        <w:trPr>
          <w:trHeight w:val="20"/>
        </w:trPr>
        <w:tc>
          <w:tcPr>
            <w:tcW w:w="1249" w:type="pct"/>
            <w:tcBorders>
              <w:top w:val="single" w:sz="4" w:space="0" w:color="auto"/>
              <w:bottom w:val="single" w:sz="4" w:space="0" w:color="auto"/>
            </w:tcBorders>
          </w:tcPr>
          <w:p w14:paraId="51B19FD2" w14:textId="2E15E799" w:rsidR="00CF2CEC" w:rsidRPr="00514183" w:rsidRDefault="00CF2CEC" w:rsidP="00F25A9D">
            <w:pPr>
              <w:pStyle w:val="TableTextLeft"/>
              <w:rPr>
                <w:b/>
              </w:rPr>
            </w:pPr>
            <w:r w:rsidRPr="00514183">
              <w:t>Population growth (per</w:t>
            </w:r>
            <w:r w:rsidR="00886E17">
              <w:t> </w:t>
            </w:r>
            <w:r w:rsidRPr="00514183">
              <w:t>cent)</w:t>
            </w:r>
            <w:r>
              <w:rPr>
                <w:vertAlign w:val="superscript"/>
              </w:rPr>
              <w:t>c</w:t>
            </w:r>
          </w:p>
        </w:tc>
        <w:tc>
          <w:tcPr>
            <w:tcW w:w="535" w:type="pct"/>
            <w:tcBorders>
              <w:top w:val="single" w:sz="4" w:space="0" w:color="auto"/>
              <w:bottom w:val="single" w:sz="4" w:space="0" w:color="auto"/>
            </w:tcBorders>
          </w:tcPr>
          <w:p w14:paraId="264D24CA" w14:textId="77777777" w:rsidR="00CF2CEC" w:rsidRPr="00514183" w:rsidRDefault="00CF2CEC" w:rsidP="00F25A9D">
            <w:pPr>
              <w:pStyle w:val="TableTextRight"/>
            </w:pPr>
            <w:r w:rsidRPr="00514183">
              <w:t xml:space="preserve">1.2 </w:t>
            </w:r>
          </w:p>
        </w:tc>
        <w:tc>
          <w:tcPr>
            <w:tcW w:w="536" w:type="pct"/>
            <w:tcBorders>
              <w:top w:val="single" w:sz="4" w:space="0" w:color="auto"/>
              <w:bottom w:val="single" w:sz="4" w:space="0" w:color="auto"/>
            </w:tcBorders>
          </w:tcPr>
          <w:p w14:paraId="788929A1" w14:textId="77777777" w:rsidR="00CF2CEC" w:rsidRPr="00514183" w:rsidRDefault="00CF2CEC" w:rsidP="00F25A9D">
            <w:pPr>
              <w:pStyle w:val="TableTextRight"/>
            </w:pPr>
            <w:r w:rsidRPr="00514183">
              <w:t>1.2</w:t>
            </w:r>
          </w:p>
        </w:tc>
        <w:tc>
          <w:tcPr>
            <w:tcW w:w="536" w:type="pct"/>
            <w:tcBorders>
              <w:top w:val="single" w:sz="4" w:space="0" w:color="auto"/>
              <w:bottom w:val="single" w:sz="4" w:space="0" w:color="auto"/>
            </w:tcBorders>
          </w:tcPr>
          <w:p w14:paraId="410EF3EF" w14:textId="77777777" w:rsidR="00CF2CEC" w:rsidRPr="00514183" w:rsidRDefault="00CF2CEC" w:rsidP="00F25A9D">
            <w:pPr>
              <w:pStyle w:val="TableTextRight"/>
            </w:pPr>
            <w:r w:rsidRPr="00514183">
              <w:t>0.3</w:t>
            </w:r>
          </w:p>
        </w:tc>
        <w:tc>
          <w:tcPr>
            <w:tcW w:w="536" w:type="pct"/>
            <w:tcBorders>
              <w:top w:val="single" w:sz="4" w:space="0" w:color="auto"/>
              <w:bottom w:val="single" w:sz="4" w:space="0" w:color="auto"/>
            </w:tcBorders>
          </w:tcPr>
          <w:p w14:paraId="75B0E7C5" w14:textId="77777777" w:rsidR="00CF2CEC" w:rsidRPr="00514183" w:rsidRDefault="00CF2CEC" w:rsidP="00F25A9D">
            <w:pPr>
              <w:pStyle w:val="TableTextRight"/>
            </w:pPr>
            <w:r w:rsidRPr="00514183">
              <w:t>0.2</w:t>
            </w:r>
          </w:p>
        </w:tc>
        <w:tc>
          <w:tcPr>
            <w:tcW w:w="536" w:type="pct"/>
            <w:tcBorders>
              <w:top w:val="single" w:sz="4" w:space="0" w:color="auto"/>
              <w:bottom w:val="single" w:sz="4" w:space="0" w:color="auto"/>
            </w:tcBorders>
          </w:tcPr>
          <w:p w14:paraId="1EB86981" w14:textId="3DD76F2A" w:rsidR="00CF2CEC" w:rsidRPr="00514183" w:rsidRDefault="00563A2B" w:rsidP="00F25A9D">
            <w:pPr>
              <w:pStyle w:val="TableTextRight"/>
            </w:pPr>
            <w:r>
              <w:noBreakHyphen/>
            </w:r>
            <w:r w:rsidR="00CF2CEC" w:rsidRPr="00514183">
              <w:t>0.2</w:t>
            </w:r>
          </w:p>
        </w:tc>
        <w:tc>
          <w:tcPr>
            <w:tcW w:w="536" w:type="pct"/>
            <w:tcBorders>
              <w:top w:val="single" w:sz="4" w:space="0" w:color="auto"/>
              <w:bottom w:val="single" w:sz="4" w:space="0" w:color="auto"/>
            </w:tcBorders>
          </w:tcPr>
          <w:p w14:paraId="533928E5" w14:textId="77777777" w:rsidR="00CF2CEC" w:rsidRPr="00514183" w:rsidRDefault="00CF2CEC" w:rsidP="00F25A9D">
            <w:pPr>
              <w:pStyle w:val="TableTextRight"/>
            </w:pPr>
            <w:r w:rsidRPr="00514183">
              <w:t>0.5</w:t>
            </w:r>
          </w:p>
        </w:tc>
        <w:tc>
          <w:tcPr>
            <w:tcW w:w="536" w:type="pct"/>
            <w:tcBorders>
              <w:top w:val="single" w:sz="4" w:space="0" w:color="auto"/>
              <w:bottom w:val="single" w:sz="4" w:space="0" w:color="auto"/>
            </w:tcBorders>
          </w:tcPr>
          <w:p w14:paraId="52E2C78F" w14:textId="77777777" w:rsidR="00CF2CEC" w:rsidRPr="00514183" w:rsidRDefault="00CF2CEC" w:rsidP="00F25A9D">
            <w:pPr>
              <w:pStyle w:val="TableTextRight"/>
            </w:pPr>
            <w:r>
              <w:t>0.5</w:t>
            </w:r>
          </w:p>
        </w:tc>
      </w:tr>
      <w:tr w:rsidR="00886E17" w:rsidRPr="00514183" w14:paraId="330D5471" w14:textId="77777777" w:rsidTr="005836C7">
        <w:trPr>
          <w:trHeight w:val="20"/>
        </w:trPr>
        <w:tc>
          <w:tcPr>
            <w:tcW w:w="1249" w:type="pct"/>
            <w:tcBorders>
              <w:top w:val="single" w:sz="4" w:space="0" w:color="auto"/>
              <w:bottom w:val="single" w:sz="4" w:space="0" w:color="auto"/>
            </w:tcBorders>
          </w:tcPr>
          <w:p w14:paraId="0A555C33" w14:textId="77777777" w:rsidR="00CF2CEC" w:rsidRPr="00514183" w:rsidRDefault="00CF2CEC" w:rsidP="00F25A9D">
            <w:pPr>
              <w:pStyle w:val="TableTextLeft"/>
              <w:rPr>
                <w:b/>
              </w:rPr>
            </w:pPr>
            <w:r w:rsidRPr="00514183">
              <w:t xml:space="preserve">Dwellings per </w:t>
            </w:r>
            <w:proofErr w:type="spellStart"/>
            <w:r w:rsidRPr="00514183">
              <w:t>person</w:t>
            </w:r>
            <w:r>
              <w:rPr>
                <w:vertAlign w:val="superscript"/>
              </w:rPr>
              <w:t>d</w:t>
            </w:r>
            <w:proofErr w:type="spellEnd"/>
          </w:p>
        </w:tc>
        <w:tc>
          <w:tcPr>
            <w:tcW w:w="535" w:type="pct"/>
            <w:tcBorders>
              <w:top w:val="single" w:sz="4" w:space="0" w:color="auto"/>
              <w:bottom w:val="single" w:sz="4" w:space="0" w:color="auto"/>
            </w:tcBorders>
          </w:tcPr>
          <w:p w14:paraId="07BED251" w14:textId="77777777" w:rsidR="00CF2CEC" w:rsidRPr="00514183" w:rsidRDefault="00CF2CEC" w:rsidP="00F25A9D">
            <w:pPr>
              <w:pStyle w:val="TableTextRight"/>
            </w:pPr>
            <w:r w:rsidRPr="00514183">
              <w:t>0.42</w:t>
            </w:r>
          </w:p>
        </w:tc>
        <w:tc>
          <w:tcPr>
            <w:tcW w:w="536" w:type="pct"/>
            <w:tcBorders>
              <w:top w:val="single" w:sz="4" w:space="0" w:color="auto"/>
              <w:bottom w:val="single" w:sz="4" w:space="0" w:color="auto"/>
            </w:tcBorders>
          </w:tcPr>
          <w:p w14:paraId="3E973356" w14:textId="77777777" w:rsidR="00CF2CEC" w:rsidRPr="00514183" w:rsidRDefault="00CF2CEC" w:rsidP="00F25A9D">
            <w:pPr>
              <w:pStyle w:val="TableTextRight"/>
            </w:pPr>
            <w:r w:rsidRPr="00514183">
              <w:t>0.43</w:t>
            </w:r>
          </w:p>
        </w:tc>
        <w:tc>
          <w:tcPr>
            <w:tcW w:w="536" w:type="pct"/>
            <w:tcBorders>
              <w:top w:val="single" w:sz="4" w:space="0" w:color="auto"/>
              <w:bottom w:val="single" w:sz="4" w:space="0" w:color="auto"/>
            </w:tcBorders>
          </w:tcPr>
          <w:p w14:paraId="49992FC6" w14:textId="77777777" w:rsidR="00CF2CEC" w:rsidRPr="00514183" w:rsidRDefault="00CF2CEC" w:rsidP="00F25A9D">
            <w:pPr>
              <w:pStyle w:val="TableTextRight"/>
            </w:pPr>
            <w:r w:rsidRPr="00514183">
              <w:t>0.55</w:t>
            </w:r>
          </w:p>
        </w:tc>
        <w:tc>
          <w:tcPr>
            <w:tcW w:w="536" w:type="pct"/>
            <w:tcBorders>
              <w:top w:val="single" w:sz="4" w:space="0" w:color="auto"/>
              <w:bottom w:val="single" w:sz="4" w:space="0" w:color="auto"/>
            </w:tcBorders>
          </w:tcPr>
          <w:p w14:paraId="14CAAE5A" w14:textId="77777777" w:rsidR="00CF2CEC" w:rsidRPr="00514183" w:rsidRDefault="00CF2CEC" w:rsidP="00F25A9D">
            <w:pPr>
              <w:pStyle w:val="TableTextRight"/>
            </w:pPr>
            <w:r w:rsidRPr="00514183">
              <w:t>0.52</w:t>
            </w:r>
          </w:p>
        </w:tc>
        <w:tc>
          <w:tcPr>
            <w:tcW w:w="536" w:type="pct"/>
            <w:tcBorders>
              <w:top w:val="single" w:sz="4" w:space="0" w:color="auto"/>
              <w:bottom w:val="single" w:sz="4" w:space="0" w:color="auto"/>
            </w:tcBorders>
          </w:tcPr>
          <w:p w14:paraId="3E8F69FE" w14:textId="77777777" w:rsidR="00CF2CEC" w:rsidRPr="00514183" w:rsidRDefault="00CF2CEC" w:rsidP="00F25A9D">
            <w:pPr>
              <w:pStyle w:val="TableTextRight"/>
            </w:pPr>
            <w:r w:rsidRPr="00514183">
              <w:t>0.49</w:t>
            </w:r>
          </w:p>
        </w:tc>
        <w:tc>
          <w:tcPr>
            <w:tcW w:w="536" w:type="pct"/>
            <w:tcBorders>
              <w:top w:val="single" w:sz="4" w:space="0" w:color="auto"/>
              <w:bottom w:val="single" w:sz="4" w:space="0" w:color="auto"/>
            </w:tcBorders>
          </w:tcPr>
          <w:p w14:paraId="61B559D8" w14:textId="77777777" w:rsidR="00CF2CEC" w:rsidRPr="00514183" w:rsidRDefault="00CF2CEC" w:rsidP="00F25A9D">
            <w:pPr>
              <w:pStyle w:val="TableTextRight"/>
            </w:pPr>
            <w:r w:rsidRPr="00514183">
              <w:t>0.44</w:t>
            </w:r>
          </w:p>
        </w:tc>
        <w:tc>
          <w:tcPr>
            <w:tcW w:w="536" w:type="pct"/>
            <w:tcBorders>
              <w:top w:val="single" w:sz="4" w:space="0" w:color="auto"/>
              <w:bottom w:val="single" w:sz="4" w:space="0" w:color="auto"/>
            </w:tcBorders>
          </w:tcPr>
          <w:p w14:paraId="054494CE" w14:textId="77777777" w:rsidR="00CF2CEC" w:rsidRPr="00514183" w:rsidRDefault="00CF2CEC" w:rsidP="00F25A9D">
            <w:pPr>
              <w:pStyle w:val="TableTextRight"/>
            </w:pPr>
            <w:r>
              <w:t>0.43</w:t>
            </w:r>
          </w:p>
        </w:tc>
      </w:tr>
      <w:tr w:rsidR="00886E17" w:rsidRPr="00514183" w14:paraId="76693351" w14:textId="77777777" w:rsidTr="005836C7">
        <w:trPr>
          <w:trHeight w:val="20"/>
        </w:trPr>
        <w:tc>
          <w:tcPr>
            <w:tcW w:w="1249" w:type="pct"/>
            <w:tcBorders>
              <w:top w:val="single" w:sz="4" w:space="0" w:color="auto"/>
              <w:bottom w:val="single" w:sz="4" w:space="0" w:color="auto"/>
            </w:tcBorders>
          </w:tcPr>
          <w:p w14:paraId="216D2FF8" w14:textId="14EFCA2F" w:rsidR="00CF2CEC" w:rsidRPr="00514183" w:rsidRDefault="00CF2CEC" w:rsidP="00F25A9D">
            <w:pPr>
              <w:pStyle w:val="TableTextLeft"/>
              <w:rPr>
                <w:b/>
              </w:rPr>
            </w:pPr>
            <w:r w:rsidRPr="00514183">
              <w:t>Public spending on housing</w:t>
            </w:r>
            <w:r w:rsidR="00E64CEF">
              <w:t xml:space="preserve"> allowances</w:t>
            </w:r>
            <w:r w:rsidRPr="00514183">
              <w:t xml:space="preserve"> as share of GDP (per</w:t>
            </w:r>
            <w:r w:rsidR="00E64CEF">
              <w:t> </w:t>
            </w:r>
            <w:r w:rsidRPr="00514183">
              <w:t>cent)</w:t>
            </w:r>
            <w:r>
              <w:rPr>
                <w:vertAlign w:val="superscript"/>
              </w:rPr>
              <w:t>e</w:t>
            </w:r>
          </w:p>
        </w:tc>
        <w:tc>
          <w:tcPr>
            <w:tcW w:w="535" w:type="pct"/>
            <w:tcBorders>
              <w:top w:val="single" w:sz="4" w:space="0" w:color="auto"/>
              <w:bottom w:val="single" w:sz="4" w:space="0" w:color="auto"/>
            </w:tcBorders>
          </w:tcPr>
          <w:p w14:paraId="74D60A6B" w14:textId="77777777" w:rsidR="00CF2CEC" w:rsidRPr="00514183" w:rsidRDefault="00CF2CEC" w:rsidP="00F25A9D">
            <w:pPr>
              <w:pStyle w:val="TableTextRight"/>
            </w:pPr>
            <w:r w:rsidRPr="00514183">
              <w:t>0.24</w:t>
            </w:r>
          </w:p>
        </w:tc>
        <w:tc>
          <w:tcPr>
            <w:tcW w:w="536" w:type="pct"/>
            <w:tcBorders>
              <w:top w:val="single" w:sz="4" w:space="0" w:color="auto"/>
              <w:bottom w:val="single" w:sz="4" w:space="0" w:color="auto"/>
            </w:tcBorders>
          </w:tcPr>
          <w:p w14:paraId="525A9618" w14:textId="77777777" w:rsidR="00CF2CEC" w:rsidRPr="00514183" w:rsidRDefault="00CF2CEC" w:rsidP="00F25A9D">
            <w:pPr>
              <w:pStyle w:val="TableTextRight"/>
            </w:pPr>
            <w:r w:rsidRPr="00514183">
              <w:t>N/A</w:t>
            </w:r>
          </w:p>
        </w:tc>
        <w:tc>
          <w:tcPr>
            <w:tcW w:w="536" w:type="pct"/>
            <w:tcBorders>
              <w:top w:val="single" w:sz="4" w:space="0" w:color="auto"/>
              <w:bottom w:val="single" w:sz="4" w:space="0" w:color="auto"/>
            </w:tcBorders>
          </w:tcPr>
          <w:p w14:paraId="783CEDDB" w14:textId="77777777" w:rsidR="00CF2CEC" w:rsidRPr="00514183" w:rsidRDefault="00CF2CEC" w:rsidP="00F25A9D">
            <w:pPr>
              <w:pStyle w:val="TableTextRight"/>
            </w:pPr>
            <w:r w:rsidRPr="00514183">
              <w:t>0.69</w:t>
            </w:r>
          </w:p>
        </w:tc>
        <w:tc>
          <w:tcPr>
            <w:tcW w:w="536" w:type="pct"/>
            <w:tcBorders>
              <w:top w:val="single" w:sz="4" w:space="0" w:color="auto"/>
              <w:bottom w:val="single" w:sz="4" w:space="0" w:color="auto"/>
            </w:tcBorders>
          </w:tcPr>
          <w:p w14:paraId="547DF447" w14:textId="77777777" w:rsidR="00CF2CEC" w:rsidRPr="00514183" w:rsidRDefault="00CF2CEC" w:rsidP="00F25A9D">
            <w:pPr>
              <w:pStyle w:val="TableTextRight"/>
            </w:pPr>
            <w:r w:rsidRPr="00514183">
              <w:t>0.73</w:t>
            </w:r>
          </w:p>
        </w:tc>
        <w:tc>
          <w:tcPr>
            <w:tcW w:w="536" w:type="pct"/>
            <w:tcBorders>
              <w:top w:val="single" w:sz="4" w:space="0" w:color="auto"/>
              <w:bottom w:val="single" w:sz="4" w:space="0" w:color="auto"/>
            </w:tcBorders>
          </w:tcPr>
          <w:p w14:paraId="7F111C3C" w14:textId="77777777" w:rsidR="00CF2CEC" w:rsidRPr="00514183" w:rsidRDefault="00CF2CEC" w:rsidP="00F25A9D">
            <w:pPr>
              <w:pStyle w:val="TableTextRight"/>
            </w:pPr>
            <w:r w:rsidRPr="00514183">
              <w:t>N/A</w:t>
            </w:r>
          </w:p>
        </w:tc>
        <w:tc>
          <w:tcPr>
            <w:tcW w:w="536" w:type="pct"/>
            <w:tcBorders>
              <w:top w:val="single" w:sz="4" w:space="0" w:color="auto"/>
              <w:bottom w:val="single" w:sz="4" w:space="0" w:color="auto"/>
            </w:tcBorders>
          </w:tcPr>
          <w:p w14:paraId="7E2CC716" w14:textId="77777777" w:rsidR="00CF2CEC" w:rsidRPr="00514183" w:rsidRDefault="00CF2CEC" w:rsidP="00F25A9D">
            <w:pPr>
              <w:pStyle w:val="TableTextRight"/>
            </w:pPr>
            <w:r w:rsidRPr="00514183">
              <w:t>1.38</w:t>
            </w:r>
          </w:p>
        </w:tc>
        <w:tc>
          <w:tcPr>
            <w:tcW w:w="536" w:type="pct"/>
            <w:tcBorders>
              <w:top w:val="single" w:sz="4" w:space="0" w:color="auto"/>
              <w:bottom w:val="single" w:sz="4" w:space="0" w:color="auto"/>
            </w:tcBorders>
          </w:tcPr>
          <w:p w14:paraId="16DEA4E9" w14:textId="77777777" w:rsidR="00CF2CEC" w:rsidRPr="00514183" w:rsidRDefault="00CF2CEC" w:rsidP="00F25A9D">
            <w:pPr>
              <w:pStyle w:val="TableTextRight"/>
            </w:pPr>
            <w:r>
              <w:t>0.13</w:t>
            </w:r>
          </w:p>
        </w:tc>
      </w:tr>
      <w:tr w:rsidR="00886E17" w:rsidRPr="00514183" w14:paraId="57B3A23F" w14:textId="77777777" w:rsidTr="005836C7">
        <w:trPr>
          <w:trHeight w:val="20"/>
        </w:trPr>
        <w:tc>
          <w:tcPr>
            <w:tcW w:w="1249" w:type="pct"/>
            <w:tcBorders>
              <w:top w:val="single" w:sz="4" w:space="0" w:color="auto"/>
              <w:bottom w:val="single" w:sz="4" w:space="0" w:color="auto"/>
            </w:tcBorders>
          </w:tcPr>
          <w:p w14:paraId="3CE29EDD" w14:textId="488E40AA" w:rsidR="00CF2CEC" w:rsidRPr="00514183" w:rsidRDefault="00CF2CEC" w:rsidP="00F25A9D">
            <w:pPr>
              <w:pStyle w:val="TableTextLeft"/>
              <w:rPr>
                <w:b/>
              </w:rPr>
            </w:pPr>
            <w:r>
              <w:t>Build</w:t>
            </w:r>
            <w:r w:rsidR="00563A2B">
              <w:noBreakHyphen/>
            </w:r>
            <w:r>
              <w:t>to</w:t>
            </w:r>
            <w:r w:rsidR="00563A2B">
              <w:noBreakHyphen/>
            </w:r>
            <w:r>
              <w:t>rent</w:t>
            </w:r>
            <w:r w:rsidRPr="00514183">
              <w:t xml:space="preserve"> housing share of housing stock (per cent)</w:t>
            </w:r>
            <w:r>
              <w:rPr>
                <w:vertAlign w:val="superscript"/>
              </w:rPr>
              <w:t>f</w:t>
            </w:r>
          </w:p>
        </w:tc>
        <w:tc>
          <w:tcPr>
            <w:tcW w:w="535" w:type="pct"/>
            <w:tcBorders>
              <w:top w:val="single" w:sz="4" w:space="0" w:color="auto"/>
              <w:bottom w:val="single" w:sz="4" w:space="0" w:color="auto"/>
            </w:tcBorders>
          </w:tcPr>
          <w:p w14:paraId="5CF5689D" w14:textId="77777777" w:rsidR="00CF2CEC" w:rsidRPr="00514183" w:rsidRDefault="00CF2CEC" w:rsidP="00F25A9D">
            <w:pPr>
              <w:pStyle w:val="TableTextRight"/>
            </w:pPr>
            <w:r w:rsidRPr="00514183">
              <w:t>0.2</w:t>
            </w:r>
          </w:p>
        </w:tc>
        <w:tc>
          <w:tcPr>
            <w:tcW w:w="536" w:type="pct"/>
            <w:tcBorders>
              <w:top w:val="single" w:sz="4" w:space="0" w:color="auto"/>
              <w:bottom w:val="single" w:sz="4" w:space="0" w:color="auto"/>
            </w:tcBorders>
          </w:tcPr>
          <w:p w14:paraId="4DBB3131" w14:textId="664CFFCD" w:rsidR="00CF2CEC" w:rsidRPr="00514183" w:rsidRDefault="00CF2CEC" w:rsidP="00F25A9D">
            <w:pPr>
              <w:pStyle w:val="TableTextRight"/>
            </w:pPr>
            <w:r w:rsidRPr="00514183">
              <w:t>2</w:t>
            </w:r>
            <w:r w:rsidR="00563A2B">
              <w:t>–</w:t>
            </w:r>
            <w:r w:rsidRPr="00514183">
              <w:t>3</w:t>
            </w:r>
          </w:p>
        </w:tc>
        <w:tc>
          <w:tcPr>
            <w:tcW w:w="536" w:type="pct"/>
            <w:tcBorders>
              <w:top w:val="single" w:sz="4" w:space="0" w:color="auto"/>
              <w:bottom w:val="single" w:sz="4" w:space="0" w:color="auto"/>
            </w:tcBorders>
          </w:tcPr>
          <w:p w14:paraId="215AFCB2" w14:textId="77777777" w:rsidR="00CF2CEC" w:rsidRPr="00514183" w:rsidRDefault="00CF2CEC" w:rsidP="00F25A9D">
            <w:pPr>
              <w:pStyle w:val="TableTextRight"/>
            </w:pPr>
            <w:r w:rsidRPr="00514183">
              <w:t>N/A</w:t>
            </w:r>
          </w:p>
        </w:tc>
        <w:tc>
          <w:tcPr>
            <w:tcW w:w="536" w:type="pct"/>
            <w:tcBorders>
              <w:top w:val="single" w:sz="4" w:space="0" w:color="auto"/>
              <w:bottom w:val="single" w:sz="4" w:space="0" w:color="auto"/>
            </w:tcBorders>
          </w:tcPr>
          <w:p w14:paraId="3A9CEE9D" w14:textId="77777777" w:rsidR="00CF2CEC" w:rsidRPr="00514183" w:rsidRDefault="00CF2CEC" w:rsidP="00F25A9D">
            <w:pPr>
              <w:pStyle w:val="TableTextRight"/>
            </w:pPr>
            <w:r w:rsidRPr="00514183">
              <w:t>N/A</w:t>
            </w:r>
          </w:p>
        </w:tc>
        <w:tc>
          <w:tcPr>
            <w:tcW w:w="536" w:type="pct"/>
            <w:tcBorders>
              <w:top w:val="single" w:sz="4" w:space="0" w:color="auto"/>
              <w:bottom w:val="single" w:sz="4" w:space="0" w:color="auto"/>
            </w:tcBorders>
          </w:tcPr>
          <w:p w14:paraId="317ACE7C" w14:textId="77777777" w:rsidR="00CF2CEC" w:rsidRPr="00514183" w:rsidRDefault="00CF2CEC" w:rsidP="00F25A9D">
            <w:pPr>
              <w:pStyle w:val="TableTextRight"/>
            </w:pPr>
            <w:r w:rsidRPr="00514183">
              <w:t xml:space="preserve">N/A </w:t>
            </w:r>
          </w:p>
        </w:tc>
        <w:tc>
          <w:tcPr>
            <w:tcW w:w="536" w:type="pct"/>
            <w:tcBorders>
              <w:top w:val="single" w:sz="4" w:space="0" w:color="auto"/>
              <w:bottom w:val="single" w:sz="4" w:space="0" w:color="auto"/>
            </w:tcBorders>
          </w:tcPr>
          <w:p w14:paraId="523C4EFE" w14:textId="77777777" w:rsidR="00CF2CEC" w:rsidRPr="00514183" w:rsidRDefault="00CF2CEC" w:rsidP="00F25A9D">
            <w:pPr>
              <w:pStyle w:val="TableTextRight"/>
            </w:pPr>
            <w:r w:rsidRPr="00514183">
              <w:t>5.4</w:t>
            </w:r>
          </w:p>
        </w:tc>
        <w:tc>
          <w:tcPr>
            <w:tcW w:w="536" w:type="pct"/>
            <w:tcBorders>
              <w:top w:val="single" w:sz="4" w:space="0" w:color="auto"/>
              <w:bottom w:val="single" w:sz="4" w:space="0" w:color="auto"/>
            </w:tcBorders>
          </w:tcPr>
          <w:p w14:paraId="6EAF5743" w14:textId="77777777" w:rsidR="00CF2CEC" w:rsidRPr="00514183" w:rsidRDefault="00CF2CEC" w:rsidP="00F25A9D">
            <w:pPr>
              <w:pStyle w:val="TableTextRight"/>
            </w:pPr>
            <w:r>
              <w:t>12.0</w:t>
            </w:r>
          </w:p>
        </w:tc>
      </w:tr>
    </w:tbl>
    <w:p w14:paraId="0811B529" w14:textId="2BE920D3" w:rsidR="00872312" w:rsidRPr="00475E29" w:rsidRDefault="00872312" w:rsidP="00B13F48">
      <w:pPr>
        <w:pStyle w:val="ChartorTableNote"/>
      </w:pPr>
      <w:r w:rsidRPr="00475E29">
        <w:t xml:space="preserve">Note: As discussed in section </w:t>
      </w:r>
      <w:r w:rsidR="00CF2CEC">
        <w:t>4</w:t>
      </w:r>
      <w:r w:rsidRPr="00475E29">
        <w:t>.</w:t>
      </w:r>
      <w:r w:rsidR="00CF2CEC">
        <w:t>8</w:t>
      </w:r>
      <w:r w:rsidRPr="00475E29">
        <w:t>, data on housing in Australia and internationally is lacking</w:t>
      </w:r>
      <w:r w:rsidR="00B835D6">
        <w:t>,</w:t>
      </w:r>
      <w:r w:rsidRPr="00475E29">
        <w:t xml:space="preserve"> and caution should be used when comparing across countries and sources.</w:t>
      </w:r>
    </w:p>
    <w:p w14:paraId="2FD3AB76" w14:textId="299CFC9F" w:rsidR="00872312" w:rsidRPr="00475E29" w:rsidRDefault="00304B51" w:rsidP="006D10A1">
      <w:pPr>
        <w:pStyle w:val="ChartandTableFootnoteAlpha"/>
        <w:numPr>
          <w:ilvl w:val="0"/>
          <w:numId w:val="30"/>
        </w:numPr>
      </w:pPr>
      <w:r>
        <w:t xml:space="preserve">Data is </w:t>
      </w:r>
      <w:r w:rsidR="00872312" w:rsidRPr="00475E29">
        <w:t xml:space="preserve">taken from </w:t>
      </w:r>
      <w:r w:rsidR="001E288B">
        <w:t xml:space="preserve">the </w:t>
      </w:r>
      <w:r w:rsidR="00872312" w:rsidRPr="00475E29">
        <w:t xml:space="preserve">OECD, except </w:t>
      </w:r>
      <w:r w:rsidR="001E288B">
        <w:t xml:space="preserve">for </w:t>
      </w:r>
      <w:r w:rsidR="00872312" w:rsidRPr="00475E29">
        <w:t>Japan (</w:t>
      </w:r>
      <w:r w:rsidR="00C34A29" w:rsidRPr="00C34A29">
        <w:t xml:space="preserve">where data is taken from the Statistics </w:t>
      </w:r>
      <w:r w:rsidR="00C34A29" w:rsidRPr="00CD3789">
        <w:t>Bureau</w:t>
      </w:r>
      <w:r w:rsidR="00C34A29" w:rsidRPr="00C34A29">
        <w:t xml:space="preserve"> of Japan</w:t>
      </w:r>
      <w:r w:rsidR="00872312" w:rsidRPr="00475E29">
        <w:t>). OECD figures are calculated for different years, based on the most up to date data available by country.</w:t>
      </w:r>
    </w:p>
    <w:p w14:paraId="6665A276" w14:textId="1D715D3B" w:rsidR="00872312" w:rsidRPr="00475E29" w:rsidRDefault="00304B51" w:rsidP="006D10A1">
      <w:pPr>
        <w:pStyle w:val="ChartandTableFootnoteAlpha"/>
      </w:pPr>
      <w:r>
        <w:t>Data is</w:t>
      </w:r>
      <w:r w:rsidR="00872312" w:rsidRPr="00475E29">
        <w:t xml:space="preserve"> taken from countries</w:t>
      </w:r>
      <w:r w:rsidR="00563A2B">
        <w:t>’</w:t>
      </w:r>
      <w:r w:rsidR="00872312" w:rsidRPr="00475E29">
        <w:t xml:space="preserve"> </w:t>
      </w:r>
      <w:r w:rsidR="00596C68">
        <w:t>national</w:t>
      </w:r>
      <w:r w:rsidR="00596C68" w:rsidRPr="00475E29">
        <w:t xml:space="preserve"> </w:t>
      </w:r>
      <w:r w:rsidR="00872312" w:rsidRPr="00475E29">
        <w:t xml:space="preserve">statistical agencies, </w:t>
      </w:r>
      <w:r w:rsidR="00596C68">
        <w:t>using the</w:t>
      </w:r>
      <w:r w:rsidR="00872312" w:rsidRPr="00475E29">
        <w:t xml:space="preserve"> </w:t>
      </w:r>
      <w:r>
        <w:t xml:space="preserve">compound </w:t>
      </w:r>
      <w:r w:rsidR="00C34A29">
        <w:t>annual</w:t>
      </w:r>
      <w:r w:rsidR="00872312" w:rsidRPr="00475E29">
        <w:t xml:space="preserve"> growth </w:t>
      </w:r>
      <w:r w:rsidR="00596C68">
        <w:t xml:space="preserve">rate </w:t>
      </w:r>
      <w:r w:rsidR="001E288B">
        <w:t>for</w:t>
      </w:r>
      <w:r w:rsidR="001E288B" w:rsidRPr="00475E29">
        <w:t xml:space="preserve"> </w:t>
      </w:r>
      <w:r w:rsidR="00872312" w:rsidRPr="00475E29">
        <w:t>2016</w:t>
      </w:r>
      <w:r w:rsidR="00234AC5">
        <w:t>–</w:t>
      </w:r>
      <w:r w:rsidR="00872312" w:rsidRPr="00475E29">
        <w:t xml:space="preserve">2021, except </w:t>
      </w:r>
      <w:r w:rsidR="00204A39">
        <w:t xml:space="preserve">for </w:t>
      </w:r>
      <w:r w:rsidR="00872312" w:rsidRPr="00475E29">
        <w:t>Japan (</w:t>
      </w:r>
      <w:r w:rsidR="00204A39">
        <w:t>which is f</w:t>
      </w:r>
      <w:r w:rsidR="001E288B">
        <w:t>or</w:t>
      </w:r>
      <w:r w:rsidR="00204A39">
        <w:t xml:space="preserve"> </w:t>
      </w:r>
      <w:r w:rsidR="00872312" w:rsidRPr="00475E29">
        <w:t>2013</w:t>
      </w:r>
      <w:r w:rsidR="00234AC5">
        <w:t>–</w:t>
      </w:r>
      <w:r w:rsidR="00872312" w:rsidRPr="00475E29">
        <w:t xml:space="preserve">2018). </w:t>
      </w:r>
    </w:p>
    <w:p w14:paraId="6416657A" w14:textId="21975463" w:rsidR="00872312" w:rsidRPr="00475E29" w:rsidRDefault="001E288B" w:rsidP="006D10A1">
      <w:pPr>
        <w:pStyle w:val="ChartandTableFootnoteAlpha"/>
      </w:pPr>
      <w:r>
        <w:t xml:space="preserve">Data is </w:t>
      </w:r>
      <w:r w:rsidR="00872312" w:rsidRPr="00475E29">
        <w:t xml:space="preserve">taken from </w:t>
      </w:r>
      <w:r>
        <w:t xml:space="preserve">the </w:t>
      </w:r>
      <w:r w:rsidR="00872312" w:rsidRPr="00475E29">
        <w:t xml:space="preserve">OECD, </w:t>
      </w:r>
      <w:r w:rsidR="00596C68">
        <w:t>using</w:t>
      </w:r>
      <w:r w:rsidR="00872312" w:rsidRPr="00475E29">
        <w:t xml:space="preserve"> the </w:t>
      </w:r>
      <w:r w:rsidR="00304B51">
        <w:t xml:space="preserve">compound </w:t>
      </w:r>
      <w:r w:rsidR="00C34A29">
        <w:t>annual</w:t>
      </w:r>
      <w:r w:rsidR="00872312" w:rsidRPr="00475E29">
        <w:t xml:space="preserve"> growth </w:t>
      </w:r>
      <w:r w:rsidR="00596C68">
        <w:t xml:space="preserve">rate </w:t>
      </w:r>
      <w:r w:rsidRPr="00475E29">
        <w:t>f</w:t>
      </w:r>
      <w:r>
        <w:t>or</w:t>
      </w:r>
      <w:r w:rsidRPr="00475E29">
        <w:t xml:space="preserve"> </w:t>
      </w:r>
      <w:r w:rsidR="00872312" w:rsidRPr="00475E29">
        <w:t>2016</w:t>
      </w:r>
      <w:r w:rsidR="00234AC5">
        <w:t>–</w:t>
      </w:r>
      <w:r w:rsidR="00872312" w:rsidRPr="00475E29">
        <w:t xml:space="preserve">2021. </w:t>
      </w:r>
    </w:p>
    <w:p w14:paraId="4A3FE6A4" w14:textId="0FFBEBED" w:rsidR="00872312" w:rsidRPr="00475E29" w:rsidRDefault="00872312" w:rsidP="006D10A1">
      <w:pPr>
        <w:pStyle w:val="ChartandTableFootnoteAlpha"/>
      </w:pPr>
      <w:r w:rsidRPr="00475E29">
        <w:t xml:space="preserve">OECD population figures divided by official statistical figures for dwelling stock for 2021 (except Japan, which is for 2018). </w:t>
      </w:r>
    </w:p>
    <w:p w14:paraId="107FFBF2" w14:textId="20E1F456" w:rsidR="00872312" w:rsidRPr="00475E29" w:rsidRDefault="00872312" w:rsidP="006D10A1">
      <w:pPr>
        <w:pStyle w:val="ChartandTableFootnoteAlpha"/>
      </w:pPr>
      <w:r w:rsidRPr="00475E29">
        <w:t xml:space="preserve">Data </w:t>
      </w:r>
      <w:r w:rsidR="001E288B">
        <w:t xml:space="preserve">is </w:t>
      </w:r>
      <w:r w:rsidRPr="00475E29">
        <w:t xml:space="preserve">taken from </w:t>
      </w:r>
      <w:r w:rsidR="001E288B">
        <w:t xml:space="preserve">the </w:t>
      </w:r>
      <w:r w:rsidRPr="00475E29">
        <w:t>OECD (data not available for Canada and Japan).</w:t>
      </w:r>
    </w:p>
    <w:p w14:paraId="76B0D81E" w14:textId="34916B37" w:rsidR="00872312" w:rsidRPr="00475E29" w:rsidRDefault="00872312" w:rsidP="006D10A1">
      <w:pPr>
        <w:pStyle w:val="ChartandTableFootnoteAlpha"/>
      </w:pPr>
      <w:r w:rsidRPr="00475E29">
        <w:t>Data</w:t>
      </w:r>
      <w:r w:rsidR="001E288B">
        <w:t xml:space="preserve"> is</w:t>
      </w:r>
      <w:r w:rsidRPr="00475E29">
        <w:t xml:space="preserve"> taken from EY 2023</w:t>
      </w:r>
      <w:r w:rsidR="00E64CEF">
        <w:t xml:space="preserve"> and </w:t>
      </w:r>
      <w:r w:rsidR="00C34A29">
        <w:t xml:space="preserve">estimates based on </w:t>
      </w:r>
      <w:r w:rsidR="00E64CEF">
        <w:t>August 2022</w:t>
      </w:r>
      <w:r w:rsidRPr="00475E29">
        <w:t>.</w:t>
      </w:r>
    </w:p>
    <w:p w14:paraId="423BCBD3" w14:textId="0134B43E" w:rsidR="00872312" w:rsidRDefault="00872312" w:rsidP="00B13F48">
      <w:pPr>
        <w:pStyle w:val="ChartorTableNote"/>
      </w:pPr>
      <w:r w:rsidRPr="00475E29">
        <w:t>Source: OECD Housing Database; National statistical agencies</w:t>
      </w:r>
      <w:r w:rsidR="00C34A29">
        <w:t xml:space="preserve">; </w:t>
      </w:r>
      <w:r w:rsidR="001E288B">
        <w:t xml:space="preserve">EY 2023; </w:t>
      </w:r>
      <w:r w:rsidR="00C34A29">
        <w:t>and August 2022</w:t>
      </w:r>
      <w:r w:rsidRPr="00475E29">
        <w:t>.</w:t>
      </w:r>
    </w:p>
    <w:p w14:paraId="0D04790E" w14:textId="77777777" w:rsidR="009A4DA0" w:rsidRPr="00514183" w:rsidRDefault="009A4DA0" w:rsidP="001E4F76">
      <w:pPr>
        <w:pStyle w:val="Heading2Numbered"/>
      </w:pPr>
      <w:bookmarkStart w:id="69" w:name="_Toc141355250"/>
      <w:r w:rsidRPr="00514183">
        <w:t>United States</w:t>
      </w:r>
      <w:bookmarkEnd w:id="67"/>
      <w:bookmarkEnd w:id="68"/>
      <w:bookmarkEnd w:id="69"/>
    </w:p>
    <w:p w14:paraId="7FA4B92B" w14:textId="327665F6" w:rsidR="009A4DA0" w:rsidRPr="00002689" w:rsidRDefault="009A4DA0" w:rsidP="002F40E7">
      <w:r w:rsidRPr="00002689">
        <w:t>The U</w:t>
      </w:r>
      <w:r w:rsidR="004B211F">
        <w:t>S</w:t>
      </w:r>
      <w:r w:rsidRPr="00002689">
        <w:t xml:space="preserve"> has a decades</w:t>
      </w:r>
      <w:r w:rsidR="00563A2B">
        <w:noBreakHyphen/>
      </w:r>
      <w:r w:rsidRPr="00002689">
        <w:t xml:space="preserve">long history of institutional investment in housing </w:t>
      </w:r>
      <w:r w:rsidR="00832112" w:rsidRPr="00002689">
        <w:t>and</w:t>
      </w:r>
      <w:r w:rsidRPr="00002689">
        <w:t xml:space="preserve"> has fostered a well</w:t>
      </w:r>
      <w:r w:rsidR="00563A2B">
        <w:noBreakHyphen/>
      </w:r>
      <w:r w:rsidRPr="00002689">
        <w:t>developed and well</w:t>
      </w:r>
      <w:r w:rsidR="00563A2B">
        <w:noBreakHyphen/>
      </w:r>
      <w:r w:rsidRPr="00002689">
        <w:t>functioning market. Institutional investors own 1</w:t>
      </w:r>
      <w:r w:rsidR="005E1ACD">
        <w:t>2</w:t>
      </w:r>
      <w:r w:rsidRPr="00002689">
        <w:t> per cent of the total housing stock</w:t>
      </w:r>
      <w:r w:rsidR="00DD6BCD">
        <w:t xml:space="preserve"> </w:t>
      </w:r>
      <w:r w:rsidR="000330E6">
        <w:t xml:space="preserve">(EY </w:t>
      </w:r>
      <w:r w:rsidR="007A5473">
        <w:t>2023)</w:t>
      </w:r>
      <w:r w:rsidRPr="00002689">
        <w:t xml:space="preserve">. </w:t>
      </w:r>
      <w:r w:rsidR="003C4B28">
        <w:t>More recently, i</w:t>
      </w:r>
      <w:r w:rsidRPr="00002689">
        <w:t>nstitutional investment has been driven by an undersupply of new housing, low rental vacancy rates and annual rental growth of 6 to 8</w:t>
      </w:r>
      <w:r w:rsidR="00E67AFE">
        <w:t> per </w:t>
      </w:r>
      <w:r w:rsidRPr="00002689">
        <w:t xml:space="preserve">cent </w:t>
      </w:r>
      <w:r w:rsidR="00DB6B6B">
        <w:t xml:space="preserve">in 2022 </w:t>
      </w:r>
      <w:r w:rsidRPr="00002689">
        <w:t>(Freddie</w:t>
      </w:r>
      <w:r w:rsidR="00AD10FB">
        <w:t> </w:t>
      </w:r>
      <w:r w:rsidRPr="00002689">
        <w:t>Mac</w:t>
      </w:r>
      <w:r w:rsidR="00AD10FB">
        <w:t> </w:t>
      </w:r>
      <w:r w:rsidRPr="00002689">
        <w:t>2022).</w:t>
      </w:r>
    </w:p>
    <w:p w14:paraId="6D609177" w14:textId="6E515106" w:rsidR="009A4DA0" w:rsidRPr="00002689" w:rsidRDefault="009A4DA0" w:rsidP="002F40E7">
      <w:r w:rsidRPr="00002689">
        <w:t>Th</w:t>
      </w:r>
      <w:r w:rsidR="00002689">
        <w:t>e</w:t>
      </w:r>
      <w:r w:rsidRPr="00002689">
        <w:t xml:space="preserve"> sheer size of the US market confers significant and self</w:t>
      </w:r>
      <w:r w:rsidR="00563A2B">
        <w:noBreakHyphen/>
      </w:r>
      <w:r w:rsidRPr="00002689">
        <w:t xml:space="preserve">reinforcing advantages. There is an active secondary market, which facilitates price discovery and investment analytics. Specialised financing is also available to institutional investors, allowing investors to access cheaper debt with longer maturities (up to 30 years). These features reduce risks and the cost of capital, putting institutional housing more on par with equities and fixed income as an asset class. </w:t>
      </w:r>
    </w:p>
    <w:p w14:paraId="2CB98355" w14:textId="5DDCD343" w:rsidR="009A4DA0" w:rsidRPr="00002689" w:rsidRDefault="009A4DA0" w:rsidP="002F40E7">
      <w:r w:rsidRPr="00002689">
        <w:t>Compared to Australia, residential property in the U</w:t>
      </w:r>
      <w:r w:rsidR="006D1A89">
        <w:t>S</w:t>
      </w:r>
      <w:r w:rsidRPr="00002689">
        <w:t xml:space="preserve"> also tends to generate higher rental yields, but lower rates of capital appreciation (Longview – PEXA 2023</w:t>
      </w:r>
      <w:r w:rsidR="00CD3FA3">
        <w:t>a</w:t>
      </w:r>
      <w:r w:rsidRPr="00002689">
        <w:t>). This is attractive to many institutional investors who tend to prefer cashflow and yields over capital growth.</w:t>
      </w:r>
    </w:p>
    <w:p w14:paraId="0FE8BF97" w14:textId="1A7544BB" w:rsidR="009A4DA0" w:rsidRPr="00514183" w:rsidRDefault="009A4DA0" w:rsidP="00B20C3F">
      <w:pPr>
        <w:keepLines/>
      </w:pPr>
      <w:r w:rsidRPr="00002689">
        <w:lastRenderedPageBreak/>
        <w:t xml:space="preserve">Most institutional investors in US housing markets adopt a </w:t>
      </w:r>
      <w:r w:rsidR="00563A2B">
        <w:t>‘</w:t>
      </w:r>
      <w:r w:rsidRPr="00002689">
        <w:t>buy and hold</w:t>
      </w:r>
      <w:r w:rsidR="00563A2B">
        <w:t>’</w:t>
      </w:r>
      <w:r w:rsidRPr="00002689">
        <w:t xml:space="preserve"> strategy</w:t>
      </w:r>
      <w:r w:rsidR="00CE2F76">
        <w:t xml:space="preserve">, </w:t>
      </w:r>
      <w:r w:rsidRPr="00002689">
        <w:t>focus</w:t>
      </w:r>
      <w:r w:rsidR="00CE2F76">
        <w:t>ed</w:t>
      </w:r>
      <w:r w:rsidRPr="00002689">
        <w:t xml:space="preserve"> on maximising income from rents and fees. They typically focus on regions or individual buildings with limited or no rent control. In some cases, institutional investors have utilised market downturns, such as the post Global Financial Crisis</w:t>
      </w:r>
      <w:r w:rsidR="006D1A89">
        <w:t xml:space="preserve"> (GFC)</w:t>
      </w:r>
      <w:r w:rsidRPr="00002689">
        <w:t xml:space="preserve"> period, to purchase cheap housing stock which is then upgraded to more expensive rental accommodation. This investment strategy has attracted some controversy for failing to add to new housing supply and for </w:t>
      </w:r>
      <w:r w:rsidR="00563A2B">
        <w:t>‘</w:t>
      </w:r>
      <w:r w:rsidRPr="00002689">
        <w:t>gentrifying</w:t>
      </w:r>
      <w:r w:rsidR="00563A2B">
        <w:t>’</w:t>
      </w:r>
      <w:r w:rsidRPr="00002689">
        <w:t xml:space="preserve"> suburbs, which has reduced affordability for low</w:t>
      </w:r>
      <w:r w:rsidR="00563A2B">
        <w:noBreakHyphen/>
      </w:r>
      <w:r w:rsidRPr="00002689">
        <w:t xml:space="preserve">income </w:t>
      </w:r>
      <w:r w:rsidRPr="00002689">
        <w:rPr>
          <w:color w:val="auto"/>
        </w:rPr>
        <w:t>households (</w:t>
      </w:r>
      <w:r w:rsidRPr="00002689">
        <w:rPr>
          <w:color w:val="auto"/>
          <w:shd w:val="clear" w:color="auto" w:fill="FFFFFF"/>
        </w:rPr>
        <w:t>Christophers 2022).</w:t>
      </w:r>
    </w:p>
    <w:p w14:paraId="6F0AAC17" w14:textId="31FD5DC1" w:rsidR="009A4DA0" w:rsidRPr="00002689" w:rsidRDefault="00CE2F76" w:rsidP="002F40E7">
      <w:r>
        <w:t>T</w:t>
      </w:r>
      <w:r w:rsidR="009A4DA0" w:rsidRPr="00002689">
        <w:t>he</w:t>
      </w:r>
      <w:r w:rsidR="006D1A89">
        <w:t xml:space="preserve"> US</w:t>
      </w:r>
      <w:r w:rsidR="009A4DA0" w:rsidRPr="00002689">
        <w:t xml:space="preserve"> federal government subsidises housing construction by institutional investors. These programs are intended to boost supply, especially for lower income renters. The main US supply</w:t>
      </w:r>
      <w:r w:rsidR="00563A2B">
        <w:noBreakHyphen/>
      </w:r>
      <w:r w:rsidR="009A4DA0" w:rsidRPr="00002689">
        <w:t>side program is the Low</w:t>
      </w:r>
      <w:r w:rsidR="00563A2B">
        <w:noBreakHyphen/>
      </w:r>
      <w:r w:rsidR="009A4DA0" w:rsidRPr="00002689">
        <w:t>Income Housing Tax Credit, which has existed since 1986. The Low</w:t>
      </w:r>
      <w:r w:rsidR="00563A2B">
        <w:noBreakHyphen/>
      </w:r>
      <w:r w:rsidR="009A4DA0" w:rsidRPr="00002689">
        <w:t>Income Housing Tax Credit provides a 70</w:t>
      </w:r>
      <w:r w:rsidR="00E67AFE">
        <w:t> per </w:t>
      </w:r>
      <w:r w:rsidR="009A4DA0" w:rsidRPr="00002689">
        <w:t>cent subsidy for new construction and a 30</w:t>
      </w:r>
      <w:r w:rsidR="00E67AFE">
        <w:t> per </w:t>
      </w:r>
      <w:r w:rsidR="009A4DA0" w:rsidRPr="00002689">
        <w:t>cent subsidy for rehabilitation. Tax</w:t>
      </w:r>
      <w:r w:rsidR="00C32E20">
        <w:t> </w:t>
      </w:r>
      <w:r w:rsidR="009A4DA0" w:rsidRPr="00002689">
        <w:t>credits are paid out over 10 years. Rents are capped at 30</w:t>
      </w:r>
      <w:r w:rsidR="00E67AFE">
        <w:t> per </w:t>
      </w:r>
      <w:r w:rsidR="009A4DA0" w:rsidRPr="00002689">
        <w:t>cent of average area income for a period of 30 years. The Low</w:t>
      </w:r>
      <w:r w:rsidR="00563A2B">
        <w:noBreakHyphen/>
      </w:r>
      <w:r w:rsidR="009A4DA0" w:rsidRPr="00002689">
        <w:t xml:space="preserve">Income Housing Tax Credit is estimated to cost </w:t>
      </w:r>
      <w:r w:rsidR="00EA4FD3">
        <w:t>US</w:t>
      </w:r>
      <w:r w:rsidR="009A4DA0" w:rsidRPr="00002689">
        <w:t>$10.6</w:t>
      </w:r>
      <w:r w:rsidR="000313E0">
        <w:t> </w:t>
      </w:r>
      <w:r w:rsidR="009A4DA0" w:rsidRPr="00002689">
        <w:t xml:space="preserve">billion in </w:t>
      </w:r>
      <w:r w:rsidR="00525750" w:rsidRPr="00002689">
        <w:t>the 2022–</w:t>
      </w:r>
      <w:r w:rsidR="009A4DA0" w:rsidRPr="00002689">
        <w:t xml:space="preserve">23 </w:t>
      </w:r>
      <w:r w:rsidR="00525750" w:rsidRPr="00002689">
        <w:t xml:space="preserve">fiscal year </w:t>
      </w:r>
      <w:r w:rsidR="009A4DA0" w:rsidRPr="00002689">
        <w:t>(The White House 2023). The</w:t>
      </w:r>
      <w:r w:rsidR="00A9654C">
        <w:t xml:space="preserve"> US</w:t>
      </w:r>
      <w:r w:rsidR="009A4DA0" w:rsidRPr="00002689">
        <w:t xml:space="preserve"> </w:t>
      </w:r>
      <w:r w:rsidR="004F5EB9">
        <w:t>f</w:t>
      </w:r>
      <w:r w:rsidR="009A4DA0" w:rsidRPr="00002689">
        <w:t xml:space="preserve">ederal </w:t>
      </w:r>
      <w:r w:rsidR="004F5EB9">
        <w:t>g</w:t>
      </w:r>
      <w:r w:rsidR="009A4DA0" w:rsidRPr="00002689">
        <w:t>overnment also provides capital gains tax concessions for individuals and corporations undertaking certain forms of long</w:t>
      </w:r>
      <w:r w:rsidR="00563A2B">
        <w:noBreakHyphen/>
      </w:r>
      <w:r w:rsidR="009A4DA0" w:rsidRPr="00002689">
        <w:t>term investment, including housing, in defined areas of socio</w:t>
      </w:r>
      <w:r w:rsidR="00563A2B">
        <w:noBreakHyphen/>
      </w:r>
      <w:r w:rsidR="009A4DA0" w:rsidRPr="00002689">
        <w:t>economic disadvantage known as opportunity zones.</w:t>
      </w:r>
    </w:p>
    <w:p w14:paraId="0778DCF4" w14:textId="77777777" w:rsidR="009A4DA0" w:rsidRPr="00514183" w:rsidRDefault="009A4DA0" w:rsidP="001E4F76">
      <w:pPr>
        <w:pStyle w:val="Heading2Numbered"/>
      </w:pPr>
      <w:bookmarkStart w:id="70" w:name="_Toc139618814"/>
      <w:bookmarkStart w:id="71" w:name="_Toc139635541"/>
      <w:bookmarkStart w:id="72" w:name="_Toc141355251"/>
      <w:r w:rsidRPr="00514183">
        <w:t>United Kingdom</w:t>
      </w:r>
      <w:bookmarkEnd w:id="70"/>
      <w:bookmarkEnd w:id="71"/>
      <w:bookmarkEnd w:id="72"/>
      <w:r w:rsidRPr="00514183">
        <w:t xml:space="preserve"> </w:t>
      </w:r>
    </w:p>
    <w:p w14:paraId="42C13403" w14:textId="4A338851" w:rsidR="009A4DA0" w:rsidRPr="00F0771D" w:rsidRDefault="009A4DA0" w:rsidP="002F40E7">
      <w:r>
        <w:t xml:space="preserve">The </w:t>
      </w:r>
      <w:r w:rsidR="00A9654C">
        <w:t>UK</w:t>
      </w:r>
      <w:r>
        <w:t xml:space="preserve"> experienced a substantial increase</w:t>
      </w:r>
      <w:r w:rsidRPr="00F0771D">
        <w:t xml:space="preserve"> </w:t>
      </w:r>
      <w:r>
        <w:t xml:space="preserve">in the need for </w:t>
      </w:r>
      <w:r w:rsidRPr="00F0771D">
        <w:t xml:space="preserve">private rental </w:t>
      </w:r>
      <w:r>
        <w:t xml:space="preserve">housing from the </w:t>
      </w:r>
      <w:r w:rsidR="00736F79">
        <w:t>2000</w:t>
      </w:r>
      <w:r>
        <w:t xml:space="preserve">s alongside a decline in home ownership rates and the sale of social housing units. Households </w:t>
      </w:r>
      <w:r w:rsidRPr="00F0771D">
        <w:t xml:space="preserve">renting </w:t>
      </w:r>
      <w:r>
        <w:t>via</w:t>
      </w:r>
      <w:r w:rsidRPr="00F0771D">
        <w:t xml:space="preserve"> the private </w:t>
      </w:r>
      <w:r>
        <w:t>market</w:t>
      </w:r>
      <w:r w:rsidRPr="00F0771D">
        <w:t xml:space="preserve"> increas</w:t>
      </w:r>
      <w:r>
        <w:t xml:space="preserve">ed </w:t>
      </w:r>
      <w:r w:rsidRPr="00F0771D">
        <w:t>from below 10</w:t>
      </w:r>
      <w:r w:rsidR="00E67AFE">
        <w:t> per </w:t>
      </w:r>
      <w:r w:rsidRPr="00F0771D">
        <w:t>cent in the mid</w:t>
      </w:r>
      <w:r w:rsidR="00563A2B">
        <w:noBreakHyphen/>
      </w:r>
      <w:r w:rsidRPr="00F0771D">
        <w:t>1990s to 37.3</w:t>
      </w:r>
      <w:r w:rsidR="00E67AFE">
        <w:t> per </w:t>
      </w:r>
      <w:r w:rsidRPr="00F0771D">
        <w:t>cent by 2021</w:t>
      </w:r>
      <w:r>
        <w:t xml:space="preserve"> (Office for National Statistics 2021)</w:t>
      </w:r>
      <w:r w:rsidRPr="00F0771D">
        <w:t>. Despite this, large</w:t>
      </w:r>
      <w:r w:rsidR="00563A2B">
        <w:noBreakHyphen/>
      </w:r>
      <w:r w:rsidRPr="00F0771D">
        <w:t>scale institutional landlords in the private rental sector were slow to emerge, with only 0.1</w:t>
      </w:r>
      <w:r w:rsidR="00E67AFE">
        <w:t> per </w:t>
      </w:r>
      <w:r w:rsidRPr="00F0771D">
        <w:t xml:space="preserve">cent of </w:t>
      </w:r>
      <w:r w:rsidR="007124A1">
        <w:t xml:space="preserve">the </w:t>
      </w:r>
      <w:r w:rsidRPr="00F0771D">
        <w:t>private rental stock being provided by landlords owning 100 units or more in 2010.</w:t>
      </w:r>
    </w:p>
    <w:p w14:paraId="08F539D9" w14:textId="702BB3F8" w:rsidR="009A4DA0" w:rsidRPr="00F0771D" w:rsidRDefault="009A4DA0" w:rsidP="002F40E7">
      <w:r w:rsidRPr="00F0771D">
        <w:t>The</w:t>
      </w:r>
      <w:r>
        <w:t xml:space="preserve"> </w:t>
      </w:r>
      <w:r w:rsidR="009F1290">
        <w:t>UK</w:t>
      </w:r>
      <w:r>
        <w:t xml:space="preserve"> Government considered the </w:t>
      </w:r>
      <w:r w:rsidRPr="00F0771D">
        <w:t xml:space="preserve">absence of institutional investors in the housing market as a weakness in the private rental sector. </w:t>
      </w:r>
      <w:r w:rsidRPr="00813AD9">
        <w:t>In response to the 2004</w:t>
      </w:r>
      <w:r>
        <w:t xml:space="preserve"> Barker Review of Housing Supply</w:t>
      </w:r>
      <w:r w:rsidRPr="00813AD9">
        <w:t xml:space="preserve">, the </w:t>
      </w:r>
      <w:r w:rsidR="009F1290">
        <w:t>UK</w:t>
      </w:r>
      <w:r w:rsidRPr="00813AD9">
        <w:t xml:space="preserve"> Government established the regulatory framework for </w:t>
      </w:r>
      <w:r w:rsidR="003D0AAD">
        <w:t>r</w:t>
      </w:r>
      <w:r w:rsidRPr="00813AD9">
        <w:t xml:space="preserve">eal </w:t>
      </w:r>
      <w:r w:rsidR="003D0AAD">
        <w:t>e</w:t>
      </w:r>
      <w:r w:rsidRPr="00813AD9">
        <w:t xml:space="preserve">state </w:t>
      </w:r>
      <w:r w:rsidR="003D0AAD">
        <w:t>i</w:t>
      </w:r>
      <w:r w:rsidRPr="00813AD9">
        <w:t xml:space="preserve">nvestment </w:t>
      </w:r>
      <w:r w:rsidR="003D0AAD">
        <w:t>t</w:t>
      </w:r>
      <w:r w:rsidRPr="00813AD9">
        <w:t>rusts to channel investment towards social and private market housing.</w:t>
      </w:r>
      <w:r>
        <w:t xml:space="preserve"> This was followed by </w:t>
      </w:r>
      <w:r w:rsidRPr="00F0771D">
        <w:t>the commission</w:t>
      </w:r>
      <w:r w:rsidR="00A9654C">
        <w:t>ing</w:t>
      </w:r>
      <w:r w:rsidRPr="00F0771D">
        <w:t xml:space="preserve"> of the </w:t>
      </w:r>
      <w:r w:rsidRPr="00F0771D">
        <w:rPr>
          <w:i/>
          <w:iCs/>
        </w:rPr>
        <w:t>Review of the barriers to institutional investment in private rented ho</w:t>
      </w:r>
      <w:r w:rsidR="003B5056">
        <w:rPr>
          <w:i/>
          <w:iCs/>
        </w:rPr>
        <w:t>mes</w:t>
      </w:r>
      <w:r w:rsidRPr="00F0771D">
        <w:rPr>
          <w:i/>
          <w:iCs/>
        </w:rPr>
        <w:t xml:space="preserve"> </w:t>
      </w:r>
      <w:r w:rsidRPr="00F0771D">
        <w:t xml:space="preserve">which marked </w:t>
      </w:r>
      <w:r w:rsidR="00D325F2">
        <w:t xml:space="preserve">a </w:t>
      </w:r>
      <w:r>
        <w:t>change</w:t>
      </w:r>
      <w:r w:rsidRPr="00F0771D">
        <w:t xml:space="preserve"> in </w:t>
      </w:r>
      <w:r>
        <w:t>g</w:t>
      </w:r>
      <w:r w:rsidRPr="00F0771D">
        <w:t xml:space="preserve">overnment policy </w:t>
      </w:r>
      <w:r>
        <w:t>from</w:t>
      </w:r>
      <w:r w:rsidRPr="00F0771D">
        <w:t xml:space="preserve"> 2012</w:t>
      </w:r>
      <w:r w:rsidR="001D5CEC">
        <w:t xml:space="preserve"> </w:t>
      </w:r>
      <w:r w:rsidR="001D5CEC" w:rsidRPr="00F0771D">
        <w:t>(the Montague Review</w:t>
      </w:r>
      <w:r w:rsidR="001D5CEC">
        <w:t xml:space="preserve"> –</w:t>
      </w:r>
      <w:r w:rsidR="001D5CEC" w:rsidDel="0016071B">
        <w:t xml:space="preserve"> </w:t>
      </w:r>
      <w:r w:rsidR="001D5CEC">
        <w:t xml:space="preserve">Box </w:t>
      </w:r>
      <w:r w:rsidR="001D5CEC" w:rsidRPr="0003409A">
        <w:t>4)</w:t>
      </w:r>
      <w:r>
        <w:t>. Th</w:t>
      </w:r>
      <w:r w:rsidR="004E0B9E">
        <w:t>is</w:t>
      </w:r>
      <w:r>
        <w:t xml:space="preserve"> review </w:t>
      </w:r>
      <w:r w:rsidR="004362B6">
        <w:t>came after</w:t>
      </w:r>
      <w:r w:rsidR="004E0B9E">
        <w:t xml:space="preserve"> the</w:t>
      </w:r>
      <w:r w:rsidRPr="00F0771D">
        <w:t xml:space="preserve"> shift in market conditions </w:t>
      </w:r>
      <w:r>
        <w:t xml:space="preserve">following the </w:t>
      </w:r>
      <w:r w:rsidR="0016071B">
        <w:t>GFC</w:t>
      </w:r>
      <w:r>
        <w:t xml:space="preserve">, when credit conditions were constrained (and so finance less available, particularly for new builds) as </w:t>
      </w:r>
      <w:r w:rsidRPr="00F0771D">
        <w:t xml:space="preserve">financial institutions </w:t>
      </w:r>
      <w:r>
        <w:t xml:space="preserve">focused on </w:t>
      </w:r>
      <w:r w:rsidRPr="00F0771D">
        <w:t>recapitalis</w:t>
      </w:r>
      <w:r>
        <w:t>ation</w:t>
      </w:r>
      <w:r w:rsidRPr="00F0771D">
        <w:t>. </w:t>
      </w:r>
    </w:p>
    <w:p w14:paraId="154AFC96" w14:textId="750AF069" w:rsidR="005F124B" w:rsidRDefault="009A4DA0" w:rsidP="002F40E7">
      <w:r>
        <w:t xml:space="preserve">The measures implemented after the Montague Review </w:t>
      </w:r>
      <w:r w:rsidR="006035B7">
        <w:t xml:space="preserve">were intended to </w:t>
      </w:r>
      <w:r w:rsidRPr="00F0771D">
        <w:t>accelerat</w:t>
      </w:r>
      <w:r w:rsidR="006035B7">
        <w:t>e</w:t>
      </w:r>
      <w:r w:rsidRPr="00F0771D">
        <w:t xml:space="preserve"> the rate of institutional investment</w:t>
      </w:r>
      <w:r>
        <w:t xml:space="preserve">. </w:t>
      </w:r>
      <w:r w:rsidRPr="00F0771D">
        <w:t xml:space="preserve">Since 2012, institutional </w:t>
      </w:r>
      <w:r w:rsidRPr="00AF30ED">
        <w:t xml:space="preserve">involvement in the </w:t>
      </w:r>
      <w:r w:rsidR="009F1290">
        <w:t>UK</w:t>
      </w:r>
      <w:r w:rsidRPr="00AF30ED">
        <w:t xml:space="preserve"> </w:t>
      </w:r>
      <w:r>
        <w:t xml:space="preserve">private rental sector is </w:t>
      </w:r>
      <w:r w:rsidRPr="00AF30ED">
        <w:t>estimated to have increased from £10</w:t>
      </w:r>
      <w:r>
        <w:t xml:space="preserve"> billion</w:t>
      </w:r>
      <w:r w:rsidRPr="00AF30ED">
        <w:t xml:space="preserve"> to £</w:t>
      </w:r>
      <w:r>
        <w:t>43 billion</w:t>
      </w:r>
      <w:r w:rsidRPr="00AF30ED">
        <w:t xml:space="preserve"> in </w:t>
      </w:r>
      <w:r>
        <w:t>2022</w:t>
      </w:r>
      <w:r w:rsidR="00F624EA">
        <w:t xml:space="preserve"> (</w:t>
      </w:r>
      <w:r w:rsidR="00D9698F" w:rsidRPr="00546722">
        <w:rPr>
          <w:szCs w:val="22"/>
        </w:rPr>
        <w:t>Investment Property Forum</w:t>
      </w:r>
      <w:r w:rsidR="00D9698F">
        <w:rPr>
          <w:szCs w:val="22"/>
        </w:rPr>
        <w:t> </w:t>
      </w:r>
      <w:r w:rsidR="00D9698F" w:rsidRPr="00546722">
        <w:rPr>
          <w:szCs w:val="22"/>
        </w:rPr>
        <w:t>2022</w:t>
      </w:r>
      <w:r w:rsidR="00F624EA">
        <w:t>)</w:t>
      </w:r>
      <w:r>
        <w:t xml:space="preserve">, with an estimated </w:t>
      </w:r>
      <w:r w:rsidR="005E1ACD">
        <w:t>5.4</w:t>
      </w:r>
      <w:r w:rsidR="00E67AFE">
        <w:t> per </w:t>
      </w:r>
      <w:r w:rsidR="005E1ACD">
        <w:t xml:space="preserve">cent </w:t>
      </w:r>
      <w:r>
        <w:t xml:space="preserve">of the </w:t>
      </w:r>
      <w:r w:rsidR="007356B8">
        <w:t xml:space="preserve">residential sector </w:t>
      </w:r>
      <w:r>
        <w:t>now owned by institutions</w:t>
      </w:r>
      <w:r w:rsidR="007F04DE">
        <w:t xml:space="preserve"> (EY 2023)</w:t>
      </w:r>
      <w:r w:rsidR="004765F8">
        <w:t>.</w:t>
      </w:r>
      <w:r>
        <w:t xml:space="preserve"> </w:t>
      </w:r>
    </w:p>
    <w:p w14:paraId="2571FCA3" w14:textId="55AE1E90" w:rsidR="002F40E7" w:rsidRDefault="009A4DA0" w:rsidP="002F40E7">
      <w:r>
        <w:t xml:space="preserve">In addition, </w:t>
      </w:r>
      <w:r>
        <w:rPr>
          <w:szCs w:val="22"/>
        </w:rPr>
        <w:t>i</w:t>
      </w:r>
      <w:r w:rsidRPr="00546722">
        <w:rPr>
          <w:szCs w:val="22"/>
        </w:rPr>
        <w:t>nstitutional investors have also invested £34 billion in student accommodation</w:t>
      </w:r>
      <w:r w:rsidRPr="00546722">
        <w:rPr>
          <w:color w:val="auto"/>
          <w:szCs w:val="22"/>
        </w:rPr>
        <w:t xml:space="preserve"> (</w:t>
      </w:r>
      <w:r w:rsidRPr="00546722">
        <w:rPr>
          <w:szCs w:val="22"/>
        </w:rPr>
        <w:t>Investment Property Forum</w:t>
      </w:r>
      <w:r w:rsidR="00DE011A">
        <w:rPr>
          <w:szCs w:val="22"/>
        </w:rPr>
        <w:t> </w:t>
      </w:r>
      <w:r w:rsidRPr="00546722">
        <w:rPr>
          <w:szCs w:val="22"/>
        </w:rPr>
        <w:t>2022</w:t>
      </w:r>
      <w:r w:rsidRPr="00546722">
        <w:rPr>
          <w:color w:val="auto"/>
          <w:szCs w:val="22"/>
        </w:rPr>
        <w:t>).</w:t>
      </w:r>
      <w:r w:rsidR="00E72491">
        <w:rPr>
          <w:color w:val="auto"/>
          <w:szCs w:val="22"/>
        </w:rPr>
        <w:t xml:space="preserve"> </w:t>
      </w:r>
      <w:r w:rsidR="006035B7">
        <w:t>That said</w:t>
      </w:r>
      <w:r w:rsidR="00A735B3">
        <w:t>, it remains unclear whether this</w:t>
      </w:r>
      <w:r w:rsidR="00893DB7">
        <w:t xml:space="preserve"> investment has actually added to supply</w:t>
      </w:r>
      <w:r w:rsidR="005431A5">
        <w:t xml:space="preserve"> in the </w:t>
      </w:r>
      <w:r w:rsidR="0016071B">
        <w:t>UK</w:t>
      </w:r>
      <w:r w:rsidR="005F526D">
        <w:t xml:space="preserve">, or merely displaced other investment </w:t>
      </w:r>
      <w:r w:rsidR="005431A5">
        <w:t xml:space="preserve">in housing </w:t>
      </w:r>
      <w:r w:rsidR="005F526D">
        <w:t>(</w:t>
      </w:r>
      <w:r w:rsidR="004B0FE9">
        <w:t xml:space="preserve">and so simply changed the mix of ownership of the housing stock). </w:t>
      </w:r>
    </w:p>
    <w:p w14:paraId="379E79A9" w14:textId="7E7970A9" w:rsidR="00373A4C" w:rsidRPr="002F40E7" w:rsidRDefault="002F40E7" w:rsidP="002F40E7">
      <w:pPr>
        <w:spacing w:before="0" w:after="160" w:line="259" w:lineRule="auto"/>
      </w:pPr>
      <w:r>
        <w:br w:type="page"/>
      </w: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E3C7" w:themeFill="background2"/>
        <w:tblCellMar>
          <w:top w:w="284" w:type="dxa"/>
          <w:left w:w="284" w:type="dxa"/>
          <w:bottom w:w="284" w:type="dxa"/>
          <w:right w:w="284" w:type="dxa"/>
        </w:tblCellMar>
        <w:tblLook w:val="0600" w:firstRow="0" w:lastRow="0" w:firstColumn="0" w:lastColumn="0" w:noHBand="1" w:noVBand="1"/>
      </w:tblPr>
      <w:tblGrid>
        <w:gridCol w:w="9070"/>
      </w:tblGrid>
      <w:tr w:rsidR="001436EA" w14:paraId="53999F41" w14:textId="77777777" w:rsidTr="00D018FC">
        <w:tc>
          <w:tcPr>
            <w:tcW w:w="5000" w:type="pct"/>
            <w:tcBorders>
              <w:top w:val="nil"/>
              <w:left w:val="nil"/>
              <w:bottom w:val="nil"/>
              <w:right w:val="nil"/>
            </w:tcBorders>
            <w:shd w:val="clear" w:color="auto" w:fill="F2E3C7" w:themeFill="accent6"/>
            <w:hideMark/>
          </w:tcPr>
          <w:p w14:paraId="131AA45E" w14:textId="1AA9BB0D" w:rsidR="00D60315" w:rsidRPr="00093CF0" w:rsidRDefault="00D60315">
            <w:pPr>
              <w:pStyle w:val="BoxHeading"/>
            </w:pPr>
            <w:bookmarkStart w:id="73" w:name="_Hlk141347540"/>
            <w:r w:rsidRPr="006E6BCD">
              <w:lastRenderedPageBreak/>
              <w:t xml:space="preserve">Box 4: The </w:t>
            </w:r>
            <w:r w:rsidRPr="006E6BCD">
              <w:rPr>
                <w:bCs/>
              </w:rPr>
              <w:t>Montague</w:t>
            </w:r>
            <w:r w:rsidRPr="006E6BCD">
              <w:t xml:space="preserve"> Review and the UK Government</w:t>
            </w:r>
            <w:r w:rsidR="00563A2B">
              <w:t>’</w:t>
            </w:r>
            <w:r w:rsidR="0016071B">
              <w:t>s</w:t>
            </w:r>
            <w:r w:rsidRPr="006E6BCD">
              <w:t xml:space="preserve"> Response</w:t>
            </w:r>
          </w:p>
          <w:p w14:paraId="0F962336" w14:textId="4F4C1003" w:rsidR="009A4DA0" w:rsidRPr="007F795A" w:rsidRDefault="009A4DA0" w:rsidP="00D018FC">
            <w:pPr>
              <w:pStyle w:val="BoxText"/>
            </w:pPr>
            <w:r w:rsidRPr="00093CF0">
              <w:rPr>
                <w:rStyle w:val="BoxTextChar"/>
              </w:rPr>
              <w:t xml:space="preserve">The 2012 Montague Review identified several barriers to the expansion of institutional investment in housing in the </w:t>
            </w:r>
            <w:r w:rsidR="009A1973">
              <w:rPr>
                <w:rStyle w:val="BoxTextChar"/>
              </w:rPr>
              <w:t>UK</w:t>
            </w:r>
            <w:r w:rsidRPr="00093CF0">
              <w:rPr>
                <w:rStyle w:val="BoxTextChar"/>
              </w:rPr>
              <w:t xml:space="preserve"> and made </w:t>
            </w:r>
            <w:r w:rsidR="00E840B1">
              <w:rPr>
                <w:rStyle w:val="BoxTextChar"/>
              </w:rPr>
              <w:t>5</w:t>
            </w:r>
            <w:r w:rsidRPr="00093CF0">
              <w:rPr>
                <w:rStyle w:val="BoxTextChar"/>
              </w:rPr>
              <w:t xml:space="preserve"> recommendations</w:t>
            </w:r>
            <w:r w:rsidR="00456594">
              <w:t>.</w:t>
            </w:r>
          </w:p>
          <w:p w14:paraId="0DD181DF" w14:textId="77777777" w:rsidR="009A4DA0" w:rsidRPr="003123FB" w:rsidRDefault="009A4DA0" w:rsidP="005B3766">
            <w:pPr>
              <w:pStyle w:val="Boxbullet"/>
            </w:pPr>
            <w:r w:rsidRPr="00514183">
              <w:t xml:space="preserve">Greater flexibility for local authorities to use the planning system to facilitate private rental projects. </w:t>
            </w:r>
          </w:p>
          <w:p w14:paraId="397004C7" w14:textId="05A70393" w:rsidR="009A4DA0" w:rsidRPr="003123FB" w:rsidRDefault="009A4DA0" w:rsidP="005B3766">
            <w:pPr>
              <w:pStyle w:val="Boxbullet"/>
            </w:pPr>
            <w:r w:rsidRPr="00514183">
              <w:t>More public sector land release by government and public agencies and a re</w:t>
            </w:r>
            <w:r w:rsidR="00563A2B">
              <w:noBreakHyphen/>
            </w:r>
            <w:r w:rsidRPr="00514183">
              <w:t xml:space="preserve">assessment of </w:t>
            </w:r>
            <w:r w:rsidR="00563A2B">
              <w:t>‘</w:t>
            </w:r>
            <w:r w:rsidRPr="00514183">
              <w:t>best value</w:t>
            </w:r>
            <w:r w:rsidR="00563A2B">
              <w:t>’</w:t>
            </w:r>
            <w:r w:rsidRPr="00514183">
              <w:t xml:space="preserve"> requirements when disposing of such land to support high density housing. </w:t>
            </w:r>
          </w:p>
          <w:p w14:paraId="19742C0C" w14:textId="77777777" w:rsidR="009A4DA0" w:rsidRPr="003123FB" w:rsidRDefault="009A4DA0" w:rsidP="005B3766">
            <w:pPr>
              <w:pStyle w:val="Boxbullet"/>
            </w:pPr>
            <w:r w:rsidRPr="00514183">
              <w:t>Financial incentives to stimulate new business models for housing providers, focusing on schemes that provide finance on commercial terms.</w:t>
            </w:r>
          </w:p>
          <w:p w14:paraId="18CA9577" w14:textId="77777777" w:rsidR="009A4DA0" w:rsidRPr="003123FB" w:rsidRDefault="009A4DA0" w:rsidP="005B3766">
            <w:pPr>
              <w:pStyle w:val="Boxbullet"/>
            </w:pPr>
            <w:r w:rsidRPr="00514183">
              <w:t>The establishment of a dedicated government task force to work with industry to develop voluntary standards to recognise quality.</w:t>
            </w:r>
          </w:p>
          <w:p w14:paraId="2ED4A630" w14:textId="0A9C674E" w:rsidR="009A4DA0" w:rsidRPr="003123FB" w:rsidRDefault="009A4DA0" w:rsidP="005B3766">
            <w:pPr>
              <w:pStyle w:val="Boxbullet"/>
            </w:pPr>
            <w:r w:rsidRPr="00514183">
              <w:t>The development of voluntary standards for the build</w:t>
            </w:r>
            <w:r w:rsidR="00563A2B">
              <w:noBreakHyphen/>
            </w:r>
            <w:r w:rsidRPr="00514183">
              <w:t>to</w:t>
            </w:r>
            <w:r w:rsidR="00563A2B">
              <w:noBreakHyphen/>
            </w:r>
            <w:r w:rsidRPr="00514183">
              <w:t>rent sector covering build quality, energy efficiency, tenancy management, maintenance and upkeep.</w:t>
            </w:r>
          </w:p>
          <w:p w14:paraId="2EF83C81" w14:textId="38000A28" w:rsidR="009A4DA0" w:rsidRPr="007F795A" w:rsidRDefault="009A4DA0" w:rsidP="00D018FC">
            <w:pPr>
              <w:pStyle w:val="BoxText"/>
            </w:pPr>
            <w:r w:rsidRPr="00093CF0">
              <w:rPr>
                <w:rStyle w:val="BoxTextChar"/>
              </w:rPr>
              <w:t xml:space="preserve">In response, the </w:t>
            </w:r>
            <w:r w:rsidR="00E840B1">
              <w:rPr>
                <w:rStyle w:val="BoxTextChar"/>
              </w:rPr>
              <w:t xml:space="preserve">UK </w:t>
            </w:r>
            <w:r w:rsidRPr="00093CF0">
              <w:rPr>
                <w:rStyle w:val="BoxTextChar"/>
              </w:rPr>
              <w:t>Government introduced a range of initiatives designed to boost the scale of institutional investment and the build</w:t>
            </w:r>
            <w:r w:rsidR="00563A2B">
              <w:rPr>
                <w:rStyle w:val="BoxTextChar"/>
              </w:rPr>
              <w:noBreakHyphen/>
            </w:r>
            <w:r w:rsidRPr="00093CF0">
              <w:rPr>
                <w:rStyle w:val="BoxTextChar"/>
              </w:rPr>
              <w:t>to</w:t>
            </w:r>
            <w:r w:rsidR="00563A2B">
              <w:rPr>
                <w:rStyle w:val="BoxTextChar"/>
              </w:rPr>
              <w:noBreakHyphen/>
            </w:r>
            <w:r w:rsidRPr="00093CF0">
              <w:rPr>
                <w:rStyle w:val="BoxTextChar"/>
              </w:rPr>
              <w:t>rent sector. These included the Build</w:t>
            </w:r>
            <w:r w:rsidR="00563A2B">
              <w:rPr>
                <w:rStyle w:val="BoxTextChar"/>
              </w:rPr>
              <w:noBreakHyphen/>
            </w:r>
            <w:r w:rsidRPr="00093CF0">
              <w:rPr>
                <w:rStyle w:val="BoxTextChar"/>
              </w:rPr>
              <w:t>to</w:t>
            </w:r>
            <w:r w:rsidR="00563A2B">
              <w:rPr>
                <w:rStyle w:val="BoxTextChar"/>
              </w:rPr>
              <w:noBreakHyphen/>
            </w:r>
            <w:r w:rsidRPr="00093CF0">
              <w:rPr>
                <w:rStyle w:val="BoxTextChar"/>
              </w:rPr>
              <w:t xml:space="preserve">Rent Fund and the </w:t>
            </w:r>
            <w:r w:rsidR="00E64CEF" w:rsidRPr="00E64CEF">
              <w:rPr>
                <w:rStyle w:val="BoxTextChar"/>
              </w:rPr>
              <w:t>Private Rented Sector Guarantee Scheme</w:t>
            </w:r>
            <w:r w:rsidRPr="00093CF0">
              <w:rPr>
                <w:rStyle w:val="BoxTextChar"/>
              </w:rPr>
              <w:t>, which were designed to work in tandem. The Build</w:t>
            </w:r>
            <w:r w:rsidR="00563A2B">
              <w:rPr>
                <w:rStyle w:val="BoxTextChar"/>
              </w:rPr>
              <w:noBreakHyphen/>
            </w:r>
            <w:r w:rsidRPr="00093CF0">
              <w:rPr>
                <w:rStyle w:val="BoxTextChar"/>
              </w:rPr>
              <w:t>to</w:t>
            </w:r>
            <w:r w:rsidR="00563A2B">
              <w:rPr>
                <w:rStyle w:val="BoxTextChar"/>
              </w:rPr>
              <w:noBreakHyphen/>
            </w:r>
            <w:r w:rsidRPr="00093CF0">
              <w:rPr>
                <w:rStyle w:val="BoxTextChar"/>
              </w:rPr>
              <w:t xml:space="preserve">Rent Fund assisted with the development phase, while the </w:t>
            </w:r>
            <w:r w:rsidR="00E64CEF" w:rsidRPr="00E64CEF">
              <w:rPr>
                <w:rStyle w:val="BoxTextChar"/>
              </w:rPr>
              <w:t xml:space="preserve">Private Rented Sector Guarantee Scheme </w:t>
            </w:r>
            <w:r w:rsidRPr="00093CF0">
              <w:rPr>
                <w:rStyle w:val="BoxTextChar"/>
              </w:rPr>
              <w:t>assisted with the long</w:t>
            </w:r>
            <w:r w:rsidR="00563A2B">
              <w:rPr>
                <w:rStyle w:val="BoxTextChar"/>
              </w:rPr>
              <w:noBreakHyphen/>
            </w:r>
            <w:r w:rsidRPr="00093CF0">
              <w:rPr>
                <w:rStyle w:val="BoxTextChar"/>
              </w:rPr>
              <w:t>term holding of property once construction was completed</w:t>
            </w:r>
            <w:r w:rsidRPr="007F795A">
              <w:t xml:space="preserve">. </w:t>
            </w:r>
          </w:p>
          <w:p w14:paraId="7339CB49" w14:textId="08B76D0E" w:rsidR="00E840B1" w:rsidRDefault="009A4DA0" w:rsidP="00D018FC">
            <w:pPr>
              <w:pStyle w:val="BoxHeading2"/>
              <w:framePr w:hSpace="0" w:wrap="auto" w:vAnchor="margin" w:yAlign="inline"/>
              <w:suppressOverlap w:val="0"/>
            </w:pPr>
            <w:r w:rsidRPr="007F795A">
              <w:t>Build to Rent Fund</w:t>
            </w:r>
            <w:r w:rsidR="00563A2B">
              <w:t xml:space="preserve"> </w:t>
            </w:r>
          </w:p>
          <w:p w14:paraId="0435FC21" w14:textId="2C78D70F" w:rsidR="009A4DA0" w:rsidRPr="007F795A" w:rsidRDefault="009A4DA0" w:rsidP="00D018FC">
            <w:pPr>
              <w:pStyle w:val="BoxText"/>
            </w:pPr>
            <w:r w:rsidRPr="007F795A">
              <w:t>Th</w:t>
            </w:r>
            <w:r w:rsidR="005D5B5F">
              <w:t>is</w:t>
            </w:r>
            <w:r w:rsidRPr="007F795A">
              <w:t xml:space="preserve"> £1 billion fund provided debt finance </w:t>
            </w:r>
            <w:r>
              <w:t>to</w:t>
            </w:r>
            <w:r w:rsidRPr="007F795A">
              <w:t xml:space="preserve"> builders and developers for large projects of purpose</w:t>
            </w:r>
            <w:r w:rsidR="00563A2B">
              <w:noBreakHyphen/>
            </w:r>
            <w:r w:rsidRPr="007F795A">
              <w:t xml:space="preserve">built private rented units. Its goal was to demonstrate the viability of the </w:t>
            </w:r>
            <w:r>
              <w:t>build</w:t>
            </w:r>
            <w:r w:rsidR="00563A2B">
              <w:noBreakHyphen/>
            </w:r>
            <w:r>
              <w:t>to</w:t>
            </w:r>
            <w:r w:rsidR="00563A2B">
              <w:noBreakHyphen/>
            </w:r>
            <w:r>
              <w:t>rent</w:t>
            </w:r>
            <w:r w:rsidRPr="007F795A">
              <w:t xml:space="preserve"> market and to increase investor confidence. The fund offered finance on a commercial basis and required </w:t>
            </w:r>
            <w:r w:rsidR="002D2C81">
              <w:t xml:space="preserve">either </w:t>
            </w:r>
            <w:r w:rsidRPr="007F795A">
              <w:t>a clear exit strategy for securing a sale</w:t>
            </w:r>
            <w:r>
              <w:t xml:space="preserve"> or </w:t>
            </w:r>
            <w:r w:rsidRPr="007F795A">
              <w:t xml:space="preserve">refinancing </w:t>
            </w:r>
            <w:r>
              <w:t>to repay</w:t>
            </w:r>
            <w:r w:rsidRPr="007F795A">
              <w:t xml:space="preserve"> the government</w:t>
            </w:r>
            <w:r w:rsidR="00563A2B">
              <w:t>’</w:t>
            </w:r>
            <w:r w:rsidRPr="007F795A">
              <w:t>s investment, usually within 1</w:t>
            </w:r>
            <w:r w:rsidR="00563A2B">
              <w:t>–</w:t>
            </w:r>
            <w:r w:rsidRPr="007F795A">
              <w:t xml:space="preserve">2 years of completion of the dwelling </w:t>
            </w:r>
            <w:r w:rsidRPr="00D018FC">
              <w:t>units</w:t>
            </w:r>
            <w:r w:rsidRPr="007F795A">
              <w:t xml:space="preserve">. The </w:t>
            </w:r>
            <w:r w:rsidR="003F6805">
              <w:t>G</w:t>
            </w:r>
            <w:r w:rsidRPr="007F795A">
              <w:t>overnment also required a senior debt position.</w:t>
            </w:r>
          </w:p>
          <w:p w14:paraId="26163A9B" w14:textId="743589CF" w:rsidR="009A4DA0" w:rsidRPr="007F795A" w:rsidRDefault="009A4DA0" w:rsidP="00D018FC">
            <w:pPr>
              <w:pStyle w:val="BoxText"/>
            </w:pPr>
            <w:r w:rsidRPr="007F795A">
              <w:t xml:space="preserve">The </w:t>
            </w:r>
            <w:r w:rsidR="005D5B5F">
              <w:t>f</w:t>
            </w:r>
            <w:r w:rsidRPr="007F795A">
              <w:t>und covered up to 50</w:t>
            </w:r>
            <w:r w:rsidR="00E67AFE">
              <w:t> per </w:t>
            </w:r>
            <w:r w:rsidRPr="007F795A">
              <w:t xml:space="preserve">cent of eligible development costs. To be eligible, a project could package up sites into larger portfolios </w:t>
            </w:r>
            <w:r w:rsidRPr="00D018FC">
              <w:t>but</w:t>
            </w:r>
            <w:r w:rsidRPr="007F795A">
              <w:t xml:space="preserve"> needed to create 100 or more new private rented units. Completed units needed be held as private rented stock for a minimum of 5 years.</w:t>
            </w:r>
          </w:p>
          <w:p w14:paraId="3DD32420" w14:textId="34A39536" w:rsidR="009A4DA0" w:rsidRPr="002C593F" w:rsidRDefault="009A4DA0" w:rsidP="00D018FC">
            <w:pPr>
              <w:pStyle w:val="BoxText"/>
            </w:pPr>
            <w:r w:rsidRPr="002C593F">
              <w:t xml:space="preserve">The fund </w:t>
            </w:r>
            <w:r>
              <w:t xml:space="preserve">accepted applications between 2014 and 2016 </w:t>
            </w:r>
            <w:r w:rsidR="006C208E">
              <w:t>and</w:t>
            </w:r>
            <w:r>
              <w:t xml:space="preserve"> </w:t>
            </w:r>
            <w:r w:rsidRPr="002C593F">
              <w:t>5,565 dwelling</w:t>
            </w:r>
            <w:r>
              <w:t xml:space="preserve"> units</w:t>
            </w:r>
            <w:r w:rsidRPr="002C593F">
              <w:t xml:space="preserve"> </w:t>
            </w:r>
            <w:r w:rsidR="006C208E">
              <w:t xml:space="preserve">were </w:t>
            </w:r>
            <w:r>
              <w:t>completed</w:t>
            </w:r>
            <w:r w:rsidRPr="002C593F">
              <w:t xml:space="preserve"> </w:t>
            </w:r>
            <w:r w:rsidRPr="00D018FC">
              <w:t>under</w:t>
            </w:r>
            <w:r w:rsidRPr="002C593F">
              <w:t xml:space="preserve"> the program</w:t>
            </w:r>
            <w:r>
              <w:t xml:space="preserve"> by March 2022</w:t>
            </w:r>
            <w:r w:rsidRPr="002C593F">
              <w:t>.</w:t>
            </w:r>
          </w:p>
          <w:p w14:paraId="0F4015F2" w14:textId="05AD38DF" w:rsidR="005D5B5F" w:rsidRDefault="00E64CEF" w:rsidP="00D018FC">
            <w:pPr>
              <w:pStyle w:val="BoxHeading2"/>
              <w:framePr w:hSpace="0" w:wrap="auto" w:vAnchor="margin" w:yAlign="inline"/>
              <w:suppressOverlap w:val="0"/>
            </w:pPr>
            <w:r w:rsidRPr="00E64CEF">
              <w:t>Private Rented Sector Guarantee Scheme</w:t>
            </w:r>
          </w:p>
          <w:p w14:paraId="681DB4F7" w14:textId="1CC56EAF" w:rsidR="009A4DA0" w:rsidRPr="007F795A" w:rsidRDefault="009A4DA0" w:rsidP="00D018FC">
            <w:pPr>
              <w:pStyle w:val="BoxText"/>
            </w:pPr>
            <w:r>
              <w:t>The</w:t>
            </w:r>
            <w:r w:rsidRPr="007F795A">
              <w:t xml:space="preserve"> </w:t>
            </w:r>
            <w:r w:rsidRPr="007F795A">
              <w:rPr>
                <w:rFonts w:cstheme="minorHAnsi"/>
              </w:rPr>
              <w:t>£3.5</w:t>
            </w:r>
            <w:r w:rsidRPr="007F795A">
              <w:t xml:space="preserve"> billion fund involved the </w:t>
            </w:r>
            <w:r w:rsidR="00B60361">
              <w:t>UK</w:t>
            </w:r>
            <w:r w:rsidRPr="007F795A">
              <w:t xml:space="preserve"> Government guaranteeing loans made to </w:t>
            </w:r>
            <w:r>
              <w:t xml:space="preserve">reduce borrowing costs for </w:t>
            </w:r>
            <w:r w:rsidRPr="007F795A">
              <w:t>entities providing new rental stock for periods of up to 30 years</w:t>
            </w:r>
            <w:r>
              <w:t xml:space="preserve"> (</w:t>
            </w:r>
            <w:r w:rsidR="000608F0" w:rsidRPr="000608F0">
              <w:t>Homes and Community Agency</w:t>
            </w:r>
            <w:r w:rsidR="00C32E20">
              <w:t> </w:t>
            </w:r>
            <w:r w:rsidR="000608F0" w:rsidRPr="000608F0">
              <w:t>2015</w:t>
            </w:r>
            <w:r>
              <w:t>).</w:t>
            </w:r>
          </w:p>
          <w:p w14:paraId="56B463A9" w14:textId="6BA94BC2" w:rsidR="009A4DA0" w:rsidRPr="007F795A" w:rsidRDefault="009A4DA0" w:rsidP="00D018FC">
            <w:pPr>
              <w:pStyle w:val="BoxText"/>
            </w:pPr>
            <w:r w:rsidRPr="007F795A">
              <w:t>The scheme specifically targeted long</w:t>
            </w:r>
            <w:r w:rsidR="00563A2B">
              <w:noBreakHyphen/>
            </w:r>
            <w:r w:rsidRPr="007F795A">
              <w:t xml:space="preserve">term institutional </w:t>
            </w:r>
            <w:r w:rsidRPr="00D018FC">
              <w:t>housing</w:t>
            </w:r>
            <w:r w:rsidRPr="007F795A">
              <w:t xml:space="preserve"> investors, as projects required a minimum size of </w:t>
            </w:r>
            <w:r w:rsidRPr="479AD369">
              <w:rPr>
                <w:rFonts w:cstheme="minorBidi"/>
              </w:rPr>
              <w:t>£</w:t>
            </w:r>
            <w:r w:rsidRPr="007F795A">
              <w:t>10 million and constructed dwellings were required to be rented privately for the period of the debt guarantee</w:t>
            </w:r>
            <w:r>
              <w:t xml:space="preserve"> (Lawson 2013).</w:t>
            </w:r>
          </w:p>
          <w:p w14:paraId="42D906C2" w14:textId="02A00B1E" w:rsidR="009A4DA0" w:rsidRDefault="009A4DA0" w:rsidP="00D018FC">
            <w:pPr>
              <w:pStyle w:val="BoxText"/>
            </w:pPr>
            <w:r w:rsidRPr="007F795A">
              <w:t>To reduce the Government</w:t>
            </w:r>
            <w:r w:rsidR="00563A2B">
              <w:t>’</w:t>
            </w:r>
            <w:r w:rsidRPr="007F795A">
              <w:t>s exposure, loans were limited to 80</w:t>
            </w:r>
            <w:r w:rsidR="00E67AFE">
              <w:t> per </w:t>
            </w:r>
            <w:r w:rsidRPr="007F795A">
              <w:t>cent of project costs, with fund users required to make minimum equity contributions of 20</w:t>
            </w:r>
            <w:r w:rsidR="00E67AFE">
              <w:t> per </w:t>
            </w:r>
            <w:r w:rsidRPr="007F795A">
              <w:t>cent</w:t>
            </w:r>
            <w:r>
              <w:t xml:space="preserve">. </w:t>
            </w:r>
            <w:r w:rsidRPr="007F795A">
              <w:t>While lenders had recourse to the scheme in the event of borrower default, the</w:t>
            </w:r>
            <w:r w:rsidR="005B215E">
              <w:t xml:space="preserve"> UK</w:t>
            </w:r>
            <w:r w:rsidRPr="007F795A">
              <w:t xml:space="preserve"> Government attempted to mitigate this risk by having security </w:t>
            </w:r>
            <w:r w:rsidR="008009B8">
              <w:t>against</w:t>
            </w:r>
            <w:r w:rsidRPr="007F795A">
              <w:t xml:space="preserve"> project assets and in some cases over other company assets</w:t>
            </w:r>
            <w:r>
              <w:t xml:space="preserve"> (Ministry of Housing, Communities &amp; Local Government 2018)</w:t>
            </w:r>
            <w:r w:rsidRPr="007F795A">
              <w:t>.</w:t>
            </w:r>
          </w:p>
          <w:p w14:paraId="2AD1F465" w14:textId="3E120A64" w:rsidR="009A4DA0" w:rsidRPr="00B20C3F" w:rsidRDefault="009A4DA0" w:rsidP="00D018FC">
            <w:pPr>
              <w:pStyle w:val="BoxText"/>
            </w:pPr>
            <w:r w:rsidRPr="007F795A">
              <w:t xml:space="preserve">The scheme was launched in 2014. By 31 December 2022, borrowings of </w:t>
            </w:r>
            <w:r w:rsidRPr="00D018FC">
              <w:t>around</w:t>
            </w:r>
            <w:r w:rsidRPr="007F795A">
              <w:t xml:space="preserve"> £1.8 billion had been approved under the scheme</w:t>
            </w:r>
            <w:r>
              <w:t xml:space="preserve"> (HM Treasury 2023)</w:t>
            </w:r>
            <w:r w:rsidRPr="007F795A">
              <w:t>.</w:t>
            </w:r>
          </w:p>
        </w:tc>
      </w:tr>
    </w:tbl>
    <w:p w14:paraId="0A349D11" w14:textId="77777777" w:rsidR="00D018FC" w:rsidRDefault="00D018FC" w:rsidP="00D018FC">
      <w:pPr>
        <w:pStyle w:val="SingleParagraph"/>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E3C7" w:themeFill="background2"/>
        <w:tblCellMar>
          <w:top w:w="284" w:type="dxa"/>
          <w:left w:w="284" w:type="dxa"/>
          <w:bottom w:w="284" w:type="dxa"/>
          <w:right w:w="284" w:type="dxa"/>
        </w:tblCellMar>
        <w:tblLook w:val="0600" w:firstRow="0" w:lastRow="0" w:firstColumn="0" w:lastColumn="0" w:noHBand="1" w:noVBand="1"/>
      </w:tblPr>
      <w:tblGrid>
        <w:gridCol w:w="9070"/>
      </w:tblGrid>
      <w:tr w:rsidR="00B20C3F" w:rsidRPr="00B20C3F" w14:paraId="43147CBC" w14:textId="77777777" w:rsidTr="00D018FC">
        <w:tc>
          <w:tcPr>
            <w:tcW w:w="5000" w:type="pct"/>
            <w:tcBorders>
              <w:top w:val="nil"/>
              <w:left w:val="nil"/>
              <w:bottom w:val="nil"/>
              <w:right w:val="nil"/>
            </w:tcBorders>
            <w:shd w:val="clear" w:color="auto" w:fill="F2E3C7" w:themeFill="accent6"/>
            <w:hideMark/>
          </w:tcPr>
          <w:p w14:paraId="0BBFF5E6" w14:textId="0DAABA32" w:rsidR="00D018FC" w:rsidRDefault="00D018FC" w:rsidP="00D018FC">
            <w:pPr>
              <w:pStyle w:val="BoxHeading"/>
            </w:pPr>
            <w:bookmarkStart w:id="74" w:name="_Toc139618815"/>
            <w:bookmarkStart w:id="75" w:name="_Toc139635542"/>
            <w:bookmarkEnd w:id="73"/>
            <w:r w:rsidRPr="006E6BCD">
              <w:lastRenderedPageBreak/>
              <w:t xml:space="preserve">Box 4: The </w:t>
            </w:r>
            <w:r w:rsidRPr="006E6BCD">
              <w:rPr>
                <w:bCs/>
              </w:rPr>
              <w:t>Montague</w:t>
            </w:r>
            <w:r w:rsidRPr="006E6BCD">
              <w:t xml:space="preserve"> Review and the UK Government</w:t>
            </w:r>
            <w:r>
              <w:t>’s</w:t>
            </w:r>
            <w:r w:rsidRPr="006E6BCD">
              <w:t xml:space="preserve"> Response</w:t>
            </w:r>
            <w:r>
              <w:t xml:space="preserve"> (continued)</w:t>
            </w:r>
          </w:p>
          <w:p w14:paraId="05E22F01" w14:textId="5AF1DD34" w:rsidR="00B20C3F" w:rsidRPr="00B20C3F" w:rsidRDefault="00B20C3F" w:rsidP="00D018FC">
            <w:pPr>
              <w:pStyle w:val="BoxHeading2"/>
              <w:framePr w:hSpace="0" w:wrap="auto" w:vAnchor="margin" w:yAlign="inline"/>
              <w:suppressOverlap w:val="0"/>
            </w:pPr>
            <w:r w:rsidRPr="00B20C3F">
              <w:t xml:space="preserve">Affordable Homes Guarantee Programme </w:t>
            </w:r>
          </w:p>
          <w:p w14:paraId="5131F169" w14:textId="60F16304" w:rsidR="00B20C3F" w:rsidRPr="00B20C3F" w:rsidRDefault="00EA2DDF" w:rsidP="00D018FC">
            <w:pPr>
              <w:pStyle w:val="BoxText"/>
            </w:pPr>
            <w:r w:rsidRPr="00EA2DDF">
              <w:t>The Affordable Homes Guarantee Programme</w:t>
            </w:r>
            <w:r w:rsidR="00B20C3F" w:rsidRPr="00B20C3F">
              <w:t xml:space="preserve"> was a £3.5 billion debt guarantee for affordable housing (</w:t>
            </w:r>
            <w:proofErr w:type="spellStart"/>
            <w:r w:rsidR="00BB6018">
              <w:t>Prisk</w:t>
            </w:r>
            <w:proofErr w:type="spellEnd"/>
            <w:r w:rsidR="00BB6018">
              <w:t xml:space="preserve"> 2013</w:t>
            </w:r>
            <w:r w:rsidR="00B20C3F" w:rsidRPr="00B20C3F">
              <w:t xml:space="preserve">). </w:t>
            </w:r>
            <w:r>
              <w:t xml:space="preserve">It </w:t>
            </w:r>
            <w:r w:rsidR="00B20C3F" w:rsidRPr="00B20C3F">
              <w:t>operated similarly to the</w:t>
            </w:r>
            <w:r w:rsidR="00E64CEF">
              <w:t xml:space="preserve"> </w:t>
            </w:r>
            <w:r w:rsidR="00E64CEF" w:rsidRPr="00E64CEF">
              <w:t>Private Rented Sector Guarantee Scheme</w:t>
            </w:r>
            <w:r w:rsidR="00B20C3F" w:rsidRPr="00B20C3F">
              <w:t>, offering debt finance for up to 30 years. The Programme also included £450 million in grant funding for new affordable housing that could be used in conjunction with finance secured under the guarantee (Homes and Communities Agency 2014).</w:t>
            </w:r>
          </w:p>
          <w:p w14:paraId="04071DE4" w14:textId="4E35EB18" w:rsidR="00B20C3F" w:rsidRPr="00B20C3F" w:rsidRDefault="00B20C3F" w:rsidP="00D018FC">
            <w:pPr>
              <w:pStyle w:val="BoxHeading2"/>
              <w:framePr w:hSpace="0" w:wrap="auto" w:vAnchor="margin" w:yAlign="inline"/>
              <w:suppressOverlap w:val="0"/>
            </w:pPr>
            <w:r w:rsidRPr="00B20C3F">
              <w:t>Private Rent</w:t>
            </w:r>
            <w:r w:rsidR="00E64CEF">
              <w:t>ed</w:t>
            </w:r>
            <w:r w:rsidRPr="00B20C3F">
              <w:t xml:space="preserve"> Sector Taskforce</w:t>
            </w:r>
          </w:p>
          <w:p w14:paraId="20127804" w14:textId="2770795B" w:rsidR="00B20C3F" w:rsidRPr="00B20C3F" w:rsidRDefault="00C7040A" w:rsidP="00D018FC">
            <w:pPr>
              <w:pStyle w:val="BoxText"/>
            </w:pPr>
            <w:r>
              <w:t xml:space="preserve">The Private Rented Sector Taskforce </w:t>
            </w:r>
            <w:r w:rsidR="00B20C3F" w:rsidRPr="00B20C3F">
              <w:t>was a 2</w:t>
            </w:r>
            <w:r w:rsidR="00563A2B">
              <w:noBreakHyphen/>
            </w:r>
            <w:r w:rsidR="00B20C3F" w:rsidRPr="00B20C3F">
              <w:t>year secondment of property professionals to the Department of Communities and Local Government to develop the public service</w:t>
            </w:r>
            <w:r w:rsidR="00563A2B">
              <w:t>’</w:t>
            </w:r>
            <w:r w:rsidR="00B20C3F" w:rsidRPr="00B20C3F">
              <w:t>s capacity to engage in institutional housing.</w:t>
            </w:r>
          </w:p>
          <w:p w14:paraId="7F92F02A" w14:textId="0F720FD2" w:rsidR="00B20C3F" w:rsidRPr="00B20C3F" w:rsidRDefault="00B20C3F" w:rsidP="00D018FC">
            <w:pPr>
              <w:pStyle w:val="BoxText"/>
              <w:rPr>
                <w:rFonts w:ascii="Arial Unicode MS" w:eastAsia="Arial Unicode MS" w:hAnsi="Arial Unicode MS" w:cs="Arial Unicode MS"/>
              </w:rPr>
            </w:pPr>
            <w:r w:rsidRPr="00B20C3F">
              <w:t xml:space="preserve">Following these initiatives, </w:t>
            </w:r>
            <w:r w:rsidRPr="00B20C3F">
              <w:rPr>
                <w:rFonts w:eastAsia="Arial Unicode MS"/>
              </w:rPr>
              <w:t>the number of new build</w:t>
            </w:r>
            <w:r w:rsidR="00563A2B">
              <w:rPr>
                <w:rFonts w:eastAsia="Arial Unicode MS"/>
              </w:rPr>
              <w:noBreakHyphen/>
            </w:r>
            <w:r w:rsidRPr="00B20C3F">
              <w:rPr>
                <w:rFonts w:eastAsia="Arial Unicode MS"/>
              </w:rPr>
              <w:t>to</w:t>
            </w:r>
            <w:r w:rsidR="00563A2B">
              <w:rPr>
                <w:rFonts w:eastAsia="Arial Unicode MS"/>
              </w:rPr>
              <w:noBreakHyphen/>
            </w:r>
            <w:r w:rsidRPr="00B20C3F">
              <w:rPr>
                <w:rFonts w:eastAsia="Arial Unicode MS"/>
              </w:rPr>
              <w:t>rent homes constructed steadily increased from 2012</w:t>
            </w:r>
            <w:r w:rsidRPr="00B20C3F">
              <w:rPr>
                <w:rFonts w:eastAsia="Arial Unicode MS" w:cstheme="minorHAnsi"/>
              </w:rPr>
              <w:t>. Institutional</w:t>
            </w:r>
            <w:r w:rsidRPr="00B20C3F">
              <w:rPr>
                <w:rFonts w:eastAsia="Arial Unicode MS"/>
              </w:rPr>
              <w:t xml:space="preserve"> investment in the private rental sector</w:t>
            </w:r>
            <w:r w:rsidRPr="00B20C3F">
              <w:rPr>
                <w:rFonts w:eastAsia="Arial Unicode MS" w:cstheme="minorHAnsi"/>
              </w:rPr>
              <w:t xml:space="preserve"> is</w:t>
            </w:r>
            <w:r w:rsidRPr="00B20C3F">
              <w:rPr>
                <w:rFonts w:eastAsia="Arial Unicode MS"/>
              </w:rPr>
              <w:t xml:space="preserve"> estimated to have increased from £10 billion in 2012 to £43 billion in 2020 (Investment Property Forum 2022).</w:t>
            </w:r>
          </w:p>
        </w:tc>
      </w:tr>
    </w:tbl>
    <w:p w14:paraId="477F7547" w14:textId="702B8488" w:rsidR="009A4DA0" w:rsidRPr="00514183" w:rsidRDefault="009A4DA0" w:rsidP="001E4F76">
      <w:pPr>
        <w:pStyle w:val="Heading2Numbered"/>
      </w:pPr>
      <w:bookmarkStart w:id="76" w:name="_Toc141355252"/>
      <w:r w:rsidRPr="00514183">
        <w:t>Canada</w:t>
      </w:r>
      <w:bookmarkEnd w:id="74"/>
      <w:bookmarkEnd w:id="75"/>
      <w:bookmarkEnd w:id="76"/>
      <w:r w:rsidRPr="00514183">
        <w:t xml:space="preserve"> </w:t>
      </w:r>
    </w:p>
    <w:p w14:paraId="7FC2F783" w14:textId="18AD46FD" w:rsidR="009A4DA0" w:rsidRPr="00F0771D" w:rsidRDefault="009A4DA0" w:rsidP="002F40E7">
      <w:r w:rsidRPr="00F0771D">
        <w:t>The housing rental market in Canada, like Australia, relies primarily on small</w:t>
      </w:r>
      <w:r w:rsidR="00563A2B">
        <w:noBreakHyphen/>
      </w:r>
      <w:r w:rsidRPr="00F0771D">
        <w:t xml:space="preserve">scale private investors. </w:t>
      </w:r>
      <w:r w:rsidR="00BB6018" w:rsidRPr="00BB6018">
        <w:t>Institutional investors are estimated to hold at least 344,000 housing units</w:t>
      </w:r>
      <w:r w:rsidR="00133DDD">
        <w:t xml:space="preserve"> (August 2022)</w:t>
      </w:r>
      <w:r w:rsidR="00BB6018" w:rsidRPr="00BB6018">
        <w:t>, which would represent between 2 to 3</w:t>
      </w:r>
      <w:r w:rsidR="00E67AFE">
        <w:t> per </w:t>
      </w:r>
      <w:r w:rsidR="00BB6018" w:rsidRPr="00BB6018">
        <w:t>cent of the total housing stock</w:t>
      </w:r>
      <w:r w:rsidRPr="00F0771D">
        <w:t xml:space="preserve">. This investment is typically in large complexes in inner metropolitan areas. </w:t>
      </w:r>
      <w:r w:rsidR="00FE49D7" w:rsidRPr="00FE49D7">
        <w:t xml:space="preserve">In recent years, institutional investment has </w:t>
      </w:r>
      <w:r w:rsidR="007A3AA4">
        <w:t>risen, supported</w:t>
      </w:r>
      <w:r w:rsidR="00FE49D7" w:rsidRPr="00FE49D7">
        <w:t xml:space="preserve"> by </w:t>
      </w:r>
      <w:r w:rsidR="008F3927">
        <w:t>strong demand for housing</w:t>
      </w:r>
      <w:r w:rsidR="00FE49D7" w:rsidRPr="00FE49D7">
        <w:t xml:space="preserve"> and strong rental yields.</w:t>
      </w:r>
    </w:p>
    <w:p w14:paraId="651B14D4" w14:textId="4CA24F5B" w:rsidR="005B215E" w:rsidRDefault="009A4DA0" w:rsidP="002F40E7">
      <w:r w:rsidRPr="00F0771D">
        <w:t xml:space="preserve">Canada has </w:t>
      </w:r>
      <w:r w:rsidR="005B215E">
        <w:t>3</w:t>
      </w:r>
      <w:r w:rsidR="005B215E" w:rsidRPr="00F0771D">
        <w:t xml:space="preserve"> </w:t>
      </w:r>
      <w:r w:rsidRPr="00F0771D">
        <w:t xml:space="preserve">main government programs to subsidise </w:t>
      </w:r>
      <w:r w:rsidR="00FE49D7">
        <w:t xml:space="preserve">rental </w:t>
      </w:r>
      <w:r w:rsidRPr="00F0771D">
        <w:t>housing construction by institutional investors</w:t>
      </w:r>
      <w:r>
        <w:t xml:space="preserve">. Two of these </w:t>
      </w:r>
      <w:r w:rsidRPr="00F0771D">
        <w:t>target the affordable end of the market</w:t>
      </w:r>
      <w:r>
        <w:t xml:space="preserve">: </w:t>
      </w:r>
    </w:p>
    <w:p w14:paraId="765B62A0" w14:textId="740A9472" w:rsidR="005B215E" w:rsidRPr="002F40E7" w:rsidRDefault="009A4DA0" w:rsidP="002F40E7">
      <w:pPr>
        <w:pStyle w:val="Bullet"/>
      </w:pPr>
      <w:r w:rsidRPr="00F0771D">
        <w:t xml:space="preserve">The </w:t>
      </w:r>
      <w:r w:rsidRPr="002F40E7">
        <w:t>Rental Construction Finance Initiative provides concessional loans and grants to stimulate construction of build</w:t>
      </w:r>
      <w:r w:rsidR="00563A2B">
        <w:noBreakHyphen/>
      </w:r>
      <w:r w:rsidRPr="002F40E7">
        <w:t>to</w:t>
      </w:r>
      <w:r w:rsidR="00563A2B">
        <w:noBreakHyphen/>
      </w:r>
      <w:r w:rsidRPr="002F40E7">
        <w:t xml:space="preserve">rent housing units. </w:t>
      </w:r>
    </w:p>
    <w:p w14:paraId="0BBFA484" w14:textId="40CE5615" w:rsidR="005B215E" w:rsidRDefault="009A4DA0" w:rsidP="002F40E7">
      <w:pPr>
        <w:pStyle w:val="Bullet"/>
      </w:pPr>
      <w:r w:rsidRPr="002F40E7">
        <w:t>The National Housing Co</w:t>
      </w:r>
      <w:r w:rsidR="00563A2B">
        <w:noBreakHyphen/>
      </w:r>
      <w:r w:rsidRPr="002F40E7">
        <w:t>Investment Fund provides concessional loans and grants in partnership with provinces</w:t>
      </w:r>
      <w:r w:rsidRPr="00F0771D">
        <w:t xml:space="preserve"> and territories to construct or rehabilitate rental housing units. </w:t>
      </w:r>
    </w:p>
    <w:p w14:paraId="54A8C888" w14:textId="1C0BCCE1" w:rsidR="009A4DA0" w:rsidRPr="00DA773A" w:rsidRDefault="0050610F" w:rsidP="002F40E7">
      <w:r>
        <w:t>The third, t</w:t>
      </w:r>
      <w:r w:rsidR="00C11896" w:rsidRPr="00C11896">
        <w:t>he Canada Mortgage and Housing Corporation</w:t>
      </w:r>
      <w:r>
        <w:t>,</w:t>
      </w:r>
      <w:r w:rsidR="00C11896" w:rsidRPr="00C11896">
        <w:t xml:space="preserve"> provides specialised financing to developers and investors – including mortgage guarantees</w:t>
      </w:r>
      <w:r w:rsidR="007165FC">
        <w:t>.</w:t>
      </w:r>
    </w:p>
    <w:p w14:paraId="6A21E172" w14:textId="022C941B" w:rsidR="009A4DA0" w:rsidRPr="00F0771D" w:rsidRDefault="00FB01C3" w:rsidP="002F40E7">
      <w:pPr>
        <w:rPr>
          <w:b/>
          <w:bCs/>
        </w:rPr>
      </w:pPr>
      <w:r>
        <w:t>The Canadi</w:t>
      </w:r>
      <w:r w:rsidR="007F7E45">
        <w:t>an Government announced a</w:t>
      </w:r>
      <w:r w:rsidRPr="00F0771D">
        <w:t xml:space="preserve"> </w:t>
      </w:r>
      <w:r w:rsidR="009A4DA0" w:rsidRPr="00F0771D">
        <w:t xml:space="preserve">Housing Accelerator Fund in </w:t>
      </w:r>
      <w:r w:rsidR="00A87E94">
        <w:t>its</w:t>
      </w:r>
      <w:r w:rsidR="009A4DA0" w:rsidRPr="00F0771D">
        <w:t xml:space="preserve"> 2022 Budget</w:t>
      </w:r>
      <w:r w:rsidR="00D455BB">
        <w:t>. The fund</w:t>
      </w:r>
      <w:r w:rsidR="00BB6018">
        <w:t xml:space="preserve"> </w:t>
      </w:r>
      <w:r w:rsidR="009A4DA0" w:rsidRPr="00F0771D">
        <w:t xml:space="preserve">aims to speed the delivery of new housing by providing financial incentives to municipalities and developers. It targets the creation of 100,000 net additional housing units over the next 5 years. </w:t>
      </w:r>
    </w:p>
    <w:p w14:paraId="2BD95493" w14:textId="77777777" w:rsidR="009A4DA0" w:rsidRPr="00514183" w:rsidRDefault="009A4DA0" w:rsidP="001E4F76">
      <w:pPr>
        <w:pStyle w:val="Heading2Numbered"/>
      </w:pPr>
      <w:bookmarkStart w:id="77" w:name="_Toc139618817"/>
      <w:bookmarkStart w:id="78" w:name="_Toc139635544"/>
      <w:bookmarkStart w:id="79" w:name="_Toc141355253"/>
      <w:r w:rsidRPr="00514183">
        <w:t>France</w:t>
      </w:r>
      <w:bookmarkEnd w:id="77"/>
      <w:bookmarkEnd w:id="78"/>
      <w:bookmarkEnd w:id="79"/>
    </w:p>
    <w:p w14:paraId="4B8E65B1" w14:textId="080E51A7" w:rsidR="009A4DA0" w:rsidRDefault="009A4DA0" w:rsidP="002F40E7">
      <w:r w:rsidRPr="00F0771D">
        <w:t xml:space="preserve">In France, </w:t>
      </w:r>
      <w:r w:rsidR="00FC6425">
        <w:t>around</w:t>
      </w:r>
      <w:r w:rsidRPr="00F0771D">
        <w:t xml:space="preserve"> </w:t>
      </w:r>
      <w:r w:rsidR="00FC6425">
        <w:t>62</w:t>
      </w:r>
      <w:r w:rsidR="00E67AFE">
        <w:t> per </w:t>
      </w:r>
      <w:r w:rsidRPr="00F0771D">
        <w:t>cent of households are owner</w:t>
      </w:r>
      <w:r w:rsidR="00563A2B">
        <w:noBreakHyphen/>
      </w:r>
      <w:r w:rsidRPr="00F0771D">
        <w:t>occupiers</w:t>
      </w:r>
      <w:r>
        <w:t xml:space="preserve"> and</w:t>
      </w:r>
      <w:r w:rsidRPr="00F0771D">
        <w:t xml:space="preserve"> </w:t>
      </w:r>
      <w:r w:rsidR="00FC6425">
        <w:t>36</w:t>
      </w:r>
      <w:r w:rsidR="00E67AFE">
        <w:t> per </w:t>
      </w:r>
      <w:r w:rsidRPr="00F0771D">
        <w:t>cent rent</w:t>
      </w:r>
      <w:r>
        <w:t xml:space="preserve"> (</w:t>
      </w:r>
      <w:r w:rsidR="0046223E">
        <w:t>OECD 2023</w:t>
      </w:r>
      <w:r>
        <w:t>)</w:t>
      </w:r>
      <w:r w:rsidRPr="00F0771D">
        <w:t>.</w:t>
      </w:r>
      <w:r>
        <w:t xml:space="preserve"> </w:t>
      </w:r>
      <w:r w:rsidR="00995DF3" w:rsidRPr="00995DF3">
        <w:t>The majority of unsubsidised rental stock is owned by individual investors, with only around 3.5</w:t>
      </w:r>
      <w:r w:rsidR="00E67AFE">
        <w:t> per </w:t>
      </w:r>
      <w:r w:rsidR="00995DF3" w:rsidRPr="00995DF3">
        <w:t>cent of those renting within the unsubsidised sector doing so through dwellings owned by institutional investors (</w:t>
      </w:r>
      <w:proofErr w:type="spellStart"/>
      <w:r w:rsidR="00995DF3" w:rsidRPr="00995DF3">
        <w:t>Acolin</w:t>
      </w:r>
      <w:proofErr w:type="spellEnd"/>
      <w:r w:rsidR="00995DF3" w:rsidRPr="00995DF3">
        <w:t xml:space="preserve"> 2021).</w:t>
      </w:r>
      <w:r>
        <w:t xml:space="preserve"> </w:t>
      </w:r>
    </w:p>
    <w:p w14:paraId="30E00C6C" w14:textId="69F128EC" w:rsidR="009A4DA0" w:rsidRPr="00F0771D" w:rsidRDefault="009A4DA0" w:rsidP="002F40E7">
      <w:r w:rsidRPr="00F0771D">
        <w:lastRenderedPageBreak/>
        <w:t xml:space="preserve">The private rental market is subject to extensive </w:t>
      </w:r>
      <w:r w:rsidR="001C25F0">
        <w:t>g</w:t>
      </w:r>
      <w:r w:rsidR="001C25F0" w:rsidRPr="00F0771D">
        <w:t>overnment</w:t>
      </w:r>
      <w:r w:rsidRPr="00F0771D">
        <w:t xml:space="preserve"> regulation, including minimum lease periods and rent controls in 28 metropolitan regions</w:t>
      </w:r>
      <w:r>
        <w:rPr>
          <w:vertAlign w:val="superscript"/>
        </w:rPr>
        <w:t xml:space="preserve"> </w:t>
      </w:r>
      <w:r>
        <w:t>(</w:t>
      </w:r>
      <w:proofErr w:type="spellStart"/>
      <w:r>
        <w:t>Acolin</w:t>
      </w:r>
      <w:proofErr w:type="spellEnd"/>
      <w:r>
        <w:t xml:space="preserve"> 2021)</w:t>
      </w:r>
      <w:r w:rsidRPr="00F0771D">
        <w:t xml:space="preserve">. </w:t>
      </w:r>
    </w:p>
    <w:p w14:paraId="1E494BE6" w14:textId="7C6C389D" w:rsidR="009A4DA0" w:rsidRPr="00F0771D" w:rsidRDefault="00995DF3" w:rsidP="002F40E7">
      <w:r w:rsidRPr="00995DF3">
        <w:t>The Government provides significant subsidies to support social and affordable housing. Of those renting, 43</w:t>
      </w:r>
      <w:r w:rsidR="00E67AFE">
        <w:t> per </w:t>
      </w:r>
      <w:r w:rsidRPr="00995DF3">
        <w:t>cent do so in the public rental sector (</w:t>
      </w:r>
      <w:proofErr w:type="spellStart"/>
      <w:r w:rsidRPr="00995DF3">
        <w:t>Acolin</w:t>
      </w:r>
      <w:proofErr w:type="spellEnd"/>
      <w:r w:rsidRPr="00995DF3">
        <w:t xml:space="preserve"> 2021)</w:t>
      </w:r>
      <w:r w:rsidR="009A4DA0">
        <w:t xml:space="preserve">. </w:t>
      </w:r>
      <w:r w:rsidRPr="00995DF3">
        <w:t xml:space="preserve">This form of housing is known as habitation à </w:t>
      </w:r>
      <w:proofErr w:type="spellStart"/>
      <w:r w:rsidRPr="00995DF3">
        <w:t>loyer</w:t>
      </w:r>
      <w:proofErr w:type="spellEnd"/>
      <w:r w:rsidRPr="00995DF3">
        <w:t xml:space="preserve"> </w:t>
      </w:r>
      <w:proofErr w:type="spellStart"/>
      <w:r w:rsidRPr="00995DF3">
        <w:t>modéré</w:t>
      </w:r>
      <w:proofErr w:type="spellEnd"/>
      <w:r w:rsidRPr="00995DF3">
        <w:t xml:space="preserve"> (HLM), </w:t>
      </w:r>
      <w:r w:rsidR="004C42B0">
        <w:t>and</w:t>
      </w:r>
      <w:r w:rsidR="004C42B0" w:rsidRPr="00995DF3">
        <w:t xml:space="preserve"> </w:t>
      </w:r>
      <w:r w:rsidRPr="00995DF3">
        <w:t>offer</w:t>
      </w:r>
      <w:r w:rsidR="008C6528">
        <w:t>s</w:t>
      </w:r>
      <w:r w:rsidRPr="00995DF3">
        <w:t xml:space="preserve"> rents that are typically subsidised at between 50</w:t>
      </w:r>
      <w:r>
        <w:t> </w:t>
      </w:r>
      <w:r w:rsidRPr="00995DF3">
        <w:t>to</w:t>
      </w:r>
      <w:r>
        <w:t> </w:t>
      </w:r>
      <w:r w:rsidRPr="00995DF3">
        <w:t>66</w:t>
      </w:r>
      <w:r w:rsidR="00E67AFE">
        <w:t> per </w:t>
      </w:r>
      <w:r w:rsidRPr="00995DF3">
        <w:t>cent of market rents (Expatica 2023). However, there are wait lists to accessing HLM</w:t>
      </w:r>
      <w:r>
        <w:t> </w:t>
      </w:r>
      <w:r w:rsidRPr="00995DF3">
        <w:t>housing.</w:t>
      </w:r>
    </w:p>
    <w:p w14:paraId="7CF18706" w14:textId="5EC4D01A" w:rsidR="009A4DA0" w:rsidRPr="00F0771D" w:rsidRDefault="009A4DA0" w:rsidP="002F40E7">
      <w:r w:rsidRPr="00F0771D">
        <w:t>Management of France</w:t>
      </w:r>
      <w:r w:rsidR="00563A2B">
        <w:t>’</w:t>
      </w:r>
      <w:r w:rsidRPr="00F0771D">
        <w:t xml:space="preserve">s 4.5 million </w:t>
      </w:r>
      <w:r w:rsidR="007F4445">
        <w:t>HLM</w:t>
      </w:r>
      <w:r w:rsidRPr="00F0771D">
        <w:t xml:space="preserve"> dwellings is split between local government entities and public</w:t>
      </w:r>
      <w:r w:rsidR="00563A2B">
        <w:noBreakHyphen/>
      </w:r>
      <w:r w:rsidRPr="00F0771D">
        <w:t>private partnerships</w:t>
      </w:r>
      <w:r>
        <w:t xml:space="preserve">. </w:t>
      </w:r>
      <w:r w:rsidRPr="00F0771D">
        <w:t xml:space="preserve">Construction of </w:t>
      </w:r>
      <w:r w:rsidR="00995DF3">
        <w:t>HLM</w:t>
      </w:r>
      <w:r w:rsidRPr="00F0771D">
        <w:t xml:space="preserve"> housing is subsidised by the State through low interest loans with this funding raised through Government guaranteed (and tax free up to </w:t>
      </w:r>
      <w:r w:rsidRPr="00F0771D">
        <w:rPr>
          <w:rFonts w:cstheme="minorHAnsi"/>
        </w:rPr>
        <w:t>€</w:t>
      </w:r>
      <w:r w:rsidRPr="00F0771D">
        <w:t xml:space="preserve">35,000) public savings deposits known as </w:t>
      </w:r>
      <w:proofErr w:type="spellStart"/>
      <w:r w:rsidRPr="00F0771D">
        <w:t>Livret</w:t>
      </w:r>
      <w:proofErr w:type="spellEnd"/>
      <w:r w:rsidRPr="00F0771D">
        <w:t xml:space="preserve"> A and a tax equivalent to 0.45</w:t>
      </w:r>
      <w:r w:rsidR="00E67AFE">
        <w:t> per </w:t>
      </w:r>
      <w:r w:rsidRPr="00F0771D">
        <w:t>cent of employer payrolls</w:t>
      </w:r>
      <w:r>
        <w:t xml:space="preserve">. </w:t>
      </w:r>
      <w:r w:rsidRPr="00F0771D">
        <w:t>The Government also provides tax incentives to private landlords in exchange for fixing rents below market rates for minimum periods of 6, 9 or 12</w:t>
      </w:r>
      <w:r>
        <w:t> </w:t>
      </w:r>
      <w:r w:rsidRPr="00F0771D">
        <w:t>years</w:t>
      </w:r>
      <w:r>
        <w:rPr>
          <w:vertAlign w:val="superscript"/>
        </w:rPr>
        <w:t xml:space="preserve"> </w:t>
      </w:r>
      <w:r>
        <w:t xml:space="preserve">(Sellier </w:t>
      </w:r>
      <w:proofErr w:type="spellStart"/>
      <w:r>
        <w:t>Patrimoine</w:t>
      </w:r>
      <w:proofErr w:type="spellEnd"/>
      <w:r>
        <w:t xml:space="preserve"> 2023)</w:t>
      </w:r>
      <w:r w:rsidRPr="00F0771D">
        <w:t>.</w:t>
      </w:r>
    </w:p>
    <w:p w14:paraId="58D5F487" w14:textId="77777777" w:rsidR="009A4DA0" w:rsidRPr="00514183" w:rsidRDefault="009A4DA0" w:rsidP="00A83E6C">
      <w:pPr>
        <w:pStyle w:val="Heading2Numbered"/>
      </w:pPr>
      <w:bookmarkStart w:id="80" w:name="_Toc139618818"/>
      <w:bookmarkStart w:id="81" w:name="_Toc139635545"/>
      <w:bookmarkStart w:id="82" w:name="_Toc141355254"/>
      <w:r w:rsidRPr="00514183">
        <w:t>Germany</w:t>
      </w:r>
      <w:bookmarkEnd w:id="80"/>
      <w:bookmarkEnd w:id="81"/>
      <w:bookmarkEnd w:id="82"/>
    </w:p>
    <w:p w14:paraId="2312C8EB" w14:textId="0DBE90B1" w:rsidR="009A4DA0" w:rsidRDefault="009A4DA0" w:rsidP="002F40E7">
      <w:pPr>
        <w:rPr>
          <w:color w:val="121212"/>
          <w:shd w:val="clear" w:color="auto" w:fill="FFFFFF"/>
        </w:rPr>
      </w:pPr>
      <w:r w:rsidRPr="3BC18D10">
        <w:rPr>
          <w:shd w:val="clear" w:color="auto" w:fill="FFFFFF"/>
        </w:rPr>
        <w:t xml:space="preserve">As of 2020, German residential property comprised over 40 million homes, of which </w:t>
      </w:r>
      <w:r w:rsidR="005A46A9" w:rsidRPr="3BC18D10">
        <w:t>44</w:t>
      </w:r>
      <w:r w:rsidR="00E67AFE">
        <w:t> per </w:t>
      </w:r>
      <w:r w:rsidRPr="3BC18D10">
        <w:rPr>
          <w:shd w:val="clear" w:color="auto" w:fill="FFFFFF"/>
        </w:rPr>
        <w:t>cent were owner occupied and 5</w:t>
      </w:r>
      <w:r w:rsidR="001D776A" w:rsidRPr="3BC18D10">
        <w:t>4</w:t>
      </w:r>
      <w:r w:rsidR="00E67AFE">
        <w:rPr>
          <w:shd w:val="clear" w:color="auto" w:fill="FFFFFF"/>
        </w:rPr>
        <w:t> per </w:t>
      </w:r>
      <w:r w:rsidRPr="3BC18D10">
        <w:rPr>
          <w:shd w:val="clear" w:color="auto" w:fill="FFFFFF"/>
        </w:rPr>
        <w:t>cent were rented</w:t>
      </w:r>
      <w:r w:rsidR="001D776A" w:rsidRPr="3BC18D10">
        <w:t xml:space="preserve"> (OECD 2023)</w:t>
      </w:r>
      <w:r w:rsidR="00EB496D">
        <w:rPr>
          <w:shd w:val="clear" w:color="auto" w:fill="FFFFFF"/>
        </w:rPr>
        <w:t xml:space="preserve">. </w:t>
      </w:r>
    </w:p>
    <w:p w14:paraId="22B2AC1A" w14:textId="32211119" w:rsidR="009A4DA0" w:rsidRDefault="009A4DA0" w:rsidP="002F40E7">
      <w:pPr>
        <w:rPr>
          <w:rFonts w:cstheme="minorHAnsi"/>
          <w:color w:val="121212"/>
          <w:shd w:val="clear" w:color="auto" w:fill="FFFFFF"/>
        </w:rPr>
      </w:pPr>
      <w:r>
        <w:rPr>
          <w:rFonts w:cstheme="minorHAnsi"/>
          <w:color w:val="121212"/>
          <w:shd w:val="clear" w:color="auto" w:fill="FFFFFF"/>
        </w:rPr>
        <w:t>Germany saw the largest increase in institutional residential transactions of any economy in Europe over the period from 2012 to 2021</w:t>
      </w:r>
      <w:r w:rsidRPr="007434F0">
        <w:rPr>
          <w:rFonts w:cstheme="minorHAnsi"/>
          <w:color w:val="121212"/>
          <w:shd w:val="clear" w:color="auto" w:fill="FFFFFF"/>
        </w:rPr>
        <w:t>, from 16 to 92</w:t>
      </w:r>
      <w:r w:rsidR="00AF1E1C">
        <w:rPr>
          <w:rFonts w:cstheme="minorHAnsi"/>
          <w:color w:val="121212"/>
          <w:shd w:val="clear" w:color="auto" w:fill="FFFFFF"/>
        </w:rPr>
        <w:t xml:space="preserve"> (</w:t>
      </w:r>
      <w:proofErr w:type="spellStart"/>
      <w:r w:rsidR="00AF1E1C">
        <w:rPr>
          <w:rFonts w:cstheme="minorHAnsi"/>
          <w:color w:val="121212"/>
          <w:shd w:val="clear" w:color="auto" w:fill="FFFFFF"/>
        </w:rPr>
        <w:t>Boffey</w:t>
      </w:r>
      <w:proofErr w:type="spellEnd"/>
      <w:r w:rsidR="00AF1E1C">
        <w:rPr>
          <w:rFonts w:cstheme="minorHAnsi"/>
          <w:color w:val="121212"/>
          <w:shd w:val="clear" w:color="auto" w:fill="FFFFFF"/>
        </w:rPr>
        <w:t xml:space="preserve"> 2022)</w:t>
      </w:r>
      <w:r w:rsidRPr="007434F0">
        <w:rPr>
          <w:rFonts w:cstheme="minorHAnsi"/>
          <w:color w:val="121212"/>
          <w:shd w:val="clear" w:color="auto" w:fill="FFFFFF"/>
        </w:rPr>
        <w:t>.</w:t>
      </w:r>
      <w:r>
        <w:rPr>
          <w:rFonts w:cstheme="minorHAnsi"/>
          <w:color w:val="121212"/>
          <w:shd w:val="clear" w:color="auto" w:fill="FFFFFF"/>
        </w:rPr>
        <w:t xml:space="preserve"> </w:t>
      </w:r>
      <w:r w:rsidRPr="007434F0">
        <w:rPr>
          <w:rFonts w:cstheme="minorHAnsi"/>
          <w:color w:val="121212"/>
          <w:shd w:val="clear" w:color="auto" w:fill="FFFFFF"/>
        </w:rPr>
        <w:t xml:space="preserve">Berlin alone </w:t>
      </w:r>
      <w:r>
        <w:rPr>
          <w:rFonts w:cstheme="minorHAnsi"/>
          <w:color w:val="121212"/>
          <w:shd w:val="clear" w:color="auto" w:fill="FFFFFF"/>
        </w:rPr>
        <w:t xml:space="preserve">currently </w:t>
      </w:r>
      <w:r w:rsidRPr="007434F0">
        <w:rPr>
          <w:rFonts w:cstheme="minorHAnsi"/>
          <w:color w:val="121212"/>
          <w:shd w:val="clear" w:color="auto" w:fill="FFFFFF"/>
        </w:rPr>
        <w:t>has €40</w:t>
      </w:r>
      <w:r w:rsidR="00495C83">
        <w:rPr>
          <w:rFonts w:cstheme="minorHAnsi"/>
          <w:color w:val="121212"/>
          <w:shd w:val="clear" w:color="auto" w:fill="FFFFFF"/>
        </w:rPr>
        <w:t xml:space="preserve"> billion</w:t>
      </w:r>
      <w:r w:rsidRPr="007434F0">
        <w:rPr>
          <w:rFonts w:cstheme="minorHAnsi"/>
          <w:color w:val="121212"/>
          <w:shd w:val="clear" w:color="auto" w:fill="FFFFFF"/>
        </w:rPr>
        <w:t xml:space="preserve"> worth </w:t>
      </w:r>
      <w:r w:rsidRPr="007434F0">
        <w:rPr>
          <w:rFonts w:cstheme="minorHAnsi"/>
        </w:rPr>
        <w:t>of</w:t>
      </w:r>
      <w:r w:rsidRPr="007434F0">
        <w:rPr>
          <w:rFonts w:cstheme="minorHAnsi"/>
          <w:color w:val="121212"/>
          <w:shd w:val="clear" w:color="auto" w:fill="FFFFFF"/>
        </w:rPr>
        <w:t xml:space="preserve"> housing assets in institutional portfolios, double the value found anywhere else in Europe.</w:t>
      </w:r>
    </w:p>
    <w:p w14:paraId="3B8114EC" w14:textId="37802297" w:rsidR="009A4DA0" w:rsidRPr="00A51812" w:rsidRDefault="009A4DA0" w:rsidP="002F40E7">
      <w:pPr>
        <w:rPr>
          <w:rFonts w:cstheme="minorHAnsi"/>
        </w:rPr>
      </w:pPr>
      <w:r>
        <w:rPr>
          <w:rFonts w:cstheme="minorHAnsi"/>
          <w:color w:val="121212"/>
          <w:shd w:val="clear" w:color="auto" w:fill="FFFFFF"/>
        </w:rPr>
        <w:t>Several factors have contributed to the attractiveness of German residential property for institutional investors. In particular, these include a stable economy, sound and transparent governance, a strong long</w:t>
      </w:r>
      <w:r w:rsidR="00563A2B">
        <w:rPr>
          <w:rFonts w:cstheme="minorHAnsi"/>
          <w:color w:val="121212"/>
          <w:shd w:val="clear" w:color="auto" w:fill="FFFFFF"/>
        </w:rPr>
        <w:noBreakHyphen/>
      </w:r>
      <w:r>
        <w:rPr>
          <w:rFonts w:cstheme="minorHAnsi"/>
          <w:color w:val="121212"/>
          <w:shd w:val="clear" w:color="auto" w:fill="FFFFFF"/>
        </w:rPr>
        <w:t xml:space="preserve">term rental culture and a stable and reliable property market supported by policies and regulations that promote and protect real estate investments (Global Property Guide 2023; </w:t>
      </w:r>
      <w:proofErr w:type="spellStart"/>
      <w:r>
        <w:rPr>
          <w:rFonts w:cstheme="minorHAnsi"/>
          <w:color w:val="121212"/>
          <w:shd w:val="clear" w:color="auto" w:fill="FFFFFF"/>
        </w:rPr>
        <w:t>Boffey</w:t>
      </w:r>
      <w:proofErr w:type="spellEnd"/>
      <w:r>
        <w:rPr>
          <w:rFonts w:cstheme="minorHAnsi"/>
          <w:color w:val="121212"/>
          <w:shd w:val="clear" w:color="auto" w:fill="FFFFFF"/>
        </w:rPr>
        <w:t> 2022).</w:t>
      </w:r>
    </w:p>
    <w:p w14:paraId="1326D7B5" w14:textId="78EF5035" w:rsidR="008B24FA" w:rsidRDefault="009A4DA0" w:rsidP="002F40E7">
      <w:pPr>
        <w:rPr>
          <w:rFonts w:cstheme="minorHAnsi"/>
        </w:rPr>
      </w:pPr>
      <w:r w:rsidRPr="00AF5885">
        <w:rPr>
          <w:rFonts w:cstheme="minorHAnsi"/>
          <w:color w:val="121212"/>
          <w:shd w:val="clear" w:color="auto" w:fill="FFFFFF"/>
        </w:rPr>
        <w:t>Germany</w:t>
      </w:r>
      <w:r w:rsidR="00563A2B">
        <w:rPr>
          <w:rFonts w:cstheme="minorHAnsi"/>
          <w:color w:val="121212"/>
          <w:shd w:val="clear" w:color="auto" w:fill="FFFFFF"/>
        </w:rPr>
        <w:t>’</w:t>
      </w:r>
      <w:r w:rsidRPr="00AF5885">
        <w:rPr>
          <w:rFonts w:cstheme="minorHAnsi"/>
          <w:color w:val="121212"/>
          <w:shd w:val="clear" w:color="auto" w:fill="FFFFFF"/>
        </w:rPr>
        <w:t>s reputation as a reliable and low</w:t>
      </w:r>
      <w:r w:rsidR="00563A2B">
        <w:rPr>
          <w:rFonts w:cstheme="minorHAnsi"/>
          <w:color w:val="121212"/>
          <w:shd w:val="clear" w:color="auto" w:fill="FFFFFF"/>
        </w:rPr>
        <w:noBreakHyphen/>
      </w:r>
      <w:r w:rsidRPr="00AF5885">
        <w:rPr>
          <w:rFonts w:cstheme="minorHAnsi"/>
          <w:color w:val="121212"/>
          <w:shd w:val="clear" w:color="auto" w:fill="FFFFFF"/>
        </w:rPr>
        <w:t>risk investment destination appeal</w:t>
      </w:r>
      <w:r>
        <w:rPr>
          <w:rFonts w:cstheme="minorHAnsi"/>
          <w:color w:val="121212"/>
          <w:shd w:val="clear" w:color="auto" w:fill="FFFFFF"/>
        </w:rPr>
        <w:t>s</w:t>
      </w:r>
      <w:r w:rsidRPr="00AF5885">
        <w:rPr>
          <w:rFonts w:cstheme="minorHAnsi"/>
          <w:color w:val="121212"/>
          <w:shd w:val="clear" w:color="auto" w:fill="FFFFFF"/>
        </w:rPr>
        <w:t xml:space="preserve"> to institutional investors and </w:t>
      </w:r>
      <w:r>
        <w:rPr>
          <w:rFonts w:cstheme="minorHAnsi"/>
          <w:color w:val="121212"/>
          <w:shd w:val="clear" w:color="auto" w:fill="FFFFFF"/>
        </w:rPr>
        <w:t>has contributed to a</w:t>
      </w:r>
      <w:r w:rsidRPr="00AF5885">
        <w:rPr>
          <w:rFonts w:cstheme="minorHAnsi"/>
          <w:color w:val="121212"/>
          <w:shd w:val="clear" w:color="auto" w:fill="FFFFFF"/>
        </w:rPr>
        <w:t xml:space="preserve"> perception of Germany as a safe haven for investments.</w:t>
      </w:r>
      <w:r>
        <w:rPr>
          <w:rFonts w:cstheme="minorHAnsi"/>
          <w:color w:val="121212"/>
          <w:shd w:val="clear" w:color="auto" w:fill="FFFFFF"/>
        </w:rPr>
        <w:t xml:space="preserve"> </w:t>
      </w:r>
      <w:r>
        <w:rPr>
          <w:rFonts w:cstheme="minorHAnsi"/>
        </w:rPr>
        <w:t>T</w:t>
      </w:r>
      <w:r w:rsidRPr="00A51812">
        <w:rPr>
          <w:rFonts w:cstheme="minorHAnsi"/>
        </w:rPr>
        <w:t xml:space="preserve">he </w:t>
      </w:r>
      <w:r>
        <w:rPr>
          <w:rFonts w:cstheme="minorHAnsi"/>
        </w:rPr>
        <w:br/>
      </w:r>
      <w:r w:rsidRPr="00A51812">
        <w:rPr>
          <w:rFonts w:cstheme="minorHAnsi"/>
        </w:rPr>
        <w:t>long</w:t>
      </w:r>
      <w:r w:rsidR="00563A2B">
        <w:rPr>
          <w:rFonts w:cstheme="minorHAnsi"/>
        </w:rPr>
        <w:noBreakHyphen/>
      </w:r>
      <w:r w:rsidRPr="00A51812">
        <w:rPr>
          <w:rFonts w:cstheme="minorHAnsi"/>
        </w:rPr>
        <w:t xml:space="preserve">term rental culture in Germany, particularly among younger generations, </w:t>
      </w:r>
      <w:r>
        <w:rPr>
          <w:rFonts w:cstheme="minorHAnsi"/>
        </w:rPr>
        <w:t>also</w:t>
      </w:r>
      <w:r w:rsidRPr="00A51812">
        <w:rPr>
          <w:rFonts w:cstheme="minorHAnsi"/>
        </w:rPr>
        <w:t xml:space="preserve"> aligns well with the investment strategies of institutional investors who seek stable, long</w:t>
      </w:r>
      <w:r w:rsidR="00563A2B">
        <w:rPr>
          <w:rFonts w:cstheme="minorHAnsi"/>
        </w:rPr>
        <w:noBreakHyphen/>
      </w:r>
      <w:r w:rsidRPr="00A51812">
        <w:rPr>
          <w:rFonts w:cstheme="minorHAnsi"/>
        </w:rPr>
        <w:t>term returns.</w:t>
      </w:r>
      <w:r>
        <w:rPr>
          <w:rFonts w:cstheme="minorHAnsi"/>
        </w:rPr>
        <w:t xml:space="preserve"> </w:t>
      </w:r>
      <w:r w:rsidRPr="00BC37F4">
        <w:rPr>
          <w:rFonts w:cstheme="minorHAnsi"/>
        </w:rPr>
        <w:t xml:space="preserve">Tenant protection laws provide tenants with substantial rights and security. </w:t>
      </w:r>
      <w:r>
        <w:rPr>
          <w:rFonts w:cstheme="minorHAnsi"/>
        </w:rPr>
        <w:t>This</w:t>
      </w:r>
      <w:r w:rsidRPr="00BC37F4">
        <w:rPr>
          <w:rFonts w:cstheme="minorHAnsi"/>
        </w:rPr>
        <w:t xml:space="preserve"> well</w:t>
      </w:r>
      <w:r w:rsidR="00563A2B">
        <w:rPr>
          <w:rFonts w:cstheme="minorHAnsi"/>
        </w:rPr>
        <w:noBreakHyphen/>
      </w:r>
      <w:r w:rsidRPr="00BC37F4">
        <w:rPr>
          <w:rFonts w:cstheme="minorHAnsi"/>
        </w:rPr>
        <w:t>regulated rental market</w:t>
      </w:r>
      <w:r>
        <w:rPr>
          <w:rFonts w:cstheme="minorHAnsi"/>
        </w:rPr>
        <w:t xml:space="preserve"> </w:t>
      </w:r>
      <w:r w:rsidRPr="00BC37F4">
        <w:rPr>
          <w:rFonts w:cstheme="minorHAnsi"/>
        </w:rPr>
        <w:t>creates an environment of stability.</w:t>
      </w:r>
      <w:r>
        <w:rPr>
          <w:rFonts w:cstheme="minorHAnsi"/>
        </w:rPr>
        <w:t xml:space="preserve"> </w:t>
      </w:r>
    </w:p>
    <w:p w14:paraId="620C7368" w14:textId="16903994" w:rsidR="009A4DA0" w:rsidRPr="00A51812" w:rsidRDefault="009A4DA0" w:rsidP="002F40E7">
      <w:r>
        <w:t xml:space="preserve">In addition, </w:t>
      </w:r>
      <w:r w:rsidRPr="00A51812">
        <w:t xml:space="preserve">Germany has experienced a significant increase in the number of renters </w:t>
      </w:r>
      <w:r>
        <w:t>in the last decade</w:t>
      </w:r>
      <w:r w:rsidRPr="00A51812">
        <w:t xml:space="preserve"> due to factors such as population growth, urbani</w:t>
      </w:r>
      <w:r w:rsidR="001C514F">
        <w:t>s</w:t>
      </w:r>
      <w:r w:rsidRPr="00A51812">
        <w:t>ation, and changing societal preferences. This sustained demand for rental properties ensures a consistent flow of rental income for investors, making it an attractive income</w:t>
      </w:r>
      <w:r w:rsidR="00563A2B">
        <w:noBreakHyphen/>
      </w:r>
      <w:r w:rsidRPr="00A51812">
        <w:t>generating asset class</w:t>
      </w:r>
      <w:r>
        <w:t xml:space="preserve">. </w:t>
      </w:r>
    </w:p>
    <w:p w14:paraId="12B4362C" w14:textId="7C766547" w:rsidR="009A4DA0" w:rsidRPr="00A51812" w:rsidRDefault="009A4DA0" w:rsidP="002F40E7">
      <w:r>
        <w:t xml:space="preserve">The German policy environment demonstrates that </w:t>
      </w:r>
      <w:r w:rsidRPr="00A51812">
        <w:t xml:space="preserve">a </w:t>
      </w:r>
      <w:r>
        <w:t>robust</w:t>
      </w:r>
      <w:r w:rsidRPr="00A51812">
        <w:t xml:space="preserve"> market</w:t>
      </w:r>
      <w:r>
        <w:t xml:space="preserve"> for institutional housing </w:t>
      </w:r>
      <w:r w:rsidR="00402D21">
        <w:t>c</w:t>
      </w:r>
      <w:r>
        <w:t xml:space="preserve">an coexist with strong tenant rights, including policies that </w:t>
      </w:r>
      <w:r w:rsidRPr="00A51812">
        <w:t>set maximum limits on rent increases in tight housing markets</w:t>
      </w:r>
      <w:r>
        <w:t xml:space="preserve"> and </w:t>
      </w:r>
      <w:r w:rsidRPr="00A51812">
        <w:t xml:space="preserve">tenant protection laws </w:t>
      </w:r>
      <w:r>
        <w:t xml:space="preserve">that </w:t>
      </w:r>
      <w:r w:rsidRPr="00A51812">
        <w:t>limit the circumstances under which landlords can terminate rental contracts.</w:t>
      </w:r>
    </w:p>
    <w:p w14:paraId="268F0436" w14:textId="77777777" w:rsidR="009A4DA0" w:rsidRPr="00514183" w:rsidRDefault="009A4DA0" w:rsidP="00A83E6C">
      <w:pPr>
        <w:pStyle w:val="Heading2Numbered"/>
      </w:pPr>
      <w:bookmarkStart w:id="83" w:name="_Toc139618819"/>
      <w:bookmarkStart w:id="84" w:name="_Toc139635546"/>
      <w:bookmarkStart w:id="85" w:name="_Toc141355255"/>
      <w:r w:rsidRPr="00514183">
        <w:lastRenderedPageBreak/>
        <w:t>Japan</w:t>
      </w:r>
      <w:bookmarkEnd w:id="83"/>
      <w:bookmarkEnd w:id="84"/>
      <w:bookmarkEnd w:id="85"/>
    </w:p>
    <w:p w14:paraId="57A1575E" w14:textId="6013D036" w:rsidR="009A4DA0" w:rsidRDefault="009A4DA0" w:rsidP="002F40E7">
      <w:r>
        <w:t>C</w:t>
      </w:r>
      <w:r w:rsidRPr="00CF6165">
        <w:t xml:space="preserve">onditions </w:t>
      </w:r>
      <w:r>
        <w:t xml:space="preserve">in the Japanese housing market are markedly different from others. </w:t>
      </w:r>
      <w:r w:rsidRPr="00D450A9">
        <w:t>Japan</w:t>
      </w:r>
      <w:r w:rsidR="00563A2B">
        <w:t>’</w:t>
      </w:r>
      <w:r w:rsidRPr="00D450A9">
        <w:t xml:space="preserve">s population </w:t>
      </w:r>
      <w:r>
        <w:t>is declining and ag</w:t>
      </w:r>
      <w:r w:rsidR="0045144E">
        <w:t>e</w:t>
      </w:r>
      <w:r>
        <w:t xml:space="preserve">ing, house prices have remained </w:t>
      </w:r>
      <w:r w:rsidR="00373789">
        <w:t>lower than their peak in the</w:t>
      </w:r>
      <w:r w:rsidR="00716CD6">
        <w:t xml:space="preserve"> early</w:t>
      </w:r>
      <w:r>
        <w:t xml:space="preserve"> 1990s, </w:t>
      </w:r>
      <w:r w:rsidRPr="00E5002F">
        <w:t xml:space="preserve">turnover of </w:t>
      </w:r>
      <w:r>
        <w:t xml:space="preserve">the </w:t>
      </w:r>
      <w:r w:rsidRPr="00E5002F">
        <w:t xml:space="preserve">existing </w:t>
      </w:r>
      <w:r>
        <w:t>housing stock is low</w:t>
      </w:r>
      <w:r w:rsidR="0096477C">
        <w:t>,</w:t>
      </w:r>
      <w:r>
        <w:t xml:space="preserve"> and the rental vacancy rate is high as aggregate housing supply exceeds demand (</w:t>
      </w:r>
      <w:r w:rsidRPr="005B7376">
        <w:t>Yoshida 2021</w:t>
      </w:r>
      <w:r>
        <w:t xml:space="preserve">; </w:t>
      </w:r>
      <w:r w:rsidRPr="005B7376">
        <w:t>Kobayashi 2016</w:t>
      </w:r>
      <w:r w:rsidRPr="00EB1AD1">
        <w:rPr>
          <w:rStyle w:val="Hyperlink"/>
          <w:color w:val="000000" w:themeColor="text1"/>
        </w:rPr>
        <w:t>)</w:t>
      </w:r>
      <w:r w:rsidRPr="00EB1AD1">
        <w:t>.</w:t>
      </w:r>
    </w:p>
    <w:p w14:paraId="63A1A37D" w14:textId="3F705308" w:rsidR="009A4DA0" w:rsidRDefault="009A4DA0" w:rsidP="002F40E7">
      <w:r>
        <w:t>The Japanese housing system has historically been characterised by a high proportion of home ownership, a private rented sector with a subset held by large companies (typically owned by a person</w:t>
      </w:r>
      <w:r w:rsidR="00563A2B">
        <w:t>’</w:t>
      </w:r>
      <w:r>
        <w:t xml:space="preserve">s employer), and a relatively small public housing sector (Hirayama 2014). </w:t>
      </w:r>
      <w:r w:rsidR="00BD2B06">
        <w:t>In</w:t>
      </w:r>
      <w:r>
        <w:t xml:space="preserve"> 2018, </w:t>
      </w:r>
      <w:r w:rsidR="005D04CE" w:rsidRPr="005D04CE">
        <w:t>around</w:t>
      </w:r>
      <w:r>
        <w:t xml:space="preserve"> 61</w:t>
      </w:r>
      <w:r w:rsidR="00E67AFE">
        <w:t> per </w:t>
      </w:r>
      <w:r>
        <w:t>cent of Japanese households own</w:t>
      </w:r>
      <w:r w:rsidR="00300EEF">
        <w:t>ed</w:t>
      </w:r>
      <w:r>
        <w:t xml:space="preserve"> their </w:t>
      </w:r>
      <w:r w:rsidR="005D04CE" w:rsidRPr="005D04CE">
        <w:t xml:space="preserve">own </w:t>
      </w:r>
      <w:r>
        <w:t xml:space="preserve">home, </w:t>
      </w:r>
      <w:r w:rsidR="005D04CE" w:rsidRPr="005D04CE">
        <w:t xml:space="preserve">while around 36 </w:t>
      </w:r>
      <w:r w:rsidR="00DB0650">
        <w:t xml:space="preserve">per cent </w:t>
      </w:r>
      <w:r w:rsidR="005D04CE" w:rsidRPr="005D04CE">
        <w:t xml:space="preserve">of households rented (including renting public </w:t>
      </w:r>
      <w:r>
        <w:t>rental</w:t>
      </w:r>
      <w:r w:rsidR="005D04CE" w:rsidRPr="005D04CE">
        <w:t>, quasi</w:t>
      </w:r>
      <w:r w:rsidR="00563A2B">
        <w:noBreakHyphen/>
      </w:r>
      <w:r w:rsidR="005D04CE" w:rsidRPr="005D04CE">
        <w:t>public rental</w:t>
      </w:r>
      <w:r>
        <w:t xml:space="preserve"> and </w:t>
      </w:r>
      <w:r w:rsidR="005D04CE" w:rsidRPr="005D04CE">
        <w:t xml:space="preserve">corporate </w:t>
      </w:r>
      <w:r>
        <w:t>housing</w:t>
      </w:r>
      <w:r w:rsidR="005D04CE" w:rsidRPr="005D04CE">
        <w:t>) (Yoshida 2021)</w:t>
      </w:r>
      <w:r w:rsidR="00EB496D">
        <w:t xml:space="preserve">. </w:t>
      </w:r>
      <w:r w:rsidR="0014691F">
        <w:t>R</w:t>
      </w:r>
      <w:r w:rsidRPr="00C65E6E">
        <w:t>esidential</w:t>
      </w:r>
      <w:r w:rsidR="00C32E20">
        <w:t> </w:t>
      </w:r>
      <w:r w:rsidRPr="00C65E6E">
        <w:t xml:space="preserve">investment by </w:t>
      </w:r>
      <w:r>
        <w:t>institutional investors</w:t>
      </w:r>
      <w:r w:rsidRPr="00C65E6E">
        <w:t xml:space="preserve"> </w:t>
      </w:r>
      <w:r>
        <w:t xml:space="preserve">is </w:t>
      </w:r>
      <w:r w:rsidRPr="00C65E6E">
        <w:t xml:space="preserve">still </w:t>
      </w:r>
      <w:r>
        <w:t>small</w:t>
      </w:r>
      <w:r w:rsidRPr="00C65E6E">
        <w:t xml:space="preserve"> </w:t>
      </w:r>
      <w:r>
        <w:t xml:space="preserve">but has grown rapidly </w:t>
      </w:r>
      <w:r w:rsidRPr="00C65E6E">
        <w:t>in recent years.</w:t>
      </w:r>
      <w:r>
        <w:t xml:space="preserve"> Most investment is by Japanese real estate investment trust</w:t>
      </w:r>
      <w:r w:rsidR="00E7158E">
        <w:t>s</w:t>
      </w:r>
      <w:r>
        <w:t>, which</w:t>
      </w:r>
      <w:r w:rsidR="005A6402">
        <w:t xml:space="preserve"> </w:t>
      </w:r>
      <w:r>
        <w:t>offers institutional investors a</w:t>
      </w:r>
      <w:r w:rsidR="00C32E20">
        <w:t> </w:t>
      </w:r>
      <w:r>
        <w:t>diversified mix of real estate assets, including multifamily assets located in the major cities (</w:t>
      </w:r>
      <w:r w:rsidRPr="00133AA2">
        <w:t>Allianz Real Estate 2022</w:t>
      </w:r>
      <w:r>
        <w:t xml:space="preserve">; </w:t>
      </w:r>
      <w:proofErr w:type="spellStart"/>
      <w:r w:rsidR="00B83BFF" w:rsidRPr="00B83BFF">
        <w:t>Hogen</w:t>
      </w:r>
      <w:proofErr w:type="spellEnd"/>
      <w:r w:rsidR="00B83BFF" w:rsidRPr="00B83BFF">
        <w:t xml:space="preserve"> and Koide</w:t>
      </w:r>
      <w:r w:rsidRPr="00133AA2">
        <w:t xml:space="preserve"> 2022</w:t>
      </w:r>
      <w:r>
        <w:t>).</w:t>
      </w:r>
    </w:p>
    <w:p w14:paraId="4B09D34B" w14:textId="26B9F8D3" w:rsidR="009A4DA0" w:rsidRDefault="009A4DA0" w:rsidP="002F40E7">
      <w:r>
        <w:t>T</w:t>
      </w:r>
      <w:r w:rsidRPr="00CF6165">
        <w:t>he rental market is influenced by the Act on Land and Building Leases</w:t>
      </w:r>
      <w:r w:rsidR="008A04CC">
        <w:t>,</w:t>
      </w:r>
      <w:r w:rsidRPr="00CF6165">
        <w:t xml:space="preserve"> and the Civil Code, which provide strong tenant protections and make it difficult for landlords to terminate leases or refuse lease renewal</w:t>
      </w:r>
      <w:r w:rsidR="005C64BF">
        <w:t xml:space="preserve">s, </w:t>
      </w:r>
      <w:r w:rsidR="00B10447">
        <w:t xml:space="preserve">and </w:t>
      </w:r>
      <w:r w:rsidR="005C64BF" w:rsidRPr="005C64BF">
        <w:t>which</w:t>
      </w:r>
      <w:r w:rsidRPr="00CF6165">
        <w:t xml:space="preserve"> have seen investors select tenants </w:t>
      </w:r>
      <w:r w:rsidR="005C64BF" w:rsidRPr="005C64BF">
        <w:t>with shorter</w:t>
      </w:r>
      <w:r w:rsidR="00563A2B">
        <w:noBreakHyphen/>
      </w:r>
      <w:r w:rsidR="005C64BF" w:rsidRPr="005C64BF">
        <w:t>term tenancies</w:t>
      </w:r>
      <w:r w:rsidRPr="00CF6165">
        <w:t>, such as college students and single young adults</w:t>
      </w:r>
      <w:r>
        <w:t xml:space="preserve"> (</w:t>
      </w:r>
      <w:r w:rsidRPr="005B7376">
        <w:t>Yoshida 2021</w:t>
      </w:r>
      <w:r>
        <w:t>)</w:t>
      </w:r>
      <w:r w:rsidRPr="00CF6165">
        <w:t>.</w:t>
      </w:r>
    </w:p>
    <w:p w14:paraId="52FBB8C4" w14:textId="77777777" w:rsidR="009A4DA0" w:rsidRDefault="009A4DA0" w:rsidP="009A4DA0">
      <w:pPr>
        <w:spacing w:before="0" w:after="160" w:line="259" w:lineRule="auto"/>
        <w:sectPr w:rsidR="009A4DA0">
          <w:pgSz w:w="11906" w:h="16838" w:code="9"/>
          <w:pgMar w:top="1843" w:right="1418" w:bottom="1418" w:left="1418" w:header="709" w:footer="709" w:gutter="0"/>
          <w:cols w:space="708"/>
          <w:docGrid w:linePitch="360"/>
        </w:sectPr>
      </w:pPr>
    </w:p>
    <w:p w14:paraId="1DEC0CD9" w14:textId="77777777" w:rsidR="009A4DA0" w:rsidRPr="00AB342D" w:rsidRDefault="009A4DA0" w:rsidP="00AB342D">
      <w:pPr>
        <w:pStyle w:val="TableMainHeading"/>
      </w:pPr>
      <w:bookmarkStart w:id="86" w:name="_Toc139618820"/>
      <w:bookmarkStart w:id="87" w:name="_Toc139635547"/>
      <w:r w:rsidRPr="00AB342D">
        <w:lastRenderedPageBreak/>
        <w:t xml:space="preserve">Table 4: Policy incentives and regulatory settings for institutional investment in housing across comparable markets </w:t>
      </w:r>
    </w:p>
    <w:tbl>
      <w:tblPr>
        <w:tblStyle w:val="TableGrid"/>
        <w:tblW w:w="5000" w:type="pct"/>
        <w:tblInd w:w="-5" w:type="dxa"/>
        <w:tblBorders>
          <w:top w:val="single" w:sz="4" w:space="0" w:color="auto"/>
          <w:left w:val="single" w:sz="4" w:space="0" w:color="auto"/>
          <w:bottom w:val="single" w:sz="4" w:space="0" w:color="auto"/>
          <w:right w:val="single" w:sz="4" w:space="0" w:color="auto"/>
        </w:tblBorders>
        <w:tblLayout w:type="fixed"/>
        <w:tblCellMar>
          <w:top w:w="28" w:type="dxa"/>
          <w:left w:w="113" w:type="dxa"/>
          <w:bottom w:w="28" w:type="dxa"/>
          <w:right w:w="113" w:type="dxa"/>
        </w:tblCellMar>
        <w:tblLook w:val="04A0" w:firstRow="1" w:lastRow="0" w:firstColumn="1" w:lastColumn="0" w:noHBand="0" w:noVBand="1"/>
      </w:tblPr>
      <w:tblGrid>
        <w:gridCol w:w="1879"/>
        <w:gridCol w:w="1668"/>
        <w:gridCol w:w="1670"/>
        <w:gridCol w:w="1670"/>
        <w:gridCol w:w="1670"/>
        <w:gridCol w:w="1670"/>
        <w:gridCol w:w="1670"/>
        <w:gridCol w:w="1670"/>
      </w:tblGrid>
      <w:tr w:rsidR="00186954" w:rsidRPr="00B46334" w14:paraId="223C9136" w14:textId="77777777" w:rsidTr="007B71A8">
        <w:trPr>
          <w:cnfStyle w:val="100000000000" w:firstRow="1" w:lastRow="0" w:firstColumn="0" w:lastColumn="0" w:oddVBand="0" w:evenVBand="0" w:oddHBand="0" w:evenHBand="0" w:firstRowFirstColumn="0" w:firstRowLastColumn="0" w:lastRowFirstColumn="0" w:lastRowLastColumn="0"/>
          <w:trHeight w:val="477"/>
        </w:trPr>
        <w:tc>
          <w:tcPr>
            <w:tcW w:w="1673" w:type="dxa"/>
            <w:tcBorders>
              <w:top w:val="single" w:sz="4" w:space="0" w:color="auto"/>
              <w:bottom w:val="single" w:sz="4" w:space="0" w:color="auto"/>
            </w:tcBorders>
            <w:shd w:val="clear" w:color="auto" w:fill="BAD4E8" w:themeFill="accent5"/>
            <w:vAlign w:val="center"/>
          </w:tcPr>
          <w:p w14:paraId="03B5ABEA" w14:textId="77777777" w:rsidR="00995DF3" w:rsidRPr="00A8031D" w:rsidRDefault="00995DF3">
            <w:pPr>
              <w:spacing w:before="0" w:afterLines="80" w:after="192" w:line="276" w:lineRule="auto"/>
              <w:rPr>
                <w:rFonts w:asciiTheme="minorHAnsi" w:hAnsiTheme="minorHAnsi" w:cstheme="minorHAnsi"/>
                <w:sz w:val="16"/>
                <w:szCs w:val="16"/>
              </w:rPr>
            </w:pPr>
          </w:p>
        </w:tc>
        <w:tc>
          <w:tcPr>
            <w:tcW w:w="1485" w:type="dxa"/>
            <w:tcBorders>
              <w:top w:val="single" w:sz="4" w:space="0" w:color="auto"/>
              <w:bottom w:val="single" w:sz="4" w:space="0" w:color="auto"/>
            </w:tcBorders>
            <w:shd w:val="clear" w:color="auto" w:fill="BAD4E8" w:themeFill="accent5"/>
            <w:vAlign w:val="center"/>
          </w:tcPr>
          <w:p w14:paraId="6B90E3A2" w14:textId="77777777" w:rsidR="00995DF3" w:rsidRPr="00933859" w:rsidRDefault="00995DF3">
            <w:pPr>
              <w:pStyle w:val="TableColumnHeadingLeft"/>
              <w:rPr>
                <w:b/>
              </w:rPr>
            </w:pPr>
            <w:r w:rsidRPr="00933859">
              <w:rPr>
                <w:b/>
              </w:rPr>
              <w:t>Australia</w:t>
            </w:r>
          </w:p>
        </w:tc>
        <w:tc>
          <w:tcPr>
            <w:tcW w:w="1487" w:type="dxa"/>
            <w:tcBorders>
              <w:top w:val="single" w:sz="4" w:space="0" w:color="auto"/>
              <w:bottom w:val="single" w:sz="4" w:space="0" w:color="auto"/>
            </w:tcBorders>
            <w:shd w:val="clear" w:color="auto" w:fill="BAD4E8" w:themeFill="accent5"/>
            <w:vAlign w:val="center"/>
          </w:tcPr>
          <w:p w14:paraId="30799D76" w14:textId="77777777" w:rsidR="00995DF3" w:rsidRPr="00933859" w:rsidRDefault="00995DF3">
            <w:pPr>
              <w:pStyle w:val="TableColumnHeadingLeft"/>
              <w:rPr>
                <w:b/>
              </w:rPr>
            </w:pPr>
            <w:r w:rsidRPr="00933859">
              <w:rPr>
                <w:b/>
              </w:rPr>
              <w:t>United States</w:t>
            </w:r>
          </w:p>
        </w:tc>
        <w:tc>
          <w:tcPr>
            <w:tcW w:w="1487" w:type="dxa"/>
            <w:tcBorders>
              <w:top w:val="single" w:sz="4" w:space="0" w:color="auto"/>
              <w:bottom w:val="single" w:sz="4" w:space="0" w:color="auto"/>
            </w:tcBorders>
            <w:shd w:val="clear" w:color="auto" w:fill="BAD4E8" w:themeFill="accent5"/>
            <w:vAlign w:val="center"/>
          </w:tcPr>
          <w:p w14:paraId="449A8904" w14:textId="77777777" w:rsidR="00995DF3" w:rsidRPr="00933859" w:rsidRDefault="00995DF3">
            <w:pPr>
              <w:pStyle w:val="TableColumnHeadingLeft"/>
              <w:rPr>
                <w:b/>
              </w:rPr>
            </w:pPr>
            <w:r w:rsidRPr="00933859">
              <w:rPr>
                <w:b/>
              </w:rPr>
              <w:t>United Kingdom</w:t>
            </w:r>
          </w:p>
        </w:tc>
        <w:tc>
          <w:tcPr>
            <w:tcW w:w="1487" w:type="dxa"/>
            <w:tcBorders>
              <w:top w:val="single" w:sz="4" w:space="0" w:color="auto"/>
              <w:bottom w:val="single" w:sz="4" w:space="0" w:color="auto"/>
            </w:tcBorders>
            <w:shd w:val="clear" w:color="auto" w:fill="BAD4E8" w:themeFill="accent5"/>
            <w:vAlign w:val="center"/>
          </w:tcPr>
          <w:p w14:paraId="77872D6D" w14:textId="77777777" w:rsidR="00995DF3" w:rsidRPr="00933859" w:rsidRDefault="00995DF3">
            <w:pPr>
              <w:pStyle w:val="TableColumnHeadingLeft"/>
              <w:rPr>
                <w:b/>
              </w:rPr>
            </w:pPr>
            <w:r w:rsidRPr="00933859">
              <w:rPr>
                <w:b/>
              </w:rPr>
              <w:t>Canada</w:t>
            </w:r>
          </w:p>
        </w:tc>
        <w:tc>
          <w:tcPr>
            <w:tcW w:w="1487" w:type="dxa"/>
            <w:tcBorders>
              <w:top w:val="single" w:sz="4" w:space="0" w:color="auto"/>
              <w:bottom w:val="single" w:sz="4" w:space="0" w:color="auto"/>
            </w:tcBorders>
            <w:shd w:val="clear" w:color="auto" w:fill="BAD4E8" w:themeFill="accent5"/>
            <w:vAlign w:val="center"/>
          </w:tcPr>
          <w:p w14:paraId="17E699AC" w14:textId="77777777" w:rsidR="00995DF3" w:rsidRPr="00933859" w:rsidRDefault="00995DF3">
            <w:pPr>
              <w:pStyle w:val="TableColumnHeadingLeft"/>
              <w:rPr>
                <w:b/>
              </w:rPr>
            </w:pPr>
            <w:r w:rsidRPr="00933859">
              <w:rPr>
                <w:b/>
              </w:rPr>
              <w:t>Germany</w:t>
            </w:r>
          </w:p>
        </w:tc>
        <w:tc>
          <w:tcPr>
            <w:tcW w:w="1487" w:type="dxa"/>
            <w:tcBorders>
              <w:top w:val="single" w:sz="4" w:space="0" w:color="auto"/>
              <w:bottom w:val="single" w:sz="4" w:space="0" w:color="auto"/>
            </w:tcBorders>
            <w:shd w:val="clear" w:color="auto" w:fill="BAD4E8" w:themeFill="accent5"/>
            <w:vAlign w:val="center"/>
          </w:tcPr>
          <w:p w14:paraId="5B665F88" w14:textId="77777777" w:rsidR="00995DF3" w:rsidRPr="00933859" w:rsidRDefault="00995DF3">
            <w:pPr>
              <w:pStyle w:val="TableColumnHeadingLeft"/>
              <w:rPr>
                <w:b/>
              </w:rPr>
            </w:pPr>
            <w:r w:rsidRPr="00933859">
              <w:rPr>
                <w:b/>
              </w:rPr>
              <w:t>France</w:t>
            </w:r>
          </w:p>
        </w:tc>
        <w:tc>
          <w:tcPr>
            <w:tcW w:w="1487" w:type="dxa"/>
            <w:tcBorders>
              <w:top w:val="single" w:sz="4" w:space="0" w:color="auto"/>
              <w:bottom w:val="single" w:sz="4" w:space="0" w:color="auto"/>
            </w:tcBorders>
            <w:shd w:val="clear" w:color="auto" w:fill="BAD4E8" w:themeFill="accent5"/>
            <w:vAlign w:val="center"/>
          </w:tcPr>
          <w:p w14:paraId="016BDE52" w14:textId="77777777" w:rsidR="00995DF3" w:rsidRPr="00933859" w:rsidRDefault="00995DF3">
            <w:pPr>
              <w:pStyle w:val="TableColumnHeadingLeft"/>
              <w:rPr>
                <w:b/>
              </w:rPr>
            </w:pPr>
            <w:r w:rsidRPr="00933859">
              <w:rPr>
                <w:b/>
              </w:rPr>
              <w:t>Japan</w:t>
            </w:r>
          </w:p>
        </w:tc>
      </w:tr>
      <w:tr w:rsidR="003A5E91" w:rsidRPr="00B46334" w14:paraId="49FB9A1B" w14:textId="77777777" w:rsidTr="007B71A8">
        <w:trPr>
          <w:trHeight w:val="1831"/>
        </w:trPr>
        <w:tc>
          <w:tcPr>
            <w:tcW w:w="1673" w:type="dxa"/>
            <w:tcBorders>
              <w:top w:val="single" w:sz="4" w:space="0" w:color="auto"/>
              <w:bottom w:val="single" w:sz="4" w:space="0" w:color="auto"/>
            </w:tcBorders>
          </w:tcPr>
          <w:p w14:paraId="089B788C" w14:textId="77777777" w:rsidR="00995DF3" w:rsidRPr="00865087" w:rsidRDefault="00995DF3">
            <w:pPr>
              <w:pStyle w:val="TableTextLeft"/>
              <w:rPr>
                <w:rFonts w:asciiTheme="majorHAnsi" w:hAnsiTheme="majorHAnsi" w:cstheme="majorHAnsi"/>
                <w:b/>
              </w:rPr>
            </w:pPr>
            <w:r w:rsidRPr="00865087">
              <w:rPr>
                <w:rFonts w:asciiTheme="majorHAnsi" w:hAnsiTheme="majorHAnsi" w:cstheme="majorHAnsi"/>
                <w:b/>
              </w:rPr>
              <w:t xml:space="preserve">Financial incentives </w:t>
            </w:r>
            <w:r w:rsidRPr="00865087">
              <w:rPr>
                <w:rFonts w:asciiTheme="majorHAnsi" w:hAnsiTheme="majorHAnsi" w:cstheme="majorHAnsi"/>
                <w:b/>
              </w:rPr>
              <w:br/>
            </w:r>
          </w:p>
        </w:tc>
        <w:tc>
          <w:tcPr>
            <w:tcW w:w="1485" w:type="dxa"/>
            <w:tcBorders>
              <w:top w:val="single" w:sz="4" w:space="0" w:color="auto"/>
              <w:bottom w:val="single" w:sz="4" w:space="0" w:color="auto"/>
            </w:tcBorders>
          </w:tcPr>
          <w:p w14:paraId="4F6C4D1E" w14:textId="77777777" w:rsidR="00995DF3" w:rsidRPr="00865087" w:rsidRDefault="00995DF3">
            <w:pPr>
              <w:pStyle w:val="TableTextLeft"/>
              <w:rPr>
                <w:rFonts w:asciiTheme="majorHAnsi" w:hAnsiTheme="majorHAnsi" w:cstheme="majorHAnsi"/>
              </w:rPr>
            </w:pPr>
            <w:r w:rsidRPr="00865087">
              <w:rPr>
                <w:rFonts w:asciiTheme="majorHAnsi" w:hAnsiTheme="majorHAnsi" w:cstheme="majorHAnsi"/>
              </w:rPr>
              <w:t>Debt aggregation and concessions for social and affordable housing</w:t>
            </w:r>
          </w:p>
        </w:tc>
        <w:tc>
          <w:tcPr>
            <w:tcW w:w="1487" w:type="dxa"/>
            <w:tcBorders>
              <w:top w:val="single" w:sz="4" w:space="0" w:color="auto"/>
              <w:bottom w:val="single" w:sz="4" w:space="0" w:color="auto"/>
            </w:tcBorders>
          </w:tcPr>
          <w:p w14:paraId="08D74737" w14:textId="4AB84E0F" w:rsidR="00995DF3" w:rsidRPr="00865087" w:rsidRDefault="00995DF3">
            <w:pPr>
              <w:pStyle w:val="TableTextLeft"/>
              <w:rPr>
                <w:rFonts w:asciiTheme="majorHAnsi" w:hAnsiTheme="majorHAnsi" w:cstheme="majorHAnsi"/>
              </w:rPr>
            </w:pPr>
            <w:r w:rsidRPr="00865087">
              <w:rPr>
                <w:rFonts w:asciiTheme="majorHAnsi" w:hAnsiTheme="majorHAnsi" w:cstheme="majorHAnsi"/>
              </w:rPr>
              <w:t>Freddie Mac</w:t>
            </w:r>
            <w:r>
              <w:rPr>
                <w:rFonts w:asciiTheme="majorHAnsi" w:hAnsiTheme="majorHAnsi" w:cstheme="majorHAnsi"/>
              </w:rPr>
              <w:t xml:space="preserve"> </w:t>
            </w:r>
            <w:r w:rsidRPr="0000307C">
              <w:rPr>
                <w:rFonts w:asciiTheme="majorHAnsi" w:hAnsiTheme="majorHAnsi" w:cstheme="majorHAnsi"/>
              </w:rPr>
              <w:t xml:space="preserve">and Fannie May have </w:t>
            </w:r>
            <w:r w:rsidRPr="00865087">
              <w:rPr>
                <w:rFonts w:asciiTheme="majorHAnsi" w:hAnsiTheme="majorHAnsi" w:cstheme="majorHAnsi"/>
              </w:rPr>
              <w:t>dedicated multi</w:t>
            </w:r>
            <w:r w:rsidR="00563A2B">
              <w:rPr>
                <w:rFonts w:asciiTheme="majorHAnsi" w:hAnsiTheme="majorHAnsi" w:cstheme="majorHAnsi"/>
              </w:rPr>
              <w:noBreakHyphen/>
            </w:r>
            <w:r w:rsidRPr="00865087">
              <w:rPr>
                <w:rFonts w:asciiTheme="majorHAnsi" w:hAnsiTheme="majorHAnsi" w:cstheme="majorHAnsi"/>
              </w:rPr>
              <w:t>family arm</w:t>
            </w:r>
            <w:r>
              <w:rPr>
                <w:rFonts w:asciiTheme="majorHAnsi" w:hAnsiTheme="majorHAnsi" w:cstheme="majorHAnsi"/>
              </w:rPr>
              <w:t>s</w:t>
            </w:r>
            <w:r w:rsidRPr="00865087">
              <w:rPr>
                <w:rFonts w:asciiTheme="majorHAnsi" w:hAnsiTheme="majorHAnsi" w:cstheme="majorHAnsi"/>
              </w:rPr>
              <w:t xml:space="preserve"> that finance loan purchase and guarantee volume </w:t>
            </w:r>
          </w:p>
        </w:tc>
        <w:tc>
          <w:tcPr>
            <w:tcW w:w="1487" w:type="dxa"/>
            <w:tcBorders>
              <w:top w:val="single" w:sz="4" w:space="0" w:color="auto"/>
              <w:bottom w:val="single" w:sz="4" w:space="0" w:color="auto"/>
            </w:tcBorders>
          </w:tcPr>
          <w:p w14:paraId="45D3B38A" w14:textId="77777777" w:rsidR="00995DF3" w:rsidRPr="00865087" w:rsidRDefault="00995DF3" w:rsidP="007B71A8">
            <w:pPr>
              <w:pStyle w:val="TableTextLeft"/>
              <w:spacing w:after="120"/>
              <w:rPr>
                <w:rFonts w:asciiTheme="majorHAnsi" w:hAnsiTheme="majorHAnsi" w:cstheme="majorHAnsi"/>
              </w:rPr>
            </w:pPr>
            <w:r w:rsidRPr="00865087">
              <w:rPr>
                <w:rFonts w:asciiTheme="majorHAnsi" w:hAnsiTheme="majorHAnsi" w:cstheme="majorHAnsi"/>
              </w:rPr>
              <w:t>Concessional and guaranteed debt</w:t>
            </w:r>
          </w:p>
          <w:p w14:paraId="659B9590" w14:textId="49D65D86" w:rsidR="00995DF3" w:rsidRPr="00865087" w:rsidRDefault="00995DF3">
            <w:pPr>
              <w:pStyle w:val="TableTextLeft"/>
              <w:rPr>
                <w:rFonts w:asciiTheme="majorHAnsi" w:hAnsiTheme="majorHAnsi" w:cstheme="majorHAnsi"/>
              </w:rPr>
            </w:pPr>
            <w:r w:rsidRPr="00865087">
              <w:rPr>
                <w:rFonts w:asciiTheme="majorHAnsi" w:hAnsiTheme="majorHAnsi" w:cstheme="majorHAnsi"/>
              </w:rPr>
              <w:t>Build</w:t>
            </w:r>
            <w:r w:rsidR="00563A2B">
              <w:rPr>
                <w:rFonts w:asciiTheme="majorHAnsi" w:hAnsiTheme="majorHAnsi" w:cstheme="majorHAnsi"/>
              </w:rPr>
              <w:noBreakHyphen/>
            </w:r>
            <w:r w:rsidRPr="00865087">
              <w:rPr>
                <w:rFonts w:asciiTheme="majorHAnsi" w:hAnsiTheme="majorHAnsi" w:cstheme="majorHAnsi"/>
              </w:rPr>
              <w:t>to</w:t>
            </w:r>
            <w:r w:rsidR="00563A2B">
              <w:rPr>
                <w:rFonts w:asciiTheme="majorHAnsi" w:hAnsiTheme="majorHAnsi" w:cstheme="majorHAnsi"/>
              </w:rPr>
              <w:noBreakHyphen/>
            </w:r>
            <w:r w:rsidRPr="00865087">
              <w:rPr>
                <w:rFonts w:asciiTheme="majorHAnsi" w:hAnsiTheme="majorHAnsi" w:cstheme="majorHAnsi"/>
              </w:rPr>
              <w:t>rent Co</w:t>
            </w:r>
            <w:r w:rsidR="00563A2B">
              <w:rPr>
                <w:rFonts w:asciiTheme="majorHAnsi" w:hAnsiTheme="majorHAnsi" w:cstheme="majorHAnsi"/>
              </w:rPr>
              <w:noBreakHyphen/>
            </w:r>
            <w:r w:rsidRPr="00865087">
              <w:rPr>
                <w:rFonts w:asciiTheme="majorHAnsi" w:hAnsiTheme="majorHAnsi" w:cstheme="majorHAnsi"/>
              </w:rPr>
              <w:t>Investment Fund</w:t>
            </w:r>
          </w:p>
        </w:tc>
        <w:tc>
          <w:tcPr>
            <w:tcW w:w="1487" w:type="dxa"/>
            <w:tcBorders>
              <w:top w:val="single" w:sz="4" w:space="0" w:color="auto"/>
              <w:bottom w:val="single" w:sz="4" w:space="0" w:color="auto"/>
            </w:tcBorders>
          </w:tcPr>
          <w:p w14:paraId="1CC5ACC0" w14:textId="77777777" w:rsidR="00995DF3" w:rsidRPr="00865087" w:rsidRDefault="00995DF3">
            <w:pPr>
              <w:pStyle w:val="TableTextLeft"/>
              <w:rPr>
                <w:rFonts w:asciiTheme="majorHAnsi" w:hAnsiTheme="majorHAnsi" w:cstheme="majorHAnsi"/>
              </w:rPr>
            </w:pPr>
            <w:r w:rsidRPr="00865087">
              <w:rPr>
                <w:rFonts w:asciiTheme="majorHAnsi" w:hAnsiTheme="majorHAnsi" w:cstheme="majorHAnsi"/>
              </w:rPr>
              <w:t>Concessional loans and grants for new construction</w:t>
            </w:r>
          </w:p>
        </w:tc>
        <w:tc>
          <w:tcPr>
            <w:tcW w:w="1487" w:type="dxa"/>
            <w:tcBorders>
              <w:top w:val="single" w:sz="4" w:space="0" w:color="auto"/>
              <w:bottom w:val="single" w:sz="4" w:space="0" w:color="auto"/>
            </w:tcBorders>
          </w:tcPr>
          <w:p w14:paraId="668109C1" w14:textId="7F2A16C6" w:rsidR="00995DF3" w:rsidRPr="00865087" w:rsidRDefault="00995DF3">
            <w:pPr>
              <w:pStyle w:val="TableTextLeft"/>
              <w:rPr>
                <w:rFonts w:asciiTheme="majorHAnsi" w:hAnsiTheme="majorHAnsi" w:cstheme="majorHAnsi"/>
              </w:rPr>
            </w:pPr>
          </w:p>
        </w:tc>
        <w:tc>
          <w:tcPr>
            <w:tcW w:w="1487" w:type="dxa"/>
            <w:tcBorders>
              <w:top w:val="single" w:sz="4" w:space="0" w:color="auto"/>
              <w:bottom w:val="single" w:sz="4" w:space="0" w:color="auto"/>
            </w:tcBorders>
          </w:tcPr>
          <w:p w14:paraId="25C43F75" w14:textId="27692D18" w:rsidR="00995DF3" w:rsidRPr="00865087" w:rsidRDefault="00995DF3">
            <w:pPr>
              <w:pStyle w:val="TableTextLeft"/>
              <w:rPr>
                <w:rFonts w:asciiTheme="majorHAnsi" w:hAnsiTheme="majorHAnsi" w:cstheme="majorHAnsi"/>
              </w:rPr>
            </w:pPr>
            <w:r w:rsidRPr="00865087">
              <w:rPr>
                <w:rFonts w:asciiTheme="majorHAnsi" w:hAnsiTheme="majorHAnsi" w:cstheme="majorHAnsi"/>
              </w:rPr>
              <w:t>Preferential loan to finance build or purchase of dwelling to be let at affordable</w:t>
            </w:r>
            <w:r w:rsidR="00C32E20">
              <w:rPr>
                <w:rFonts w:asciiTheme="majorHAnsi" w:hAnsiTheme="majorHAnsi" w:cstheme="majorHAnsi"/>
              </w:rPr>
              <w:t> </w:t>
            </w:r>
            <w:r w:rsidRPr="00865087">
              <w:rPr>
                <w:rFonts w:asciiTheme="majorHAnsi" w:hAnsiTheme="majorHAnsi" w:cstheme="majorHAnsi"/>
              </w:rPr>
              <w:t>rent</w:t>
            </w:r>
          </w:p>
        </w:tc>
        <w:tc>
          <w:tcPr>
            <w:tcW w:w="1487" w:type="dxa"/>
            <w:tcBorders>
              <w:top w:val="single" w:sz="4" w:space="0" w:color="auto"/>
              <w:bottom w:val="single" w:sz="4" w:space="0" w:color="auto"/>
            </w:tcBorders>
          </w:tcPr>
          <w:p w14:paraId="74C32D5D" w14:textId="77777777" w:rsidR="00995DF3" w:rsidRPr="00865087" w:rsidRDefault="00995DF3">
            <w:pPr>
              <w:pStyle w:val="TableTextLeft"/>
              <w:rPr>
                <w:rFonts w:asciiTheme="majorHAnsi" w:hAnsiTheme="majorHAnsi" w:cstheme="majorHAnsi"/>
              </w:rPr>
            </w:pPr>
            <w:r w:rsidRPr="00865087">
              <w:rPr>
                <w:rFonts w:asciiTheme="majorHAnsi" w:hAnsiTheme="majorHAnsi" w:cstheme="majorHAnsi"/>
              </w:rPr>
              <w:t>N/A</w:t>
            </w:r>
          </w:p>
          <w:p w14:paraId="7EB03C05" w14:textId="77777777" w:rsidR="00995DF3" w:rsidRPr="00865087" w:rsidRDefault="00995DF3">
            <w:pPr>
              <w:pStyle w:val="TableTextLeft"/>
              <w:rPr>
                <w:rFonts w:asciiTheme="majorHAnsi" w:hAnsiTheme="majorHAnsi" w:cstheme="majorHAnsi"/>
              </w:rPr>
            </w:pPr>
          </w:p>
        </w:tc>
      </w:tr>
      <w:tr w:rsidR="003A5E91" w:rsidRPr="00B46334" w14:paraId="24D9C631" w14:textId="77777777" w:rsidTr="007B71A8">
        <w:trPr>
          <w:trHeight w:val="1831"/>
        </w:trPr>
        <w:tc>
          <w:tcPr>
            <w:tcW w:w="1673" w:type="dxa"/>
            <w:tcBorders>
              <w:top w:val="single" w:sz="4" w:space="0" w:color="auto"/>
              <w:bottom w:val="single" w:sz="4" w:space="0" w:color="auto"/>
            </w:tcBorders>
          </w:tcPr>
          <w:p w14:paraId="5453D540" w14:textId="77777777" w:rsidR="00995DF3" w:rsidRPr="00865087" w:rsidRDefault="00995DF3">
            <w:pPr>
              <w:pStyle w:val="TableTextLeft"/>
              <w:rPr>
                <w:rFonts w:asciiTheme="majorHAnsi" w:hAnsiTheme="majorHAnsi" w:cstheme="majorHAnsi"/>
                <w:b/>
                <w:color w:val="000000" w:themeColor="text1"/>
              </w:rPr>
            </w:pPr>
            <w:r w:rsidRPr="00865087">
              <w:rPr>
                <w:rFonts w:asciiTheme="majorHAnsi" w:hAnsiTheme="majorHAnsi" w:cstheme="majorHAnsi"/>
                <w:b/>
              </w:rPr>
              <w:t xml:space="preserve">Tax incentives </w:t>
            </w:r>
            <w:r w:rsidRPr="00865087">
              <w:rPr>
                <w:rFonts w:asciiTheme="majorHAnsi" w:hAnsiTheme="majorHAnsi" w:cstheme="majorHAnsi"/>
                <w:b/>
              </w:rPr>
              <w:br/>
            </w:r>
          </w:p>
        </w:tc>
        <w:tc>
          <w:tcPr>
            <w:tcW w:w="1485" w:type="dxa"/>
            <w:tcBorders>
              <w:top w:val="single" w:sz="4" w:space="0" w:color="auto"/>
              <w:bottom w:val="single" w:sz="4" w:space="0" w:color="auto"/>
            </w:tcBorders>
          </w:tcPr>
          <w:p w14:paraId="2F28D11E" w14:textId="77777777" w:rsidR="00995DF3" w:rsidRPr="00865087" w:rsidRDefault="00995DF3" w:rsidP="007B71A8">
            <w:pPr>
              <w:pStyle w:val="TableTextLeft"/>
              <w:spacing w:after="120"/>
              <w:rPr>
                <w:rFonts w:asciiTheme="majorHAnsi" w:hAnsiTheme="majorHAnsi" w:cstheme="majorHAnsi"/>
              </w:rPr>
            </w:pPr>
            <w:r w:rsidRPr="00865087">
              <w:rPr>
                <w:rFonts w:asciiTheme="majorHAnsi" w:hAnsiTheme="majorHAnsi" w:cstheme="majorHAnsi"/>
              </w:rPr>
              <w:t>State Land Tax and foreign investor concessions</w:t>
            </w:r>
          </w:p>
          <w:p w14:paraId="4BEB2FB5" w14:textId="77777777" w:rsidR="00995DF3" w:rsidRPr="00865087" w:rsidRDefault="00995DF3">
            <w:pPr>
              <w:pStyle w:val="TableTextLeft"/>
              <w:rPr>
                <w:rFonts w:asciiTheme="majorHAnsi" w:hAnsiTheme="majorHAnsi" w:cstheme="majorHAnsi"/>
              </w:rPr>
            </w:pPr>
            <w:r w:rsidRPr="00865087">
              <w:rPr>
                <w:rFonts w:asciiTheme="majorHAnsi" w:hAnsiTheme="majorHAnsi" w:cstheme="majorHAnsi"/>
              </w:rPr>
              <w:t>Managed investment trust tax reduction and accelerated depreciation</w:t>
            </w:r>
          </w:p>
        </w:tc>
        <w:tc>
          <w:tcPr>
            <w:tcW w:w="1487" w:type="dxa"/>
            <w:tcBorders>
              <w:top w:val="single" w:sz="4" w:space="0" w:color="auto"/>
              <w:bottom w:val="single" w:sz="4" w:space="0" w:color="auto"/>
            </w:tcBorders>
          </w:tcPr>
          <w:p w14:paraId="18921B5B" w14:textId="77777777" w:rsidR="00995DF3" w:rsidRPr="00865087" w:rsidRDefault="00995DF3">
            <w:pPr>
              <w:pStyle w:val="TableTextLeft"/>
              <w:rPr>
                <w:rFonts w:asciiTheme="majorHAnsi" w:hAnsiTheme="majorHAnsi" w:cstheme="majorHAnsi"/>
              </w:rPr>
            </w:pPr>
            <w:r w:rsidRPr="00865087">
              <w:rPr>
                <w:rFonts w:asciiTheme="majorHAnsi" w:hAnsiTheme="majorHAnsi" w:cstheme="majorHAnsi"/>
              </w:rPr>
              <w:t>Tax credits for affordable housing construction and renovation</w:t>
            </w:r>
          </w:p>
        </w:tc>
        <w:tc>
          <w:tcPr>
            <w:tcW w:w="1487" w:type="dxa"/>
            <w:tcBorders>
              <w:top w:val="single" w:sz="4" w:space="0" w:color="auto"/>
              <w:bottom w:val="single" w:sz="4" w:space="0" w:color="auto"/>
            </w:tcBorders>
          </w:tcPr>
          <w:p w14:paraId="38303B6A" w14:textId="77777777" w:rsidR="00995DF3" w:rsidRPr="00865087" w:rsidRDefault="00995DF3">
            <w:pPr>
              <w:pStyle w:val="TableTextLeft"/>
              <w:rPr>
                <w:rFonts w:asciiTheme="majorHAnsi" w:hAnsiTheme="majorHAnsi" w:cstheme="majorHAnsi"/>
              </w:rPr>
            </w:pPr>
            <w:r w:rsidRPr="00865087">
              <w:rPr>
                <w:rFonts w:asciiTheme="majorHAnsi" w:hAnsiTheme="majorHAnsi" w:cstheme="majorHAnsi"/>
              </w:rPr>
              <w:t>Stamp duty concessions for aggregated holdings</w:t>
            </w:r>
          </w:p>
        </w:tc>
        <w:tc>
          <w:tcPr>
            <w:tcW w:w="1487" w:type="dxa"/>
            <w:tcBorders>
              <w:top w:val="single" w:sz="4" w:space="0" w:color="auto"/>
              <w:bottom w:val="single" w:sz="4" w:space="0" w:color="auto"/>
            </w:tcBorders>
          </w:tcPr>
          <w:p w14:paraId="2D6424AE" w14:textId="0F12A035" w:rsidR="00995DF3" w:rsidRPr="00865087" w:rsidRDefault="00995DF3">
            <w:pPr>
              <w:pStyle w:val="TableTextLeft"/>
              <w:rPr>
                <w:rFonts w:asciiTheme="majorHAnsi" w:hAnsiTheme="majorHAnsi" w:cstheme="majorHAnsi"/>
              </w:rPr>
            </w:pPr>
            <w:r>
              <w:rPr>
                <w:rFonts w:asciiTheme="majorHAnsi" w:hAnsiTheme="majorHAnsi" w:cstheme="majorHAnsi"/>
              </w:rPr>
              <w:t>GST rebates for certain new rental developments</w:t>
            </w:r>
          </w:p>
        </w:tc>
        <w:tc>
          <w:tcPr>
            <w:tcW w:w="1487" w:type="dxa"/>
            <w:tcBorders>
              <w:top w:val="single" w:sz="4" w:space="0" w:color="auto"/>
              <w:bottom w:val="single" w:sz="4" w:space="0" w:color="auto"/>
            </w:tcBorders>
          </w:tcPr>
          <w:p w14:paraId="75DFF283" w14:textId="77777777" w:rsidR="00995DF3" w:rsidRPr="00865087" w:rsidRDefault="00995DF3">
            <w:pPr>
              <w:pStyle w:val="TableTextLeft"/>
              <w:rPr>
                <w:rFonts w:asciiTheme="majorHAnsi" w:hAnsiTheme="majorHAnsi" w:cstheme="majorHAnsi"/>
              </w:rPr>
            </w:pPr>
            <w:r w:rsidRPr="00865087">
              <w:rPr>
                <w:rFonts w:asciiTheme="majorHAnsi" w:hAnsiTheme="majorHAnsi" w:cstheme="majorHAnsi"/>
              </w:rPr>
              <w:t>Tax deduction for developer construction costs</w:t>
            </w:r>
          </w:p>
        </w:tc>
        <w:tc>
          <w:tcPr>
            <w:tcW w:w="1487" w:type="dxa"/>
            <w:tcBorders>
              <w:top w:val="single" w:sz="4" w:space="0" w:color="auto"/>
              <w:bottom w:val="single" w:sz="4" w:space="0" w:color="auto"/>
            </w:tcBorders>
          </w:tcPr>
          <w:p w14:paraId="1E41A185" w14:textId="7A4EC4DF" w:rsidR="00995DF3" w:rsidRPr="00865087" w:rsidRDefault="00995DF3">
            <w:pPr>
              <w:pStyle w:val="TableTextLeft"/>
              <w:rPr>
                <w:rFonts w:asciiTheme="majorHAnsi" w:hAnsiTheme="majorHAnsi" w:cstheme="majorHAnsi"/>
              </w:rPr>
            </w:pPr>
            <w:r w:rsidRPr="00865087">
              <w:rPr>
                <w:rFonts w:asciiTheme="majorHAnsi" w:hAnsiTheme="majorHAnsi" w:cstheme="majorHAnsi"/>
              </w:rPr>
              <w:t>Value</w:t>
            </w:r>
            <w:r w:rsidR="00563A2B">
              <w:rPr>
                <w:rFonts w:asciiTheme="majorHAnsi" w:hAnsiTheme="majorHAnsi" w:cstheme="majorHAnsi"/>
              </w:rPr>
              <w:noBreakHyphen/>
            </w:r>
            <w:r w:rsidRPr="00865087">
              <w:rPr>
                <w:rFonts w:asciiTheme="majorHAnsi" w:hAnsiTheme="majorHAnsi" w:cstheme="majorHAnsi"/>
              </w:rPr>
              <w:t xml:space="preserve">added tax concessions for affordable rental dwellings </w:t>
            </w:r>
          </w:p>
        </w:tc>
        <w:tc>
          <w:tcPr>
            <w:tcW w:w="1487" w:type="dxa"/>
            <w:tcBorders>
              <w:top w:val="single" w:sz="4" w:space="0" w:color="auto"/>
              <w:bottom w:val="single" w:sz="4" w:space="0" w:color="auto"/>
            </w:tcBorders>
          </w:tcPr>
          <w:p w14:paraId="56DE2FBA" w14:textId="472F4BDF" w:rsidR="00995DF3" w:rsidRPr="00865087" w:rsidRDefault="00995DF3">
            <w:pPr>
              <w:pStyle w:val="TableTextLeft"/>
              <w:rPr>
                <w:rFonts w:asciiTheme="majorHAnsi" w:hAnsiTheme="majorHAnsi" w:cstheme="majorHAnsi"/>
              </w:rPr>
            </w:pPr>
            <w:r w:rsidRPr="00865087">
              <w:rPr>
                <w:rFonts w:asciiTheme="majorHAnsi" w:hAnsiTheme="majorHAnsi" w:cstheme="majorHAnsi"/>
              </w:rPr>
              <w:t>Property tax discounts for multi</w:t>
            </w:r>
            <w:r w:rsidR="00563A2B">
              <w:rPr>
                <w:rFonts w:asciiTheme="majorHAnsi" w:hAnsiTheme="majorHAnsi" w:cstheme="majorHAnsi"/>
              </w:rPr>
              <w:noBreakHyphen/>
            </w:r>
            <w:r w:rsidRPr="00865087">
              <w:rPr>
                <w:rFonts w:asciiTheme="majorHAnsi" w:hAnsiTheme="majorHAnsi" w:cstheme="majorHAnsi"/>
              </w:rPr>
              <w:t>family dwellings</w:t>
            </w:r>
          </w:p>
        </w:tc>
      </w:tr>
      <w:tr w:rsidR="003A5E91" w:rsidRPr="00B46334" w14:paraId="76F6DF53" w14:textId="77777777" w:rsidTr="007B71A8">
        <w:trPr>
          <w:trHeight w:val="1831"/>
        </w:trPr>
        <w:tc>
          <w:tcPr>
            <w:tcW w:w="1673" w:type="dxa"/>
            <w:tcBorders>
              <w:top w:val="single" w:sz="4" w:space="0" w:color="auto"/>
              <w:bottom w:val="single" w:sz="4" w:space="0" w:color="auto"/>
            </w:tcBorders>
          </w:tcPr>
          <w:p w14:paraId="5195148D" w14:textId="77777777" w:rsidR="00995DF3" w:rsidRPr="00865087" w:rsidRDefault="00995DF3">
            <w:pPr>
              <w:pStyle w:val="TableTextLeft"/>
              <w:rPr>
                <w:rFonts w:asciiTheme="majorHAnsi" w:hAnsiTheme="majorHAnsi" w:cstheme="majorHAnsi"/>
                <w:b/>
              </w:rPr>
            </w:pPr>
            <w:r w:rsidRPr="00865087">
              <w:rPr>
                <w:rFonts w:asciiTheme="majorHAnsi" w:hAnsiTheme="majorHAnsi" w:cstheme="majorHAnsi"/>
                <w:b/>
              </w:rPr>
              <w:t xml:space="preserve">Regulatory settings </w:t>
            </w:r>
          </w:p>
        </w:tc>
        <w:tc>
          <w:tcPr>
            <w:tcW w:w="1485" w:type="dxa"/>
            <w:tcBorders>
              <w:top w:val="single" w:sz="4" w:space="0" w:color="auto"/>
              <w:bottom w:val="single" w:sz="4" w:space="0" w:color="auto"/>
            </w:tcBorders>
          </w:tcPr>
          <w:p w14:paraId="5F423B63" w14:textId="1C363823" w:rsidR="00995DF3" w:rsidRPr="00865087" w:rsidRDefault="00995DF3" w:rsidP="007B71A8">
            <w:pPr>
              <w:pStyle w:val="TableTextLeft"/>
              <w:spacing w:after="120"/>
              <w:rPr>
                <w:rFonts w:asciiTheme="majorHAnsi" w:hAnsiTheme="majorHAnsi" w:cstheme="majorHAnsi"/>
              </w:rPr>
            </w:pPr>
            <w:r w:rsidRPr="00865087">
              <w:rPr>
                <w:rFonts w:asciiTheme="majorHAnsi" w:hAnsiTheme="majorHAnsi" w:cstheme="majorHAnsi"/>
              </w:rPr>
              <w:t>Tenancy protections and inclusionary zoning varies sub</w:t>
            </w:r>
            <w:r w:rsidR="00563A2B">
              <w:rPr>
                <w:rFonts w:asciiTheme="majorHAnsi" w:hAnsiTheme="majorHAnsi" w:cstheme="majorHAnsi"/>
              </w:rPr>
              <w:noBreakHyphen/>
            </w:r>
            <w:r w:rsidRPr="00865087">
              <w:rPr>
                <w:rFonts w:asciiTheme="majorHAnsi" w:hAnsiTheme="majorHAnsi" w:cstheme="majorHAnsi"/>
              </w:rPr>
              <w:t>nationally</w:t>
            </w:r>
          </w:p>
          <w:p w14:paraId="0AED40D3" w14:textId="2D99CE1E" w:rsidR="00995DF3" w:rsidRPr="00865087" w:rsidRDefault="00995DF3">
            <w:pPr>
              <w:pStyle w:val="TableTextLeft"/>
              <w:rPr>
                <w:rFonts w:asciiTheme="majorHAnsi" w:hAnsiTheme="majorHAnsi" w:cstheme="majorHAnsi"/>
              </w:rPr>
            </w:pPr>
            <w:r w:rsidRPr="00865087">
              <w:rPr>
                <w:rFonts w:asciiTheme="majorHAnsi" w:hAnsiTheme="majorHAnsi" w:cstheme="majorHAnsi"/>
              </w:rPr>
              <w:t>Foreign investment levies with exemptions for build</w:t>
            </w:r>
            <w:r w:rsidR="00563A2B">
              <w:rPr>
                <w:rFonts w:asciiTheme="majorHAnsi" w:hAnsiTheme="majorHAnsi" w:cstheme="majorHAnsi"/>
              </w:rPr>
              <w:noBreakHyphen/>
            </w:r>
            <w:r w:rsidRPr="00865087">
              <w:rPr>
                <w:rFonts w:asciiTheme="majorHAnsi" w:hAnsiTheme="majorHAnsi" w:cstheme="majorHAnsi"/>
              </w:rPr>
              <w:t>to</w:t>
            </w:r>
            <w:r w:rsidR="00563A2B">
              <w:rPr>
                <w:rFonts w:asciiTheme="majorHAnsi" w:hAnsiTheme="majorHAnsi" w:cstheme="majorHAnsi"/>
              </w:rPr>
              <w:noBreakHyphen/>
            </w:r>
            <w:r w:rsidRPr="00865087">
              <w:rPr>
                <w:rFonts w:asciiTheme="majorHAnsi" w:hAnsiTheme="majorHAnsi" w:cstheme="majorHAnsi"/>
              </w:rPr>
              <w:t>rent</w:t>
            </w:r>
          </w:p>
        </w:tc>
        <w:tc>
          <w:tcPr>
            <w:tcW w:w="1487" w:type="dxa"/>
            <w:tcBorders>
              <w:top w:val="single" w:sz="4" w:space="0" w:color="auto"/>
              <w:bottom w:val="single" w:sz="4" w:space="0" w:color="auto"/>
            </w:tcBorders>
          </w:tcPr>
          <w:p w14:paraId="4ADC9BCB" w14:textId="0D623CBC" w:rsidR="00995DF3" w:rsidRPr="00865087" w:rsidRDefault="00995DF3">
            <w:pPr>
              <w:pStyle w:val="TableTextLeft"/>
              <w:rPr>
                <w:rFonts w:asciiTheme="majorHAnsi" w:hAnsiTheme="majorHAnsi" w:cstheme="majorHAnsi"/>
              </w:rPr>
            </w:pPr>
            <w:r w:rsidRPr="00865087">
              <w:rPr>
                <w:rFonts w:asciiTheme="majorHAnsi" w:hAnsiTheme="majorHAnsi" w:cstheme="majorHAnsi"/>
              </w:rPr>
              <w:t>Tenancy protections and inclusionary zoning varies sub</w:t>
            </w:r>
            <w:r w:rsidR="00563A2B">
              <w:rPr>
                <w:rFonts w:asciiTheme="majorHAnsi" w:hAnsiTheme="majorHAnsi" w:cstheme="majorHAnsi"/>
              </w:rPr>
              <w:noBreakHyphen/>
            </w:r>
            <w:r w:rsidRPr="00865087">
              <w:rPr>
                <w:rFonts w:asciiTheme="majorHAnsi" w:hAnsiTheme="majorHAnsi" w:cstheme="majorHAnsi"/>
              </w:rPr>
              <w:t>nationally</w:t>
            </w:r>
          </w:p>
        </w:tc>
        <w:tc>
          <w:tcPr>
            <w:tcW w:w="1487" w:type="dxa"/>
            <w:tcBorders>
              <w:top w:val="single" w:sz="4" w:space="0" w:color="auto"/>
              <w:bottom w:val="single" w:sz="4" w:space="0" w:color="auto"/>
            </w:tcBorders>
          </w:tcPr>
          <w:p w14:paraId="0C519CFB" w14:textId="59C682DB" w:rsidR="00995DF3" w:rsidRPr="00865087" w:rsidRDefault="00995DF3" w:rsidP="007B71A8">
            <w:pPr>
              <w:pStyle w:val="TableTextLeft"/>
              <w:spacing w:after="120"/>
              <w:rPr>
                <w:rFonts w:asciiTheme="majorHAnsi" w:hAnsiTheme="majorHAnsi" w:cstheme="majorHAnsi"/>
              </w:rPr>
            </w:pPr>
            <w:r w:rsidRPr="00865087">
              <w:rPr>
                <w:rFonts w:asciiTheme="majorHAnsi" w:hAnsiTheme="majorHAnsi" w:cstheme="majorHAnsi"/>
              </w:rPr>
              <w:t>Inclusionary zoning (Section 106 contributions) permits for</w:t>
            </w:r>
            <w:r w:rsidR="00563A2B">
              <w:rPr>
                <w:rFonts w:asciiTheme="majorHAnsi" w:hAnsiTheme="majorHAnsi" w:cstheme="majorHAnsi"/>
              </w:rPr>
              <w:noBreakHyphen/>
            </w:r>
            <w:r w:rsidRPr="00865087">
              <w:rPr>
                <w:rFonts w:asciiTheme="majorHAnsi" w:hAnsiTheme="majorHAnsi" w:cstheme="majorHAnsi"/>
              </w:rPr>
              <w:t>profit investment</w:t>
            </w:r>
          </w:p>
          <w:p w14:paraId="320001AE" w14:textId="77777777" w:rsidR="00995DF3" w:rsidRPr="00865087" w:rsidRDefault="00995DF3">
            <w:pPr>
              <w:pStyle w:val="TableTextLeft"/>
              <w:rPr>
                <w:rFonts w:asciiTheme="majorHAnsi" w:hAnsiTheme="majorHAnsi" w:cstheme="majorHAnsi"/>
              </w:rPr>
            </w:pPr>
            <w:r w:rsidRPr="00865087">
              <w:rPr>
                <w:rFonts w:asciiTheme="majorHAnsi" w:hAnsiTheme="majorHAnsi" w:cstheme="majorHAnsi"/>
              </w:rPr>
              <w:t>Regulatory standardisation and harmonisation</w:t>
            </w:r>
          </w:p>
        </w:tc>
        <w:tc>
          <w:tcPr>
            <w:tcW w:w="1487" w:type="dxa"/>
            <w:tcBorders>
              <w:top w:val="single" w:sz="4" w:space="0" w:color="auto"/>
              <w:bottom w:val="single" w:sz="4" w:space="0" w:color="auto"/>
            </w:tcBorders>
          </w:tcPr>
          <w:p w14:paraId="454D4867" w14:textId="4D67FF1E" w:rsidR="00995DF3" w:rsidRPr="00865087" w:rsidRDefault="00D45F55">
            <w:pPr>
              <w:pStyle w:val="TableTextLeft"/>
              <w:rPr>
                <w:rFonts w:asciiTheme="majorHAnsi" w:hAnsiTheme="majorHAnsi" w:cstheme="majorHAnsi"/>
              </w:rPr>
            </w:pPr>
            <w:r w:rsidRPr="00D45F55">
              <w:rPr>
                <w:rFonts w:asciiTheme="majorHAnsi" w:hAnsiTheme="majorHAnsi" w:cstheme="majorHAnsi"/>
              </w:rPr>
              <w:t>Tenancy protections and inclusionary zoning varies sub</w:t>
            </w:r>
            <w:r w:rsidR="00563A2B">
              <w:rPr>
                <w:rFonts w:asciiTheme="majorHAnsi" w:hAnsiTheme="majorHAnsi" w:cstheme="majorHAnsi"/>
              </w:rPr>
              <w:noBreakHyphen/>
            </w:r>
            <w:r w:rsidRPr="00D45F55">
              <w:rPr>
                <w:rFonts w:asciiTheme="majorHAnsi" w:hAnsiTheme="majorHAnsi" w:cstheme="majorHAnsi"/>
              </w:rPr>
              <w:t>nationally</w:t>
            </w:r>
          </w:p>
        </w:tc>
        <w:tc>
          <w:tcPr>
            <w:tcW w:w="1487" w:type="dxa"/>
            <w:tcBorders>
              <w:top w:val="single" w:sz="4" w:space="0" w:color="auto"/>
              <w:bottom w:val="single" w:sz="4" w:space="0" w:color="auto"/>
            </w:tcBorders>
          </w:tcPr>
          <w:p w14:paraId="40DF693D" w14:textId="6A4E354D" w:rsidR="00995DF3" w:rsidRPr="00865087" w:rsidRDefault="00D45F55">
            <w:pPr>
              <w:pStyle w:val="TableTextLeft"/>
              <w:rPr>
                <w:rFonts w:asciiTheme="majorHAnsi" w:hAnsiTheme="majorHAnsi" w:cstheme="majorHAnsi"/>
              </w:rPr>
            </w:pPr>
            <w:r w:rsidRPr="00D45F55">
              <w:rPr>
                <w:rFonts w:asciiTheme="majorHAnsi" w:hAnsiTheme="majorHAnsi" w:cstheme="majorHAnsi"/>
              </w:rPr>
              <w:t>Extensive regulation of rental sector</w:t>
            </w:r>
          </w:p>
        </w:tc>
        <w:tc>
          <w:tcPr>
            <w:tcW w:w="1487" w:type="dxa"/>
            <w:tcBorders>
              <w:top w:val="single" w:sz="4" w:space="0" w:color="auto"/>
              <w:bottom w:val="single" w:sz="4" w:space="0" w:color="auto"/>
            </w:tcBorders>
          </w:tcPr>
          <w:p w14:paraId="3B867C32" w14:textId="77777777" w:rsidR="00995DF3" w:rsidRPr="00865087" w:rsidRDefault="00995DF3" w:rsidP="007B71A8">
            <w:pPr>
              <w:pStyle w:val="TableTextLeft"/>
              <w:spacing w:after="120"/>
              <w:rPr>
                <w:rFonts w:asciiTheme="majorHAnsi" w:hAnsiTheme="majorHAnsi" w:cstheme="majorHAnsi"/>
              </w:rPr>
            </w:pPr>
            <w:r w:rsidRPr="00865087">
              <w:rPr>
                <w:rFonts w:asciiTheme="majorHAnsi" w:hAnsiTheme="majorHAnsi" w:cstheme="majorHAnsi"/>
              </w:rPr>
              <w:t xml:space="preserve">Tenancy protections </w:t>
            </w:r>
          </w:p>
          <w:p w14:paraId="31574F2D" w14:textId="77777777" w:rsidR="00995DF3" w:rsidRPr="00865087" w:rsidRDefault="00995DF3">
            <w:pPr>
              <w:pStyle w:val="TableTextLeft"/>
              <w:rPr>
                <w:rFonts w:asciiTheme="majorHAnsi" w:hAnsiTheme="majorHAnsi" w:cstheme="majorHAnsi"/>
              </w:rPr>
            </w:pPr>
            <w:r w:rsidRPr="00865087">
              <w:rPr>
                <w:rFonts w:asciiTheme="majorHAnsi" w:hAnsiTheme="majorHAnsi" w:cstheme="majorHAnsi"/>
              </w:rPr>
              <w:t>Extensive regulation of rent market</w:t>
            </w:r>
          </w:p>
        </w:tc>
        <w:tc>
          <w:tcPr>
            <w:tcW w:w="1487" w:type="dxa"/>
            <w:tcBorders>
              <w:top w:val="single" w:sz="4" w:space="0" w:color="auto"/>
              <w:bottom w:val="single" w:sz="4" w:space="0" w:color="auto"/>
            </w:tcBorders>
          </w:tcPr>
          <w:p w14:paraId="7D852FFC" w14:textId="77777777" w:rsidR="00995DF3" w:rsidRPr="00865087" w:rsidRDefault="00995DF3" w:rsidP="007B71A8">
            <w:pPr>
              <w:pStyle w:val="TableTextLeft"/>
              <w:spacing w:after="120"/>
              <w:rPr>
                <w:rFonts w:asciiTheme="majorHAnsi" w:hAnsiTheme="majorHAnsi" w:cstheme="majorHAnsi"/>
              </w:rPr>
            </w:pPr>
            <w:r w:rsidRPr="00865087">
              <w:rPr>
                <w:rFonts w:asciiTheme="majorHAnsi" w:hAnsiTheme="majorHAnsi" w:cstheme="majorHAnsi"/>
              </w:rPr>
              <w:t xml:space="preserve">Tenancy protections </w:t>
            </w:r>
          </w:p>
          <w:p w14:paraId="798ED10D" w14:textId="77777777" w:rsidR="00995DF3" w:rsidRPr="00865087" w:rsidRDefault="00995DF3">
            <w:pPr>
              <w:pStyle w:val="TableTextLeft"/>
              <w:rPr>
                <w:rFonts w:asciiTheme="majorHAnsi" w:hAnsiTheme="majorHAnsi" w:cstheme="majorHAnsi"/>
              </w:rPr>
            </w:pPr>
            <w:r w:rsidRPr="00865087">
              <w:rPr>
                <w:rFonts w:asciiTheme="majorHAnsi" w:hAnsiTheme="majorHAnsi" w:cstheme="majorHAnsi"/>
              </w:rPr>
              <w:t>Liberal Foreign Investment Regime</w:t>
            </w:r>
          </w:p>
        </w:tc>
      </w:tr>
    </w:tbl>
    <w:p w14:paraId="2C618D1C" w14:textId="77777777" w:rsidR="009A4DA0" w:rsidRDefault="00B53757" w:rsidP="00B430DA">
      <w:pPr>
        <w:pStyle w:val="ChartorTableNote"/>
      </w:pPr>
      <w:r w:rsidRPr="005C5300">
        <w:t>Sources: OECD Report: Measures to Property Developers to Finance Affordable Housing Construction 2021; Relevant Government Agencies</w:t>
      </w:r>
      <w:r w:rsidR="005E45E3" w:rsidRPr="005C5300">
        <w:t xml:space="preserve">; </w:t>
      </w:r>
      <w:r w:rsidRPr="005C5300">
        <w:t xml:space="preserve">Government of Canada, </w:t>
      </w:r>
      <w:r w:rsidR="00D45F55" w:rsidRPr="00D45F55">
        <w:t>GST/HST new residential rental property rebate</w:t>
      </w:r>
      <w:r w:rsidR="00C34A29">
        <w:t>;</w:t>
      </w:r>
      <w:r w:rsidR="00C34A29" w:rsidRPr="00C34A29">
        <w:t xml:space="preserve"> </w:t>
      </w:r>
      <w:proofErr w:type="spellStart"/>
      <w:r w:rsidR="00C34A29" w:rsidRPr="00C34A29">
        <w:t>Acolin</w:t>
      </w:r>
      <w:proofErr w:type="spellEnd"/>
      <w:r w:rsidR="00C34A29" w:rsidRPr="00C34A29">
        <w:t xml:space="preserve"> 2021</w:t>
      </w:r>
      <w:r w:rsidR="00C34A29">
        <w:t>;</w:t>
      </w:r>
      <w:r w:rsidR="00C34A29" w:rsidRPr="00C34A29">
        <w:t xml:space="preserve"> OECD, Rental Regulation</w:t>
      </w:r>
      <w:r w:rsidR="00C34A29">
        <w:t xml:space="preserve">. </w:t>
      </w:r>
    </w:p>
    <w:p w14:paraId="7CA85932" w14:textId="1DDD3A79" w:rsidR="00B430DA" w:rsidRPr="00B430DA" w:rsidRDefault="00B430DA" w:rsidP="00B430DA">
      <w:pPr>
        <w:sectPr w:rsidR="00B430DA" w:rsidRPr="00B430DA">
          <w:footerReference w:type="default" r:id="rId31"/>
          <w:pgSz w:w="16838" w:h="11906" w:orient="landscape" w:code="9"/>
          <w:pgMar w:top="1418" w:right="1843" w:bottom="1418" w:left="1418" w:header="709" w:footer="709" w:gutter="0"/>
          <w:cols w:space="708"/>
          <w:docGrid w:linePitch="360"/>
        </w:sectPr>
      </w:pPr>
    </w:p>
    <w:p w14:paraId="6172C9A0" w14:textId="77777777" w:rsidR="009A4DA0" w:rsidRPr="0087324D" w:rsidRDefault="009A4DA0" w:rsidP="009A4DA0">
      <w:pPr>
        <w:pStyle w:val="Heading1Numbered"/>
      </w:pPr>
      <w:bookmarkStart w:id="88" w:name="_Toc141355256"/>
      <w:r w:rsidRPr="0087324D">
        <w:lastRenderedPageBreak/>
        <w:t>Observations on barriers to institutional investment in housing</w:t>
      </w:r>
      <w:bookmarkEnd w:id="86"/>
      <w:bookmarkEnd w:id="87"/>
      <w:bookmarkEnd w:id="88"/>
    </w:p>
    <w:p w14:paraId="434F6D05" w14:textId="77777777" w:rsidR="00A447E6" w:rsidRDefault="009A4DA0" w:rsidP="008B6E33">
      <w:pPr>
        <w:spacing w:after="120"/>
      </w:pPr>
      <w:r>
        <w:t>In preparing this report, t</w:t>
      </w:r>
      <w:r w:rsidRPr="003A633E">
        <w:t>he Council held consultations with representatives from</w:t>
      </w:r>
      <w:r>
        <w:t>:</w:t>
      </w:r>
      <w:r w:rsidRPr="003A633E">
        <w:t xml:space="preserve"> </w:t>
      </w:r>
    </w:p>
    <w:p w14:paraId="13C9C4AF" w14:textId="4D7FEBBC" w:rsidR="005215AF" w:rsidRPr="002F40E7" w:rsidRDefault="009A4DA0" w:rsidP="002F40E7">
      <w:pPr>
        <w:pStyle w:val="Bullet"/>
      </w:pPr>
      <w:r w:rsidRPr="003A633E">
        <w:t xml:space="preserve">the </w:t>
      </w:r>
      <w:r w:rsidRPr="002F40E7">
        <w:t xml:space="preserve">investment sector and the property development sector, including individual institutions and peak bodies </w:t>
      </w:r>
    </w:p>
    <w:p w14:paraId="321DE28F" w14:textId="13D0BDBD" w:rsidR="005215AF" w:rsidRPr="002F40E7" w:rsidRDefault="009A4DA0" w:rsidP="002F40E7">
      <w:pPr>
        <w:pStyle w:val="Bullet"/>
      </w:pPr>
      <w:r w:rsidRPr="002F40E7">
        <w:t xml:space="preserve">state and territory governments </w:t>
      </w:r>
    </w:p>
    <w:p w14:paraId="61727BD1" w14:textId="78FFEC4D" w:rsidR="00A447E6" w:rsidRPr="002F40E7" w:rsidRDefault="009A4DA0" w:rsidP="002F40E7">
      <w:pPr>
        <w:pStyle w:val="Bullet"/>
      </w:pPr>
      <w:r w:rsidRPr="002F40E7">
        <w:t xml:space="preserve">academia </w:t>
      </w:r>
    </w:p>
    <w:p w14:paraId="3AD8F400" w14:textId="3D19F0A8" w:rsidR="005215AF" w:rsidRPr="002F40E7" w:rsidRDefault="009A4DA0" w:rsidP="002F40E7">
      <w:pPr>
        <w:pStyle w:val="Bullet"/>
      </w:pPr>
      <w:r w:rsidRPr="002F40E7">
        <w:t>overseas peak bodies</w:t>
      </w:r>
      <w:r w:rsidR="006F668D">
        <w:t>, and</w:t>
      </w:r>
      <w:r w:rsidRPr="002F40E7">
        <w:t xml:space="preserve"> </w:t>
      </w:r>
    </w:p>
    <w:p w14:paraId="580E9E8B" w14:textId="15B42415" w:rsidR="00A447E6" w:rsidRDefault="009A4DA0" w:rsidP="002F40E7">
      <w:pPr>
        <w:pStyle w:val="Bullet"/>
      </w:pPr>
      <w:r w:rsidRPr="002F40E7">
        <w:t>and the</w:t>
      </w:r>
      <w:r w:rsidRPr="003A633E">
        <w:t xml:space="preserve"> social and affordable housing sector. </w:t>
      </w:r>
    </w:p>
    <w:p w14:paraId="286C01C4" w14:textId="532E2EB9" w:rsidR="009A4DA0" w:rsidRDefault="003D6B6F" w:rsidP="002F40E7">
      <w:r>
        <w:t xml:space="preserve">The Council held </w:t>
      </w:r>
      <w:r w:rsidR="00A447E6">
        <w:t>12</w:t>
      </w:r>
      <w:r w:rsidR="009A4DA0" w:rsidRPr="00AA0EE3">
        <w:t xml:space="preserve"> consultation </w:t>
      </w:r>
      <w:r w:rsidR="009A4DA0">
        <w:t xml:space="preserve">sessions </w:t>
      </w:r>
      <w:r w:rsidR="009A4DA0" w:rsidRPr="00AA0EE3">
        <w:t>with 40 </w:t>
      </w:r>
      <w:r w:rsidR="009A4DA0">
        <w:t>participating organisations or governments</w:t>
      </w:r>
      <w:r w:rsidR="009A4DA0" w:rsidRPr="00AA0EE3">
        <w:t xml:space="preserve"> </w:t>
      </w:r>
      <w:r w:rsidR="009A4DA0">
        <w:t>during</w:t>
      </w:r>
      <w:r w:rsidR="009A4DA0" w:rsidRPr="00AA0EE3">
        <w:t xml:space="preserve"> </w:t>
      </w:r>
      <w:r w:rsidR="009A4DA0">
        <w:t>May to early July</w:t>
      </w:r>
      <w:r w:rsidR="009A4DA0" w:rsidRPr="00AA0EE3">
        <w:t xml:space="preserve"> 2023</w:t>
      </w:r>
      <w:r w:rsidR="009A4DA0">
        <w:t xml:space="preserve">, as well as </w:t>
      </w:r>
      <w:r w:rsidR="006833E9">
        <w:t>several</w:t>
      </w:r>
      <w:r w:rsidR="009A4DA0">
        <w:t xml:space="preserve"> bilateral meetings with stakeholders as part of the Council</w:t>
      </w:r>
      <w:r w:rsidR="00563A2B">
        <w:t>’</w:t>
      </w:r>
      <w:r w:rsidR="009A4DA0">
        <w:t>s ongoing stakeholder liaison process</w:t>
      </w:r>
      <w:r w:rsidR="009A4DA0" w:rsidRPr="00AA0EE3">
        <w:t>.</w:t>
      </w:r>
      <w:r w:rsidR="009A4DA0">
        <w:t xml:space="preserve"> </w:t>
      </w:r>
      <w:r w:rsidR="009A4DA0" w:rsidRPr="00BA0E9E">
        <w:t>The Council also</w:t>
      </w:r>
      <w:r w:rsidR="009A4DA0" w:rsidRPr="00BA0E9E" w:rsidDel="00FF1933">
        <w:t xml:space="preserve"> </w:t>
      </w:r>
      <w:r w:rsidR="009A4DA0" w:rsidRPr="00BA0E9E">
        <w:t>reviewed</w:t>
      </w:r>
      <w:r w:rsidR="009A4DA0" w:rsidRPr="00FC611E">
        <w:t xml:space="preserve"> the </w:t>
      </w:r>
      <w:r w:rsidR="006070B7">
        <w:t xml:space="preserve">relevant academic </w:t>
      </w:r>
      <w:r w:rsidR="009A4DA0" w:rsidRPr="00FC611E">
        <w:t>literature</w:t>
      </w:r>
      <w:r w:rsidR="009A4DA0">
        <w:t xml:space="preserve">. </w:t>
      </w:r>
    </w:p>
    <w:p w14:paraId="528C7BF7" w14:textId="2DC360BA" w:rsidR="009A4DA0" w:rsidRPr="0010772B" w:rsidRDefault="009A4DA0" w:rsidP="002F40E7">
      <w:pPr>
        <w:rPr>
          <w:szCs w:val="22"/>
        </w:rPr>
      </w:pPr>
      <w:r>
        <w:rPr>
          <w:szCs w:val="22"/>
        </w:rPr>
        <w:t>There is</w:t>
      </w:r>
      <w:r w:rsidRPr="004D3CA2">
        <w:rPr>
          <w:szCs w:val="22"/>
        </w:rPr>
        <w:t xml:space="preserve"> </w:t>
      </w:r>
      <w:r>
        <w:rPr>
          <w:szCs w:val="22"/>
        </w:rPr>
        <w:t xml:space="preserve">clearly </w:t>
      </w:r>
      <w:r w:rsidRPr="004D3CA2">
        <w:rPr>
          <w:szCs w:val="22"/>
        </w:rPr>
        <w:t xml:space="preserve">a willingness </w:t>
      </w:r>
      <w:r>
        <w:rPr>
          <w:szCs w:val="22"/>
        </w:rPr>
        <w:t xml:space="preserve">by institutional investors </w:t>
      </w:r>
      <w:r w:rsidRPr="004D3CA2">
        <w:rPr>
          <w:szCs w:val="22"/>
        </w:rPr>
        <w:t xml:space="preserve">to invest in housing </w:t>
      </w:r>
      <w:r>
        <w:rPr>
          <w:szCs w:val="22"/>
        </w:rPr>
        <w:t xml:space="preserve">and an interest in seeing the asset class develop. This is consistent with </w:t>
      </w:r>
      <w:r w:rsidR="0032689E">
        <w:rPr>
          <w:szCs w:val="22"/>
        </w:rPr>
        <w:t xml:space="preserve">both the </w:t>
      </w:r>
      <w:r w:rsidRPr="004D3CA2">
        <w:rPr>
          <w:szCs w:val="22"/>
        </w:rPr>
        <w:t xml:space="preserve">findings of previous research into the sector </w:t>
      </w:r>
      <w:r>
        <w:rPr>
          <w:szCs w:val="22"/>
        </w:rPr>
        <w:t>and</w:t>
      </w:r>
      <w:r w:rsidRPr="004D3CA2">
        <w:rPr>
          <w:szCs w:val="22"/>
        </w:rPr>
        <w:t xml:space="preserve"> with the fact that Australian institutional investors </w:t>
      </w:r>
      <w:r>
        <w:rPr>
          <w:szCs w:val="22"/>
        </w:rPr>
        <w:t xml:space="preserve">are </w:t>
      </w:r>
      <w:r w:rsidRPr="004D3CA2">
        <w:rPr>
          <w:szCs w:val="22"/>
        </w:rPr>
        <w:t>active participants in overseas markets for institutional housing assets</w:t>
      </w:r>
      <w:r w:rsidR="0045144E">
        <w:rPr>
          <w:szCs w:val="22"/>
        </w:rPr>
        <w:t xml:space="preserve"> (Benedict </w:t>
      </w:r>
      <w:r w:rsidR="005F7DBF">
        <w:rPr>
          <w:szCs w:val="22"/>
        </w:rPr>
        <w:t>and others</w:t>
      </w:r>
      <w:r w:rsidR="0045144E">
        <w:rPr>
          <w:szCs w:val="22"/>
        </w:rPr>
        <w:t xml:space="preserve"> 2022; Pawson </w:t>
      </w:r>
      <w:r w:rsidR="005F7DBF">
        <w:rPr>
          <w:szCs w:val="22"/>
        </w:rPr>
        <w:t>and others</w:t>
      </w:r>
      <w:r w:rsidR="0045144E">
        <w:rPr>
          <w:szCs w:val="22"/>
        </w:rPr>
        <w:t xml:space="preserve"> 2019; </w:t>
      </w:r>
      <w:r w:rsidR="00CC1E5A">
        <w:rPr>
          <w:szCs w:val="22"/>
        </w:rPr>
        <w:t xml:space="preserve">Milligan </w:t>
      </w:r>
      <w:r w:rsidR="005F7DBF">
        <w:rPr>
          <w:szCs w:val="22"/>
        </w:rPr>
        <w:t>and others</w:t>
      </w:r>
      <w:r w:rsidR="00CC1E5A">
        <w:rPr>
          <w:szCs w:val="22"/>
        </w:rPr>
        <w:t xml:space="preserve"> 2015)</w:t>
      </w:r>
      <w:r>
        <w:rPr>
          <w:szCs w:val="22"/>
        </w:rPr>
        <w:t xml:space="preserve">. However, there are number of barriers to the emergence of housing as a fully formed and accepted asset class in Australia. </w:t>
      </w:r>
    </w:p>
    <w:p w14:paraId="727CA2AC" w14:textId="33CAD830" w:rsidR="009A4DA0" w:rsidRPr="00514183" w:rsidRDefault="009A4DA0" w:rsidP="00A83E6C">
      <w:pPr>
        <w:pStyle w:val="Heading2Numbered"/>
      </w:pPr>
      <w:bookmarkStart w:id="89" w:name="_Toc139618832"/>
      <w:bookmarkStart w:id="90" w:name="_Toc139635559"/>
      <w:bookmarkStart w:id="91" w:name="_Hlk139538104"/>
      <w:bookmarkStart w:id="92" w:name="_Toc141355257"/>
      <w:bookmarkStart w:id="93" w:name="_Toc139618831"/>
      <w:bookmarkStart w:id="94" w:name="_Toc139635558"/>
      <w:bookmarkStart w:id="95" w:name="_Toc139618821"/>
      <w:bookmarkStart w:id="96" w:name="_Toc139635548"/>
      <w:r w:rsidRPr="00514183">
        <w:t xml:space="preserve">Lack of </w:t>
      </w:r>
      <w:r w:rsidRPr="001436EA">
        <w:rPr>
          <w:szCs w:val="20"/>
        </w:rPr>
        <w:t>suitable</w:t>
      </w:r>
      <w:r w:rsidRPr="00514183">
        <w:t xml:space="preserve"> </w:t>
      </w:r>
      <w:bookmarkEnd w:id="89"/>
      <w:bookmarkEnd w:id="90"/>
      <w:bookmarkEnd w:id="91"/>
      <w:r w:rsidRPr="00514183">
        <w:t>land</w:t>
      </w:r>
      <w:bookmarkEnd w:id="92"/>
    </w:p>
    <w:p w14:paraId="32798890" w14:textId="77777777" w:rsidR="009A4DA0" w:rsidRDefault="009A4DA0" w:rsidP="002F40E7">
      <w:r>
        <w:t>An ina</w:t>
      </w:r>
      <w:r w:rsidRPr="00C16B9A">
        <w:t xml:space="preserve">dequate supply of land </w:t>
      </w:r>
      <w:r>
        <w:t>restricts</w:t>
      </w:r>
      <w:r w:rsidRPr="007F0C74">
        <w:t xml:space="preserve"> </w:t>
      </w:r>
      <w:r>
        <w:t xml:space="preserve">the construction of assets suitable for </w:t>
      </w:r>
      <w:r w:rsidRPr="007F0C74">
        <w:t xml:space="preserve">institutional </w:t>
      </w:r>
      <w:r>
        <w:t>investment</w:t>
      </w:r>
      <w:r w:rsidRPr="007F0C74">
        <w:t>.</w:t>
      </w:r>
      <w:r>
        <w:t xml:space="preserve"> This reflects a range of issues, including the inherent scarcity of land, planning restrictions, fragmentation of land holdings, and lack of suitable precinct infrastructure such as roads, water management and parks.</w:t>
      </w:r>
    </w:p>
    <w:p w14:paraId="7B78BB53" w14:textId="64805E49" w:rsidR="009A4DA0" w:rsidRPr="007F0C74" w:rsidRDefault="009A4DA0" w:rsidP="002F40E7">
      <w:r w:rsidRPr="007F0C74">
        <w:t xml:space="preserve">Infill development </w:t>
      </w:r>
      <w:r w:rsidR="002279E6">
        <w:t>opportunities</w:t>
      </w:r>
      <w:r w:rsidRPr="007F0C74">
        <w:t xml:space="preserve"> in urban areas</w:t>
      </w:r>
      <w:r w:rsidR="00061E0A">
        <w:t xml:space="preserve"> are</w:t>
      </w:r>
      <w:r>
        <w:t xml:space="preserve"> </w:t>
      </w:r>
      <w:r w:rsidRPr="007F0C74">
        <w:t xml:space="preserve">limited by the </w:t>
      </w:r>
      <w:r>
        <w:t xml:space="preserve">lack of </w:t>
      </w:r>
      <w:r w:rsidRPr="007F0C74">
        <w:t>suitable sites and</w:t>
      </w:r>
      <w:r>
        <w:t xml:space="preserve">, relatedly, </w:t>
      </w:r>
      <w:r w:rsidRPr="007F0C74">
        <w:t xml:space="preserve">the high cost of land. </w:t>
      </w:r>
      <w:r>
        <w:t xml:space="preserve">The supply of sites arising from obsolete industrial use is declining </w:t>
      </w:r>
      <w:r w:rsidR="003B31AF">
        <w:t>after</w:t>
      </w:r>
      <w:r>
        <w:t xml:space="preserve"> several decades of redevelopment in Australia</w:t>
      </w:r>
      <w:r w:rsidR="00563A2B">
        <w:t>’</w:t>
      </w:r>
      <w:r>
        <w:t xml:space="preserve">s major urban centres. When suitable sites can be sourced, the need for high </w:t>
      </w:r>
      <w:r w:rsidRPr="007F0C74">
        <w:t xml:space="preserve">density to achieve a </w:t>
      </w:r>
      <w:r>
        <w:t>sufficient</w:t>
      </w:r>
      <w:r w:rsidRPr="007F0C74">
        <w:t xml:space="preserve"> return</w:t>
      </w:r>
      <w:r>
        <w:t xml:space="preserve"> interacts with </w:t>
      </w:r>
      <w:r w:rsidRPr="007F0C74">
        <w:t>more complex planning requirements</w:t>
      </w:r>
      <w:r w:rsidR="005A329E">
        <w:t>.</w:t>
      </w:r>
      <w:r w:rsidR="0042121F">
        <w:t xml:space="preserve"> L</w:t>
      </w:r>
      <w:r w:rsidRPr="007F0C74">
        <w:t xml:space="preserve">onger delays </w:t>
      </w:r>
      <w:r>
        <w:t xml:space="preserve">associated with high density projects </w:t>
      </w:r>
      <w:r w:rsidR="004E5362">
        <w:t>also</w:t>
      </w:r>
      <w:r>
        <w:t xml:space="preserve"> add to costs. </w:t>
      </w:r>
    </w:p>
    <w:p w14:paraId="61B75623" w14:textId="6A16B43C" w:rsidR="009A4DA0" w:rsidRPr="007F0C74" w:rsidRDefault="009A4DA0" w:rsidP="002F40E7">
      <w:r>
        <w:t>Statistics on land availability do not always accord with the experiences of investors and developers. This appears to reflect a</w:t>
      </w:r>
      <w:r w:rsidRPr="007F0C74">
        <w:t xml:space="preserve"> disconnect between what government</w:t>
      </w:r>
      <w:r>
        <w:t>s</w:t>
      </w:r>
      <w:r w:rsidRPr="007F0C74">
        <w:t xml:space="preserve"> consider </w:t>
      </w:r>
      <w:r>
        <w:t>and report</w:t>
      </w:r>
      <w:r w:rsidRPr="007F0C74">
        <w:t xml:space="preserve"> as available land supply and the actual land that </w:t>
      </w:r>
      <w:r>
        <w:t xml:space="preserve">can </w:t>
      </w:r>
      <w:r w:rsidRPr="007F0C74">
        <w:t>be developed. While correctly zoned land may be available, its usage can be constrained by factors such as heritage protections, land fragmentation and the availability of infrastructure.</w:t>
      </w:r>
      <w:r>
        <w:t xml:space="preserve"> </w:t>
      </w:r>
      <w:r w:rsidR="00034082">
        <w:t>In addition</w:t>
      </w:r>
      <w:r>
        <w:t xml:space="preserve">, correctly zoned land may not find its way into the housing supply pipeline in a timely fashion because the owners of this land may not be motivated to sell to </w:t>
      </w:r>
      <w:r>
        <w:lastRenderedPageBreak/>
        <w:t>developers. They may wish to bank the value of the development potential of their land for future use, the timing of which will be at their absolute discretion.</w:t>
      </w:r>
    </w:p>
    <w:p w14:paraId="517067A3" w14:textId="595A1558" w:rsidR="009A4DA0" w:rsidRPr="00514183" w:rsidRDefault="009A4DA0" w:rsidP="00A83E6C">
      <w:pPr>
        <w:pStyle w:val="Heading2Numbered"/>
      </w:pPr>
      <w:bookmarkStart w:id="97" w:name="_Toc141355258"/>
      <w:r w:rsidRPr="00514183">
        <w:t xml:space="preserve">Planning and zoning </w:t>
      </w:r>
      <w:bookmarkEnd w:id="93"/>
      <w:bookmarkEnd w:id="94"/>
      <w:r w:rsidR="00B57313">
        <w:t>systems</w:t>
      </w:r>
      <w:bookmarkEnd w:id="97"/>
      <w:r w:rsidRPr="00514183">
        <w:t xml:space="preserve"> </w:t>
      </w:r>
    </w:p>
    <w:p w14:paraId="65F06F1C" w14:textId="3B627A2A" w:rsidR="0008708B" w:rsidRDefault="009A4DA0" w:rsidP="002F40E7">
      <w:r w:rsidRPr="00813741">
        <w:t xml:space="preserve">The construction of housing in Australia requires developers to navigate a complex web of zoning and planning approval requirements. These requirements vary markedly across the </w:t>
      </w:r>
      <w:r w:rsidR="004E07D7">
        <w:t>8</w:t>
      </w:r>
      <w:r w:rsidRPr="00813741">
        <w:t xml:space="preserve"> state</w:t>
      </w:r>
      <w:r w:rsidR="00CB0EE6" w:rsidRPr="00813741">
        <w:t>s</w:t>
      </w:r>
      <w:r w:rsidRPr="00813741">
        <w:t xml:space="preserve"> and territories</w:t>
      </w:r>
      <w:r w:rsidR="00C76FFE">
        <w:t>,</w:t>
      </w:r>
      <w:r w:rsidRPr="00813741">
        <w:t xml:space="preserve"> and </w:t>
      </w:r>
      <w:r w:rsidR="00C76FFE">
        <w:t>across the</w:t>
      </w:r>
      <w:r w:rsidRPr="00813741">
        <w:t xml:space="preserve"> hundreds of local governments provid</w:t>
      </w:r>
      <w:r w:rsidR="00161504">
        <w:t>ing</w:t>
      </w:r>
      <w:r w:rsidRPr="00813741">
        <w:t xml:space="preserve"> the planning consent authority for development.</w:t>
      </w:r>
    </w:p>
    <w:p w14:paraId="6044B9C5" w14:textId="7493D21C" w:rsidR="009A4DA0" w:rsidRPr="00813741" w:rsidRDefault="00D95290" w:rsidP="002F40E7">
      <w:r>
        <w:t>W</w:t>
      </w:r>
      <w:r w:rsidR="009A4DA0" w:rsidRPr="00813741">
        <w:t xml:space="preserve">hile the precise system of planning differs across Australian jurisdictions, all of these systems are premised on </w:t>
      </w:r>
      <w:r w:rsidR="00CC1E5A" w:rsidRPr="00813741">
        <w:t>s</w:t>
      </w:r>
      <w:r w:rsidR="009A4DA0" w:rsidRPr="00813741">
        <w:t>tate reservation of development rights. Access to these rights is rationed according to town plans and policies adopted by elected decision makers. Development rights are granted to proponents following verification that their projects align with adopted planning policies.</w:t>
      </w:r>
    </w:p>
    <w:p w14:paraId="408AB8F1" w14:textId="77777777" w:rsidR="002F358D" w:rsidRDefault="009A4DA0" w:rsidP="002F40E7">
      <w:r w:rsidRPr="00813741">
        <w:t xml:space="preserve">The need to regulate development arises due to market failure. If land use and development decisions are left to individual property owners responding to personal preferences and commercial opportunities, the market may not deliver an efficient settlement pattern that optimises benefits for the community. </w:t>
      </w:r>
    </w:p>
    <w:p w14:paraId="4797A770" w14:textId="232608E9" w:rsidR="009A4DA0" w:rsidRPr="00813741" w:rsidRDefault="009A4DA0" w:rsidP="002F40E7">
      <w:r w:rsidRPr="00813741">
        <w:t xml:space="preserve">For example, a property owner may not </w:t>
      </w:r>
      <w:r w:rsidR="00051ACA">
        <w:t>consider</w:t>
      </w:r>
      <w:r w:rsidRPr="00813741">
        <w:t xml:space="preserve"> negative externalities such as the overshadowing of neighbouring properties or the overloading </w:t>
      </w:r>
      <w:r w:rsidR="00C23C1E">
        <w:t>of</w:t>
      </w:r>
      <w:r w:rsidRPr="00813741">
        <w:t xml:space="preserve"> local stormwater drainage networks</w:t>
      </w:r>
      <w:r w:rsidR="00EB496D">
        <w:t xml:space="preserve">. </w:t>
      </w:r>
      <w:r w:rsidR="004D77B5">
        <w:t>They also may not</w:t>
      </w:r>
      <w:r w:rsidRPr="00813741">
        <w:t xml:space="preserve"> take </w:t>
      </w:r>
      <w:r w:rsidR="003B7738">
        <w:t>the</w:t>
      </w:r>
      <w:r w:rsidRPr="00813741">
        <w:t xml:space="preserve"> opportunit</w:t>
      </w:r>
      <w:r w:rsidR="003B7738">
        <w:t>y</w:t>
      </w:r>
      <w:r w:rsidRPr="00813741">
        <w:t xml:space="preserve"> to create positive externalities such as the clustering of shops to form a lively commercial precinct. </w:t>
      </w:r>
      <w:r w:rsidR="00713FF0">
        <w:t>In addition, t</w:t>
      </w:r>
      <w:r w:rsidRPr="00813741">
        <w:t>here would be an under</w:t>
      </w:r>
      <w:r w:rsidR="00563A2B">
        <w:noBreakHyphen/>
      </w:r>
      <w:r w:rsidRPr="00813741">
        <w:t xml:space="preserve">provision of urban services for which the derivation of a private income stream from users is impractical, such as parkland, cycleways and conservation reserves, and infrastructure such as highways, railways and trunk sewer services may be inefficiently provided because they are prone to natural monopolies. </w:t>
      </w:r>
    </w:p>
    <w:p w14:paraId="1FFF4A9B" w14:textId="77777777" w:rsidR="009A4DA0" w:rsidRPr="00813741" w:rsidRDefault="009A4DA0" w:rsidP="002F40E7">
      <w:r w:rsidRPr="00813741">
        <w:t>While the economic case for the reservation and regulation of development rights is clear, it is also evident that there is scope to improve planning systems to reduce the costs associated with poorly designed, conflicting and unevenly administered regulatory systems.</w:t>
      </w:r>
    </w:p>
    <w:p w14:paraId="1FDDEAC3" w14:textId="4CF4095E" w:rsidR="009A4DA0" w:rsidRPr="00813741" w:rsidRDefault="009A4DA0" w:rsidP="002F40E7">
      <w:r w:rsidRPr="00813741">
        <w:t xml:space="preserve">These costs arise when the stock of development rights made available under statutory plans are not sufficient to meet the needs of the community. These issues are exacerbated when accompanied by technical or capability deficiencies, for example, a lack of data on future demand, or inadequate resourcing of </w:t>
      </w:r>
      <w:r w:rsidR="00EE4120" w:rsidRPr="00813741">
        <w:t>c</w:t>
      </w:r>
      <w:r w:rsidRPr="00813741">
        <w:t xml:space="preserve">ouncils. </w:t>
      </w:r>
    </w:p>
    <w:p w14:paraId="6B9CAB2E" w14:textId="78B29CC4" w:rsidR="00B3399D" w:rsidRPr="00813741" w:rsidRDefault="009A4DA0" w:rsidP="002F40E7">
      <w:r w:rsidRPr="00813741">
        <w:t xml:space="preserve">As </w:t>
      </w:r>
      <w:r w:rsidR="00CC1E5A" w:rsidRPr="00813741">
        <w:t>s</w:t>
      </w:r>
      <w:r w:rsidRPr="00813741">
        <w:t>tate</w:t>
      </w:r>
      <w:r w:rsidR="00563A2B">
        <w:noBreakHyphen/>
      </w:r>
      <w:r w:rsidRPr="00813741">
        <w:t>reserved assets, development rights are comparable to other government owned and regulated resources such as minerals, water for irrigation, commercial fisheries and state forests. However, the allocation of development rights does not usually attract an explicit licence fee proportionate to the value of the commercial opportunity. Instead, this commercial value is capitalised into land price</w:t>
      </w:r>
      <w:r w:rsidR="000D64FC">
        <w:t>s</w:t>
      </w:r>
      <w:r w:rsidRPr="00813741">
        <w:t xml:space="preserve">. Recognising that their decisions convey an uplift in land value, planning authorities may be prompted to create excessively complex or opaque planning policies and decision rules. Configuring regulations in this way gives them the opportunity to negotiate a share of land value uplift via development contributions. </w:t>
      </w:r>
      <w:r w:rsidR="00CC1E5A" w:rsidRPr="00813741">
        <w:t>O</w:t>
      </w:r>
      <w:r w:rsidRPr="00813741">
        <w:t xml:space="preserve">pacity, complexity and uncertainty act as </w:t>
      </w:r>
      <w:r w:rsidR="00CC1E5A" w:rsidRPr="00813741">
        <w:t xml:space="preserve">a </w:t>
      </w:r>
      <w:r w:rsidRPr="00813741">
        <w:t>drag on supply efficiency.</w:t>
      </w:r>
    </w:p>
    <w:p w14:paraId="11D31B86" w14:textId="4A849533" w:rsidR="009A4DA0" w:rsidRPr="00813741" w:rsidRDefault="009A4DA0" w:rsidP="002F40E7">
      <w:r w:rsidRPr="00813741">
        <w:t>More generally, the governance and application of planning system</w:t>
      </w:r>
      <w:r w:rsidR="00254BFF">
        <w:t>s</w:t>
      </w:r>
      <w:r w:rsidRPr="00813741">
        <w:t xml:space="preserve"> var</w:t>
      </w:r>
      <w:r w:rsidR="00C630C7">
        <w:t>y</w:t>
      </w:r>
      <w:r w:rsidRPr="00813741">
        <w:t xml:space="preserve"> across the nation. This in part reflect</w:t>
      </w:r>
      <w:r w:rsidR="00767DBB">
        <w:t>s</w:t>
      </w:r>
      <w:r w:rsidRPr="00813741">
        <w:t xml:space="preserve"> varying levels of capacity in councils. Larger inner metropolitan councils often have the resources to deal with the volume and complexity of planning applications, whereas suburban and </w:t>
      </w:r>
      <w:r w:rsidRPr="00813741">
        <w:lastRenderedPageBreak/>
        <w:t xml:space="preserve">regional councils may have more limited resources and can struggle to attract and retain qualified planning staff. Approval delays may also partly reflect the submission of </w:t>
      </w:r>
      <w:r w:rsidR="00105AAC" w:rsidRPr="00813741">
        <w:t>n</w:t>
      </w:r>
      <w:r w:rsidRPr="00813741">
        <w:t>on</w:t>
      </w:r>
      <w:r w:rsidR="00563A2B">
        <w:noBreakHyphen/>
      </w:r>
      <w:r w:rsidRPr="00813741">
        <w:t xml:space="preserve">complying developments. </w:t>
      </w:r>
    </w:p>
    <w:tbl>
      <w:tblPr>
        <w:tblW w:w="5000" w:type="pct"/>
        <w:shd w:val="clear" w:color="auto" w:fill="F2E3C7" w:themeFill="background2"/>
        <w:tblCellMar>
          <w:top w:w="284" w:type="dxa"/>
          <w:left w:w="284" w:type="dxa"/>
          <w:bottom w:w="284" w:type="dxa"/>
          <w:right w:w="284" w:type="dxa"/>
        </w:tblCellMar>
        <w:tblLook w:val="0600" w:firstRow="0" w:lastRow="0" w:firstColumn="0" w:lastColumn="0" w:noHBand="1" w:noVBand="1"/>
      </w:tblPr>
      <w:tblGrid>
        <w:gridCol w:w="9070"/>
      </w:tblGrid>
      <w:tr w:rsidR="009A4DA0" w14:paraId="0C95603E" w14:textId="77777777">
        <w:tc>
          <w:tcPr>
            <w:tcW w:w="5000" w:type="pct"/>
            <w:shd w:val="clear" w:color="auto" w:fill="F2E3C7" w:themeFill="background2"/>
            <w:hideMark/>
          </w:tcPr>
          <w:p w14:paraId="6AD3ADA2" w14:textId="77777777" w:rsidR="009A4DA0" w:rsidRPr="00B13F48" w:rsidRDefault="009A4DA0">
            <w:pPr>
              <w:pStyle w:val="BoxHeading"/>
            </w:pPr>
            <w:r w:rsidRPr="00B13F48">
              <w:t>Box 5: The importance of planning systems</w:t>
            </w:r>
          </w:p>
          <w:p w14:paraId="55B90468" w14:textId="601507C5" w:rsidR="009A4DA0" w:rsidRDefault="009A4DA0">
            <w:pPr>
              <w:pStyle w:val="BoxText"/>
            </w:pPr>
            <w:r>
              <w:t xml:space="preserve">Planning </w:t>
            </w:r>
            <w:r w:rsidR="00113B58">
              <w:t xml:space="preserve">regulation </w:t>
            </w:r>
            <w:r>
              <w:t xml:space="preserve">is essential </w:t>
            </w:r>
            <w:r w:rsidR="00553290">
              <w:t xml:space="preserve">for </w:t>
            </w:r>
            <w:r>
              <w:t>efficien</w:t>
            </w:r>
            <w:r w:rsidR="00553290">
              <w:t xml:space="preserve">tly delivering the desired outcomes </w:t>
            </w:r>
            <w:r w:rsidR="00681546">
              <w:t xml:space="preserve">of </w:t>
            </w:r>
            <w:r>
              <w:t>the urban development process</w:t>
            </w:r>
            <w:r w:rsidR="00681546">
              <w:t>, including new housing</w:t>
            </w:r>
            <w:r>
              <w:t>. Good planning delivers</w:t>
            </w:r>
            <w:r w:rsidR="008F6DFE">
              <w:t xml:space="preserve"> the following advantages</w:t>
            </w:r>
            <w:r>
              <w:t>:</w:t>
            </w:r>
          </w:p>
          <w:p w14:paraId="35EADAA1" w14:textId="0A12F991" w:rsidR="009A4DA0" w:rsidRDefault="009A4DA0" w:rsidP="00B13F48">
            <w:pPr>
              <w:pStyle w:val="Boxbullet"/>
            </w:pPr>
            <w:r w:rsidRPr="00F54D97">
              <w:t>Protection of ecosystems and life</w:t>
            </w:r>
            <w:r w:rsidR="00563A2B">
              <w:noBreakHyphen/>
            </w:r>
            <w:r w:rsidRPr="00F54D97">
              <w:t>gi</w:t>
            </w:r>
            <w:r w:rsidRPr="00514183">
              <w:t>ving natural resources</w:t>
            </w:r>
            <w:r w:rsidR="00F6741E">
              <w:t>.</w:t>
            </w:r>
          </w:p>
          <w:p w14:paraId="0DD22BF5" w14:textId="38E989ED" w:rsidR="009A4DA0" w:rsidRDefault="009A4DA0" w:rsidP="002F40E7">
            <w:pPr>
              <w:pStyle w:val="Boxbullet"/>
            </w:pPr>
            <w:r w:rsidRPr="00F54D97">
              <w:t xml:space="preserve">Mitigation of </w:t>
            </w:r>
            <w:r w:rsidRPr="002F40E7">
              <w:t>negative</w:t>
            </w:r>
            <w:r w:rsidRPr="00F54D97">
              <w:t xml:space="preserve"> externalities in property development: these includ</w:t>
            </w:r>
            <w:r w:rsidRPr="00514183">
              <w:t>e overshadowing, overlooking, noise intrusion and air pollution and other emissions</w:t>
            </w:r>
            <w:r w:rsidR="00F6741E">
              <w:t>.</w:t>
            </w:r>
          </w:p>
          <w:p w14:paraId="52ED04D5" w14:textId="6DC78D05" w:rsidR="009A4DA0" w:rsidRDefault="009A4DA0" w:rsidP="00B13F48">
            <w:pPr>
              <w:pStyle w:val="Boxbullet"/>
            </w:pPr>
            <w:r w:rsidRPr="00F54D97">
              <w:t>Creation and protection of positive externalities at the neighbourhood sc</w:t>
            </w:r>
            <w:r w:rsidRPr="00514183">
              <w:t>ale: this includes neighbourhood character, heritage values, cultural values and other distinctive and appreciated features of a place</w:t>
            </w:r>
            <w:r w:rsidR="00F6741E">
              <w:t>.</w:t>
            </w:r>
          </w:p>
          <w:p w14:paraId="69DF4D5F" w14:textId="2902FFA6" w:rsidR="009A4DA0" w:rsidRDefault="009A4DA0" w:rsidP="00B13F48">
            <w:pPr>
              <w:pStyle w:val="Boxbullet"/>
            </w:pPr>
            <w:r w:rsidRPr="00F54D97">
              <w:t>Creation of more efficient settlement patterns at metropolitan, regional and town scales: this relates to the welfare ga</w:t>
            </w:r>
            <w:r w:rsidRPr="00514183">
              <w:t xml:space="preserve">ined through a </w:t>
            </w:r>
            <w:r w:rsidR="00563A2B">
              <w:t>‘</w:t>
            </w:r>
            <w:r w:rsidRPr="00514183">
              <w:t>designed</w:t>
            </w:r>
            <w:r w:rsidR="00563A2B">
              <w:t>’</w:t>
            </w:r>
            <w:r w:rsidRPr="00514183">
              <w:t xml:space="preserve"> versus a laissez faire urban future. Examples include saved congestion and vehicular emissions through the public transport friendly and active transport friendly urban forms, productivity gains by building clusters of related firms and production of vibrant town centres by managing retail and related flows into hierarchies of activity nodes.</w:t>
            </w:r>
          </w:p>
          <w:p w14:paraId="36A8283A" w14:textId="7082742D" w:rsidR="009A4DA0" w:rsidRDefault="009A4DA0" w:rsidP="00B13F48">
            <w:pPr>
              <w:pStyle w:val="Boxbullet"/>
            </w:pPr>
            <w:r w:rsidRPr="00F54D97">
              <w:t>Better value</w:t>
            </w:r>
            <w:r w:rsidRPr="00514183">
              <w:t xml:space="preserve"> from infrastructure investments which have </w:t>
            </w:r>
            <w:r w:rsidR="00563A2B">
              <w:t>‘</w:t>
            </w:r>
            <w:r w:rsidRPr="00514183">
              <w:t>city shaping</w:t>
            </w:r>
            <w:r w:rsidR="00563A2B">
              <w:t>’</w:t>
            </w:r>
            <w:r w:rsidRPr="00514183">
              <w:t xml:space="preserve"> power such inter</w:t>
            </w:r>
            <w:r w:rsidR="00563A2B">
              <w:noBreakHyphen/>
            </w:r>
            <w:r w:rsidRPr="00514183">
              <w:t>urban freeways and metropolitan rail; these projects can be used to advance the designed future for towns and cities, thereby increasing the flow of wider economic benefits from these assets, including agglomeration</w:t>
            </w:r>
            <w:r w:rsidR="00563A2B">
              <w:noBreakHyphen/>
            </w:r>
            <w:r w:rsidRPr="00514183">
              <w:t>linked productivity gains</w:t>
            </w:r>
            <w:r w:rsidR="00F6741E">
              <w:t>.</w:t>
            </w:r>
          </w:p>
          <w:p w14:paraId="6C1C166E" w14:textId="3DBC40E2" w:rsidR="009A4DA0" w:rsidRPr="00592E57" w:rsidRDefault="009A4DA0" w:rsidP="00B13F48">
            <w:pPr>
              <w:pStyle w:val="Boxbullet"/>
            </w:pPr>
            <w:r w:rsidRPr="00F54D97">
              <w:t>More efficient roll out of other urban infrastructure, such as roads, water cycle management, schools and hospitals; good planning can help avoid wastage of infrastructure capacity, or failure to provide infrastructure, when development occurs in an ad</w:t>
            </w:r>
            <w:r w:rsidR="00563A2B">
              <w:noBreakHyphen/>
            </w:r>
            <w:r w:rsidRPr="00F54D97">
              <w:t>hoc rather than orderly pattern.</w:t>
            </w:r>
            <w:r>
              <w:t xml:space="preserve"> </w:t>
            </w:r>
          </w:p>
        </w:tc>
      </w:tr>
    </w:tbl>
    <w:p w14:paraId="5999DBC0" w14:textId="1EA0E761" w:rsidR="009A4DA0" w:rsidRPr="00514183" w:rsidRDefault="009A4DA0" w:rsidP="00A83E6C">
      <w:pPr>
        <w:pStyle w:val="Heading2Numbered"/>
      </w:pPr>
      <w:bookmarkStart w:id="98" w:name="_Toc141355259"/>
      <w:bookmarkEnd w:id="95"/>
      <w:bookmarkEnd w:id="96"/>
      <w:r w:rsidRPr="00514183">
        <w:t>Inadequate risk</w:t>
      </w:r>
      <w:r w:rsidR="00563A2B">
        <w:noBreakHyphen/>
      </w:r>
      <w:r w:rsidRPr="00514183">
        <w:t>adjusted returns</w:t>
      </w:r>
      <w:bookmarkEnd w:id="98"/>
    </w:p>
    <w:p w14:paraId="7E903B8C" w14:textId="12447D72" w:rsidR="009A4DA0" w:rsidRDefault="009A4DA0" w:rsidP="002F40E7">
      <w:r w:rsidRPr="008C394C">
        <w:t>Institutional investors make investment decisions by considering the expected return generated by a</w:t>
      </w:r>
      <w:r w:rsidR="00BC3549">
        <w:t> </w:t>
      </w:r>
      <w:r w:rsidRPr="008C394C">
        <w:t>particular investment relative to its risk. This approach reflects their fiduciary responsibilities to operate in the best financial interest of their investors and members.</w:t>
      </w:r>
    </w:p>
    <w:p w14:paraId="7E497227" w14:textId="564FE18B" w:rsidR="009A4DA0" w:rsidRDefault="009A4DA0" w:rsidP="002F40E7">
      <w:r>
        <w:t>Notwithstanding some noteworthy pioneering investments by a small number of institutional investors, m</w:t>
      </w:r>
      <w:r w:rsidRPr="00474ACD">
        <w:t>ost institutional investors perceive the current risk</w:t>
      </w:r>
      <w:r w:rsidR="00563A2B">
        <w:noBreakHyphen/>
      </w:r>
      <w:r w:rsidRPr="00474ACD">
        <w:t xml:space="preserve">adjusted return on </w:t>
      </w:r>
      <w:r>
        <w:t xml:space="preserve">institutional </w:t>
      </w:r>
      <w:r w:rsidRPr="00474ACD">
        <w:t xml:space="preserve">housing to be </w:t>
      </w:r>
      <w:r>
        <w:t>uncompetitive</w:t>
      </w:r>
      <w:r w:rsidRPr="00474ACD">
        <w:t xml:space="preserve"> relative to alternative assets.</w:t>
      </w:r>
    </w:p>
    <w:p w14:paraId="6B642D44" w14:textId="5F06D7B2" w:rsidR="00B20C3F" w:rsidRDefault="009A4DA0" w:rsidP="002F40E7">
      <w:r>
        <w:t>E</w:t>
      </w:r>
      <w:r w:rsidRPr="00DD7E50">
        <w:t xml:space="preserve">mpirical evidence shows that the income yield and expected total return on Australian housing is </w:t>
      </w:r>
      <w:r>
        <w:t xml:space="preserve">indeed </w:t>
      </w:r>
      <w:r w:rsidRPr="00DD7E50">
        <w:t xml:space="preserve">low relative to similar investment options, such as commercial and </w:t>
      </w:r>
      <w:r>
        <w:t>industrial</w:t>
      </w:r>
      <w:r w:rsidRPr="00DD7E50">
        <w:t xml:space="preserve"> property</w:t>
      </w:r>
      <w:r>
        <w:t xml:space="preserve"> (see</w:t>
      </w:r>
      <w:r w:rsidR="00A0032B">
        <w:t> </w:t>
      </w:r>
      <w:r w:rsidR="0066692B">
        <w:t>Table 2</w:t>
      </w:r>
      <w:r>
        <w:t>). But a key view of the Council is that risks are elevated due to the nascent state of the market and that the return</w:t>
      </w:r>
      <w:r w:rsidR="00563A2B">
        <w:noBreakHyphen/>
      </w:r>
      <w:r>
        <w:t>risk characteristics of a well</w:t>
      </w:r>
      <w:r w:rsidR="00563A2B">
        <w:noBreakHyphen/>
      </w:r>
      <w:r>
        <w:t>established and functioning market would be such that it is viable and self</w:t>
      </w:r>
      <w:r w:rsidR="00563A2B">
        <w:noBreakHyphen/>
      </w:r>
      <w:r>
        <w:t xml:space="preserve">sustaining (see </w:t>
      </w:r>
      <w:r w:rsidR="00123D2D">
        <w:t>Chapter 5</w:t>
      </w:r>
      <w:r>
        <w:t>).</w:t>
      </w:r>
    </w:p>
    <w:p w14:paraId="4B0CD93E" w14:textId="77777777" w:rsidR="00B20C3F" w:rsidRDefault="00B20C3F">
      <w:pPr>
        <w:spacing w:before="0" w:after="160" w:line="259" w:lineRule="auto"/>
      </w:pPr>
      <w:r>
        <w:br w:type="page"/>
      </w:r>
    </w:p>
    <w:p w14:paraId="2623ED93" w14:textId="77777777" w:rsidR="009A4DA0" w:rsidRPr="00514183" w:rsidRDefault="009A4DA0" w:rsidP="00A83E6C">
      <w:pPr>
        <w:pStyle w:val="Heading2Numbered"/>
      </w:pPr>
      <w:bookmarkStart w:id="99" w:name="_Toc139618822"/>
      <w:bookmarkStart w:id="100" w:name="_Toc139635550"/>
      <w:bookmarkStart w:id="101" w:name="_Toc141355260"/>
      <w:r w:rsidRPr="00514183">
        <w:lastRenderedPageBreak/>
        <w:t>Insufficient scale</w:t>
      </w:r>
      <w:bookmarkEnd w:id="99"/>
      <w:bookmarkEnd w:id="100"/>
      <w:bookmarkEnd w:id="101"/>
      <w:r w:rsidRPr="00514183">
        <w:t xml:space="preserve"> </w:t>
      </w:r>
    </w:p>
    <w:p w14:paraId="4B5DEBB4" w14:textId="13C0D1B2" w:rsidR="009A4DA0" w:rsidRPr="00514183" w:rsidRDefault="009A4DA0" w:rsidP="002F40E7">
      <w:r w:rsidRPr="00512242">
        <w:t xml:space="preserve">Institutional investors require large projects </w:t>
      </w:r>
      <w:r w:rsidR="00BF46BC">
        <w:t xml:space="preserve">and/or </w:t>
      </w:r>
      <w:r w:rsidR="00904BB7">
        <w:t>a sufficient number of projects</w:t>
      </w:r>
      <w:r w:rsidRPr="00512242">
        <w:t xml:space="preserve"> to achieve sufficient scale to spread the fixed costs associated with developing and acquiring a project. Scale also helps investors spread out ongoing fixed management costs. </w:t>
      </w:r>
    </w:p>
    <w:p w14:paraId="6D284748" w14:textId="13828A01" w:rsidR="009A4DA0" w:rsidRDefault="009A4DA0" w:rsidP="002F40E7">
      <w:r w:rsidRPr="00B938EF">
        <w:t>Some academic studies suggest the scale</w:t>
      </w:r>
      <w:r w:rsidR="00DE2A19">
        <w:t xml:space="preserve"> of project</w:t>
      </w:r>
      <w:r w:rsidRPr="00B938EF">
        <w:t xml:space="preserve"> needed for a single large superannuation fund to invest in rental housing projects is between $50 million and $200 million</w:t>
      </w:r>
      <w:r w:rsidRPr="00C54C6E" w:rsidDel="00C54C6E">
        <w:t xml:space="preserve"> </w:t>
      </w:r>
      <w:r>
        <w:t xml:space="preserve">(Milligan </w:t>
      </w:r>
      <w:r w:rsidR="005F7DBF">
        <w:t>and others</w:t>
      </w:r>
      <w:r>
        <w:t xml:space="preserve"> 2013)</w:t>
      </w:r>
      <w:r w:rsidRPr="00D33902">
        <w:t>. Discussions with stakeholders indicate that at least $300 million is needed to generate sufficient scale to warrant institutional investment to defray fixed costs.</w:t>
      </w:r>
      <w:r w:rsidRPr="00717E4E">
        <w:t xml:space="preserve"> </w:t>
      </w:r>
      <w:r>
        <w:t xml:space="preserve">The smallest actual project either completed or under construction over the past 5 years is </w:t>
      </w:r>
      <w:r w:rsidR="005A34A9" w:rsidRPr="00257CE9">
        <w:t xml:space="preserve">around </w:t>
      </w:r>
      <w:r w:rsidRPr="00257CE9">
        <w:t>$50 million,</w:t>
      </w:r>
      <w:r>
        <w:t xml:space="preserve"> though the average project size of </w:t>
      </w:r>
      <w:r w:rsidRPr="00257CE9">
        <w:t>$</w:t>
      </w:r>
      <w:r w:rsidR="000C3FCA" w:rsidRPr="00257CE9">
        <w:t>28</w:t>
      </w:r>
      <w:r w:rsidR="00834E92" w:rsidRPr="00257CE9">
        <w:t>1</w:t>
      </w:r>
      <w:r w:rsidR="00CD42FE" w:rsidRPr="00257CE9">
        <w:t> </w:t>
      </w:r>
      <w:r w:rsidRPr="00257CE9">
        <w:t>million</w:t>
      </w:r>
      <w:r>
        <w:t xml:space="preserve"> suggests a preference for much larger projects (</w:t>
      </w:r>
      <w:r w:rsidR="00D123AA">
        <w:t xml:space="preserve">see </w:t>
      </w:r>
      <w:r>
        <w:t xml:space="preserve">Tables 5 and 6). </w:t>
      </w:r>
    </w:p>
    <w:p w14:paraId="289C379A" w14:textId="55AC85D7" w:rsidR="009A4DA0" w:rsidRPr="002F40E7" w:rsidRDefault="009A4DA0" w:rsidP="002F40E7">
      <w:r w:rsidRPr="00214A82">
        <w:t>There is currently limited scope to acquire stock on such scale due to the fragmented nature of the existing housing market</w:t>
      </w:r>
      <w:r>
        <w:t xml:space="preserve"> and </w:t>
      </w:r>
      <w:r w:rsidRPr="00214A82">
        <w:t>difficulties in securing suitably zoned sites that could be readily developed at such scale</w:t>
      </w:r>
      <w:r>
        <w:t>. Where new stock is developed</w:t>
      </w:r>
      <w:r w:rsidRPr="00255E81">
        <w:t xml:space="preserve">, </w:t>
      </w:r>
      <w:r>
        <w:t>it may not come</w:t>
      </w:r>
      <w:r w:rsidRPr="00255E81">
        <w:t xml:space="preserve"> to market </w:t>
      </w:r>
      <w:r>
        <w:t xml:space="preserve">as a single asset that </w:t>
      </w:r>
      <w:r w:rsidRPr="00255E81">
        <w:t>institutional invest</w:t>
      </w:r>
      <w:r>
        <w:t>ors</w:t>
      </w:r>
      <w:r w:rsidRPr="00255E81">
        <w:t xml:space="preserve"> </w:t>
      </w:r>
      <w:r>
        <w:t xml:space="preserve">can acquire, due to </w:t>
      </w:r>
      <w:r w:rsidRPr="00255E81">
        <w:t xml:space="preserve">the preference of developers to build to sell to individual investors </w:t>
      </w:r>
      <w:r>
        <w:t xml:space="preserve">(who may be willing to pay a higher price per individual dwelling) </w:t>
      </w:r>
      <w:r w:rsidRPr="00255E81">
        <w:t>and pre</w:t>
      </w:r>
      <w:r w:rsidR="00563A2B">
        <w:noBreakHyphen/>
      </w:r>
      <w:r w:rsidRPr="00255E81">
        <w:t xml:space="preserve">sale requirements </w:t>
      </w:r>
      <w:r>
        <w:t>that require a share of dwellings to be pre</w:t>
      </w:r>
      <w:r w:rsidR="00563A2B">
        <w:noBreakHyphen/>
      </w:r>
      <w:r>
        <w:t xml:space="preserve">sold to </w:t>
      </w:r>
      <w:r w:rsidRPr="00255E81">
        <w:t>secur</w:t>
      </w:r>
      <w:r>
        <w:t>e</w:t>
      </w:r>
      <w:r w:rsidRPr="00255E81">
        <w:t xml:space="preserve"> de</w:t>
      </w:r>
      <w:r w:rsidR="00AC6D30">
        <w:t>bt financing</w:t>
      </w:r>
      <w:r w:rsidR="00AC6D30" w:rsidRPr="002F40E7">
        <w:t>.</w:t>
      </w:r>
    </w:p>
    <w:p w14:paraId="075DE87D" w14:textId="77777777" w:rsidR="002239E2" w:rsidRPr="009637D5" w:rsidRDefault="002239E2" w:rsidP="009637D5">
      <w:r w:rsidRPr="009637D5">
        <w:br w:type="page"/>
      </w:r>
    </w:p>
    <w:p w14:paraId="0C0DDE73" w14:textId="74AF4EE5" w:rsidR="009A4DA0" w:rsidRDefault="009A4DA0" w:rsidP="002F40E7">
      <w:pPr>
        <w:pStyle w:val="TableMainHeading"/>
      </w:pPr>
      <w:r w:rsidRPr="00D134A8">
        <w:lastRenderedPageBreak/>
        <w:t xml:space="preserve">Table 5: </w:t>
      </w:r>
      <w:r>
        <w:t>I</w:t>
      </w:r>
      <w:r w:rsidRPr="00D134A8">
        <w:t xml:space="preserve">dentifiable </w:t>
      </w:r>
      <w:r>
        <w:t>market</w:t>
      </w:r>
      <w:r w:rsidRPr="00D134A8">
        <w:t xml:space="preserve"> build</w:t>
      </w:r>
      <w:r w:rsidR="00563A2B">
        <w:noBreakHyphen/>
      </w:r>
      <w:r w:rsidRPr="00D134A8">
        <w:t>to</w:t>
      </w:r>
      <w:r w:rsidR="00563A2B">
        <w:noBreakHyphen/>
      </w:r>
      <w:r w:rsidRPr="00D134A8">
        <w:t>rent projects in Australia</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2"/>
        <w:gridCol w:w="1492"/>
        <w:gridCol w:w="1265"/>
        <w:gridCol w:w="1284"/>
        <w:gridCol w:w="1217"/>
        <w:gridCol w:w="1262"/>
        <w:gridCol w:w="1278"/>
      </w:tblGrid>
      <w:tr w:rsidR="002F40E7" w:rsidRPr="005836C7" w14:paraId="37B0C5EA" w14:textId="77777777" w:rsidTr="00BC121A">
        <w:trPr>
          <w:cnfStyle w:val="100000000000" w:firstRow="1" w:lastRow="0" w:firstColumn="0" w:lastColumn="0" w:oddVBand="0" w:evenVBand="0" w:oddHBand="0" w:evenHBand="0" w:firstRowFirstColumn="0" w:firstRowLastColumn="0" w:lastRowFirstColumn="0" w:lastRowLastColumn="0"/>
          <w:cantSplit/>
          <w:tblHeader/>
        </w:trPr>
        <w:tc>
          <w:tcPr>
            <w:tcW w:w="1262" w:type="dxa"/>
            <w:shd w:val="clear" w:color="auto" w:fill="BAD4E8" w:themeFill="accent5"/>
            <w:vAlign w:val="center"/>
          </w:tcPr>
          <w:p w14:paraId="40B90DB0" w14:textId="713F4F4F" w:rsidR="002F40E7" w:rsidRPr="005836C7" w:rsidRDefault="002F40E7" w:rsidP="002719DD">
            <w:pPr>
              <w:pStyle w:val="TableColumnHeadingLeft"/>
              <w:rPr>
                <w:b/>
                <w:bCs/>
              </w:rPr>
            </w:pPr>
            <w:r w:rsidRPr="005836C7" w:rsidDel="00AE7E73">
              <w:rPr>
                <w:b/>
                <w:bCs/>
              </w:rPr>
              <w:t>Project name</w:t>
            </w:r>
          </w:p>
        </w:tc>
        <w:tc>
          <w:tcPr>
            <w:tcW w:w="1492" w:type="dxa"/>
            <w:shd w:val="clear" w:color="auto" w:fill="BAD4E8" w:themeFill="accent5"/>
            <w:vAlign w:val="center"/>
          </w:tcPr>
          <w:p w14:paraId="164EF6AD" w14:textId="24D273BA" w:rsidR="002F40E7" w:rsidRPr="005836C7" w:rsidRDefault="002F40E7" w:rsidP="002719DD">
            <w:pPr>
              <w:pStyle w:val="TableColumnHeadingLeft"/>
              <w:rPr>
                <w:b/>
                <w:bCs/>
              </w:rPr>
            </w:pPr>
            <w:r w:rsidRPr="005836C7" w:rsidDel="00AE7E73">
              <w:rPr>
                <w:b/>
                <w:bCs/>
              </w:rPr>
              <w:t>Institutional investor</w:t>
            </w:r>
          </w:p>
        </w:tc>
        <w:tc>
          <w:tcPr>
            <w:tcW w:w="1265" w:type="dxa"/>
            <w:shd w:val="clear" w:color="auto" w:fill="BAD4E8" w:themeFill="accent5"/>
            <w:vAlign w:val="center"/>
          </w:tcPr>
          <w:p w14:paraId="6E5A073D" w14:textId="38AE5AF2" w:rsidR="002F40E7" w:rsidRPr="005836C7" w:rsidRDefault="002F40E7" w:rsidP="002719DD">
            <w:pPr>
              <w:pStyle w:val="TableColumnHeadingLeft"/>
              <w:rPr>
                <w:b/>
                <w:bCs/>
              </w:rPr>
            </w:pPr>
            <w:r w:rsidRPr="005836C7" w:rsidDel="00AE7E73">
              <w:rPr>
                <w:b/>
                <w:bCs/>
              </w:rPr>
              <w:t>Developer</w:t>
            </w:r>
          </w:p>
        </w:tc>
        <w:tc>
          <w:tcPr>
            <w:tcW w:w="1284" w:type="dxa"/>
            <w:shd w:val="clear" w:color="auto" w:fill="BAD4E8" w:themeFill="accent5"/>
            <w:vAlign w:val="center"/>
          </w:tcPr>
          <w:p w14:paraId="0ED49870" w14:textId="13E3CE7B" w:rsidR="002F40E7" w:rsidRPr="005836C7" w:rsidRDefault="002F40E7" w:rsidP="002719DD">
            <w:pPr>
              <w:pStyle w:val="TableColumnHeadingRight"/>
              <w:rPr>
                <w:b/>
                <w:bCs/>
              </w:rPr>
            </w:pPr>
            <w:r w:rsidRPr="005836C7" w:rsidDel="00AE7E73">
              <w:rPr>
                <w:b/>
                <w:bCs/>
              </w:rPr>
              <w:t>Project value ($m)</w:t>
            </w:r>
            <w:r w:rsidRPr="005836C7" w:rsidDel="00AE7E73">
              <w:rPr>
                <w:b/>
                <w:bCs/>
                <w:vertAlign w:val="superscript"/>
              </w:rPr>
              <w:t>a</w:t>
            </w:r>
          </w:p>
        </w:tc>
        <w:tc>
          <w:tcPr>
            <w:tcW w:w="1217" w:type="dxa"/>
            <w:shd w:val="clear" w:color="auto" w:fill="BAD4E8" w:themeFill="accent5"/>
            <w:vAlign w:val="center"/>
          </w:tcPr>
          <w:p w14:paraId="0CE8BC1C" w14:textId="257512FC" w:rsidR="002F40E7" w:rsidRPr="005836C7" w:rsidRDefault="002F40E7" w:rsidP="002719DD">
            <w:pPr>
              <w:pStyle w:val="TableColumnHeadingRight"/>
              <w:rPr>
                <w:b/>
                <w:bCs/>
              </w:rPr>
            </w:pPr>
            <w:r w:rsidRPr="005836C7" w:rsidDel="00AE7E73">
              <w:rPr>
                <w:b/>
                <w:bCs/>
              </w:rPr>
              <w:t>Units</w:t>
            </w:r>
          </w:p>
        </w:tc>
        <w:tc>
          <w:tcPr>
            <w:tcW w:w="1262" w:type="dxa"/>
            <w:shd w:val="clear" w:color="auto" w:fill="BAD4E8" w:themeFill="accent5"/>
            <w:vAlign w:val="center"/>
          </w:tcPr>
          <w:p w14:paraId="57853338" w14:textId="17662045" w:rsidR="002F40E7" w:rsidRPr="005836C7" w:rsidRDefault="002F40E7" w:rsidP="002719DD">
            <w:pPr>
              <w:pStyle w:val="TableColumnHeadingLeft"/>
              <w:rPr>
                <w:b/>
                <w:bCs/>
              </w:rPr>
            </w:pPr>
            <w:r w:rsidRPr="005836C7" w:rsidDel="00AE7E73">
              <w:rPr>
                <w:b/>
                <w:bCs/>
              </w:rPr>
              <w:t>Location</w:t>
            </w:r>
          </w:p>
        </w:tc>
        <w:tc>
          <w:tcPr>
            <w:tcW w:w="1278" w:type="dxa"/>
            <w:shd w:val="clear" w:color="auto" w:fill="BAD4E8" w:themeFill="accent5"/>
            <w:vAlign w:val="center"/>
          </w:tcPr>
          <w:p w14:paraId="2C0ADC43" w14:textId="43F0BEEC" w:rsidR="002F40E7" w:rsidRPr="005836C7" w:rsidRDefault="002F40E7" w:rsidP="002719DD">
            <w:pPr>
              <w:pStyle w:val="TableColumnHeadingRight"/>
              <w:rPr>
                <w:b/>
                <w:bCs/>
              </w:rPr>
            </w:pPr>
            <w:r w:rsidRPr="005836C7" w:rsidDel="00AE7E73">
              <w:rPr>
                <w:b/>
                <w:bCs/>
              </w:rPr>
              <w:t>Completion date</w:t>
            </w:r>
          </w:p>
        </w:tc>
      </w:tr>
      <w:tr w:rsidR="002F40E7" w14:paraId="0C2B870E" w14:textId="77777777" w:rsidTr="00BC121A">
        <w:trPr>
          <w:cantSplit/>
          <w:trHeight w:val="410"/>
        </w:trPr>
        <w:tc>
          <w:tcPr>
            <w:tcW w:w="1262" w:type="dxa"/>
          </w:tcPr>
          <w:p w14:paraId="13A5781A" w14:textId="2483C6AE" w:rsidR="002F40E7" w:rsidRDefault="002F40E7" w:rsidP="002F40E7">
            <w:pPr>
              <w:pStyle w:val="TableTextLeft"/>
            </w:pPr>
            <w:r w:rsidRPr="008D4CC6">
              <w:t>Smith Collective</w:t>
            </w:r>
          </w:p>
        </w:tc>
        <w:tc>
          <w:tcPr>
            <w:tcW w:w="1492" w:type="dxa"/>
          </w:tcPr>
          <w:p w14:paraId="4DFD4BF8" w14:textId="6E69D474" w:rsidR="002F40E7" w:rsidRDefault="002F40E7" w:rsidP="002F40E7">
            <w:pPr>
              <w:pStyle w:val="TableTextLeft"/>
            </w:pPr>
            <w:r w:rsidRPr="008D4CC6">
              <w:t>UBS Asset Management</w:t>
            </w:r>
          </w:p>
        </w:tc>
        <w:tc>
          <w:tcPr>
            <w:tcW w:w="1265" w:type="dxa"/>
          </w:tcPr>
          <w:p w14:paraId="095850B9" w14:textId="6D085EC6" w:rsidR="002F40E7" w:rsidRDefault="002F40E7" w:rsidP="002F40E7">
            <w:pPr>
              <w:pStyle w:val="TableTextLeft"/>
            </w:pPr>
            <w:proofErr w:type="spellStart"/>
            <w:r w:rsidRPr="008D4CC6">
              <w:t>Grocon</w:t>
            </w:r>
            <w:proofErr w:type="spellEnd"/>
          </w:p>
        </w:tc>
        <w:tc>
          <w:tcPr>
            <w:tcW w:w="1284" w:type="dxa"/>
          </w:tcPr>
          <w:p w14:paraId="1C1D84B4" w14:textId="7528BCD9" w:rsidR="002F40E7" w:rsidRDefault="002F40E7" w:rsidP="00F25A9D">
            <w:pPr>
              <w:pStyle w:val="TableTextRight"/>
            </w:pPr>
            <w:r w:rsidRPr="008D4CC6">
              <w:t>550</w:t>
            </w:r>
          </w:p>
        </w:tc>
        <w:tc>
          <w:tcPr>
            <w:tcW w:w="1217" w:type="dxa"/>
          </w:tcPr>
          <w:p w14:paraId="3378A969" w14:textId="36E1D8D4" w:rsidR="002F40E7" w:rsidRDefault="002F40E7" w:rsidP="00F25A9D">
            <w:pPr>
              <w:pStyle w:val="TableTextRight"/>
            </w:pPr>
            <w:r w:rsidRPr="008D4CC6">
              <w:t>1251</w:t>
            </w:r>
          </w:p>
        </w:tc>
        <w:tc>
          <w:tcPr>
            <w:tcW w:w="1262" w:type="dxa"/>
          </w:tcPr>
          <w:p w14:paraId="3707E794" w14:textId="11480A92" w:rsidR="002F40E7" w:rsidRDefault="002F40E7" w:rsidP="002F40E7">
            <w:pPr>
              <w:pStyle w:val="TableTextLeft"/>
            </w:pPr>
            <w:r w:rsidRPr="008D4CC6">
              <w:t>Gold Coast</w:t>
            </w:r>
          </w:p>
        </w:tc>
        <w:tc>
          <w:tcPr>
            <w:tcW w:w="1278" w:type="dxa"/>
          </w:tcPr>
          <w:p w14:paraId="454BE8B7" w14:textId="13CA3671" w:rsidR="002F40E7" w:rsidRDefault="002F40E7" w:rsidP="00F25A9D">
            <w:pPr>
              <w:pStyle w:val="TableTextRight"/>
            </w:pPr>
            <w:r w:rsidRPr="008D4CC6">
              <w:t>2018</w:t>
            </w:r>
          </w:p>
        </w:tc>
      </w:tr>
      <w:tr w:rsidR="004809C2" w14:paraId="3E865B8A" w14:textId="77777777" w:rsidTr="00257CE9">
        <w:trPr>
          <w:cantSplit/>
          <w:trHeight w:val="410"/>
        </w:trPr>
        <w:tc>
          <w:tcPr>
            <w:tcW w:w="1262" w:type="dxa"/>
            <w:vAlign w:val="center"/>
          </w:tcPr>
          <w:p w14:paraId="05CED2EB" w14:textId="295B3D3C" w:rsidR="004809C2" w:rsidRPr="00257CE9" w:rsidRDefault="004809C2" w:rsidP="004809C2">
            <w:pPr>
              <w:pStyle w:val="TableTextLeft"/>
            </w:pPr>
            <w:r w:rsidRPr="00257CE9">
              <w:rPr>
                <w:color w:val="000000"/>
              </w:rPr>
              <w:t xml:space="preserve">The Elements by </w:t>
            </w:r>
            <w:proofErr w:type="spellStart"/>
            <w:r w:rsidRPr="00257CE9">
              <w:rPr>
                <w:color w:val="000000"/>
              </w:rPr>
              <w:t>Kinleaf</w:t>
            </w:r>
            <w:proofErr w:type="spellEnd"/>
          </w:p>
        </w:tc>
        <w:tc>
          <w:tcPr>
            <w:tcW w:w="1492" w:type="dxa"/>
            <w:vAlign w:val="center"/>
          </w:tcPr>
          <w:p w14:paraId="6A7E4182" w14:textId="324765ED" w:rsidR="004809C2" w:rsidRPr="00257CE9" w:rsidRDefault="004809C2" w:rsidP="004809C2">
            <w:pPr>
              <w:pStyle w:val="TableTextLeft"/>
            </w:pPr>
            <w:r w:rsidRPr="00257CE9">
              <w:rPr>
                <w:color w:val="000000"/>
              </w:rPr>
              <w:t>Federated Hermes/</w:t>
            </w:r>
            <w:proofErr w:type="spellStart"/>
            <w:r w:rsidRPr="00257CE9">
              <w:rPr>
                <w:color w:val="000000"/>
              </w:rPr>
              <w:t>Sentinel</w:t>
            </w:r>
            <w:r w:rsidR="00650124" w:rsidRPr="00257CE9">
              <w:rPr>
                <w:vertAlign w:val="superscript"/>
              </w:rPr>
              <w:t>h</w:t>
            </w:r>
            <w:proofErr w:type="spellEnd"/>
            <w:r w:rsidRPr="00257CE9">
              <w:rPr>
                <w:color w:val="000000"/>
              </w:rPr>
              <w:t xml:space="preserve"> partnership</w:t>
            </w:r>
          </w:p>
        </w:tc>
        <w:tc>
          <w:tcPr>
            <w:tcW w:w="1265" w:type="dxa"/>
            <w:vAlign w:val="center"/>
          </w:tcPr>
          <w:p w14:paraId="08A404A7" w14:textId="070C2601" w:rsidR="004809C2" w:rsidRPr="00257CE9" w:rsidRDefault="004809C2" w:rsidP="004809C2">
            <w:pPr>
              <w:pStyle w:val="TableTextLeft"/>
            </w:pPr>
            <w:r w:rsidRPr="00257CE9">
              <w:rPr>
                <w:color w:val="000000"/>
              </w:rPr>
              <w:t xml:space="preserve"> Sentinel </w:t>
            </w:r>
          </w:p>
        </w:tc>
        <w:tc>
          <w:tcPr>
            <w:tcW w:w="1284" w:type="dxa"/>
            <w:vAlign w:val="center"/>
          </w:tcPr>
          <w:p w14:paraId="175327C7" w14:textId="1785B5DE" w:rsidR="004809C2" w:rsidRPr="00257CE9" w:rsidRDefault="004809C2" w:rsidP="004809C2">
            <w:pPr>
              <w:pStyle w:val="TableTextRight"/>
            </w:pPr>
            <w:r w:rsidRPr="00257CE9">
              <w:rPr>
                <w:color w:val="000000"/>
              </w:rPr>
              <w:t xml:space="preserve"> 77 (consolidated figure across the two completed phases of the project) </w:t>
            </w:r>
          </w:p>
        </w:tc>
        <w:tc>
          <w:tcPr>
            <w:tcW w:w="1217" w:type="dxa"/>
            <w:vAlign w:val="center"/>
          </w:tcPr>
          <w:p w14:paraId="6C29BE1B" w14:textId="310D5BA2" w:rsidR="004809C2" w:rsidRPr="00257CE9" w:rsidRDefault="004809C2" w:rsidP="004809C2">
            <w:pPr>
              <w:pStyle w:val="TableTextRight"/>
            </w:pPr>
            <w:r w:rsidRPr="00257CE9">
              <w:t>173</w:t>
            </w:r>
          </w:p>
        </w:tc>
        <w:tc>
          <w:tcPr>
            <w:tcW w:w="1262" w:type="dxa"/>
            <w:vAlign w:val="center"/>
          </w:tcPr>
          <w:p w14:paraId="186EF039" w14:textId="11F4FFBD" w:rsidR="004809C2" w:rsidRPr="00257CE9" w:rsidRDefault="004809C2" w:rsidP="004809C2">
            <w:pPr>
              <w:pStyle w:val="TableTextLeft"/>
            </w:pPr>
            <w:r w:rsidRPr="00257CE9">
              <w:rPr>
                <w:color w:val="000000"/>
              </w:rPr>
              <w:t xml:space="preserve">Perth </w:t>
            </w:r>
          </w:p>
        </w:tc>
        <w:tc>
          <w:tcPr>
            <w:tcW w:w="1278" w:type="dxa"/>
            <w:vAlign w:val="center"/>
          </w:tcPr>
          <w:p w14:paraId="73026916" w14:textId="7F03B20D" w:rsidR="004809C2" w:rsidRPr="00257CE9" w:rsidRDefault="004809C2" w:rsidP="004809C2">
            <w:pPr>
              <w:pStyle w:val="TableTextRight"/>
            </w:pPr>
            <w:r w:rsidRPr="00257CE9">
              <w:rPr>
                <w:color w:val="000000"/>
              </w:rPr>
              <w:t xml:space="preserve">2019 </w:t>
            </w:r>
          </w:p>
        </w:tc>
      </w:tr>
      <w:tr w:rsidR="002F40E7" w14:paraId="096C0404" w14:textId="77777777" w:rsidTr="00BC121A">
        <w:trPr>
          <w:cantSplit/>
        </w:trPr>
        <w:tc>
          <w:tcPr>
            <w:tcW w:w="1262" w:type="dxa"/>
          </w:tcPr>
          <w:p w14:paraId="7CE8DE01" w14:textId="4F9757C1" w:rsidR="002F40E7" w:rsidRDefault="002F40E7" w:rsidP="002F40E7">
            <w:pPr>
              <w:pStyle w:val="TableTextLeft"/>
            </w:pPr>
            <w:r w:rsidRPr="008D4CC6">
              <w:t>LIV Indigo</w:t>
            </w:r>
          </w:p>
        </w:tc>
        <w:tc>
          <w:tcPr>
            <w:tcW w:w="1492" w:type="dxa"/>
          </w:tcPr>
          <w:p w14:paraId="0C99B5DE" w14:textId="5E507B35" w:rsidR="002F40E7" w:rsidRDefault="002F40E7" w:rsidP="002F40E7">
            <w:pPr>
              <w:pStyle w:val="TableTextLeft"/>
            </w:pPr>
            <w:r w:rsidRPr="008D4CC6">
              <w:t>Build</w:t>
            </w:r>
            <w:r w:rsidR="00563A2B">
              <w:noBreakHyphen/>
            </w:r>
            <w:r w:rsidRPr="008D4CC6">
              <w:t>to</w:t>
            </w:r>
            <w:r w:rsidR="00563A2B">
              <w:noBreakHyphen/>
            </w:r>
            <w:r w:rsidRPr="008D4CC6">
              <w:t xml:space="preserve">Rent </w:t>
            </w:r>
            <w:proofErr w:type="spellStart"/>
            <w:r w:rsidRPr="008D4CC6">
              <w:t>Venture</w:t>
            </w:r>
            <w:r>
              <w:rPr>
                <w:vertAlign w:val="superscript"/>
              </w:rPr>
              <w:t>b</w:t>
            </w:r>
            <w:proofErr w:type="spellEnd"/>
          </w:p>
        </w:tc>
        <w:tc>
          <w:tcPr>
            <w:tcW w:w="1265" w:type="dxa"/>
          </w:tcPr>
          <w:p w14:paraId="7FE2AF88" w14:textId="4F371BFA" w:rsidR="002F40E7" w:rsidRDefault="002F40E7" w:rsidP="002F40E7">
            <w:pPr>
              <w:pStyle w:val="TableTextLeft"/>
            </w:pPr>
            <w:r w:rsidRPr="008D4CC6">
              <w:t>Mirvac</w:t>
            </w:r>
          </w:p>
        </w:tc>
        <w:tc>
          <w:tcPr>
            <w:tcW w:w="1284" w:type="dxa"/>
          </w:tcPr>
          <w:p w14:paraId="3674E2DA" w14:textId="1039152C" w:rsidR="002F40E7" w:rsidRDefault="002F40E7" w:rsidP="00F25A9D">
            <w:pPr>
              <w:pStyle w:val="TableTextRight"/>
            </w:pPr>
            <w:r w:rsidRPr="008D4CC6">
              <w:t>22</w:t>
            </w:r>
            <w:r>
              <w:t>1</w:t>
            </w:r>
          </w:p>
        </w:tc>
        <w:tc>
          <w:tcPr>
            <w:tcW w:w="1217" w:type="dxa"/>
          </w:tcPr>
          <w:p w14:paraId="3D2F9525" w14:textId="78EDFA2B" w:rsidR="002F40E7" w:rsidRDefault="002F40E7" w:rsidP="00F25A9D">
            <w:pPr>
              <w:pStyle w:val="TableTextRight"/>
            </w:pPr>
            <w:r w:rsidRPr="008D4CC6">
              <w:t>315</w:t>
            </w:r>
          </w:p>
        </w:tc>
        <w:tc>
          <w:tcPr>
            <w:tcW w:w="1262" w:type="dxa"/>
          </w:tcPr>
          <w:p w14:paraId="65797F03" w14:textId="5CA344DF" w:rsidR="002F40E7" w:rsidRDefault="002F40E7" w:rsidP="002F40E7">
            <w:pPr>
              <w:pStyle w:val="TableTextLeft"/>
            </w:pPr>
            <w:r w:rsidRPr="008D4CC6">
              <w:t>Sydney</w:t>
            </w:r>
          </w:p>
        </w:tc>
        <w:tc>
          <w:tcPr>
            <w:tcW w:w="1278" w:type="dxa"/>
          </w:tcPr>
          <w:p w14:paraId="010A7660" w14:textId="7E960596" w:rsidR="002F40E7" w:rsidRDefault="002F40E7" w:rsidP="00F25A9D">
            <w:pPr>
              <w:pStyle w:val="TableTextRight"/>
            </w:pPr>
            <w:r w:rsidRPr="008D4CC6">
              <w:t>2020</w:t>
            </w:r>
          </w:p>
        </w:tc>
      </w:tr>
      <w:tr w:rsidR="002F40E7" w14:paraId="2097D352" w14:textId="77777777" w:rsidTr="00BC121A">
        <w:trPr>
          <w:cantSplit/>
        </w:trPr>
        <w:tc>
          <w:tcPr>
            <w:tcW w:w="1262" w:type="dxa"/>
          </w:tcPr>
          <w:p w14:paraId="0FE2B758" w14:textId="5C613EE1" w:rsidR="002F40E7" w:rsidRDefault="002F40E7" w:rsidP="002F40E7">
            <w:pPr>
              <w:pStyle w:val="TableTextLeft"/>
            </w:pPr>
            <w:r w:rsidRPr="008D4CC6">
              <w:t>Robertson Lane</w:t>
            </w:r>
          </w:p>
        </w:tc>
        <w:tc>
          <w:tcPr>
            <w:tcW w:w="1492" w:type="dxa"/>
          </w:tcPr>
          <w:p w14:paraId="07A05831" w14:textId="19B63374" w:rsidR="002F40E7" w:rsidRDefault="002F40E7" w:rsidP="002F40E7">
            <w:pPr>
              <w:pStyle w:val="TableTextLeft"/>
            </w:pPr>
            <w:proofErr w:type="spellStart"/>
            <w:r w:rsidRPr="008D4CC6">
              <w:t>Qualitas</w:t>
            </w:r>
            <w:r>
              <w:rPr>
                <w:vertAlign w:val="superscript"/>
              </w:rPr>
              <w:t>c</w:t>
            </w:r>
            <w:proofErr w:type="spellEnd"/>
          </w:p>
        </w:tc>
        <w:tc>
          <w:tcPr>
            <w:tcW w:w="1265" w:type="dxa"/>
          </w:tcPr>
          <w:p w14:paraId="2D6407E3" w14:textId="7DE0AA53" w:rsidR="002F40E7" w:rsidRDefault="002F40E7" w:rsidP="002F40E7">
            <w:pPr>
              <w:pStyle w:val="TableTextLeft"/>
            </w:pPr>
            <w:proofErr w:type="spellStart"/>
            <w:r w:rsidRPr="008D4CC6">
              <w:t>Arklife</w:t>
            </w:r>
            <w:proofErr w:type="spellEnd"/>
          </w:p>
        </w:tc>
        <w:tc>
          <w:tcPr>
            <w:tcW w:w="1284" w:type="dxa"/>
          </w:tcPr>
          <w:p w14:paraId="718F5482" w14:textId="2EF33368" w:rsidR="002F40E7" w:rsidRDefault="002F40E7" w:rsidP="00F25A9D">
            <w:pPr>
              <w:pStyle w:val="TableTextRight"/>
            </w:pPr>
            <w:r w:rsidRPr="00BE6EE9">
              <w:rPr>
                <w:szCs w:val="18"/>
              </w:rPr>
              <w:t>60</w:t>
            </w:r>
            <w:r w:rsidRPr="00BE6EE9">
              <w:rPr>
                <w:szCs w:val="18"/>
                <w:vertAlign w:val="superscript"/>
              </w:rPr>
              <w:t>f</w:t>
            </w:r>
          </w:p>
        </w:tc>
        <w:tc>
          <w:tcPr>
            <w:tcW w:w="1217" w:type="dxa"/>
          </w:tcPr>
          <w:p w14:paraId="22A9FAE6" w14:textId="4307DCFF" w:rsidR="002F40E7" w:rsidRDefault="002F40E7" w:rsidP="00F25A9D">
            <w:pPr>
              <w:pStyle w:val="TableTextRight"/>
            </w:pPr>
            <w:r w:rsidRPr="008D4CC6">
              <w:t>89</w:t>
            </w:r>
          </w:p>
        </w:tc>
        <w:tc>
          <w:tcPr>
            <w:tcW w:w="1262" w:type="dxa"/>
          </w:tcPr>
          <w:p w14:paraId="6E0B0891" w14:textId="1FB5EFAA" w:rsidR="002F40E7" w:rsidRDefault="002F40E7" w:rsidP="002F40E7">
            <w:pPr>
              <w:pStyle w:val="TableTextLeft"/>
            </w:pPr>
            <w:r w:rsidRPr="008D4CC6">
              <w:t>Brisbane</w:t>
            </w:r>
          </w:p>
        </w:tc>
        <w:tc>
          <w:tcPr>
            <w:tcW w:w="1278" w:type="dxa"/>
          </w:tcPr>
          <w:p w14:paraId="385499AA" w14:textId="21B81C1C" w:rsidR="002F40E7" w:rsidRDefault="002F40E7" w:rsidP="00F25A9D">
            <w:pPr>
              <w:pStyle w:val="TableTextRight"/>
            </w:pPr>
            <w:r w:rsidRPr="008D4CC6">
              <w:t>2021</w:t>
            </w:r>
          </w:p>
        </w:tc>
      </w:tr>
      <w:tr w:rsidR="002F40E7" w14:paraId="3F5D78F8" w14:textId="77777777" w:rsidTr="00BC121A">
        <w:trPr>
          <w:cantSplit/>
        </w:trPr>
        <w:tc>
          <w:tcPr>
            <w:tcW w:w="1262" w:type="dxa"/>
          </w:tcPr>
          <w:p w14:paraId="7B92ABFB" w14:textId="2F1B1F5C" w:rsidR="002F40E7" w:rsidRDefault="002F40E7" w:rsidP="002F40E7">
            <w:pPr>
              <w:pStyle w:val="TableTextLeft"/>
            </w:pPr>
            <w:r w:rsidRPr="008D4CC6">
              <w:t>LIV Munro</w:t>
            </w:r>
          </w:p>
        </w:tc>
        <w:tc>
          <w:tcPr>
            <w:tcW w:w="1492" w:type="dxa"/>
          </w:tcPr>
          <w:p w14:paraId="44DCA90E" w14:textId="4B982BE5" w:rsidR="002F40E7" w:rsidRDefault="002F40E7" w:rsidP="002F40E7">
            <w:pPr>
              <w:pStyle w:val="TableTextLeft"/>
            </w:pPr>
            <w:r w:rsidRPr="008D4CC6">
              <w:t>Build</w:t>
            </w:r>
            <w:r w:rsidR="00563A2B">
              <w:noBreakHyphen/>
            </w:r>
            <w:r w:rsidRPr="008D4CC6">
              <w:t>to</w:t>
            </w:r>
            <w:r w:rsidR="00563A2B">
              <w:noBreakHyphen/>
            </w:r>
            <w:r w:rsidRPr="008D4CC6">
              <w:t xml:space="preserve">Rent </w:t>
            </w:r>
            <w:proofErr w:type="spellStart"/>
            <w:r w:rsidRPr="008D4CC6">
              <w:t>Venture</w:t>
            </w:r>
            <w:r>
              <w:rPr>
                <w:vertAlign w:val="superscript"/>
              </w:rPr>
              <w:t>b</w:t>
            </w:r>
            <w:proofErr w:type="spellEnd"/>
          </w:p>
        </w:tc>
        <w:tc>
          <w:tcPr>
            <w:tcW w:w="1265" w:type="dxa"/>
          </w:tcPr>
          <w:p w14:paraId="604E5513" w14:textId="0B4CA834" w:rsidR="002F40E7" w:rsidRDefault="002F40E7" w:rsidP="002F40E7">
            <w:pPr>
              <w:pStyle w:val="TableTextLeft"/>
            </w:pPr>
            <w:r w:rsidRPr="008D4CC6">
              <w:t>Mirvac</w:t>
            </w:r>
          </w:p>
        </w:tc>
        <w:tc>
          <w:tcPr>
            <w:tcW w:w="1284" w:type="dxa"/>
          </w:tcPr>
          <w:p w14:paraId="3822B5AF" w14:textId="16DD98F4" w:rsidR="002F40E7" w:rsidRDefault="002F40E7" w:rsidP="00F25A9D">
            <w:pPr>
              <w:pStyle w:val="TableTextRight"/>
            </w:pPr>
            <w:r w:rsidRPr="008D4CC6">
              <w:t>36</w:t>
            </w:r>
            <w:r>
              <w:t>1</w:t>
            </w:r>
          </w:p>
        </w:tc>
        <w:tc>
          <w:tcPr>
            <w:tcW w:w="1217" w:type="dxa"/>
          </w:tcPr>
          <w:p w14:paraId="26A0D71D" w14:textId="4E4175BF" w:rsidR="002F40E7" w:rsidRDefault="002F40E7" w:rsidP="00F25A9D">
            <w:pPr>
              <w:pStyle w:val="TableTextRight"/>
            </w:pPr>
            <w:r w:rsidRPr="008D4CC6">
              <w:t>490</w:t>
            </w:r>
          </w:p>
        </w:tc>
        <w:tc>
          <w:tcPr>
            <w:tcW w:w="1262" w:type="dxa"/>
          </w:tcPr>
          <w:p w14:paraId="03693387" w14:textId="404F0790" w:rsidR="002F40E7" w:rsidRDefault="002F40E7" w:rsidP="002F40E7">
            <w:pPr>
              <w:pStyle w:val="TableTextLeft"/>
            </w:pPr>
            <w:r w:rsidRPr="008D4CC6">
              <w:t>Melbourne</w:t>
            </w:r>
          </w:p>
        </w:tc>
        <w:tc>
          <w:tcPr>
            <w:tcW w:w="1278" w:type="dxa"/>
          </w:tcPr>
          <w:p w14:paraId="75EA7A29" w14:textId="32E1FDB9" w:rsidR="002F40E7" w:rsidRDefault="002F40E7" w:rsidP="00F25A9D">
            <w:pPr>
              <w:pStyle w:val="TableTextRight"/>
            </w:pPr>
            <w:r w:rsidRPr="008D4CC6">
              <w:t>2022</w:t>
            </w:r>
          </w:p>
        </w:tc>
      </w:tr>
      <w:tr w:rsidR="002F40E7" w14:paraId="04DFB9E9" w14:textId="77777777" w:rsidTr="00BC121A">
        <w:trPr>
          <w:cantSplit/>
        </w:trPr>
        <w:tc>
          <w:tcPr>
            <w:tcW w:w="1262" w:type="dxa"/>
          </w:tcPr>
          <w:p w14:paraId="7FF6A884" w14:textId="22CF76F4" w:rsidR="002F40E7" w:rsidRDefault="002F40E7" w:rsidP="002F40E7">
            <w:pPr>
              <w:pStyle w:val="TableTextLeft"/>
            </w:pPr>
            <w:r w:rsidRPr="008D4CC6">
              <w:t>Realm Caulfield</w:t>
            </w:r>
          </w:p>
        </w:tc>
        <w:tc>
          <w:tcPr>
            <w:tcW w:w="1492" w:type="dxa"/>
          </w:tcPr>
          <w:p w14:paraId="34ABDBC5" w14:textId="0C1332D4" w:rsidR="002F40E7" w:rsidRDefault="002F40E7" w:rsidP="002F40E7">
            <w:pPr>
              <w:pStyle w:val="TableTextLeft"/>
            </w:pPr>
            <w:r w:rsidRPr="008D4CC6">
              <w:t>Blackstone</w:t>
            </w:r>
          </w:p>
        </w:tc>
        <w:tc>
          <w:tcPr>
            <w:tcW w:w="1265" w:type="dxa"/>
          </w:tcPr>
          <w:p w14:paraId="401AEC4F" w14:textId="5791ADBB" w:rsidR="002F40E7" w:rsidRDefault="002F40E7" w:rsidP="002F40E7">
            <w:pPr>
              <w:pStyle w:val="TableTextLeft"/>
            </w:pPr>
            <w:proofErr w:type="spellStart"/>
            <w:r w:rsidRPr="008D4CC6">
              <w:t>Probuild</w:t>
            </w:r>
            <w:proofErr w:type="spellEnd"/>
            <w:r w:rsidRPr="008D4CC6">
              <w:t xml:space="preserve"> / Beck Property Group</w:t>
            </w:r>
          </w:p>
        </w:tc>
        <w:tc>
          <w:tcPr>
            <w:tcW w:w="1284" w:type="dxa"/>
          </w:tcPr>
          <w:p w14:paraId="63E86113" w14:textId="0AC2BA0D" w:rsidR="002F40E7" w:rsidRDefault="002F40E7" w:rsidP="00F25A9D">
            <w:pPr>
              <w:pStyle w:val="TableTextRight"/>
            </w:pPr>
            <w:r w:rsidRPr="008D4CC6">
              <w:t>260</w:t>
            </w:r>
            <w:r>
              <w:rPr>
                <w:vertAlign w:val="superscript"/>
              </w:rPr>
              <w:t>g</w:t>
            </w:r>
          </w:p>
        </w:tc>
        <w:tc>
          <w:tcPr>
            <w:tcW w:w="1217" w:type="dxa"/>
          </w:tcPr>
          <w:p w14:paraId="64E0EF97" w14:textId="6B683367" w:rsidR="002F40E7" w:rsidRDefault="002F40E7" w:rsidP="00F25A9D">
            <w:pPr>
              <w:pStyle w:val="TableTextRight"/>
            </w:pPr>
            <w:r w:rsidRPr="008D4CC6">
              <w:t>437</w:t>
            </w:r>
          </w:p>
        </w:tc>
        <w:tc>
          <w:tcPr>
            <w:tcW w:w="1262" w:type="dxa"/>
          </w:tcPr>
          <w:p w14:paraId="24545DF5" w14:textId="1788D67B" w:rsidR="002F40E7" w:rsidRDefault="002F40E7" w:rsidP="002F40E7">
            <w:pPr>
              <w:pStyle w:val="TableTextLeft"/>
            </w:pPr>
            <w:r w:rsidRPr="008D4CC6">
              <w:t>Melbourne</w:t>
            </w:r>
          </w:p>
        </w:tc>
        <w:tc>
          <w:tcPr>
            <w:tcW w:w="1278" w:type="dxa"/>
          </w:tcPr>
          <w:p w14:paraId="53A53B45" w14:textId="7798DB10" w:rsidR="002F40E7" w:rsidRDefault="002F40E7" w:rsidP="00F25A9D">
            <w:pPr>
              <w:pStyle w:val="TableTextRight"/>
            </w:pPr>
            <w:r w:rsidRPr="008D4CC6">
              <w:t>2022</w:t>
            </w:r>
          </w:p>
        </w:tc>
      </w:tr>
      <w:tr w:rsidR="002F40E7" w14:paraId="632D912D" w14:textId="77777777" w:rsidTr="00BC121A">
        <w:trPr>
          <w:cantSplit/>
        </w:trPr>
        <w:tc>
          <w:tcPr>
            <w:tcW w:w="1262" w:type="dxa"/>
          </w:tcPr>
          <w:p w14:paraId="15EBCC14" w14:textId="3E18DF5C" w:rsidR="002F40E7" w:rsidRDefault="002F40E7" w:rsidP="002F40E7">
            <w:pPr>
              <w:pStyle w:val="TableTextLeft"/>
            </w:pPr>
            <w:r w:rsidRPr="008D4CC6">
              <w:t>Indi Sydney City</w:t>
            </w:r>
          </w:p>
        </w:tc>
        <w:tc>
          <w:tcPr>
            <w:tcW w:w="1492" w:type="dxa"/>
          </w:tcPr>
          <w:p w14:paraId="1200EA18" w14:textId="5B3DB1A6" w:rsidR="002F40E7" w:rsidRDefault="002F40E7" w:rsidP="002F40E7">
            <w:pPr>
              <w:pStyle w:val="TableTextLeft"/>
            </w:pPr>
            <w:r w:rsidRPr="008D4CC6">
              <w:t xml:space="preserve">Oxford </w:t>
            </w:r>
            <w:proofErr w:type="spellStart"/>
            <w:r w:rsidRPr="008D4CC6">
              <w:t>Properties</w:t>
            </w:r>
            <w:r>
              <w:rPr>
                <w:vertAlign w:val="superscript"/>
              </w:rPr>
              <w:t>d</w:t>
            </w:r>
            <w:proofErr w:type="spellEnd"/>
          </w:p>
        </w:tc>
        <w:tc>
          <w:tcPr>
            <w:tcW w:w="1265" w:type="dxa"/>
          </w:tcPr>
          <w:p w14:paraId="4821517E" w14:textId="68D5165A" w:rsidR="002F40E7" w:rsidRDefault="002F40E7" w:rsidP="002F40E7">
            <w:pPr>
              <w:pStyle w:val="TableTextLeft"/>
            </w:pPr>
            <w:proofErr w:type="spellStart"/>
            <w:r>
              <w:t>Investa</w:t>
            </w:r>
            <w:proofErr w:type="spellEnd"/>
          </w:p>
        </w:tc>
        <w:tc>
          <w:tcPr>
            <w:tcW w:w="1284" w:type="dxa"/>
          </w:tcPr>
          <w:p w14:paraId="41402025" w14:textId="51C76DDC" w:rsidR="002F40E7" w:rsidRDefault="002F40E7" w:rsidP="00F25A9D">
            <w:pPr>
              <w:pStyle w:val="TableTextRight"/>
            </w:pPr>
            <w:r w:rsidRPr="008D4CC6">
              <w:t>172</w:t>
            </w:r>
            <w:r>
              <w:rPr>
                <w:vertAlign w:val="superscript"/>
              </w:rPr>
              <w:t>g</w:t>
            </w:r>
          </w:p>
        </w:tc>
        <w:tc>
          <w:tcPr>
            <w:tcW w:w="1217" w:type="dxa"/>
          </w:tcPr>
          <w:p w14:paraId="541E0F52" w14:textId="6ACE71BA" w:rsidR="002F40E7" w:rsidRDefault="002F40E7" w:rsidP="00F25A9D">
            <w:pPr>
              <w:pStyle w:val="TableTextRight"/>
            </w:pPr>
            <w:r w:rsidRPr="008D4CC6">
              <w:t>234</w:t>
            </w:r>
          </w:p>
        </w:tc>
        <w:tc>
          <w:tcPr>
            <w:tcW w:w="1262" w:type="dxa"/>
          </w:tcPr>
          <w:p w14:paraId="203E9B80" w14:textId="0CEDE07D" w:rsidR="002F40E7" w:rsidRDefault="002F40E7" w:rsidP="002F40E7">
            <w:pPr>
              <w:pStyle w:val="TableTextLeft"/>
            </w:pPr>
            <w:r w:rsidRPr="008D4CC6">
              <w:t>Sydney</w:t>
            </w:r>
          </w:p>
        </w:tc>
        <w:tc>
          <w:tcPr>
            <w:tcW w:w="1278" w:type="dxa"/>
          </w:tcPr>
          <w:p w14:paraId="1CE047C2" w14:textId="1CC9CEE3" w:rsidR="002F40E7" w:rsidRDefault="002F40E7" w:rsidP="00F25A9D">
            <w:pPr>
              <w:pStyle w:val="TableTextRight"/>
            </w:pPr>
            <w:r w:rsidRPr="008D4CC6">
              <w:t>2023</w:t>
            </w:r>
          </w:p>
        </w:tc>
      </w:tr>
      <w:tr w:rsidR="004809C2" w14:paraId="7915DBE2" w14:textId="77777777" w:rsidTr="00257CE9">
        <w:trPr>
          <w:cantSplit/>
        </w:trPr>
        <w:tc>
          <w:tcPr>
            <w:tcW w:w="1262" w:type="dxa"/>
          </w:tcPr>
          <w:p w14:paraId="796D8CB7" w14:textId="39295C27" w:rsidR="004809C2" w:rsidRPr="008D4CC6" w:rsidRDefault="004809C2" w:rsidP="002F40E7">
            <w:pPr>
              <w:pStyle w:val="TableTextLeft"/>
            </w:pPr>
            <w:r>
              <w:t xml:space="preserve">The Briscoe by </w:t>
            </w:r>
            <w:proofErr w:type="spellStart"/>
            <w:r>
              <w:t>Kinleaf</w:t>
            </w:r>
            <w:proofErr w:type="spellEnd"/>
          </w:p>
        </w:tc>
        <w:tc>
          <w:tcPr>
            <w:tcW w:w="1492" w:type="dxa"/>
          </w:tcPr>
          <w:p w14:paraId="7ABC4276" w14:textId="43A9BEFC" w:rsidR="004809C2" w:rsidRPr="008D4CC6" w:rsidRDefault="004809C2" w:rsidP="002F40E7">
            <w:pPr>
              <w:pStyle w:val="TableTextLeft"/>
            </w:pPr>
            <w:r>
              <w:rPr>
                <w:color w:val="000000"/>
              </w:rPr>
              <w:t>Federated Hermes/</w:t>
            </w:r>
            <w:proofErr w:type="spellStart"/>
            <w:r>
              <w:rPr>
                <w:color w:val="000000"/>
              </w:rPr>
              <w:t>Sentinel</w:t>
            </w:r>
            <w:r w:rsidR="00650124">
              <w:rPr>
                <w:vertAlign w:val="superscript"/>
              </w:rPr>
              <w:t>h</w:t>
            </w:r>
            <w:proofErr w:type="spellEnd"/>
            <w:r>
              <w:rPr>
                <w:color w:val="000000"/>
              </w:rPr>
              <w:t xml:space="preserve"> partnership</w:t>
            </w:r>
          </w:p>
        </w:tc>
        <w:tc>
          <w:tcPr>
            <w:tcW w:w="1265" w:type="dxa"/>
          </w:tcPr>
          <w:p w14:paraId="234E9DFB" w14:textId="74766AD7" w:rsidR="004809C2" w:rsidRDefault="004809C2" w:rsidP="002F40E7">
            <w:pPr>
              <w:pStyle w:val="TableTextLeft"/>
            </w:pPr>
            <w:r>
              <w:rPr>
                <w:color w:val="000000"/>
              </w:rPr>
              <w:t>Sentinel</w:t>
            </w:r>
          </w:p>
        </w:tc>
        <w:tc>
          <w:tcPr>
            <w:tcW w:w="1284" w:type="dxa"/>
          </w:tcPr>
          <w:p w14:paraId="1A0F7C6E" w14:textId="02575E0E" w:rsidR="004809C2" w:rsidRPr="008D4CC6" w:rsidRDefault="004809C2" w:rsidP="00F25A9D">
            <w:pPr>
              <w:pStyle w:val="TableTextRight"/>
            </w:pPr>
            <w:r>
              <w:t>150</w:t>
            </w:r>
          </w:p>
        </w:tc>
        <w:tc>
          <w:tcPr>
            <w:tcW w:w="1217" w:type="dxa"/>
          </w:tcPr>
          <w:p w14:paraId="5F253E0F" w14:textId="4B4B7EE2" w:rsidR="004809C2" w:rsidRPr="008D4CC6" w:rsidRDefault="004809C2" w:rsidP="00F25A9D">
            <w:pPr>
              <w:pStyle w:val="TableTextRight"/>
            </w:pPr>
            <w:r>
              <w:t>172</w:t>
            </w:r>
          </w:p>
        </w:tc>
        <w:tc>
          <w:tcPr>
            <w:tcW w:w="1262" w:type="dxa"/>
          </w:tcPr>
          <w:p w14:paraId="32CAA4D6" w14:textId="6FD5F30C" w:rsidR="004809C2" w:rsidRPr="008D4CC6" w:rsidRDefault="004809C2" w:rsidP="002F40E7">
            <w:pPr>
              <w:pStyle w:val="TableTextLeft"/>
            </w:pPr>
            <w:r>
              <w:t>Melbourne</w:t>
            </w:r>
          </w:p>
        </w:tc>
        <w:tc>
          <w:tcPr>
            <w:tcW w:w="1278" w:type="dxa"/>
          </w:tcPr>
          <w:p w14:paraId="232261FD" w14:textId="2C340A81" w:rsidR="004809C2" w:rsidRPr="008D4CC6" w:rsidRDefault="004809C2" w:rsidP="00F25A9D">
            <w:pPr>
              <w:pStyle w:val="TableTextRight"/>
            </w:pPr>
            <w:r>
              <w:t>2023</w:t>
            </w:r>
          </w:p>
        </w:tc>
      </w:tr>
      <w:tr w:rsidR="002F40E7" w14:paraId="6834C908" w14:textId="77777777" w:rsidTr="00BC121A">
        <w:trPr>
          <w:cantSplit/>
        </w:trPr>
        <w:tc>
          <w:tcPr>
            <w:tcW w:w="1262" w:type="dxa"/>
          </w:tcPr>
          <w:p w14:paraId="662751EC" w14:textId="0512AC24" w:rsidR="002F40E7" w:rsidRDefault="002F40E7" w:rsidP="002F40E7">
            <w:pPr>
              <w:pStyle w:val="TableTextLeft"/>
            </w:pPr>
            <w:r w:rsidRPr="008D4CC6">
              <w:t>LIV Anura</w:t>
            </w:r>
          </w:p>
        </w:tc>
        <w:tc>
          <w:tcPr>
            <w:tcW w:w="1492" w:type="dxa"/>
          </w:tcPr>
          <w:p w14:paraId="0D7EBE21" w14:textId="208D4200" w:rsidR="002F40E7" w:rsidRDefault="002F40E7" w:rsidP="002F40E7">
            <w:pPr>
              <w:pStyle w:val="TableTextLeft"/>
            </w:pPr>
            <w:r w:rsidRPr="008D4CC6">
              <w:t>Build</w:t>
            </w:r>
            <w:r w:rsidR="00563A2B">
              <w:noBreakHyphen/>
            </w:r>
            <w:r w:rsidRPr="008D4CC6">
              <w:t>to</w:t>
            </w:r>
            <w:r w:rsidR="00563A2B">
              <w:noBreakHyphen/>
            </w:r>
            <w:r w:rsidRPr="008D4CC6">
              <w:t xml:space="preserve">Rent </w:t>
            </w:r>
            <w:proofErr w:type="spellStart"/>
            <w:r w:rsidRPr="008D4CC6">
              <w:t>Venture</w:t>
            </w:r>
            <w:r>
              <w:rPr>
                <w:vertAlign w:val="superscript"/>
              </w:rPr>
              <w:t>b</w:t>
            </w:r>
            <w:proofErr w:type="spellEnd"/>
          </w:p>
        </w:tc>
        <w:tc>
          <w:tcPr>
            <w:tcW w:w="1265" w:type="dxa"/>
          </w:tcPr>
          <w:p w14:paraId="5250A0F9" w14:textId="38D89E09" w:rsidR="002F40E7" w:rsidRDefault="002F40E7" w:rsidP="002F40E7">
            <w:pPr>
              <w:pStyle w:val="TableTextLeft"/>
            </w:pPr>
            <w:r w:rsidRPr="008D4CC6">
              <w:t>Mirvac</w:t>
            </w:r>
          </w:p>
        </w:tc>
        <w:tc>
          <w:tcPr>
            <w:tcW w:w="1284" w:type="dxa"/>
          </w:tcPr>
          <w:p w14:paraId="7A3C5801" w14:textId="69338B05" w:rsidR="002F40E7" w:rsidRDefault="002F40E7" w:rsidP="00F25A9D">
            <w:pPr>
              <w:pStyle w:val="TableTextRight"/>
            </w:pPr>
            <w:r>
              <w:t>2</w:t>
            </w:r>
            <w:r w:rsidRPr="008D4CC6">
              <w:t>70</w:t>
            </w:r>
          </w:p>
        </w:tc>
        <w:tc>
          <w:tcPr>
            <w:tcW w:w="1217" w:type="dxa"/>
          </w:tcPr>
          <w:p w14:paraId="78091F9D" w14:textId="79693127" w:rsidR="002F40E7" w:rsidRDefault="002F40E7" w:rsidP="00F25A9D">
            <w:pPr>
              <w:pStyle w:val="TableTextRight"/>
            </w:pPr>
            <w:r w:rsidRPr="008D4CC6">
              <w:t>396</w:t>
            </w:r>
          </w:p>
        </w:tc>
        <w:tc>
          <w:tcPr>
            <w:tcW w:w="1262" w:type="dxa"/>
          </w:tcPr>
          <w:p w14:paraId="110EB09D" w14:textId="538FAC6A" w:rsidR="002F40E7" w:rsidRDefault="002F40E7" w:rsidP="002F40E7">
            <w:pPr>
              <w:pStyle w:val="TableTextLeft"/>
            </w:pPr>
            <w:r w:rsidRPr="008D4CC6">
              <w:t>Brisbane</w:t>
            </w:r>
          </w:p>
        </w:tc>
        <w:tc>
          <w:tcPr>
            <w:tcW w:w="1278" w:type="dxa"/>
          </w:tcPr>
          <w:p w14:paraId="7B9A4422" w14:textId="49D6331A" w:rsidR="002F40E7" w:rsidRDefault="002F40E7" w:rsidP="00F25A9D">
            <w:pPr>
              <w:pStyle w:val="TableTextRight"/>
            </w:pPr>
            <w:r w:rsidRPr="008D4CC6">
              <w:t>2024</w:t>
            </w:r>
          </w:p>
        </w:tc>
      </w:tr>
      <w:tr w:rsidR="002F40E7" w14:paraId="14A6ABE7" w14:textId="77777777" w:rsidTr="00BC121A">
        <w:trPr>
          <w:cantSplit/>
        </w:trPr>
        <w:tc>
          <w:tcPr>
            <w:tcW w:w="1262" w:type="dxa"/>
          </w:tcPr>
          <w:p w14:paraId="54AB7228" w14:textId="5E1F6530" w:rsidR="002F40E7" w:rsidRDefault="002F40E7" w:rsidP="002F40E7">
            <w:pPr>
              <w:pStyle w:val="TableTextLeft"/>
            </w:pPr>
            <w:r w:rsidRPr="008D4CC6">
              <w:t>15</w:t>
            </w:r>
            <w:r w:rsidR="00563A2B">
              <w:t>–</w:t>
            </w:r>
            <w:r w:rsidRPr="008D4CC6">
              <w:t>85 Gladstone St</w:t>
            </w:r>
          </w:p>
        </w:tc>
        <w:tc>
          <w:tcPr>
            <w:tcW w:w="1492" w:type="dxa"/>
          </w:tcPr>
          <w:p w14:paraId="50475DB8" w14:textId="16C68B69" w:rsidR="002F40E7" w:rsidRDefault="002F40E7" w:rsidP="002F40E7">
            <w:pPr>
              <w:pStyle w:val="TableTextLeft"/>
            </w:pPr>
            <w:r w:rsidRPr="008D4CC6">
              <w:t xml:space="preserve">Greystar Real Estate </w:t>
            </w:r>
            <w:proofErr w:type="spellStart"/>
            <w:r w:rsidRPr="008D4CC6">
              <w:t>Partners</w:t>
            </w:r>
            <w:r>
              <w:rPr>
                <w:vertAlign w:val="superscript"/>
              </w:rPr>
              <w:t>e</w:t>
            </w:r>
            <w:proofErr w:type="spellEnd"/>
          </w:p>
        </w:tc>
        <w:tc>
          <w:tcPr>
            <w:tcW w:w="1265" w:type="dxa"/>
          </w:tcPr>
          <w:p w14:paraId="5CE338FA" w14:textId="59DEEF25" w:rsidR="002F40E7" w:rsidRDefault="002F40E7" w:rsidP="002F40E7">
            <w:pPr>
              <w:pStyle w:val="TableTextLeft"/>
            </w:pPr>
            <w:r w:rsidRPr="008D4CC6">
              <w:t>Icon</w:t>
            </w:r>
          </w:p>
        </w:tc>
        <w:tc>
          <w:tcPr>
            <w:tcW w:w="1284" w:type="dxa"/>
          </w:tcPr>
          <w:p w14:paraId="140DC68F" w14:textId="58893A87" w:rsidR="002F40E7" w:rsidRDefault="002F40E7" w:rsidP="00F25A9D">
            <w:pPr>
              <w:pStyle w:val="TableTextRight"/>
            </w:pPr>
            <w:r w:rsidRPr="008D4CC6">
              <w:t>500</w:t>
            </w:r>
          </w:p>
        </w:tc>
        <w:tc>
          <w:tcPr>
            <w:tcW w:w="1217" w:type="dxa"/>
          </w:tcPr>
          <w:p w14:paraId="6F871976" w14:textId="23972FF3" w:rsidR="002F40E7" w:rsidRDefault="002F40E7" w:rsidP="00F25A9D">
            <w:pPr>
              <w:pStyle w:val="TableTextRight"/>
            </w:pPr>
            <w:r w:rsidRPr="008D4CC6">
              <w:t>700</w:t>
            </w:r>
          </w:p>
        </w:tc>
        <w:tc>
          <w:tcPr>
            <w:tcW w:w="1262" w:type="dxa"/>
          </w:tcPr>
          <w:p w14:paraId="2CE8C8F1" w14:textId="7A174E1F" w:rsidR="002F40E7" w:rsidRDefault="002F40E7" w:rsidP="002F40E7">
            <w:pPr>
              <w:pStyle w:val="TableTextLeft"/>
            </w:pPr>
            <w:r w:rsidRPr="008D4CC6">
              <w:t>Melbourne</w:t>
            </w:r>
          </w:p>
        </w:tc>
        <w:tc>
          <w:tcPr>
            <w:tcW w:w="1278" w:type="dxa"/>
          </w:tcPr>
          <w:p w14:paraId="79718FCD" w14:textId="6B1CFB16" w:rsidR="002F40E7" w:rsidRDefault="002F40E7" w:rsidP="00F25A9D">
            <w:pPr>
              <w:pStyle w:val="TableTextRight"/>
            </w:pPr>
            <w:r w:rsidRPr="008D4CC6">
              <w:t>2024</w:t>
            </w:r>
          </w:p>
        </w:tc>
      </w:tr>
      <w:tr w:rsidR="002F40E7" w14:paraId="7CD5E1EE" w14:textId="77777777" w:rsidTr="00BC121A">
        <w:trPr>
          <w:cantSplit/>
        </w:trPr>
        <w:tc>
          <w:tcPr>
            <w:tcW w:w="1262" w:type="dxa"/>
          </w:tcPr>
          <w:p w14:paraId="7B2B71DC" w14:textId="51D976B3" w:rsidR="002F40E7" w:rsidRDefault="002F40E7" w:rsidP="002F40E7">
            <w:pPr>
              <w:pStyle w:val="TableTextLeft"/>
            </w:pPr>
            <w:r w:rsidRPr="008D4CC6">
              <w:t>Indi Southbank</w:t>
            </w:r>
          </w:p>
        </w:tc>
        <w:tc>
          <w:tcPr>
            <w:tcW w:w="1492" w:type="dxa"/>
          </w:tcPr>
          <w:p w14:paraId="4CBBF131" w14:textId="1EAB86AC" w:rsidR="002F40E7" w:rsidRDefault="002F40E7" w:rsidP="002F40E7">
            <w:pPr>
              <w:pStyle w:val="TableTextLeft"/>
            </w:pPr>
            <w:r w:rsidRPr="008D4CC6">
              <w:t xml:space="preserve">Oxford </w:t>
            </w:r>
            <w:proofErr w:type="spellStart"/>
            <w:r w:rsidRPr="008D4CC6">
              <w:t>Properties</w:t>
            </w:r>
            <w:r>
              <w:rPr>
                <w:vertAlign w:val="superscript"/>
              </w:rPr>
              <w:t>d</w:t>
            </w:r>
            <w:proofErr w:type="spellEnd"/>
          </w:p>
        </w:tc>
        <w:tc>
          <w:tcPr>
            <w:tcW w:w="1265" w:type="dxa"/>
          </w:tcPr>
          <w:p w14:paraId="6120D0C5" w14:textId="355A3F90" w:rsidR="002F40E7" w:rsidRDefault="002F40E7" w:rsidP="002F40E7">
            <w:pPr>
              <w:pStyle w:val="TableTextLeft"/>
            </w:pPr>
            <w:proofErr w:type="spellStart"/>
            <w:r>
              <w:t>Investa</w:t>
            </w:r>
            <w:proofErr w:type="spellEnd"/>
          </w:p>
        </w:tc>
        <w:tc>
          <w:tcPr>
            <w:tcW w:w="1284" w:type="dxa"/>
          </w:tcPr>
          <w:p w14:paraId="42F60BF4" w14:textId="6245514D" w:rsidR="002F40E7" w:rsidRDefault="002F40E7" w:rsidP="00F25A9D">
            <w:pPr>
              <w:pStyle w:val="TableTextRight"/>
            </w:pPr>
            <w:r w:rsidRPr="008D4CC6">
              <w:t>350</w:t>
            </w:r>
          </w:p>
        </w:tc>
        <w:tc>
          <w:tcPr>
            <w:tcW w:w="1217" w:type="dxa"/>
          </w:tcPr>
          <w:p w14:paraId="7435692D" w14:textId="184CD695" w:rsidR="002F40E7" w:rsidRDefault="002F40E7" w:rsidP="00F25A9D">
            <w:pPr>
              <w:pStyle w:val="TableTextRight"/>
            </w:pPr>
            <w:r w:rsidRPr="008D4CC6">
              <w:t>434</w:t>
            </w:r>
          </w:p>
        </w:tc>
        <w:tc>
          <w:tcPr>
            <w:tcW w:w="1262" w:type="dxa"/>
          </w:tcPr>
          <w:p w14:paraId="4010E5E0" w14:textId="56D0E346" w:rsidR="002F40E7" w:rsidRDefault="002F40E7" w:rsidP="002F40E7">
            <w:pPr>
              <w:pStyle w:val="TableTextLeft"/>
            </w:pPr>
            <w:r w:rsidRPr="008D4CC6">
              <w:t>Melbourne</w:t>
            </w:r>
          </w:p>
        </w:tc>
        <w:tc>
          <w:tcPr>
            <w:tcW w:w="1278" w:type="dxa"/>
          </w:tcPr>
          <w:p w14:paraId="634F8609" w14:textId="26ABE9C5" w:rsidR="002F40E7" w:rsidRDefault="002F40E7" w:rsidP="00F25A9D">
            <w:pPr>
              <w:pStyle w:val="TableTextRight"/>
            </w:pPr>
            <w:r w:rsidRPr="008D4CC6">
              <w:t>2024</w:t>
            </w:r>
          </w:p>
        </w:tc>
      </w:tr>
      <w:tr w:rsidR="002F40E7" w14:paraId="187732C5" w14:textId="77777777" w:rsidTr="00BC121A">
        <w:trPr>
          <w:cantSplit/>
        </w:trPr>
        <w:tc>
          <w:tcPr>
            <w:tcW w:w="1262" w:type="dxa"/>
          </w:tcPr>
          <w:p w14:paraId="2397C863" w14:textId="2C33EF47" w:rsidR="002F40E7" w:rsidRDefault="002F40E7" w:rsidP="002F40E7">
            <w:pPr>
              <w:pStyle w:val="TableTextLeft"/>
            </w:pPr>
            <w:r w:rsidRPr="008D4CC6">
              <w:t>Indi Footscray</w:t>
            </w:r>
          </w:p>
        </w:tc>
        <w:tc>
          <w:tcPr>
            <w:tcW w:w="1492" w:type="dxa"/>
          </w:tcPr>
          <w:p w14:paraId="10EF3497" w14:textId="5F6F3FEC" w:rsidR="002F40E7" w:rsidRDefault="002F40E7" w:rsidP="002F40E7">
            <w:pPr>
              <w:pStyle w:val="TableTextLeft"/>
            </w:pPr>
            <w:r w:rsidRPr="008D4CC6">
              <w:t xml:space="preserve">Oxford </w:t>
            </w:r>
            <w:proofErr w:type="spellStart"/>
            <w:r w:rsidRPr="008D4CC6">
              <w:t>Properties</w:t>
            </w:r>
            <w:r>
              <w:rPr>
                <w:vertAlign w:val="superscript"/>
              </w:rPr>
              <w:t>d</w:t>
            </w:r>
            <w:proofErr w:type="spellEnd"/>
          </w:p>
        </w:tc>
        <w:tc>
          <w:tcPr>
            <w:tcW w:w="1265" w:type="dxa"/>
          </w:tcPr>
          <w:p w14:paraId="43C1484B" w14:textId="49F4255D" w:rsidR="002F40E7" w:rsidRDefault="002F40E7" w:rsidP="002F40E7">
            <w:pPr>
              <w:pStyle w:val="TableTextLeft"/>
            </w:pPr>
            <w:proofErr w:type="spellStart"/>
            <w:r>
              <w:t>Investa</w:t>
            </w:r>
            <w:proofErr w:type="spellEnd"/>
          </w:p>
        </w:tc>
        <w:tc>
          <w:tcPr>
            <w:tcW w:w="1284" w:type="dxa"/>
          </w:tcPr>
          <w:p w14:paraId="68FF2B01" w14:textId="364A3874" w:rsidR="002F40E7" w:rsidRDefault="002F40E7" w:rsidP="00F25A9D">
            <w:pPr>
              <w:pStyle w:val="TableTextRight"/>
            </w:pPr>
            <w:r w:rsidRPr="008D4CC6">
              <w:t>450</w:t>
            </w:r>
          </w:p>
        </w:tc>
        <w:tc>
          <w:tcPr>
            <w:tcW w:w="1217" w:type="dxa"/>
          </w:tcPr>
          <w:p w14:paraId="2021A353" w14:textId="5864818C" w:rsidR="002F40E7" w:rsidRDefault="002F40E7" w:rsidP="00F25A9D">
            <w:pPr>
              <w:pStyle w:val="TableTextRight"/>
            </w:pPr>
            <w:r w:rsidRPr="008D4CC6">
              <w:t>702</w:t>
            </w:r>
          </w:p>
        </w:tc>
        <w:tc>
          <w:tcPr>
            <w:tcW w:w="1262" w:type="dxa"/>
          </w:tcPr>
          <w:p w14:paraId="45837873" w14:textId="22CAB5AC" w:rsidR="002F40E7" w:rsidRDefault="002F40E7" w:rsidP="002F40E7">
            <w:pPr>
              <w:pStyle w:val="TableTextLeft"/>
            </w:pPr>
            <w:r w:rsidRPr="008D4CC6">
              <w:t>Melbourne</w:t>
            </w:r>
          </w:p>
        </w:tc>
        <w:tc>
          <w:tcPr>
            <w:tcW w:w="1278" w:type="dxa"/>
          </w:tcPr>
          <w:p w14:paraId="5FB0B0B0" w14:textId="55A84AD8" w:rsidR="002F40E7" w:rsidRDefault="002F40E7" w:rsidP="00F25A9D">
            <w:pPr>
              <w:pStyle w:val="TableTextRight"/>
            </w:pPr>
            <w:r w:rsidRPr="008D4CC6">
              <w:t>2024</w:t>
            </w:r>
          </w:p>
        </w:tc>
      </w:tr>
      <w:tr w:rsidR="002F40E7" w14:paraId="4E8F12A1" w14:textId="77777777" w:rsidTr="00BC121A">
        <w:trPr>
          <w:cantSplit/>
        </w:trPr>
        <w:tc>
          <w:tcPr>
            <w:tcW w:w="1262" w:type="dxa"/>
          </w:tcPr>
          <w:p w14:paraId="350BB647" w14:textId="61CA7FCB" w:rsidR="002F40E7" w:rsidRPr="008D4CC6" w:rsidRDefault="002F40E7" w:rsidP="002F40E7">
            <w:pPr>
              <w:pStyle w:val="TableTextLeft"/>
            </w:pPr>
            <w:r w:rsidRPr="008D4CC6">
              <w:t>Cordelia</w:t>
            </w:r>
          </w:p>
        </w:tc>
        <w:tc>
          <w:tcPr>
            <w:tcW w:w="1492" w:type="dxa"/>
          </w:tcPr>
          <w:p w14:paraId="1D5C8395" w14:textId="3095740D" w:rsidR="002F40E7" w:rsidRPr="008D4CC6" w:rsidRDefault="002F40E7" w:rsidP="002F40E7">
            <w:pPr>
              <w:pStyle w:val="TableTextLeft"/>
            </w:pPr>
            <w:proofErr w:type="spellStart"/>
            <w:r w:rsidRPr="008D4CC6">
              <w:t>Qualitas</w:t>
            </w:r>
            <w:r>
              <w:rPr>
                <w:vertAlign w:val="superscript"/>
              </w:rPr>
              <w:t>c</w:t>
            </w:r>
            <w:proofErr w:type="spellEnd"/>
          </w:p>
        </w:tc>
        <w:tc>
          <w:tcPr>
            <w:tcW w:w="1265" w:type="dxa"/>
          </w:tcPr>
          <w:p w14:paraId="0130B10B" w14:textId="7091E060" w:rsidR="002F40E7" w:rsidRDefault="002F40E7" w:rsidP="002F40E7">
            <w:pPr>
              <w:pStyle w:val="TableTextLeft"/>
            </w:pPr>
            <w:proofErr w:type="spellStart"/>
            <w:r w:rsidRPr="008D4CC6">
              <w:t>Arklife</w:t>
            </w:r>
            <w:proofErr w:type="spellEnd"/>
          </w:p>
        </w:tc>
        <w:tc>
          <w:tcPr>
            <w:tcW w:w="1284" w:type="dxa"/>
          </w:tcPr>
          <w:p w14:paraId="4404922B" w14:textId="2759B1EC" w:rsidR="002F40E7" w:rsidRPr="008D4CC6" w:rsidRDefault="002F40E7" w:rsidP="00F25A9D">
            <w:pPr>
              <w:pStyle w:val="TableTextRight"/>
            </w:pPr>
            <w:r w:rsidRPr="00BE6EE9">
              <w:rPr>
                <w:szCs w:val="18"/>
              </w:rPr>
              <w:t>200</w:t>
            </w:r>
            <w:r w:rsidRPr="00BE6EE9">
              <w:rPr>
                <w:szCs w:val="18"/>
                <w:vertAlign w:val="superscript"/>
              </w:rPr>
              <w:t>f</w:t>
            </w:r>
          </w:p>
        </w:tc>
        <w:tc>
          <w:tcPr>
            <w:tcW w:w="1217" w:type="dxa"/>
          </w:tcPr>
          <w:p w14:paraId="7E6844AD" w14:textId="370B65B4" w:rsidR="002F40E7" w:rsidRPr="008D4CC6" w:rsidRDefault="002F40E7" w:rsidP="00F25A9D">
            <w:pPr>
              <w:pStyle w:val="TableTextRight"/>
            </w:pPr>
            <w:r w:rsidRPr="008D4CC6">
              <w:t>265</w:t>
            </w:r>
          </w:p>
        </w:tc>
        <w:tc>
          <w:tcPr>
            <w:tcW w:w="1262" w:type="dxa"/>
          </w:tcPr>
          <w:p w14:paraId="011F89FA" w14:textId="4B49825B" w:rsidR="002F40E7" w:rsidRPr="008D4CC6" w:rsidRDefault="002F40E7" w:rsidP="002F40E7">
            <w:pPr>
              <w:pStyle w:val="TableTextLeft"/>
            </w:pPr>
            <w:r w:rsidRPr="008D4CC6">
              <w:t>Brisbane</w:t>
            </w:r>
          </w:p>
        </w:tc>
        <w:tc>
          <w:tcPr>
            <w:tcW w:w="1278" w:type="dxa"/>
          </w:tcPr>
          <w:p w14:paraId="31FCE94E" w14:textId="5E1AC056" w:rsidR="002F40E7" w:rsidRPr="008D4CC6" w:rsidRDefault="002F40E7" w:rsidP="00F25A9D">
            <w:pPr>
              <w:pStyle w:val="TableTextRight"/>
            </w:pPr>
            <w:r w:rsidRPr="008D4CC6">
              <w:t>2024</w:t>
            </w:r>
          </w:p>
        </w:tc>
      </w:tr>
      <w:tr w:rsidR="002F40E7" w14:paraId="55371515" w14:textId="77777777" w:rsidTr="00BC121A">
        <w:trPr>
          <w:cantSplit/>
        </w:trPr>
        <w:tc>
          <w:tcPr>
            <w:tcW w:w="1262" w:type="dxa"/>
          </w:tcPr>
          <w:p w14:paraId="14DBD58C" w14:textId="3D30BCCB" w:rsidR="002F40E7" w:rsidRPr="008D4CC6" w:rsidRDefault="002F40E7" w:rsidP="002F40E7">
            <w:pPr>
              <w:pStyle w:val="TableTextLeft"/>
            </w:pPr>
            <w:r w:rsidRPr="008D4CC6">
              <w:t>LIV Aston</w:t>
            </w:r>
          </w:p>
        </w:tc>
        <w:tc>
          <w:tcPr>
            <w:tcW w:w="1492" w:type="dxa"/>
          </w:tcPr>
          <w:p w14:paraId="509C20A5" w14:textId="37796702" w:rsidR="002F40E7" w:rsidRPr="008D4CC6" w:rsidRDefault="002F40E7" w:rsidP="002F40E7">
            <w:pPr>
              <w:pStyle w:val="TableTextLeft"/>
            </w:pPr>
            <w:r w:rsidRPr="008D4CC6">
              <w:t>Build</w:t>
            </w:r>
            <w:r w:rsidR="00563A2B">
              <w:noBreakHyphen/>
            </w:r>
            <w:r w:rsidRPr="008D4CC6">
              <w:t>to</w:t>
            </w:r>
            <w:r w:rsidR="00563A2B">
              <w:noBreakHyphen/>
            </w:r>
            <w:r w:rsidRPr="008D4CC6">
              <w:t xml:space="preserve">Rent </w:t>
            </w:r>
            <w:proofErr w:type="spellStart"/>
            <w:r w:rsidRPr="008D4CC6">
              <w:t>Venture</w:t>
            </w:r>
            <w:r>
              <w:rPr>
                <w:vertAlign w:val="superscript"/>
              </w:rPr>
              <w:t>b</w:t>
            </w:r>
            <w:proofErr w:type="spellEnd"/>
          </w:p>
        </w:tc>
        <w:tc>
          <w:tcPr>
            <w:tcW w:w="1265" w:type="dxa"/>
          </w:tcPr>
          <w:p w14:paraId="109D2A0B" w14:textId="2CFB7DC4" w:rsidR="002F40E7" w:rsidRPr="008D4CC6" w:rsidRDefault="002F40E7" w:rsidP="002F40E7">
            <w:pPr>
              <w:pStyle w:val="TableTextLeft"/>
            </w:pPr>
            <w:r w:rsidRPr="008D4CC6">
              <w:t>Mirvac</w:t>
            </w:r>
          </w:p>
        </w:tc>
        <w:tc>
          <w:tcPr>
            <w:tcW w:w="1284" w:type="dxa"/>
          </w:tcPr>
          <w:p w14:paraId="7862A223" w14:textId="47148A97" w:rsidR="002F40E7" w:rsidRPr="00BE6EE9" w:rsidRDefault="002F40E7" w:rsidP="00F25A9D">
            <w:pPr>
              <w:pStyle w:val="TableTextRight"/>
              <w:rPr>
                <w:szCs w:val="18"/>
              </w:rPr>
            </w:pPr>
            <w:r w:rsidRPr="008D4CC6">
              <w:t>122</w:t>
            </w:r>
          </w:p>
        </w:tc>
        <w:tc>
          <w:tcPr>
            <w:tcW w:w="1217" w:type="dxa"/>
          </w:tcPr>
          <w:p w14:paraId="7AF3171E" w14:textId="7A159A25" w:rsidR="002F40E7" w:rsidRPr="008D4CC6" w:rsidRDefault="002F40E7" w:rsidP="00F25A9D">
            <w:pPr>
              <w:pStyle w:val="TableTextRight"/>
            </w:pPr>
            <w:r w:rsidRPr="008D4CC6">
              <w:t>474</w:t>
            </w:r>
          </w:p>
        </w:tc>
        <w:tc>
          <w:tcPr>
            <w:tcW w:w="1262" w:type="dxa"/>
          </w:tcPr>
          <w:p w14:paraId="5ACAC438" w14:textId="29C76EBC" w:rsidR="002F40E7" w:rsidRPr="008D4CC6" w:rsidRDefault="002F40E7" w:rsidP="002F40E7">
            <w:pPr>
              <w:pStyle w:val="TableTextLeft"/>
            </w:pPr>
            <w:r w:rsidRPr="008D4CC6">
              <w:t>Melbourne</w:t>
            </w:r>
          </w:p>
        </w:tc>
        <w:tc>
          <w:tcPr>
            <w:tcW w:w="1278" w:type="dxa"/>
          </w:tcPr>
          <w:p w14:paraId="2FD68EF5" w14:textId="62EFEE59" w:rsidR="002F40E7" w:rsidRPr="008D4CC6" w:rsidRDefault="002F40E7" w:rsidP="00F25A9D">
            <w:pPr>
              <w:pStyle w:val="TableTextRight"/>
            </w:pPr>
            <w:r w:rsidRPr="008D4CC6">
              <w:t>2025</w:t>
            </w:r>
          </w:p>
        </w:tc>
      </w:tr>
      <w:tr w:rsidR="002F40E7" w14:paraId="57A0F508" w14:textId="77777777" w:rsidTr="00BC121A">
        <w:trPr>
          <w:cantSplit/>
        </w:trPr>
        <w:tc>
          <w:tcPr>
            <w:tcW w:w="1262" w:type="dxa"/>
          </w:tcPr>
          <w:p w14:paraId="061E9383" w14:textId="54E50FFE" w:rsidR="002F40E7" w:rsidRPr="008D4CC6" w:rsidRDefault="002F40E7" w:rsidP="002F40E7">
            <w:pPr>
              <w:pStyle w:val="TableTextLeft"/>
            </w:pPr>
            <w:r w:rsidRPr="008D4CC6">
              <w:t>LIV Albert Fields</w:t>
            </w:r>
          </w:p>
        </w:tc>
        <w:tc>
          <w:tcPr>
            <w:tcW w:w="1492" w:type="dxa"/>
          </w:tcPr>
          <w:p w14:paraId="5E0DAC2E" w14:textId="7452E6DC" w:rsidR="002F40E7" w:rsidRPr="008D4CC6" w:rsidRDefault="002F40E7" w:rsidP="002F40E7">
            <w:pPr>
              <w:pStyle w:val="TableTextLeft"/>
            </w:pPr>
            <w:r w:rsidRPr="008D4CC6">
              <w:t>Build</w:t>
            </w:r>
            <w:r w:rsidR="00563A2B">
              <w:noBreakHyphen/>
            </w:r>
            <w:r w:rsidRPr="008D4CC6">
              <w:t>to</w:t>
            </w:r>
            <w:r w:rsidR="00563A2B">
              <w:noBreakHyphen/>
            </w:r>
            <w:r w:rsidRPr="008D4CC6">
              <w:t xml:space="preserve">Rent </w:t>
            </w:r>
            <w:proofErr w:type="spellStart"/>
            <w:r w:rsidRPr="008D4CC6">
              <w:t>Venture</w:t>
            </w:r>
            <w:r>
              <w:rPr>
                <w:vertAlign w:val="superscript"/>
              </w:rPr>
              <w:t>b</w:t>
            </w:r>
            <w:proofErr w:type="spellEnd"/>
          </w:p>
        </w:tc>
        <w:tc>
          <w:tcPr>
            <w:tcW w:w="1265" w:type="dxa"/>
          </w:tcPr>
          <w:p w14:paraId="4D934544" w14:textId="0193C390" w:rsidR="002F40E7" w:rsidRPr="008D4CC6" w:rsidRDefault="002F40E7" w:rsidP="002F40E7">
            <w:pPr>
              <w:pStyle w:val="TableTextLeft"/>
            </w:pPr>
            <w:r w:rsidRPr="008D4CC6">
              <w:t>Mirvac</w:t>
            </w:r>
          </w:p>
        </w:tc>
        <w:tc>
          <w:tcPr>
            <w:tcW w:w="1284" w:type="dxa"/>
          </w:tcPr>
          <w:p w14:paraId="25D51267" w14:textId="1CC21E7E" w:rsidR="002F40E7" w:rsidRPr="008D4CC6" w:rsidRDefault="002F40E7" w:rsidP="00F25A9D">
            <w:pPr>
              <w:pStyle w:val="TableTextRight"/>
            </w:pPr>
            <w:r w:rsidRPr="008D4CC6">
              <w:t>5</w:t>
            </w:r>
            <w:r>
              <w:t>3</w:t>
            </w:r>
          </w:p>
        </w:tc>
        <w:tc>
          <w:tcPr>
            <w:tcW w:w="1217" w:type="dxa"/>
          </w:tcPr>
          <w:p w14:paraId="7A2FC4F1" w14:textId="5E187D92" w:rsidR="002F40E7" w:rsidRPr="008D4CC6" w:rsidRDefault="002F40E7" w:rsidP="00F25A9D">
            <w:pPr>
              <w:pStyle w:val="TableTextRight"/>
            </w:pPr>
            <w:r w:rsidRPr="008D4CC6">
              <w:t>498</w:t>
            </w:r>
          </w:p>
        </w:tc>
        <w:tc>
          <w:tcPr>
            <w:tcW w:w="1262" w:type="dxa"/>
          </w:tcPr>
          <w:p w14:paraId="15A3555A" w14:textId="6C963F69" w:rsidR="002F40E7" w:rsidRPr="008D4CC6" w:rsidRDefault="002F40E7" w:rsidP="002F40E7">
            <w:pPr>
              <w:pStyle w:val="TableTextLeft"/>
            </w:pPr>
            <w:r w:rsidRPr="008D4CC6">
              <w:t>Melbourne</w:t>
            </w:r>
          </w:p>
        </w:tc>
        <w:tc>
          <w:tcPr>
            <w:tcW w:w="1278" w:type="dxa"/>
          </w:tcPr>
          <w:p w14:paraId="360E24A7" w14:textId="5B0BA0EB" w:rsidR="002F40E7" w:rsidRPr="008D4CC6" w:rsidRDefault="002F40E7" w:rsidP="00F25A9D">
            <w:pPr>
              <w:pStyle w:val="TableTextRight"/>
            </w:pPr>
            <w:r w:rsidRPr="008D4CC6">
              <w:t>2025</w:t>
            </w:r>
          </w:p>
        </w:tc>
      </w:tr>
      <w:tr w:rsidR="002F40E7" w14:paraId="596446EC" w14:textId="77777777" w:rsidTr="00BC121A">
        <w:trPr>
          <w:cantSplit/>
        </w:trPr>
        <w:tc>
          <w:tcPr>
            <w:tcW w:w="1262" w:type="dxa"/>
          </w:tcPr>
          <w:p w14:paraId="2B5CED27" w14:textId="7701B29C" w:rsidR="002F40E7" w:rsidRPr="008D4CC6" w:rsidRDefault="002F40E7" w:rsidP="002F40E7">
            <w:pPr>
              <w:pStyle w:val="TableTextLeft"/>
            </w:pPr>
            <w:r w:rsidRPr="008D4CC6">
              <w:t>Greystar South Yarra</w:t>
            </w:r>
          </w:p>
        </w:tc>
        <w:tc>
          <w:tcPr>
            <w:tcW w:w="1492" w:type="dxa"/>
          </w:tcPr>
          <w:p w14:paraId="2702C11E" w14:textId="172DF393" w:rsidR="002F40E7" w:rsidRPr="008D4CC6" w:rsidRDefault="002F40E7" w:rsidP="002F40E7">
            <w:pPr>
              <w:pStyle w:val="TableTextLeft"/>
            </w:pPr>
            <w:r w:rsidRPr="008D4CC6">
              <w:t xml:space="preserve">Greystar Real Estate </w:t>
            </w:r>
            <w:proofErr w:type="spellStart"/>
            <w:r w:rsidRPr="008D4CC6">
              <w:t>Partners</w:t>
            </w:r>
            <w:r>
              <w:rPr>
                <w:vertAlign w:val="superscript"/>
              </w:rPr>
              <w:t>e</w:t>
            </w:r>
            <w:proofErr w:type="spellEnd"/>
          </w:p>
        </w:tc>
        <w:tc>
          <w:tcPr>
            <w:tcW w:w="1265" w:type="dxa"/>
          </w:tcPr>
          <w:p w14:paraId="2FB76E79" w14:textId="58E60D44" w:rsidR="002F40E7" w:rsidRPr="008D4CC6" w:rsidRDefault="002F40E7" w:rsidP="002F40E7">
            <w:pPr>
              <w:pStyle w:val="TableTextLeft"/>
            </w:pPr>
            <w:r w:rsidRPr="008D4CC6">
              <w:t>Hickory</w:t>
            </w:r>
          </w:p>
        </w:tc>
        <w:tc>
          <w:tcPr>
            <w:tcW w:w="1284" w:type="dxa"/>
          </w:tcPr>
          <w:p w14:paraId="2B15D1E1" w14:textId="0C97D2C2" w:rsidR="002F40E7" w:rsidRPr="008D4CC6" w:rsidRDefault="002F40E7" w:rsidP="00F25A9D">
            <w:pPr>
              <w:pStyle w:val="TableTextRight"/>
            </w:pPr>
            <w:r w:rsidRPr="008D4CC6">
              <w:t>500</w:t>
            </w:r>
          </w:p>
        </w:tc>
        <w:tc>
          <w:tcPr>
            <w:tcW w:w="1217" w:type="dxa"/>
          </w:tcPr>
          <w:p w14:paraId="7F2167DF" w14:textId="377D02EA" w:rsidR="002F40E7" w:rsidRPr="008D4CC6" w:rsidRDefault="002F40E7" w:rsidP="00F25A9D">
            <w:pPr>
              <w:pStyle w:val="TableTextRight"/>
            </w:pPr>
            <w:r w:rsidRPr="008D4CC6">
              <w:t>625</w:t>
            </w:r>
          </w:p>
        </w:tc>
        <w:tc>
          <w:tcPr>
            <w:tcW w:w="1262" w:type="dxa"/>
          </w:tcPr>
          <w:p w14:paraId="3F9ACCA0" w14:textId="51E5ABD0" w:rsidR="002F40E7" w:rsidRPr="008D4CC6" w:rsidRDefault="002F40E7" w:rsidP="002F40E7">
            <w:pPr>
              <w:pStyle w:val="TableTextLeft"/>
            </w:pPr>
            <w:r w:rsidRPr="008D4CC6">
              <w:t>Melbourne</w:t>
            </w:r>
          </w:p>
        </w:tc>
        <w:tc>
          <w:tcPr>
            <w:tcW w:w="1278" w:type="dxa"/>
          </w:tcPr>
          <w:p w14:paraId="30A8DE48" w14:textId="72FD3E79" w:rsidR="002F40E7" w:rsidRPr="008D4CC6" w:rsidRDefault="002F40E7" w:rsidP="00F25A9D">
            <w:pPr>
              <w:pStyle w:val="TableTextRight"/>
            </w:pPr>
            <w:r w:rsidRPr="008D4CC6">
              <w:t>2025</w:t>
            </w:r>
          </w:p>
        </w:tc>
      </w:tr>
      <w:tr w:rsidR="00BC121A" w14:paraId="04717EE2" w14:textId="77777777" w:rsidTr="00BC121A">
        <w:trPr>
          <w:cantSplit/>
        </w:trPr>
        <w:tc>
          <w:tcPr>
            <w:tcW w:w="1262" w:type="dxa"/>
          </w:tcPr>
          <w:p w14:paraId="54CF8886" w14:textId="62DCE9F5" w:rsidR="00BC121A" w:rsidRPr="00257CE9" w:rsidRDefault="00BC121A" w:rsidP="00BC121A">
            <w:pPr>
              <w:pStyle w:val="TableTextLeft"/>
            </w:pPr>
            <w:r w:rsidRPr="00257CE9">
              <w:t xml:space="preserve">3 Stadium Drive, Robina </w:t>
            </w:r>
          </w:p>
        </w:tc>
        <w:tc>
          <w:tcPr>
            <w:tcW w:w="1492" w:type="dxa"/>
          </w:tcPr>
          <w:p w14:paraId="38B55086" w14:textId="72353DEC" w:rsidR="00BC121A" w:rsidRPr="00257CE9" w:rsidRDefault="00BC121A" w:rsidP="00BC121A">
            <w:pPr>
              <w:pStyle w:val="TableTextLeft"/>
            </w:pPr>
            <w:r w:rsidRPr="00257CE9">
              <w:t>PGGM/</w:t>
            </w:r>
            <w:proofErr w:type="spellStart"/>
            <w:r w:rsidRPr="00257CE9">
              <w:t>Sentinel</w:t>
            </w:r>
            <w:r w:rsidR="00096505" w:rsidRPr="00257CE9">
              <w:rPr>
                <w:vertAlign w:val="superscript"/>
              </w:rPr>
              <w:t>h</w:t>
            </w:r>
            <w:proofErr w:type="spellEnd"/>
            <w:r w:rsidRPr="00257CE9">
              <w:t xml:space="preserve"> partnership</w:t>
            </w:r>
          </w:p>
        </w:tc>
        <w:tc>
          <w:tcPr>
            <w:tcW w:w="1265" w:type="dxa"/>
          </w:tcPr>
          <w:p w14:paraId="1EDF0856" w14:textId="671784DA" w:rsidR="00BC121A" w:rsidRPr="00257CE9" w:rsidRDefault="00BC121A" w:rsidP="00BC121A">
            <w:pPr>
              <w:pStyle w:val="TableTextLeft"/>
            </w:pPr>
            <w:r w:rsidRPr="00257CE9">
              <w:t xml:space="preserve">Sentinel </w:t>
            </w:r>
          </w:p>
        </w:tc>
        <w:tc>
          <w:tcPr>
            <w:tcW w:w="1284" w:type="dxa"/>
          </w:tcPr>
          <w:p w14:paraId="6D4F950B" w14:textId="0C509716" w:rsidR="00BC121A" w:rsidRPr="00257CE9" w:rsidRDefault="00BC121A" w:rsidP="00BC121A">
            <w:pPr>
              <w:pStyle w:val="TableTextRight"/>
            </w:pPr>
            <w:r w:rsidRPr="00257CE9">
              <w:t>200</w:t>
            </w:r>
          </w:p>
        </w:tc>
        <w:tc>
          <w:tcPr>
            <w:tcW w:w="1217" w:type="dxa"/>
          </w:tcPr>
          <w:p w14:paraId="2115C3FB" w14:textId="0AC0CC16" w:rsidR="00BC121A" w:rsidRPr="00257CE9" w:rsidRDefault="00BC121A" w:rsidP="00BC121A">
            <w:pPr>
              <w:pStyle w:val="TableTextRight"/>
            </w:pPr>
            <w:r w:rsidRPr="00257CE9">
              <w:t>300</w:t>
            </w:r>
          </w:p>
        </w:tc>
        <w:tc>
          <w:tcPr>
            <w:tcW w:w="1262" w:type="dxa"/>
          </w:tcPr>
          <w:p w14:paraId="5B0C26C2" w14:textId="21621819" w:rsidR="00BC121A" w:rsidRPr="00257CE9" w:rsidRDefault="00BC121A" w:rsidP="00BC121A">
            <w:pPr>
              <w:pStyle w:val="TableTextLeft"/>
            </w:pPr>
            <w:r w:rsidRPr="00257CE9">
              <w:t xml:space="preserve">Gold Coast </w:t>
            </w:r>
          </w:p>
        </w:tc>
        <w:tc>
          <w:tcPr>
            <w:tcW w:w="1278" w:type="dxa"/>
          </w:tcPr>
          <w:p w14:paraId="7C37D19D" w14:textId="4B434216" w:rsidR="00BC121A" w:rsidRPr="00257CE9" w:rsidRDefault="00BC121A" w:rsidP="00BC121A">
            <w:pPr>
              <w:pStyle w:val="TableTextRight"/>
            </w:pPr>
            <w:r w:rsidRPr="00257CE9">
              <w:t xml:space="preserve">Not available </w:t>
            </w:r>
          </w:p>
        </w:tc>
      </w:tr>
      <w:tr w:rsidR="00BC121A" w14:paraId="50F2B72E" w14:textId="77777777" w:rsidTr="00BC121A">
        <w:trPr>
          <w:cantSplit/>
        </w:trPr>
        <w:tc>
          <w:tcPr>
            <w:tcW w:w="1262" w:type="dxa"/>
          </w:tcPr>
          <w:p w14:paraId="68633906" w14:textId="53110E6E" w:rsidR="00BC121A" w:rsidRPr="00257CE9" w:rsidRDefault="00BC121A" w:rsidP="00BC121A">
            <w:pPr>
              <w:pStyle w:val="TableTextLeft"/>
            </w:pPr>
            <w:r w:rsidRPr="00257CE9">
              <w:t xml:space="preserve">Villiers Street, North Melbourne </w:t>
            </w:r>
          </w:p>
        </w:tc>
        <w:tc>
          <w:tcPr>
            <w:tcW w:w="1492" w:type="dxa"/>
          </w:tcPr>
          <w:p w14:paraId="418F90BE" w14:textId="53F88461" w:rsidR="00BC121A" w:rsidRPr="00257CE9" w:rsidRDefault="00BC121A" w:rsidP="00BC121A">
            <w:pPr>
              <w:pStyle w:val="TableTextLeft"/>
            </w:pPr>
            <w:r w:rsidRPr="00257CE9">
              <w:t>PGGM/</w:t>
            </w:r>
            <w:proofErr w:type="spellStart"/>
            <w:r w:rsidRPr="00257CE9">
              <w:t>Sentinel</w:t>
            </w:r>
            <w:r w:rsidR="00096505" w:rsidRPr="00257CE9">
              <w:rPr>
                <w:vertAlign w:val="superscript"/>
              </w:rPr>
              <w:t>h</w:t>
            </w:r>
            <w:proofErr w:type="spellEnd"/>
            <w:r w:rsidRPr="00257CE9">
              <w:t xml:space="preserve"> partnership</w:t>
            </w:r>
          </w:p>
        </w:tc>
        <w:tc>
          <w:tcPr>
            <w:tcW w:w="1265" w:type="dxa"/>
          </w:tcPr>
          <w:p w14:paraId="3BB0A2A3" w14:textId="1302D3F0" w:rsidR="00BC121A" w:rsidRPr="00257CE9" w:rsidRDefault="00BC121A" w:rsidP="00BC121A">
            <w:pPr>
              <w:pStyle w:val="TableTextLeft"/>
            </w:pPr>
            <w:r w:rsidRPr="00257CE9">
              <w:t xml:space="preserve">Sentinel </w:t>
            </w:r>
          </w:p>
        </w:tc>
        <w:tc>
          <w:tcPr>
            <w:tcW w:w="1284" w:type="dxa"/>
          </w:tcPr>
          <w:p w14:paraId="025C2A59" w14:textId="6E895FE6" w:rsidR="00BC121A" w:rsidRPr="00257CE9" w:rsidRDefault="00BC121A" w:rsidP="00BC121A">
            <w:pPr>
              <w:pStyle w:val="TableTextRight"/>
            </w:pPr>
            <w:r w:rsidRPr="00257CE9">
              <w:t>300</w:t>
            </w:r>
          </w:p>
        </w:tc>
        <w:tc>
          <w:tcPr>
            <w:tcW w:w="1217" w:type="dxa"/>
          </w:tcPr>
          <w:p w14:paraId="24D157B9" w14:textId="2730DFDC" w:rsidR="00BC121A" w:rsidRPr="00257CE9" w:rsidRDefault="00BC121A" w:rsidP="00BC121A">
            <w:pPr>
              <w:pStyle w:val="TableTextRight"/>
            </w:pPr>
            <w:r w:rsidRPr="00257CE9">
              <w:t>350</w:t>
            </w:r>
          </w:p>
        </w:tc>
        <w:tc>
          <w:tcPr>
            <w:tcW w:w="1262" w:type="dxa"/>
          </w:tcPr>
          <w:p w14:paraId="0E1F2150" w14:textId="1908C494" w:rsidR="00BC121A" w:rsidRPr="00257CE9" w:rsidRDefault="00BC121A" w:rsidP="00BC121A">
            <w:pPr>
              <w:pStyle w:val="TableTextLeft"/>
            </w:pPr>
            <w:r w:rsidRPr="00257CE9">
              <w:t xml:space="preserve">Melbourne </w:t>
            </w:r>
          </w:p>
        </w:tc>
        <w:tc>
          <w:tcPr>
            <w:tcW w:w="1278" w:type="dxa"/>
          </w:tcPr>
          <w:p w14:paraId="5B4DC105" w14:textId="006A2A73" w:rsidR="00BC121A" w:rsidRPr="00257CE9" w:rsidRDefault="00BC121A" w:rsidP="00BC121A">
            <w:pPr>
              <w:pStyle w:val="TableTextRight"/>
            </w:pPr>
            <w:r w:rsidRPr="00257CE9">
              <w:t xml:space="preserve">Not available </w:t>
            </w:r>
          </w:p>
        </w:tc>
      </w:tr>
      <w:tr w:rsidR="002F40E7" w14:paraId="5E4E7749" w14:textId="77777777" w:rsidTr="00BC121A">
        <w:trPr>
          <w:cantSplit/>
        </w:trPr>
        <w:tc>
          <w:tcPr>
            <w:tcW w:w="1262" w:type="dxa"/>
          </w:tcPr>
          <w:p w14:paraId="52FF4EE6" w14:textId="4A58A4FE" w:rsidR="002F40E7" w:rsidRPr="008D4CC6" w:rsidRDefault="002F40E7" w:rsidP="002F40E7">
            <w:pPr>
              <w:pStyle w:val="TableTextLeft"/>
            </w:pPr>
            <w:r w:rsidRPr="008D4CC6">
              <w:t>Fitzroy and Kensington</w:t>
            </w:r>
          </w:p>
        </w:tc>
        <w:tc>
          <w:tcPr>
            <w:tcW w:w="1492" w:type="dxa"/>
          </w:tcPr>
          <w:p w14:paraId="2782AA65" w14:textId="45BE7F9C" w:rsidR="002F40E7" w:rsidRPr="008D4CC6" w:rsidRDefault="002F40E7" w:rsidP="002F40E7">
            <w:pPr>
              <w:pStyle w:val="TableTextLeft"/>
            </w:pPr>
            <w:r w:rsidRPr="008D4CC6">
              <w:t xml:space="preserve">Greystar Real Estate </w:t>
            </w:r>
            <w:proofErr w:type="spellStart"/>
            <w:r w:rsidRPr="008D4CC6">
              <w:t>Partners</w:t>
            </w:r>
            <w:r>
              <w:rPr>
                <w:vertAlign w:val="superscript"/>
              </w:rPr>
              <w:t>e</w:t>
            </w:r>
            <w:proofErr w:type="spellEnd"/>
          </w:p>
        </w:tc>
        <w:tc>
          <w:tcPr>
            <w:tcW w:w="1265" w:type="dxa"/>
          </w:tcPr>
          <w:p w14:paraId="5ACF9A30" w14:textId="38326D9F" w:rsidR="002F40E7" w:rsidRPr="008D4CC6" w:rsidRDefault="002F40E7" w:rsidP="002F40E7">
            <w:pPr>
              <w:pStyle w:val="TableTextLeft"/>
            </w:pPr>
            <w:r w:rsidRPr="008D4CC6">
              <w:t>Not available</w:t>
            </w:r>
          </w:p>
        </w:tc>
        <w:tc>
          <w:tcPr>
            <w:tcW w:w="1284" w:type="dxa"/>
          </w:tcPr>
          <w:p w14:paraId="695B17CD" w14:textId="01A44076" w:rsidR="002F40E7" w:rsidRPr="008D4CC6" w:rsidRDefault="002F40E7" w:rsidP="00F25A9D">
            <w:pPr>
              <w:pStyle w:val="TableTextRight"/>
            </w:pPr>
            <w:r w:rsidRPr="008D4CC6">
              <w:t>550</w:t>
            </w:r>
          </w:p>
        </w:tc>
        <w:tc>
          <w:tcPr>
            <w:tcW w:w="1217" w:type="dxa"/>
          </w:tcPr>
          <w:p w14:paraId="66ACF0AE" w14:textId="15499E3A" w:rsidR="002F40E7" w:rsidRPr="008D4CC6" w:rsidRDefault="002F40E7" w:rsidP="00F25A9D">
            <w:pPr>
              <w:pStyle w:val="TableTextRight"/>
            </w:pPr>
            <w:r w:rsidRPr="008D4CC6">
              <w:t>500</w:t>
            </w:r>
          </w:p>
        </w:tc>
        <w:tc>
          <w:tcPr>
            <w:tcW w:w="1262" w:type="dxa"/>
          </w:tcPr>
          <w:p w14:paraId="139A41EB" w14:textId="4447C2C1" w:rsidR="002F40E7" w:rsidRPr="008D4CC6" w:rsidRDefault="002F40E7" w:rsidP="002F40E7">
            <w:pPr>
              <w:pStyle w:val="TableTextLeft"/>
            </w:pPr>
            <w:r w:rsidRPr="008D4CC6">
              <w:t>Melbourne</w:t>
            </w:r>
          </w:p>
        </w:tc>
        <w:tc>
          <w:tcPr>
            <w:tcW w:w="1278" w:type="dxa"/>
          </w:tcPr>
          <w:p w14:paraId="1FDF8DC5" w14:textId="1007477C" w:rsidR="002F40E7" w:rsidRPr="008D4CC6" w:rsidRDefault="002F40E7" w:rsidP="00F25A9D">
            <w:pPr>
              <w:pStyle w:val="TableTextRight"/>
            </w:pPr>
            <w:r w:rsidRPr="008D4CC6">
              <w:t>Not available</w:t>
            </w:r>
          </w:p>
        </w:tc>
      </w:tr>
    </w:tbl>
    <w:p w14:paraId="7FF55BA6" w14:textId="33CD42A6" w:rsidR="0060263E" w:rsidRDefault="0060263E" w:rsidP="006D10A1">
      <w:pPr>
        <w:pStyle w:val="ChartandTableFootnoteAlpha"/>
        <w:numPr>
          <w:ilvl w:val="0"/>
          <w:numId w:val="31"/>
        </w:numPr>
      </w:pPr>
      <w:bookmarkStart w:id="102" w:name="_Toc139618823"/>
      <w:bookmarkStart w:id="103" w:name="_Toc139635551"/>
      <w:r>
        <w:lastRenderedPageBreak/>
        <w:t xml:space="preserve">Figures presented are project values reported by project proponents or media coverage of the project. </w:t>
      </w:r>
    </w:p>
    <w:p w14:paraId="02C9F954" w14:textId="559CA45F" w:rsidR="0060263E" w:rsidRDefault="0060263E" w:rsidP="006D10A1">
      <w:pPr>
        <w:pStyle w:val="ChartandTableFootnoteAlpha"/>
      </w:pPr>
      <w:r>
        <w:t>Build to Rent Venture is an investment vehicle which includes Mirvac, Clean Energy Finance Corporation and other unnamed investors. The vehicle has capital of $1.8 billion.</w:t>
      </w:r>
    </w:p>
    <w:p w14:paraId="196EAF1C" w14:textId="030DE3B4" w:rsidR="0060263E" w:rsidRDefault="0060263E" w:rsidP="006D10A1">
      <w:pPr>
        <w:pStyle w:val="ChartandTableFootnoteAlpha"/>
      </w:pPr>
      <w:proofErr w:type="spellStart"/>
      <w:r>
        <w:t>Qualitas</w:t>
      </w:r>
      <w:proofErr w:type="spellEnd"/>
      <w:r>
        <w:t xml:space="preserve"> is an Australian based alternative real estate investment manager.</w:t>
      </w:r>
    </w:p>
    <w:p w14:paraId="4640835D" w14:textId="58DCDF66" w:rsidR="0060263E" w:rsidRDefault="0060263E" w:rsidP="006D10A1">
      <w:pPr>
        <w:pStyle w:val="ChartandTableFootnoteAlpha"/>
      </w:pPr>
      <w:r>
        <w:t>Oxford Properties is owned by Canadian pension fund Ontario Municipal Employees Retirement System.</w:t>
      </w:r>
    </w:p>
    <w:p w14:paraId="33FC6E7D" w14:textId="657AAB9A" w:rsidR="0060263E" w:rsidRDefault="0060263E" w:rsidP="006D10A1">
      <w:pPr>
        <w:pStyle w:val="ChartandTableFootnoteAlpha"/>
      </w:pPr>
      <w:r>
        <w:t xml:space="preserve">Greystar Real Estate Partners is an international real estate developer and asset manager. </w:t>
      </w:r>
    </w:p>
    <w:p w14:paraId="762773DE" w14:textId="05226A8E" w:rsidR="0060263E" w:rsidRDefault="0060263E" w:rsidP="006D10A1">
      <w:pPr>
        <w:pStyle w:val="ChartandTableFootnoteAlpha"/>
      </w:pPr>
      <w:r>
        <w:t xml:space="preserve">A consolidated figure ($260m) for both projects and an unconsolidated figure for </w:t>
      </w:r>
      <w:proofErr w:type="spellStart"/>
      <w:r>
        <w:t>Arklife</w:t>
      </w:r>
      <w:r w:rsidR="00563A2B">
        <w:t>’</w:t>
      </w:r>
      <w:r>
        <w:t>s</w:t>
      </w:r>
      <w:proofErr w:type="spellEnd"/>
      <w:r>
        <w:t xml:space="preserve"> Cordelia project ($200m) could be identified (Australian Property Journal 2021). The value of the </w:t>
      </w:r>
      <w:r w:rsidR="008E4C9A">
        <w:t>Robertson</w:t>
      </w:r>
      <w:r>
        <w:t xml:space="preserve"> Lane project is the remainder of the consolidated figure.</w:t>
      </w:r>
    </w:p>
    <w:p w14:paraId="0B9E1464" w14:textId="46C266CC" w:rsidR="0060263E" w:rsidRPr="00257CE9" w:rsidRDefault="0060263E" w:rsidP="006D10A1">
      <w:pPr>
        <w:pStyle w:val="ChartandTableFootnoteAlpha"/>
      </w:pPr>
      <w:r>
        <w:t>For illustrative purposes, total project values which could not be identified have been calculated using CoreLogic</w:t>
      </w:r>
      <w:r w:rsidR="00563A2B">
        <w:t>’</w:t>
      </w:r>
      <w:r>
        <w:t>s median monthly unit price for a project</w:t>
      </w:r>
      <w:r w:rsidR="00563A2B">
        <w:t>’</w:t>
      </w:r>
      <w:r>
        <w:t xml:space="preserve">s location (e.g. greater Melbourne) taking a </w:t>
      </w:r>
      <w:r w:rsidR="00FC6985">
        <w:t>5</w:t>
      </w:r>
      <w:r w:rsidR="00563A2B">
        <w:noBreakHyphen/>
      </w:r>
      <w:r>
        <w:t>year average (July 2018 to June</w:t>
      </w:r>
      <w:r w:rsidR="00FB71C7">
        <w:t> </w:t>
      </w:r>
      <w:r>
        <w:t>2023) for the price. The average price is then multiplied by a project</w:t>
      </w:r>
      <w:r w:rsidR="00563A2B">
        <w:t>’</w:t>
      </w:r>
      <w:r>
        <w:t xml:space="preserve">s total units to generate an estimated project </w:t>
      </w:r>
      <w:r w:rsidRPr="00257CE9">
        <w:t>value.</w:t>
      </w:r>
    </w:p>
    <w:p w14:paraId="10DA4EEA" w14:textId="4C490013" w:rsidR="004809C2" w:rsidRPr="00257CE9" w:rsidRDefault="00096505" w:rsidP="00257CE9">
      <w:pPr>
        <w:pStyle w:val="ChartandTableFootnoteAlpha"/>
      </w:pPr>
      <w:r w:rsidRPr="00257CE9">
        <w:t>Sentinel Fund Manager Australia (“Sentinel”) is the Australian arm of American real estate investment firm Sentinel Real Estate Corporation. Values for these projects are approximate only and are predominantly development values.</w:t>
      </w:r>
    </w:p>
    <w:p w14:paraId="05A09303" w14:textId="51DC0CF7" w:rsidR="000C3FCA" w:rsidRDefault="0060263E" w:rsidP="002719DD">
      <w:pPr>
        <w:pStyle w:val="ChartorTableNote"/>
      </w:pPr>
      <w:r w:rsidRPr="00257CE9">
        <w:t>Source: Project details</w:t>
      </w:r>
      <w:r>
        <w:t xml:space="preserve"> compiled using information on developer and investor websites, and media coverage of projects.</w:t>
      </w:r>
    </w:p>
    <w:p w14:paraId="01EA312E" w14:textId="77777777" w:rsidR="000C3FCA" w:rsidRDefault="000C3FCA">
      <w:pPr>
        <w:spacing w:before="0" w:after="160" w:line="259" w:lineRule="auto"/>
        <w:rPr>
          <w:rFonts w:ascii="Calibri" w:hAnsi="Calibri"/>
          <w:color w:val="000000"/>
          <w:sz w:val="18"/>
        </w:rPr>
      </w:pPr>
      <w:r>
        <w:br w:type="page"/>
      </w:r>
    </w:p>
    <w:p w14:paraId="70F35ECF" w14:textId="76A89C68" w:rsidR="009A4DA0" w:rsidRPr="00514183" w:rsidRDefault="009A4DA0" w:rsidP="00B430DA">
      <w:pPr>
        <w:pStyle w:val="TableMainHeading"/>
      </w:pPr>
      <w:r w:rsidRPr="00514183">
        <w:lastRenderedPageBreak/>
        <w:t>Table 6: Identifiable affordable housing build</w:t>
      </w:r>
      <w:r w:rsidR="00563A2B">
        <w:noBreakHyphen/>
      </w:r>
      <w:r w:rsidRPr="00514183">
        <w:t>to</w:t>
      </w:r>
      <w:r w:rsidR="00563A2B">
        <w:noBreakHyphen/>
      </w:r>
      <w:r w:rsidRPr="00514183">
        <w:t>rent projects (including mixed tenure</w:t>
      </w:r>
      <w:r w:rsidR="00FB71C7">
        <w:t> </w:t>
      </w:r>
      <w:r w:rsidRPr="00514183">
        <w:t>projects)</w:t>
      </w:r>
    </w:p>
    <w:tbl>
      <w:tblPr>
        <w:tblStyle w:val="TableGrid"/>
        <w:tblpPr w:leftFromText="180" w:rightFromText="180" w:vertAnchor="text" w:tblpX="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294"/>
        <w:gridCol w:w="1294"/>
        <w:gridCol w:w="1294"/>
        <w:gridCol w:w="1295"/>
        <w:gridCol w:w="1294"/>
        <w:gridCol w:w="1294"/>
        <w:gridCol w:w="1295"/>
      </w:tblGrid>
      <w:tr w:rsidR="002719DD" w:rsidRPr="005836C7" w14:paraId="66146F73" w14:textId="77777777" w:rsidTr="005836C7">
        <w:trPr>
          <w:cnfStyle w:val="100000000000" w:firstRow="1" w:lastRow="0" w:firstColumn="0" w:lastColumn="0" w:oddVBand="0" w:evenVBand="0" w:oddHBand="0" w:evenHBand="0" w:firstRowFirstColumn="0" w:firstRowLastColumn="0" w:lastRowFirstColumn="0" w:lastRowLastColumn="0"/>
          <w:cantSplit/>
          <w:trHeight w:val="299"/>
          <w:tblHeader/>
        </w:trPr>
        <w:tc>
          <w:tcPr>
            <w:tcW w:w="1294" w:type="dxa"/>
            <w:shd w:val="clear" w:color="auto" w:fill="BAD4E8" w:themeFill="accent5"/>
          </w:tcPr>
          <w:p w14:paraId="55898B49" w14:textId="74CCD1F7" w:rsidR="009A4DA0" w:rsidRPr="005836C7" w:rsidRDefault="00CB20C3" w:rsidP="002719DD">
            <w:pPr>
              <w:pStyle w:val="TableColumnHeadingLeft"/>
              <w:rPr>
                <w:b/>
                <w:bCs/>
              </w:rPr>
            </w:pPr>
            <w:r w:rsidRPr="005836C7">
              <w:rPr>
                <w:b/>
                <w:bCs/>
              </w:rPr>
              <w:t>Project name</w:t>
            </w:r>
          </w:p>
        </w:tc>
        <w:tc>
          <w:tcPr>
            <w:tcW w:w="1294" w:type="dxa"/>
            <w:shd w:val="clear" w:color="auto" w:fill="BAD4E8" w:themeFill="accent5"/>
          </w:tcPr>
          <w:p w14:paraId="70CAE977" w14:textId="0C170879" w:rsidR="003461DC" w:rsidRPr="005836C7" w:rsidRDefault="00CB20C3" w:rsidP="002719DD">
            <w:pPr>
              <w:pStyle w:val="TableColumnHeadingLeft"/>
              <w:rPr>
                <w:b/>
                <w:bCs/>
              </w:rPr>
            </w:pPr>
            <w:r w:rsidRPr="005836C7">
              <w:rPr>
                <w:b/>
                <w:bCs/>
              </w:rPr>
              <w:t>Institutional investor</w:t>
            </w:r>
          </w:p>
        </w:tc>
        <w:tc>
          <w:tcPr>
            <w:tcW w:w="1294" w:type="dxa"/>
            <w:shd w:val="clear" w:color="auto" w:fill="BAD4E8" w:themeFill="accent5"/>
          </w:tcPr>
          <w:p w14:paraId="18B14803" w14:textId="7A85286C" w:rsidR="009A4DA0" w:rsidRPr="005836C7" w:rsidRDefault="00CB20C3" w:rsidP="002719DD">
            <w:pPr>
              <w:pStyle w:val="TableColumnHeadingLeft"/>
              <w:rPr>
                <w:b/>
                <w:bCs/>
              </w:rPr>
            </w:pPr>
            <w:r w:rsidRPr="005836C7">
              <w:rPr>
                <w:b/>
                <w:bCs/>
              </w:rPr>
              <w:t>Developer</w:t>
            </w:r>
          </w:p>
        </w:tc>
        <w:tc>
          <w:tcPr>
            <w:tcW w:w="1295" w:type="dxa"/>
            <w:shd w:val="clear" w:color="auto" w:fill="BAD4E8" w:themeFill="accent5"/>
          </w:tcPr>
          <w:p w14:paraId="6424626B" w14:textId="544236B9" w:rsidR="009A4DA0" w:rsidRPr="005836C7" w:rsidRDefault="00A34467" w:rsidP="002719DD">
            <w:pPr>
              <w:pStyle w:val="TableColumnHeadingRight"/>
              <w:rPr>
                <w:b/>
                <w:bCs/>
              </w:rPr>
            </w:pPr>
            <w:r w:rsidRPr="005836C7">
              <w:rPr>
                <w:b/>
                <w:bCs/>
              </w:rPr>
              <w:t>Project value ($m)</w:t>
            </w:r>
            <w:r w:rsidRPr="005836C7">
              <w:rPr>
                <w:b/>
                <w:bCs/>
                <w:vertAlign w:val="superscript"/>
              </w:rPr>
              <w:t>a</w:t>
            </w:r>
          </w:p>
        </w:tc>
        <w:tc>
          <w:tcPr>
            <w:tcW w:w="1294" w:type="dxa"/>
            <w:shd w:val="clear" w:color="auto" w:fill="BAD4E8" w:themeFill="accent5"/>
          </w:tcPr>
          <w:p w14:paraId="62E0A013" w14:textId="3A7E8D72" w:rsidR="009A4DA0" w:rsidRPr="005836C7" w:rsidRDefault="00F34D1A" w:rsidP="002719DD">
            <w:pPr>
              <w:pStyle w:val="TableColumnHeadingRight"/>
              <w:rPr>
                <w:b/>
                <w:bCs/>
              </w:rPr>
            </w:pPr>
            <w:r w:rsidRPr="005836C7">
              <w:rPr>
                <w:b/>
                <w:bCs/>
              </w:rPr>
              <w:t>Units</w:t>
            </w:r>
          </w:p>
        </w:tc>
        <w:tc>
          <w:tcPr>
            <w:tcW w:w="1294" w:type="dxa"/>
            <w:shd w:val="clear" w:color="auto" w:fill="BAD4E8" w:themeFill="accent5"/>
          </w:tcPr>
          <w:p w14:paraId="5E69E6BF" w14:textId="3B5F7162" w:rsidR="009A4DA0" w:rsidRPr="005836C7" w:rsidRDefault="00F34D1A" w:rsidP="002719DD">
            <w:pPr>
              <w:pStyle w:val="TableColumnHeadingLeft"/>
              <w:rPr>
                <w:b/>
                <w:bCs/>
              </w:rPr>
            </w:pPr>
            <w:r w:rsidRPr="005836C7">
              <w:rPr>
                <w:b/>
                <w:bCs/>
              </w:rPr>
              <w:t>Location</w:t>
            </w:r>
          </w:p>
        </w:tc>
        <w:tc>
          <w:tcPr>
            <w:tcW w:w="1295" w:type="dxa"/>
            <w:shd w:val="clear" w:color="auto" w:fill="BAD4E8" w:themeFill="accent5"/>
          </w:tcPr>
          <w:p w14:paraId="0CB3BADD" w14:textId="0F211FD9" w:rsidR="009A4DA0" w:rsidRPr="005836C7" w:rsidRDefault="00F34D1A" w:rsidP="002719DD">
            <w:pPr>
              <w:pStyle w:val="TableColumnHeadingRight"/>
              <w:rPr>
                <w:b/>
                <w:bCs/>
              </w:rPr>
            </w:pPr>
            <w:r w:rsidRPr="005836C7">
              <w:rPr>
                <w:b/>
                <w:bCs/>
              </w:rPr>
              <w:t>Completion date</w:t>
            </w:r>
          </w:p>
        </w:tc>
      </w:tr>
      <w:tr w:rsidR="00CB20C3" w:rsidRPr="002E3FBF" w14:paraId="11862814" w14:textId="77777777" w:rsidTr="005836C7">
        <w:trPr>
          <w:cantSplit/>
          <w:trHeight w:val="299"/>
        </w:trPr>
        <w:tc>
          <w:tcPr>
            <w:tcW w:w="1294" w:type="dxa"/>
          </w:tcPr>
          <w:p w14:paraId="04848AD5" w14:textId="3A0829D7" w:rsidR="00CB20C3" w:rsidRPr="00BE6EE9" w:rsidRDefault="00CB20C3" w:rsidP="00CB20C3">
            <w:pPr>
              <w:pStyle w:val="TableTextLeft"/>
            </w:pPr>
            <w:proofErr w:type="spellStart"/>
            <w:r w:rsidRPr="00BE6EE9">
              <w:t>Westmead</w:t>
            </w:r>
            <w:r w:rsidRPr="00BE6EE9">
              <w:rPr>
                <w:rStyle w:val="Hyperlink"/>
                <w:rFonts w:asciiTheme="minorHAnsi" w:hAnsiTheme="minorHAnsi" w:cstheme="minorHAnsi"/>
                <w:color w:val="auto"/>
                <w:szCs w:val="18"/>
                <w:vertAlign w:val="superscript"/>
              </w:rPr>
              <w:t>b</w:t>
            </w:r>
            <w:proofErr w:type="spellEnd"/>
          </w:p>
        </w:tc>
        <w:tc>
          <w:tcPr>
            <w:tcW w:w="1294" w:type="dxa"/>
          </w:tcPr>
          <w:p w14:paraId="6BCEBA7C" w14:textId="6639F688" w:rsidR="00CB20C3" w:rsidRPr="00BE6EE9" w:rsidRDefault="00CB20C3" w:rsidP="00CB20C3">
            <w:pPr>
              <w:pStyle w:val="TableTextLeft"/>
            </w:pPr>
            <w:r w:rsidRPr="00BE6EE9">
              <w:t>Lighthouse Infrastructure</w:t>
            </w:r>
          </w:p>
        </w:tc>
        <w:tc>
          <w:tcPr>
            <w:tcW w:w="1294" w:type="dxa"/>
          </w:tcPr>
          <w:p w14:paraId="74D50E38" w14:textId="58B3A442" w:rsidR="00CB20C3" w:rsidRPr="00E04AD2" w:rsidRDefault="00CB20C3" w:rsidP="00CB20C3">
            <w:pPr>
              <w:pStyle w:val="TableTextLeft"/>
            </w:pPr>
            <w:proofErr w:type="spellStart"/>
            <w:r w:rsidRPr="00E04AD2">
              <w:t>Deicorp</w:t>
            </w:r>
            <w:proofErr w:type="spellEnd"/>
            <w:r w:rsidRPr="00E04AD2">
              <w:rPr>
                <w:vertAlign w:val="superscript"/>
              </w:rPr>
              <w:t xml:space="preserve"> </w:t>
            </w:r>
          </w:p>
        </w:tc>
        <w:tc>
          <w:tcPr>
            <w:tcW w:w="1295" w:type="dxa"/>
          </w:tcPr>
          <w:p w14:paraId="2C8F7F31" w14:textId="7EB1648B" w:rsidR="00CB20C3" w:rsidRPr="00BE6EE9" w:rsidRDefault="00CB20C3" w:rsidP="0056571F">
            <w:pPr>
              <w:pStyle w:val="TableTextRight"/>
            </w:pPr>
            <w:r w:rsidRPr="00BE6EE9">
              <w:t>59</w:t>
            </w:r>
          </w:p>
        </w:tc>
        <w:tc>
          <w:tcPr>
            <w:tcW w:w="1294" w:type="dxa"/>
          </w:tcPr>
          <w:p w14:paraId="180F5697" w14:textId="766B3043" w:rsidR="00CB20C3" w:rsidRPr="00BE6EE9" w:rsidRDefault="00CB20C3" w:rsidP="0056571F">
            <w:pPr>
              <w:pStyle w:val="TableTextRight"/>
            </w:pPr>
            <w:r w:rsidRPr="00BE6EE9">
              <w:t>85</w:t>
            </w:r>
          </w:p>
        </w:tc>
        <w:tc>
          <w:tcPr>
            <w:tcW w:w="1294" w:type="dxa"/>
          </w:tcPr>
          <w:p w14:paraId="1F79A5E4" w14:textId="09277FA4" w:rsidR="00CB20C3" w:rsidRPr="00BE6EE9" w:rsidRDefault="00CB20C3" w:rsidP="00CB20C3">
            <w:pPr>
              <w:pStyle w:val="TableTextLeft"/>
            </w:pPr>
            <w:r w:rsidRPr="00BE6EE9">
              <w:t>Sydney</w:t>
            </w:r>
          </w:p>
        </w:tc>
        <w:tc>
          <w:tcPr>
            <w:tcW w:w="1295" w:type="dxa"/>
          </w:tcPr>
          <w:p w14:paraId="18DDD6CD" w14:textId="4B586F73" w:rsidR="00CB20C3" w:rsidRPr="00BE6EE9" w:rsidRDefault="00CB20C3" w:rsidP="0056571F">
            <w:pPr>
              <w:pStyle w:val="TableTextRight"/>
            </w:pPr>
            <w:r w:rsidRPr="00BE6EE9">
              <w:t>2021</w:t>
            </w:r>
          </w:p>
        </w:tc>
      </w:tr>
      <w:tr w:rsidR="00DF0270" w:rsidRPr="00C32080" w14:paraId="79711285" w14:textId="77777777" w:rsidTr="005836C7">
        <w:trPr>
          <w:cantSplit/>
          <w:trHeight w:val="299"/>
        </w:trPr>
        <w:tc>
          <w:tcPr>
            <w:tcW w:w="1294" w:type="dxa"/>
          </w:tcPr>
          <w:p w14:paraId="39046D56" w14:textId="01E8C3F4" w:rsidR="009A4DA0" w:rsidRPr="00BE6EE9" w:rsidRDefault="009A4DA0" w:rsidP="00EE3929">
            <w:pPr>
              <w:pStyle w:val="TableTextLeft"/>
            </w:pPr>
            <w:proofErr w:type="spellStart"/>
            <w:r w:rsidRPr="00BE6EE9">
              <w:t>Parramatta</w:t>
            </w:r>
            <w:r w:rsidRPr="00BE6EE9">
              <w:rPr>
                <w:rStyle w:val="Hyperlink"/>
                <w:rFonts w:asciiTheme="minorHAnsi" w:hAnsiTheme="minorHAnsi" w:cstheme="minorHAnsi"/>
                <w:color w:val="auto"/>
                <w:szCs w:val="18"/>
                <w:vertAlign w:val="superscript"/>
              </w:rPr>
              <w:t>b</w:t>
            </w:r>
            <w:proofErr w:type="spellEnd"/>
          </w:p>
        </w:tc>
        <w:tc>
          <w:tcPr>
            <w:tcW w:w="1294" w:type="dxa"/>
          </w:tcPr>
          <w:p w14:paraId="3B519B25" w14:textId="77777777" w:rsidR="003461DC" w:rsidRPr="00BE6EE9" w:rsidRDefault="003461DC" w:rsidP="00EE3929">
            <w:pPr>
              <w:pStyle w:val="TableTextLeft"/>
            </w:pPr>
            <w:r w:rsidRPr="00BE6EE9">
              <w:t>Lighthouse Infrastructure</w:t>
            </w:r>
          </w:p>
        </w:tc>
        <w:tc>
          <w:tcPr>
            <w:tcW w:w="1294" w:type="dxa"/>
          </w:tcPr>
          <w:p w14:paraId="79E35EEB" w14:textId="4003E34D" w:rsidR="009A4DA0" w:rsidRPr="00BE6EE9" w:rsidRDefault="003461DC" w:rsidP="00EE3929">
            <w:pPr>
              <w:pStyle w:val="TableTextLeft"/>
            </w:pPr>
            <w:proofErr w:type="spellStart"/>
            <w:r w:rsidRPr="00E04AD2">
              <w:t>Aoyiam</w:t>
            </w:r>
            <w:proofErr w:type="spellEnd"/>
            <w:r w:rsidRPr="00E04AD2">
              <w:t xml:space="preserve"> International</w:t>
            </w:r>
            <w:r w:rsidRPr="00E04AD2">
              <w:rPr>
                <w:vertAlign w:val="superscript"/>
              </w:rPr>
              <w:t xml:space="preserve"> </w:t>
            </w:r>
          </w:p>
        </w:tc>
        <w:tc>
          <w:tcPr>
            <w:tcW w:w="1295" w:type="dxa"/>
          </w:tcPr>
          <w:p w14:paraId="22BD660B" w14:textId="7082485F" w:rsidR="009A4DA0" w:rsidRPr="00BE6EE9" w:rsidRDefault="003461DC" w:rsidP="0056571F">
            <w:pPr>
              <w:pStyle w:val="TableTextRight"/>
            </w:pPr>
            <w:r w:rsidRPr="00BE6EE9">
              <w:t>61</w:t>
            </w:r>
          </w:p>
        </w:tc>
        <w:tc>
          <w:tcPr>
            <w:tcW w:w="1294" w:type="dxa"/>
          </w:tcPr>
          <w:p w14:paraId="57007376" w14:textId="25D91B7D" w:rsidR="009A4DA0" w:rsidRPr="00BE6EE9" w:rsidRDefault="003461DC" w:rsidP="0056571F">
            <w:pPr>
              <w:pStyle w:val="TableTextRight"/>
            </w:pPr>
            <w:r w:rsidRPr="00BE6EE9">
              <w:t>76</w:t>
            </w:r>
          </w:p>
        </w:tc>
        <w:tc>
          <w:tcPr>
            <w:tcW w:w="1294" w:type="dxa"/>
          </w:tcPr>
          <w:p w14:paraId="475A49F0" w14:textId="12371F22" w:rsidR="009A4DA0" w:rsidRPr="00BE6EE9" w:rsidRDefault="00E20D5B" w:rsidP="00EE3929">
            <w:pPr>
              <w:pStyle w:val="TableTextLeft"/>
            </w:pPr>
            <w:r w:rsidRPr="00BE6EE9">
              <w:t>Sydney</w:t>
            </w:r>
          </w:p>
        </w:tc>
        <w:tc>
          <w:tcPr>
            <w:tcW w:w="1295" w:type="dxa"/>
          </w:tcPr>
          <w:p w14:paraId="5E72E968" w14:textId="77777777" w:rsidR="009A4DA0" w:rsidRPr="00BE6EE9" w:rsidRDefault="009A4DA0" w:rsidP="0056571F">
            <w:pPr>
              <w:pStyle w:val="TableTextRight"/>
            </w:pPr>
            <w:r w:rsidRPr="00BE6EE9">
              <w:t>2022</w:t>
            </w:r>
          </w:p>
        </w:tc>
      </w:tr>
      <w:tr w:rsidR="00DF0270" w:rsidRPr="00C32080" w14:paraId="62B888AC" w14:textId="77777777" w:rsidTr="005836C7">
        <w:trPr>
          <w:cantSplit/>
          <w:trHeight w:val="299"/>
        </w:trPr>
        <w:tc>
          <w:tcPr>
            <w:tcW w:w="1294" w:type="dxa"/>
          </w:tcPr>
          <w:p w14:paraId="01E06D0F" w14:textId="337EF5E2" w:rsidR="009A4DA0" w:rsidRPr="00BE6EE9" w:rsidRDefault="009A4DA0" w:rsidP="00EE3929">
            <w:pPr>
              <w:pStyle w:val="TableTextLeft"/>
            </w:pPr>
            <w:r w:rsidRPr="00BE6EE9">
              <w:t xml:space="preserve">Meridian </w:t>
            </w:r>
            <w:proofErr w:type="spellStart"/>
            <w:r w:rsidRPr="00E04AD2">
              <w:t>Miranda</w:t>
            </w:r>
            <w:r w:rsidRPr="00BE6EE9">
              <w:rPr>
                <w:rStyle w:val="Hyperlink"/>
                <w:rFonts w:asciiTheme="minorHAnsi" w:hAnsiTheme="minorHAnsi" w:cstheme="minorHAnsi"/>
                <w:color w:val="auto"/>
                <w:szCs w:val="18"/>
                <w:vertAlign w:val="superscript"/>
              </w:rPr>
              <w:t>c</w:t>
            </w:r>
            <w:proofErr w:type="spellEnd"/>
          </w:p>
        </w:tc>
        <w:tc>
          <w:tcPr>
            <w:tcW w:w="1294" w:type="dxa"/>
          </w:tcPr>
          <w:p w14:paraId="472EBDC7" w14:textId="77777777" w:rsidR="003461DC" w:rsidRPr="00BE6EE9" w:rsidRDefault="003461DC" w:rsidP="00EE3929">
            <w:pPr>
              <w:pStyle w:val="TableTextLeft"/>
            </w:pPr>
            <w:r w:rsidRPr="00BE6EE9">
              <w:t>Aware Super</w:t>
            </w:r>
          </w:p>
        </w:tc>
        <w:tc>
          <w:tcPr>
            <w:tcW w:w="1294" w:type="dxa"/>
          </w:tcPr>
          <w:p w14:paraId="19C48BED" w14:textId="7033CCA6" w:rsidR="009A4DA0" w:rsidRPr="00BE6EE9" w:rsidRDefault="003461DC" w:rsidP="00EE3929">
            <w:pPr>
              <w:pStyle w:val="TableTextLeft"/>
            </w:pPr>
            <w:proofErr w:type="spellStart"/>
            <w:r w:rsidRPr="00BE6EE9">
              <w:t>Altis</w:t>
            </w:r>
            <w:proofErr w:type="spellEnd"/>
            <w:r w:rsidRPr="00BE6EE9">
              <w:t xml:space="preserve"> Property Partners</w:t>
            </w:r>
          </w:p>
        </w:tc>
        <w:tc>
          <w:tcPr>
            <w:tcW w:w="1295" w:type="dxa"/>
          </w:tcPr>
          <w:p w14:paraId="2438D4C6" w14:textId="511F6011" w:rsidR="009A4DA0" w:rsidRPr="00BE6EE9" w:rsidRDefault="003461DC" w:rsidP="0056571F">
            <w:pPr>
              <w:pStyle w:val="TableTextRight"/>
            </w:pPr>
            <w:r w:rsidRPr="00E04AD2">
              <w:t>75</w:t>
            </w:r>
            <w:r>
              <w:rPr>
                <w:rFonts w:eastAsia="MS Gothic"/>
                <w:vertAlign w:val="superscript"/>
              </w:rPr>
              <w:t>f</w:t>
            </w:r>
          </w:p>
        </w:tc>
        <w:tc>
          <w:tcPr>
            <w:tcW w:w="1294" w:type="dxa"/>
          </w:tcPr>
          <w:p w14:paraId="334779F6" w14:textId="15005DCF" w:rsidR="009A4DA0" w:rsidRPr="00BE6EE9" w:rsidRDefault="003461DC" w:rsidP="0056571F">
            <w:pPr>
              <w:pStyle w:val="TableTextRight"/>
            </w:pPr>
            <w:r w:rsidRPr="00BE6EE9">
              <w:t>102</w:t>
            </w:r>
          </w:p>
        </w:tc>
        <w:tc>
          <w:tcPr>
            <w:tcW w:w="1294" w:type="dxa"/>
          </w:tcPr>
          <w:p w14:paraId="581E9786" w14:textId="67B227B4" w:rsidR="009A4DA0" w:rsidRPr="00BE6EE9" w:rsidRDefault="00E20D5B" w:rsidP="00EE3929">
            <w:pPr>
              <w:pStyle w:val="TableTextLeft"/>
            </w:pPr>
            <w:r w:rsidRPr="00BE6EE9">
              <w:t>Sydney</w:t>
            </w:r>
          </w:p>
        </w:tc>
        <w:tc>
          <w:tcPr>
            <w:tcW w:w="1295" w:type="dxa"/>
          </w:tcPr>
          <w:p w14:paraId="4BADB9AA" w14:textId="77777777" w:rsidR="009A4DA0" w:rsidRPr="00BE6EE9" w:rsidRDefault="009A4DA0" w:rsidP="0056571F">
            <w:pPr>
              <w:pStyle w:val="TableTextRight"/>
            </w:pPr>
            <w:r w:rsidRPr="00BE6EE9">
              <w:t>2022</w:t>
            </w:r>
          </w:p>
        </w:tc>
      </w:tr>
      <w:tr w:rsidR="00DF0270" w:rsidRPr="00C32080" w14:paraId="5A8881D0" w14:textId="77777777" w:rsidTr="005836C7">
        <w:trPr>
          <w:cantSplit/>
          <w:trHeight w:val="299"/>
        </w:trPr>
        <w:tc>
          <w:tcPr>
            <w:tcW w:w="1294" w:type="dxa"/>
          </w:tcPr>
          <w:p w14:paraId="5C600720" w14:textId="5E53CDB0" w:rsidR="009A4DA0" w:rsidRPr="00BE6EE9" w:rsidRDefault="009A4DA0" w:rsidP="00EE3929">
            <w:pPr>
              <w:pStyle w:val="TableTextLeft"/>
            </w:pPr>
            <w:r w:rsidRPr="00BE6EE9">
              <w:t xml:space="preserve">High Street, </w:t>
            </w:r>
            <w:proofErr w:type="spellStart"/>
            <w:r w:rsidRPr="00E04AD2">
              <w:t>Preston</w:t>
            </w:r>
            <w:r w:rsidRPr="00BE6EE9">
              <w:rPr>
                <w:vertAlign w:val="superscript"/>
              </w:rPr>
              <w:t>c</w:t>
            </w:r>
            <w:proofErr w:type="spellEnd"/>
          </w:p>
        </w:tc>
        <w:tc>
          <w:tcPr>
            <w:tcW w:w="1294" w:type="dxa"/>
          </w:tcPr>
          <w:p w14:paraId="0F5FB3D9" w14:textId="77777777" w:rsidR="003461DC" w:rsidRPr="00BE6EE9" w:rsidRDefault="003461DC" w:rsidP="00EE3929">
            <w:pPr>
              <w:pStyle w:val="TableTextLeft"/>
            </w:pPr>
            <w:r w:rsidRPr="00BE6EE9">
              <w:t>Aware Super</w:t>
            </w:r>
          </w:p>
        </w:tc>
        <w:tc>
          <w:tcPr>
            <w:tcW w:w="1294" w:type="dxa"/>
          </w:tcPr>
          <w:p w14:paraId="6AFE2BE4" w14:textId="0E3EE7AE" w:rsidR="009A4DA0" w:rsidRPr="00BE6EE9" w:rsidRDefault="003461DC" w:rsidP="00EE3929">
            <w:pPr>
              <w:pStyle w:val="TableTextLeft"/>
            </w:pPr>
            <w:proofErr w:type="spellStart"/>
            <w:r w:rsidRPr="00E04AD2">
              <w:t>Altis</w:t>
            </w:r>
            <w:proofErr w:type="spellEnd"/>
            <w:r w:rsidRPr="00E04AD2">
              <w:t xml:space="preserve"> Property Partners</w:t>
            </w:r>
          </w:p>
        </w:tc>
        <w:tc>
          <w:tcPr>
            <w:tcW w:w="1295" w:type="dxa"/>
          </w:tcPr>
          <w:p w14:paraId="33E6BECB" w14:textId="3BB55A3F" w:rsidR="009A4DA0" w:rsidRPr="00BE6EE9" w:rsidRDefault="003461DC" w:rsidP="0056571F">
            <w:pPr>
              <w:pStyle w:val="TableTextRight"/>
            </w:pPr>
            <w:r w:rsidRPr="00E04AD2">
              <w:t>1</w:t>
            </w:r>
            <w:r>
              <w:t>40</w:t>
            </w:r>
            <w:r>
              <w:rPr>
                <w:rFonts w:eastAsia="MS Gothic"/>
                <w:vertAlign w:val="superscript"/>
              </w:rPr>
              <w:t>f</w:t>
            </w:r>
          </w:p>
        </w:tc>
        <w:tc>
          <w:tcPr>
            <w:tcW w:w="1294" w:type="dxa"/>
          </w:tcPr>
          <w:p w14:paraId="36323A0E" w14:textId="4A1B880B" w:rsidR="009A4DA0" w:rsidRPr="00BE6EE9" w:rsidRDefault="003461DC" w:rsidP="0056571F">
            <w:pPr>
              <w:pStyle w:val="TableTextRight"/>
            </w:pPr>
            <w:r w:rsidRPr="00E04AD2">
              <w:t>2</w:t>
            </w:r>
            <w:r>
              <w:t>35</w:t>
            </w:r>
          </w:p>
        </w:tc>
        <w:tc>
          <w:tcPr>
            <w:tcW w:w="1294" w:type="dxa"/>
          </w:tcPr>
          <w:p w14:paraId="3FE9E96D" w14:textId="38AA0D41" w:rsidR="009A4DA0" w:rsidRPr="00BE6EE9" w:rsidRDefault="00E20D5B" w:rsidP="00EE3929">
            <w:pPr>
              <w:pStyle w:val="TableTextLeft"/>
            </w:pPr>
            <w:r w:rsidRPr="00BE6EE9">
              <w:t>Melbourne</w:t>
            </w:r>
          </w:p>
        </w:tc>
        <w:tc>
          <w:tcPr>
            <w:tcW w:w="1295" w:type="dxa"/>
          </w:tcPr>
          <w:p w14:paraId="01169616" w14:textId="77777777" w:rsidR="009A4DA0" w:rsidRPr="00BE6EE9" w:rsidRDefault="009A4DA0" w:rsidP="0056571F">
            <w:pPr>
              <w:pStyle w:val="TableTextRight"/>
            </w:pPr>
            <w:r w:rsidRPr="00BE6EE9">
              <w:t>2022</w:t>
            </w:r>
          </w:p>
        </w:tc>
      </w:tr>
      <w:tr w:rsidR="00DF0270" w:rsidRPr="00C32080" w14:paraId="42E9D4CD" w14:textId="77777777" w:rsidTr="005836C7">
        <w:trPr>
          <w:cantSplit/>
          <w:trHeight w:val="299"/>
        </w:trPr>
        <w:tc>
          <w:tcPr>
            <w:tcW w:w="1294" w:type="dxa"/>
          </w:tcPr>
          <w:p w14:paraId="41E8EEC4" w14:textId="0E8C71BB" w:rsidR="009A4DA0" w:rsidRPr="00BE6EE9" w:rsidRDefault="009A4DA0" w:rsidP="00EE3929">
            <w:pPr>
              <w:pStyle w:val="TableTextLeft"/>
            </w:pPr>
            <w:r w:rsidRPr="00BE6EE9">
              <w:t xml:space="preserve">Queens </w:t>
            </w:r>
            <w:proofErr w:type="spellStart"/>
            <w:r w:rsidRPr="00E04AD2">
              <w:t>Road</w:t>
            </w:r>
            <w:r w:rsidRPr="00BE6EE9">
              <w:rPr>
                <w:rStyle w:val="Hyperlink"/>
                <w:rFonts w:asciiTheme="minorHAnsi" w:hAnsiTheme="minorHAnsi" w:cstheme="minorHAnsi"/>
                <w:color w:val="auto"/>
                <w:szCs w:val="18"/>
                <w:vertAlign w:val="superscript"/>
              </w:rPr>
              <w:t>c</w:t>
            </w:r>
            <w:proofErr w:type="spellEnd"/>
          </w:p>
        </w:tc>
        <w:tc>
          <w:tcPr>
            <w:tcW w:w="1294" w:type="dxa"/>
          </w:tcPr>
          <w:p w14:paraId="4FD63EB0" w14:textId="77777777" w:rsidR="003461DC" w:rsidRPr="00BE6EE9" w:rsidRDefault="003461DC" w:rsidP="00EE3929">
            <w:pPr>
              <w:pStyle w:val="TableTextLeft"/>
            </w:pPr>
            <w:r w:rsidRPr="00BE6EE9">
              <w:t>Aware Super</w:t>
            </w:r>
          </w:p>
        </w:tc>
        <w:tc>
          <w:tcPr>
            <w:tcW w:w="1294" w:type="dxa"/>
          </w:tcPr>
          <w:p w14:paraId="201CB138" w14:textId="1E4ABCEE" w:rsidR="009A4DA0" w:rsidRPr="00BE6EE9" w:rsidRDefault="003461DC" w:rsidP="00EE3929">
            <w:pPr>
              <w:pStyle w:val="TableTextLeft"/>
            </w:pPr>
            <w:proofErr w:type="spellStart"/>
            <w:r w:rsidRPr="00BE6EE9">
              <w:t>Altis</w:t>
            </w:r>
            <w:proofErr w:type="spellEnd"/>
            <w:r w:rsidRPr="00BE6EE9">
              <w:t xml:space="preserve"> Property Partners</w:t>
            </w:r>
          </w:p>
        </w:tc>
        <w:tc>
          <w:tcPr>
            <w:tcW w:w="1295" w:type="dxa"/>
          </w:tcPr>
          <w:p w14:paraId="07C766EC" w14:textId="3753F635" w:rsidR="009A4DA0" w:rsidRPr="00BE6EE9" w:rsidRDefault="003461DC" w:rsidP="0056571F">
            <w:pPr>
              <w:pStyle w:val="TableTextRight"/>
            </w:pPr>
            <w:r w:rsidRPr="00E04AD2">
              <w:t>220</w:t>
            </w:r>
            <w:r>
              <w:rPr>
                <w:rFonts w:eastAsia="MS Gothic"/>
                <w:vertAlign w:val="superscript"/>
              </w:rPr>
              <w:t>f</w:t>
            </w:r>
          </w:p>
        </w:tc>
        <w:tc>
          <w:tcPr>
            <w:tcW w:w="1294" w:type="dxa"/>
          </w:tcPr>
          <w:p w14:paraId="07C41A58" w14:textId="1D3EF087" w:rsidR="009A4DA0" w:rsidRPr="00BE6EE9" w:rsidRDefault="003461DC" w:rsidP="0056571F">
            <w:pPr>
              <w:pStyle w:val="TableTextRight"/>
            </w:pPr>
            <w:r w:rsidRPr="00BE6EE9">
              <w:t>369</w:t>
            </w:r>
          </w:p>
        </w:tc>
        <w:tc>
          <w:tcPr>
            <w:tcW w:w="1294" w:type="dxa"/>
          </w:tcPr>
          <w:p w14:paraId="093354B3" w14:textId="6ECB4523" w:rsidR="009A4DA0" w:rsidRPr="00BE6EE9" w:rsidRDefault="00E20D5B" w:rsidP="00EE3929">
            <w:pPr>
              <w:pStyle w:val="TableTextLeft"/>
            </w:pPr>
            <w:r w:rsidRPr="00BE6EE9">
              <w:t>Melbourne</w:t>
            </w:r>
          </w:p>
        </w:tc>
        <w:tc>
          <w:tcPr>
            <w:tcW w:w="1295" w:type="dxa"/>
          </w:tcPr>
          <w:p w14:paraId="2085AA7A" w14:textId="23F80424" w:rsidR="009A4DA0" w:rsidRPr="00BE6EE9" w:rsidRDefault="009A4DA0" w:rsidP="0056571F">
            <w:pPr>
              <w:pStyle w:val="TableTextRight"/>
            </w:pPr>
            <w:r>
              <w:t>2025</w:t>
            </w:r>
          </w:p>
        </w:tc>
      </w:tr>
      <w:tr w:rsidR="00DF0270" w:rsidRPr="00C32080" w14:paraId="10C93F8C" w14:textId="77777777" w:rsidTr="005836C7">
        <w:trPr>
          <w:cantSplit/>
          <w:trHeight w:val="299"/>
        </w:trPr>
        <w:tc>
          <w:tcPr>
            <w:tcW w:w="1294" w:type="dxa"/>
          </w:tcPr>
          <w:p w14:paraId="1F958515" w14:textId="77389B22" w:rsidR="009A4DA0" w:rsidRPr="00BE6EE9" w:rsidRDefault="009A4DA0" w:rsidP="00EE3929">
            <w:pPr>
              <w:pStyle w:val="TableTextLeft"/>
            </w:pPr>
            <w:proofErr w:type="spellStart"/>
            <w:r w:rsidRPr="00E04AD2">
              <w:t>Liverpool</w:t>
            </w:r>
            <w:r w:rsidRPr="00BE6EE9">
              <w:rPr>
                <w:rStyle w:val="Hyperlink"/>
                <w:rFonts w:asciiTheme="minorHAnsi" w:hAnsiTheme="minorHAnsi" w:cstheme="minorHAnsi"/>
                <w:color w:val="auto"/>
                <w:szCs w:val="18"/>
                <w:vertAlign w:val="superscript"/>
              </w:rPr>
              <w:t>c</w:t>
            </w:r>
            <w:proofErr w:type="spellEnd"/>
          </w:p>
        </w:tc>
        <w:tc>
          <w:tcPr>
            <w:tcW w:w="1294" w:type="dxa"/>
          </w:tcPr>
          <w:p w14:paraId="3664AD6C" w14:textId="77777777" w:rsidR="003461DC" w:rsidRPr="00BE6EE9" w:rsidRDefault="003461DC" w:rsidP="00EE3929">
            <w:pPr>
              <w:pStyle w:val="TableTextLeft"/>
            </w:pPr>
            <w:r w:rsidRPr="00BE6EE9">
              <w:t>Aware Super</w:t>
            </w:r>
          </w:p>
        </w:tc>
        <w:tc>
          <w:tcPr>
            <w:tcW w:w="1294" w:type="dxa"/>
          </w:tcPr>
          <w:p w14:paraId="461F2A7B" w14:textId="343EAB36" w:rsidR="009A4DA0" w:rsidRPr="00BE6EE9" w:rsidRDefault="003461DC" w:rsidP="00EE3929">
            <w:pPr>
              <w:pStyle w:val="TableTextLeft"/>
            </w:pPr>
            <w:proofErr w:type="spellStart"/>
            <w:r w:rsidRPr="00BE6EE9">
              <w:t>Altis</w:t>
            </w:r>
            <w:proofErr w:type="spellEnd"/>
            <w:r w:rsidRPr="00BE6EE9">
              <w:t xml:space="preserve"> Property Partners</w:t>
            </w:r>
          </w:p>
        </w:tc>
        <w:tc>
          <w:tcPr>
            <w:tcW w:w="1295" w:type="dxa"/>
          </w:tcPr>
          <w:p w14:paraId="34AD7ED6" w14:textId="2B19287F" w:rsidR="009A4DA0" w:rsidRPr="00BE6EE9" w:rsidRDefault="003461DC" w:rsidP="0056571F">
            <w:pPr>
              <w:pStyle w:val="TableTextRight"/>
            </w:pPr>
            <w:r w:rsidRPr="00BE6EE9">
              <w:t>300</w:t>
            </w:r>
          </w:p>
        </w:tc>
        <w:tc>
          <w:tcPr>
            <w:tcW w:w="1294" w:type="dxa"/>
          </w:tcPr>
          <w:p w14:paraId="7EE79C86" w14:textId="129E3F6A" w:rsidR="009A4DA0" w:rsidRPr="00BE6EE9" w:rsidRDefault="003461DC" w:rsidP="0056571F">
            <w:pPr>
              <w:pStyle w:val="TableTextRight"/>
            </w:pPr>
            <w:r w:rsidRPr="00E04AD2">
              <w:t>3</w:t>
            </w:r>
            <w:r>
              <w:t>12</w:t>
            </w:r>
          </w:p>
        </w:tc>
        <w:tc>
          <w:tcPr>
            <w:tcW w:w="1294" w:type="dxa"/>
          </w:tcPr>
          <w:p w14:paraId="166CB725" w14:textId="07283758" w:rsidR="009A4DA0" w:rsidRPr="00BE6EE9" w:rsidRDefault="00E20D5B" w:rsidP="00EE3929">
            <w:pPr>
              <w:pStyle w:val="TableTextLeft"/>
            </w:pPr>
            <w:r w:rsidRPr="00BE6EE9">
              <w:t>Sydney</w:t>
            </w:r>
          </w:p>
        </w:tc>
        <w:tc>
          <w:tcPr>
            <w:tcW w:w="1295" w:type="dxa"/>
          </w:tcPr>
          <w:p w14:paraId="0E7DF268" w14:textId="270F3369" w:rsidR="009A4DA0" w:rsidRPr="00BE6EE9" w:rsidRDefault="009A4DA0" w:rsidP="0056571F">
            <w:pPr>
              <w:pStyle w:val="TableTextRight"/>
            </w:pPr>
            <w:r>
              <w:t>2026</w:t>
            </w:r>
          </w:p>
        </w:tc>
      </w:tr>
      <w:tr w:rsidR="00DF0270" w:rsidRPr="00C32080" w14:paraId="2B48E7C7" w14:textId="77777777" w:rsidTr="005836C7">
        <w:trPr>
          <w:cantSplit/>
          <w:trHeight w:val="299"/>
        </w:trPr>
        <w:tc>
          <w:tcPr>
            <w:tcW w:w="1294" w:type="dxa"/>
          </w:tcPr>
          <w:p w14:paraId="1397A771" w14:textId="1A84CE7C" w:rsidR="009A4DA0" w:rsidRPr="00BE6EE9" w:rsidRDefault="00693395" w:rsidP="00EE3929">
            <w:pPr>
              <w:pStyle w:val="TableTextLeft"/>
            </w:pPr>
            <w:hyperlink r:id="rId32" w:history="1">
              <w:r w:rsidR="009A4DA0" w:rsidRPr="00BE6EE9">
                <w:t>QIC</w:t>
              </w:r>
              <w:r w:rsidR="00563A2B">
                <w:noBreakHyphen/>
              </w:r>
              <w:r w:rsidR="009A4DA0" w:rsidRPr="00BE6EE9">
                <w:t xml:space="preserve">BHC Social Housing </w:t>
              </w:r>
              <w:proofErr w:type="spellStart"/>
              <w:r w:rsidR="009A4DA0" w:rsidRPr="00BE6EE9">
                <w:t>Consortium</w:t>
              </w:r>
            </w:hyperlink>
            <w:r w:rsidR="009A4DA0" w:rsidRPr="00BE6EE9">
              <w:rPr>
                <w:rStyle w:val="Hyperlink"/>
                <w:rFonts w:asciiTheme="minorHAnsi" w:hAnsiTheme="minorHAnsi" w:cstheme="minorHAnsi"/>
                <w:color w:val="auto"/>
                <w:szCs w:val="18"/>
                <w:vertAlign w:val="superscript"/>
              </w:rPr>
              <w:t>c</w:t>
            </w:r>
            <w:proofErr w:type="spellEnd"/>
            <w:r w:rsidR="009A4DA0" w:rsidRPr="00BE6EE9">
              <w:rPr>
                <w:rStyle w:val="Hyperlink"/>
                <w:rFonts w:asciiTheme="minorHAnsi" w:hAnsiTheme="minorHAnsi" w:cstheme="minorHAnsi"/>
                <w:color w:val="auto"/>
                <w:szCs w:val="18"/>
                <w:vertAlign w:val="superscript"/>
              </w:rPr>
              <w:t>,</w:t>
            </w:r>
            <w:r w:rsidR="009A4DA0" w:rsidRPr="00E04AD2">
              <w:rPr>
                <w:vertAlign w:val="superscript"/>
              </w:rPr>
              <w:t xml:space="preserve"> e</w:t>
            </w:r>
            <w:r w:rsidR="009A4DA0" w:rsidRPr="00BE6EE9" w:rsidDel="007B1372">
              <w:rPr>
                <w:rStyle w:val="Hyperlink"/>
                <w:rFonts w:asciiTheme="minorHAnsi" w:hAnsiTheme="minorHAnsi" w:cstheme="minorHAnsi"/>
                <w:color w:val="auto"/>
                <w:szCs w:val="18"/>
                <w:vertAlign w:val="superscript"/>
              </w:rPr>
              <w:t xml:space="preserve"> </w:t>
            </w:r>
          </w:p>
        </w:tc>
        <w:tc>
          <w:tcPr>
            <w:tcW w:w="1294" w:type="dxa"/>
          </w:tcPr>
          <w:p w14:paraId="581A0145" w14:textId="77777777" w:rsidR="003461DC" w:rsidRPr="00BE6EE9" w:rsidRDefault="003461DC" w:rsidP="00EE3929">
            <w:pPr>
              <w:pStyle w:val="TableTextLeft"/>
            </w:pPr>
            <w:r w:rsidRPr="00BE6EE9">
              <w:t>Australian Retirement Trust; QIC</w:t>
            </w:r>
          </w:p>
        </w:tc>
        <w:tc>
          <w:tcPr>
            <w:tcW w:w="1294" w:type="dxa"/>
          </w:tcPr>
          <w:p w14:paraId="3BFF5BC3" w14:textId="633B0BA9" w:rsidR="009A4DA0" w:rsidRPr="00BE6EE9" w:rsidRDefault="003461DC" w:rsidP="00EE3929">
            <w:pPr>
              <w:pStyle w:val="TableTextLeft"/>
            </w:pPr>
            <w:r w:rsidRPr="00BE6EE9">
              <w:t>Brisbane Housing Company</w:t>
            </w:r>
          </w:p>
        </w:tc>
        <w:tc>
          <w:tcPr>
            <w:tcW w:w="1295" w:type="dxa"/>
          </w:tcPr>
          <w:p w14:paraId="4E702D24" w14:textId="7F33506C" w:rsidR="009A4DA0" w:rsidRPr="00BE6EE9" w:rsidRDefault="003461DC" w:rsidP="0056571F">
            <w:pPr>
              <w:pStyle w:val="TableTextRight"/>
            </w:pPr>
            <w:r w:rsidRPr="00BE6EE9">
              <w:t>500</w:t>
            </w:r>
          </w:p>
        </w:tc>
        <w:tc>
          <w:tcPr>
            <w:tcW w:w="1294" w:type="dxa"/>
          </w:tcPr>
          <w:p w14:paraId="4080AE19" w14:textId="5BF38D36" w:rsidR="009A4DA0" w:rsidRPr="00BE6EE9" w:rsidRDefault="003461DC" w:rsidP="0056571F">
            <w:pPr>
              <w:pStyle w:val="TableTextRight"/>
            </w:pPr>
            <w:r w:rsidRPr="00BE6EE9">
              <w:t>1,</w:t>
            </w:r>
            <w:r w:rsidRPr="00E04AD2">
              <w:t>200</w:t>
            </w:r>
          </w:p>
        </w:tc>
        <w:tc>
          <w:tcPr>
            <w:tcW w:w="1294" w:type="dxa"/>
          </w:tcPr>
          <w:p w14:paraId="23A3BDC4" w14:textId="56976292" w:rsidR="009A4DA0" w:rsidRPr="00BE6EE9" w:rsidRDefault="00E20D5B" w:rsidP="00EE3929">
            <w:pPr>
              <w:pStyle w:val="TableTextLeft"/>
            </w:pPr>
            <w:r>
              <w:t>Q</w:t>
            </w:r>
            <w:r w:rsidR="00890D1E">
              <w:t>ueen</w:t>
            </w:r>
            <w:r w:rsidR="00482857">
              <w:t>s</w:t>
            </w:r>
            <w:r w:rsidR="00890D1E">
              <w:t>land</w:t>
            </w:r>
          </w:p>
        </w:tc>
        <w:tc>
          <w:tcPr>
            <w:tcW w:w="1295" w:type="dxa"/>
          </w:tcPr>
          <w:p w14:paraId="1A4D8736" w14:textId="64568495" w:rsidR="009A4DA0" w:rsidRPr="00BE6EE9" w:rsidRDefault="00087C18" w:rsidP="0056571F">
            <w:pPr>
              <w:pStyle w:val="TableTextRight"/>
            </w:pPr>
            <w:r>
              <w:t xml:space="preserve">N/A </w:t>
            </w:r>
          </w:p>
        </w:tc>
      </w:tr>
      <w:tr w:rsidR="00656FEF" w:rsidRPr="00C32080" w14:paraId="44065596" w14:textId="77777777" w:rsidTr="005836C7">
        <w:trPr>
          <w:cantSplit/>
          <w:trHeight w:val="299"/>
        </w:trPr>
        <w:tc>
          <w:tcPr>
            <w:tcW w:w="1294" w:type="dxa"/>
          </w:tcPr>
          <w:p w14:paraId="26F089DF" w14:textId="74AF8FCB" w:rsidR="00656FEF" w:rsidRPr="00BE6EE9" w:rsidRDefault="00656FEF" w:rsidP="00EE3929">
            <w:pPr>
              <w:pStyle w:val="TableTextLeft"/>
            </w:pPr>
            <w:proofErr w:type="spellStart"/>
            <w:r w:rsidRPr="00E04AD2">
              <w:t>Kensington</w:t>
            </w:r>
            <w:r w:rsidRPr="00BE6EE9">
              <w:rPr>
                <w:rStyle w:val="Hyperlink"/>
                <w:rFonts w:asciiTheme="minorHAnsi" w:hAnsiTheme="minorHAnsi" w:cstheme="minorHAnsi"/>
                <w:color w:val="auto"/>
                <w:szCs w:val="18"/>
                <w:vertAlign w:val="superscript"/>
              </w:rPr>
              <w:t>c</w:t>
            </w:r>
            <w:proofErr w:type="spellEnd"/>
          </w:p>
        </w:tc>
        <w:tc>
          <w:tcPr>
            <w:tcW w:w="1294" w:type="dxa"/>
          </w:tcPr>
          <w:p w14:paraId="5A36519E" w14:textId="77777777" w:rsidR="00656FEF" w:rsidRPr="00BE6EE9" w:rsidRDefault="00656FEF" w:rsidP="00EE3929">
            <w:pPr>
              <w:pStyle w:val="TableTextLeft"/>
            </w:pPr>
            <w:r w:rsidRPr="00BE6EE9">
              <w:t xml:space="preserve">Super Housing </w:t>
            </w:r>
            <w:proofErr w:type="spellStart"/>
            <w:r w:rsidRPr="00E04AD2">
              <w:t>Partnerships</w:t>
            </w:r>
            <w:r>
              <w:rPr>
                <w:vertAlign w:val="superscript"/>
              </w:rPr>
              <w:t>d</w:t>
            </w:r>
            <w:proofErr w:type="spellEnd"/>
          </w:p>
        </w:tc>
        <w:tc>
          <w:tcPr>
            <w:tcW w:w="1294" w:type="dxa"/>
          </w:tcPr>
          <w:p w14:paraId="74E5FBE9" w14:textId="6B3B3273" w:rsidR="00656FEF" w:rsidRPr="00BE6EE9" w:rsidRDefault="00656FEF" w:rsidP="00EE3929">
            <w:pPr>
              <w:pStyle w:val="TableTextLeft"/>
            </w:pPr>
            <w:r w:rsidRPr="00BE6EE9">
              <w:t>Assemble</w:t>
            </w:r>
          </w:p>
        </w:tc>
        <w:tc>
          <w:tcPr>
            <w:tcW w:w="1295" w:type="dxa"/>
            <w:vMerge w:val="restart"/>
            <w:vAlign w:val="center"/>
          </w:tcPr>
          <w:p w14:paraId="35FE19EC" w14:textId="3AB28E13" w:rsidR="00656FEF" w:rsidRPr="00BE6EE9" w:rsidRDefault="00656FEF" w:rsidP="0056571F">
            <w:pPr>
              <w:pStyle w:val="TableTextRight"/>
              <w:rPr>
                <w:vertAlign w:val="superscript"/>
              </w:rPr>
            </w:pPr>
            <w:r w:rsidRPr="00BE6EE9">
              <w:t>750</w:t>
            </w:r>
          </w:p>
        </w:tc>
        <w:tc>
          <w:tcPr>
            <w:tcW w:w="1294" w:type="dxa"/>
          </w:tcPr>
          <w:p w14:paraId="70354B5F" w14:textId="083780D2" w:rsidR="00656FEF" w:rsidRPr="00BE6EE9" w:rsidRDefault="00656FEF" w:rsidP="0056571F">
            <w:pPr>
              <w:pStyle w:val="TableTextRight"/>
            </w:pPr>
            <w:r w:rsidRPr="00BE6EE9">
              <w:t>362</w:t>
            </w:r>
          </w:p>
        </w:tc>
        <w:tc>
          <w:tcPr>
            <w:tcW w:w="1294" w:type="dxa"/>
          </w:tcPr>
          <w:p w14:paraId="47997725" w14:textId="249BFF1F" w:rsidR="00656FEF" w:rsidRPr="00BE6EE9" w:rsidRDefault="00656FEF" w:rsidP="00EE3929">
            <w:pPr>
              <w:pStyle w:val="TableTextLeft"/>
            </w:pPr>
            <w:r w:rsidRPr="00BE6EE9">
              <w:t>Melbourne</w:t>
            </w:r>
          </w:p>
        </w:tc>
        <w:tc>
          <w:tcPr>
            <w:tcW w:w="1295" w:type="dxa"/>
          </w:tcPr>
          <w:p w14:paraId="77744EF7" w14:textId="6602979B" w:rsidR="00656FEF" w:rsidRPr="00BE6EE9" w:rsidRDefault="00656FEF" w:rsidP="0056571F">
            <w:pPr>
              <w:pStyle w:val="TableTextRight"/>
            </w:pPr>
            <w:r>
              <w:t>N/A</w:t>
            </w:r>
          </w:p>
        </w:tc>
      </w:tr>
      <w:tr w:rsidR="00656FEF" w:rsidRPr="00C32080" w14:paraId="0D059863" w14:textId="77777777" w:rsidTr="005836C7">
        <w:trPr>
          <w:cantSplit/>
          <w:trHeight w:val="299"/>
        </w:trPr>
        <w:tc>
          <w:tcPr>
            <w:tcW w:w="1294" w:type="dxa"/>
          </w:tcPr>
          <w:p w14:paraId="420E3F12" w14:textId="3ACD3636" w:rsidR="00656FEF" w:rsidRPr="00BE6EE9" w:rsidRDefault="00656FEF" w:rsidP="00EE3929">
            <w:pPr>
              <w:pStyle w:val="TableTextLeft"/>
            </w:pPr>
            <w:proofErr w:type="spellStart"/>
            <w:r w:rsidRPr="00E04AD2">
              <w:t>Preston</w:t>
            </w:r>
            <w:r w:rsidRPr="00BE6EE9">
              <w:rPr>
                <w:rStyle w:val="Hyperlink"/>
                <w:rFonts w:asciiTheme="minorHAnsi" w:hAnsiTheme="minorHAnsi" w:cstheme="minorHAnsi"/>
                <w:color w:val="auto"/>
                <w:szCs w:val="18"/>
                <w:vertAlign w:val="superscript"/>
              </w:rPr>
              <w:t>c</w:t>
            </w:r>
            <w:proofErr w:type="spellEnd"/>
          </w:p>
        </w:tc>
        <w:tc>
          <w:tcPr>
            <w:tcW w:w="1294" w:type="dxa"/>
          </w:tcPr>
          <w:p w14:paraId="6A96D4FD" w14:textId="77777777" w:rsidR="00656FEF" w:rsidRPr="00BE6EE9" w:rsidRDefault="00656FEF" w:rsidP="00EE3929">
            <w:pPr>
              <w:pStyle w:val="TableTextLeft"/>
            </w:pPr>
            <w:r w:rsidRPr="00BE6EE9">
              <w:t xml:space="preserve">Super Housing </w:t>
            </w:r>
            <w:proofErr w:type="spellStart"/>
            <w:r w:rsidRPr="00E04AD2">
              <w:t>Partnerships</w:t>
            </w:r>
            <w:r>
              <w:rPr>
                <w:vertAlign w:val="superscript"/>
              </w:rPr>
              <w:t>d</w:t>
            </w:r>
            <w:proofErr w:type="spellEnd"/>
          </w:p>
        </w:tc>
        <w:tc>
          <w:tcPr>
            <w:tcW w:w="1294" w:type="dxa"/>
          </w:tcPr>
          <w:p w14:paraId="37967EBD" w14:textId="590B60BC" w:rsidR="00656FEF" w:rsidRPr="00BE6EE9" w:rsidRDefault="00656FEF" w:rsidP="00EE3929">
            <w:pPr>
              <w:pStyle w:val="TableTextLeft"/>
            </w:pPr>
            <w:r w:rsidRPr="00BE6EE9">
              <w:t>Assemble</w:t>
            </w:r>
          </w:p>
        </w:tc>
        <w:tc>
          <w:tcPr>
            <w:tcW w:w="1295" w:type="dxa"/>
            <w:vMerge/>
          </w:tcPr>
          <w:p w14:paraId="2388F366" w14:textId="56878F40" w:rsidR="00656FEF" w:rsidRPr="00BE6EE9" w:rsidRDefault="00656FEF" w:rsidP="0056571F">
            <w:pPr>
              <w:pStyle w:val="TableTextRight"/>
              <w:rPr>
                <w:vertAlign w:val="superscript"/>
              </w:rPr>
            </w:pPr>
          </w:p>
        </w:tc>
        <w:tc>
          <w:tcPr>
            <w:tcW w:w="1294" w:type="dxa"/>
          </w:tcPr>
          <w:p w14:paraId="57EE689E" w14:textId="5455B5BB" w:rsidR="00656FEF" w:rsidRPr="00BE6EE9" w:rsidRDefault="00656FEF" w:rsidP="0056571F">
            <w:pPr>
              <w:pStyle w:val="TableTextRight"/>
            </w:pPr>
            <w:r w:rsidRPr="00BE6EE9">
              <w:t>446</w:t>
            </w:r>
          </w:p>
        </w:tc>
        <w:tc>
          <w:tcPr>
            <w:tcW w:w="1294" w:type="dxa"/>
          </w:tcPr>
          <w:p w14:paraId="70306A0F" w14:textId="0F970A94" w:rsidR="00656FEF" w:rsidRPr="00BE6EE9" w:rsidRDefault="00656FEF" w:rsidP="00EE3929">
            <w:pPr>
              <w:pStyle w:val="TableTextLeft"/>
            </w:pPr>
            <w:r w:rsidRPr="00BE6EE9">
              <w:t>Melbourne</w:t>
            </w:r>
          </w:p>
        </w:tc>
        <w:tc>
          <w:tcPr>
            <w:tcW w:w="1295" w:type="dxa"/>
          </w:tcPr>
          <w:p w14:paraId="1C3DE1A1" w14:textId="37E51A9C" w:rsidR="00656FEF" w:rsidRPr="00BE6EE9" w:rsidRDefault="00656FEF" w:rsidP="0056571F">
            <w:pPr>
              <w:pStyle w:val="TableTextRight"/>
            </w:pPr>
            <w:r>
              <w:t>N/A</w:t>
            </w:r>
          </w:p>
        </w:tc>
      </w:tr>
      <w:tr w:rsidR="00656FEF" w:rsidRPr="00C32080" w14:paraId="0BA735C1" w14:textId="77777777" w:rsidTr="005836C7">
        <w:trPr>
          <w:cantSplit/>
          <w:trHeight w:val="299"/>
        </w:trPr>
        <w:tc>
          <w:tcPr>
            <w:tcW w:w="1294" w:type="dxa"/>
          </w:tcPr>
          <w:p w14:paraId="2AB3B89A" w14:textId="5AAB3E24" w:rsidR="00656FEF" w:rsidRPr="00BE6EE9" w:rsidRDefault="00656FEF" w:rsidP="00EE3929">
            <w:pPr>
              <w:pStyle w:val="TableTextLeft"/>
            </w:pPr>
            <w:proofErr w:type="spellStart"/>
            <w:r w:rsidRPr="00E04AD2">
              <w:t>Coburg</w:t>
            </w:r>
            <w:r w:rsidRPr="00BE6EE9">
              <w:rPr>
                <w:rStyle w:val="Hyperlink"/>
                <w:rFonts w:asciiTheme="minorHAnsi" w:hAnsiTheme="minorHAnsi" w:cstheme="minorHAnsi"/>
                <w:color w:val="auto"/>
                <w:szCs w:val="18"/>
                <w:vertAlign w:val="superscript"/>
              </w:rPr>
              <w:t>c</w:t>
            </w:r>
            <w:proofErr w:type="spellEnd"/>
          </w:p>
        </w:tc>
        <w:tc>
          <w:tcPr>
            <w:tcW w:w="1294" w:type="dxa"/>
          </w:tcPr>
          <w:p w14:paraId="45F6C0E6" w14:textId="77777777" w:rsidR="00656FEF" w:rsidRPr="00BE6EE9" w:rsidRDefault="00656FEF" w:rsidP="00EE3929">
            <w:pPr>
              <w:pStyle w:val="TableTextLeft"/>
            </w:pPr>
            <w:r w:rsidRPr="00BE6EE9">
              <w:t xml:space="preserve">Super Housing </w:t>
            </w:r>
            <w:proofErr w:type="spellStart"/>
            <w:r w:rsidRPr="00E04AD2">
              <w:t>Partnerships</w:t>
            </w:r>
            <w:r>
              <w:rPr>
                <w:vertAlign w:val="superscript"/>
              </w:rPr>
              <w:t>d</w:t>
            </w:r>
            <w:proofErr w:type="spellEnd"/>
          </w:p>
        </w:tc>
        <w:tc>
          <w:tcPr>
            <w:tcW w:w="1294" w:type="dxa"/>
          </w:tcPr>
          <w:p w14:paraId="4BBDACFC" w14:textId="248AE8FC" w:rsidR="00656FEF" w:rsidRPr="00BE6EE9" w:rsidRDefault="00656FEF" w:rsidP="00EE3929">
            <w:pPr>
              <w:pStyle w:val="TableTextLeft"/>
            </w:pPr>
            <w:r w:rsidRPr="00BE6EE9">
              <w:t>Assemble</w:t>
            </w:r>
          </w:p>
        </w:tc>
        <w:tc>
          <w:tcPr>
            <w:tcW w:w="1295" w:type="dxa"/>
            <w:vMerge/>
          </w:tcPr>
          <w:p w14:paraId="46A20C80" w14:textId="298F648A" w:rsidR="00656FEF" w:rsidRPr="00BE6EE9" w:rsidRDefault="00656FEF" w:rsidP="0056571F">
            <w:pPr>
              <w:pStyle w:val="TableTextRight"/>
              <w:rPr>
                <w:vertAlign w:val="superscript"/>
              </w:rPr>
            </w:pPr>
          </w:p>
        </w:tc>
        <w:tc>
          <w:tcPr>
            <w:tcW w:w="1294" w:type="dxa"/>
          </w:tcPr>
          <w:p w14:paraId="51C652E1" w14:textId="77299EAC" w:rsidR="00656FEF" w:rsidRPr="00BE6EE9" w:rsidRDefault="00656FEF" w:rsidP="0056571F">
            <w:pPr>
              <w:pStyle w:val="TableTextRight"/>
            </w:pPr>
            <w:r w:rsidRPr="00BE6EE9">
              <w:t>180</w:t>
            </w:r>
          </w:p>
        </w:tc>
        <w:tc>
          <w:tcPr>
            <w:tcW w:w="1294" w:type="dxa"/>
          </w:tcPr>
          <w:p w14:paraId="40666D69" w14:textId="307D79BA" w:rsidR="00656FEF" w:rsidRPr="00BE6EE9" w:rsidRDefault="00656FEF" w:rsidP="00EE3929">
            <w:pPr>
              <w:pStyle w:val="TableTextLeft"/>
            </w:pPr>
            <w:r w:rsidRPr="00BE6EE9">
              <w:t>Melbourne</w:t>
            </w:r>
          </w:p>
        </w:tc>
        <w:tc>
          <w:tcPr>
            <w:tcW w:w="1295" w:type="dxa"/>
          </w:tcPr>
          <w:p w14:paraId="34B12A0E" w14:textId="3ECCE0D1" w:rsidR="00656FEF" w:rsidRPr="00BE6EE9" w:rsidRDefault="00656FEF" w:rsidP="0056571F">
            <w:pPr>
              <w:pStyle w:val="TableTextRight"/>
            </w:pPr>
            <w:r>
              <w:t>N/A</w:t>
            </w:r>
          </w:p>
        </w:tc>
      </w:tr>
      <w:tr w:rsidR="00656FEF" w:rsidRPr="00C32080" w14:paraId="6A844F24" w14:textId="77777777" w:rsidTr="005836C7">
        <w:trPr>
          <w:cantSplit/>
          <w:trHeight w:val="299"/>
        </w:trPr>
        <w:tc>
          <w:tcPr>
            <w:tcW w:w="1294" w:type="dxa"/>
          </w:tcPr>
          <w:p w14:paraId="28C5D859" w14:textId="77E47DAD" w:rsidR="00656FEF" w:rsidRPr="00BE6EE9" w:rsidRDefault="00656FEF" w:rsidP="00EE3929">
            <w:pPr>
              <w:pStyle w:val="TableTextLeft"/>
            </w:pPr>
            <w:proofErr w:type="spellStart"/>
            <w:r w:rsidRPr="00BE6EE9">
              <w:t>Carnish</w:t>
            </w:r>
            <w:proofErr w:type="spellEnd"/>
            <w:r w:rsidRPr="00BE6EE9">
              <w:t xml:space="preserve"> Rd, </w:t>
            </w:r>
            <w:proofErr w:type="spellStart"/>
            <w:r w:rsidRPr="00E04AD2">
              <w:t>Clayton</w:t>
            </w:r>
            <w:r w:rsidRPr="00BE6EE9">
              <w:rPr>
                <w:rStyle w:val="Hyperlink"/>
                <w:rFonts w:asciiTheme="minorHAnsi" w:hAnsiTheme="minorHAnsi" w:cstheme="minorHAnsi"/>
                <w:color w:val="auto"/>
                <w:szCs w:val="18"/>
                <w:vertAlign w:val="superscript"/>
              </w:rPr>
              <w:t>c</w:t>
            </w:r>
            <w:proofErr w:type="spellEnd"/>
          </w:p>
        </w:tc>
        <w:tc>
          <w:tcPr>
            <w:tcW w:w="1294" w:type="dxa"/>
          </w:tcPr>
          <w:p w14:paraId="6309BAFA" w14:textId="77777777" w:rsidR="00656FEF" w:rsidRPr="00BE6EE9" w:rsidRDefault="00656FEF" w:rsidP="00EE3929">
            <w:pPr>
              <w:pStyle w:val="TableTextLeft"/>
            </w:pPr>
            <w:r w:rsidRPr="00BE6EE9">
              <w:t xml:space="preserve">Super Housing </w:t>
            </w:r>
            <w:proofErr w:type="spellStart"/>
            <w:r w:rsidRPr="00E04AD2">
              <w:t>Partnerships</w:t>
            </w:r>
            <w:r>
              <w:rPr>
                <w:vertAlign w:val="superscript"/>
              </w:rPr>
              <w:t>d</w:t>
            </w:r>
            <w:proofErr w:type="spellEnd"/>
          </w:p>
        </w:tc>
        <w:tc>
          <w:tcPr>
            <w:tcW w:w="1294" w:type="dxa"/>
          </w:tcPr>
          <w:p w14:paraId="4909A0C1" w14:textId="0018D97A" w:rsidR="00656FEF" w:rsidRPr="00BE6EE9" w:rsidRDefault="00656FEF" w:rsidP="00EE3929">
            <w:pPr>
              <w:pStyle w:val="TableTextLeft"/>
            </w:pPr>
            <w:r w:rsidRPr="00BE6EE9">
              <w:t>Assemble</w:t>
            </w:r>
          </w:p>
        </w:tc>
        <w:tc>
          <w:tcPr>
            <w:tcW w:w="1295" w:type="dxa"/>
            <w:vMerge/>
          </w:tcPr>
          <w:p w14:paraId="1168DE76" w14:textId="7D10D73F" w:rsidR="00656FEF" w:rsidRPr="00BE6EE9" w:rsidRDefault="00656FEF" w:rsidP="0056571F">
            <w:pPr>
              <w:pStyle w:val="TableTextRight"/>
              <w:rPr>
                <w:vertAlign w:val="superscript"/>
              </w:rPr>
            </w:pPr>
          </w:p>
        </w:tc>
        <w:tc>
          <w:tcPr>
            <w:tcW w:w="1294" w:type="dxa"/>
          </w:tcPr>
          <w:p w14:paraId="7F2B203E" w14:textId="12B9213A" w:rsidR="00656FEF" w:rsidRPr="00BE6EE9" w:rsidRDefault="00656FEF" w:rsidP="0056571F">
            <w:pPr>
              <w:pStyle w:val="TableTextRight"/>
            </w:pPr>
            <w:r w:rsidRPr="00BE6EE9">
              <w:t>332</w:t>
            </w:r>
          </w:p>
        </w:tc>
        <w:tc>
          <w:tcPr>
            <w:tcW w:w="1294" w:type="dxa"/>
          </w:tcPr>
          <w:p w14:paraId="3480E063" w14:textId="58B3A39E" w:rsidR="00656FEF" w:rsidRPr="00BE6EE9" w:rsidRDefault="00656FEF" w:rsidP="00EE3929">
            <w:pPr>
              <w:pStyle w:val="TableTextLeft"/>
            </w:pPr>
            <w:r w:rsidRPr="00BE6EE9">
              <w:t>Melbourne</w:t>
            </w:r>
          </w:p>
        </w:tc>
        <w:tc>
          <w:tcPr>
            <w:tcW w:w="1295" w:type="dxa"/>
          </w:tcPr>
          <w:p w14:paraId="0D2BF5E0" w14:textId="5FF7E5E6" w:rsidR="00656FEF" w:rsidRPr="00BE6EE9" w:rsidRDefault="00656FEF" w:rsidP="0056571F">
            <w:pPr>
              <w:pStyle w:val="TableTextRight"/>
            </w:pPr>
            <w:r>
              <w:t>N/A</w:t>
            </w:r>
          </w:p>
        </w:tc>
      </w:tr>
      <w:tr w:rsidR="00656FEF" w:rsidRPr="002E3FBF" w14:paraId="067F2712" w14:textId="77777777" w:rsidTr="005836C7">
        <w:trPr>
          <w:cantSplit/>
          <w:trHeight w:val="299"/>
        </w:trPr>
        <w:tc>
          <w:tcPr>
            <w:tcW w:w="1294" w:type="dxa"/>
          </w:tcPr>
          <w:p w14:paraId="7729CC4A" w14:textId="4F811B5E" w:rsidR="00656FEF" w:rsidRPr="00BE6EE9" w:rsidRDefault="00656FEF" w:rsidP="00CB20C3">
            <w:pPr>
              <w:pStyle w:val="TableTextLeft"/>
            </w:pPr>
            <w:r w:rsidRPr="00BE6EE9">
              <w:t xml:space="preserve">East </w:t>
            </w:r>
            <w:proofErr w:type="spellStart"/>
            <w:r w:rsidRPr="00E04AD2">
              <w:t>Bentleigh</w:t>
            </w:r>
            <w:r>
              <w:rPr>
                <w:rStyle w:val="Hyperlink"/>
                <w:rFonts w:asciiTheme="minorHAnsi" w:hAnsiTheme="minorHAnsi" w:cstheme="minorHAnsi"/>
                <w:color w:val="auto"/>
                <w:szCs w:val="18"/>
                <w:vertAlign w:val="superscript"/>
              </w:rPr>
              <w:t>c</w:t>
            </w:r>
            <w:proofErr w:type="spellEnd"/>
          </w:p>
        </w:tc>
        <w:tc>
          <w:tcPr>
            <w:tcW w:w="1294" w:type="dxa"/>
          </w:tcPr>
          <w:p w14:paraId="198F327D" w14:textId="22F6251F" w:rsidR="00656FEF" w:rsidRPr="00BE6EE9" w:rsidRDefault="00656FEF" w:rsidP="00CB20C3">
            <w:pPr>
              <w:pStyle w:val="TableTextLeft"/>
            </w:pPr>
            <w:r w:rsidRPr="00BE6EE9">
              <w:t xml:space="preserve">Super Housing </w:t>
            </w:r>
            <w:proofErr w:type="spellStart"/>
            <w:r w:rsidRPr="00E04AD2">
              <w:t>Partnerships</w:t>
            </w:r>
            <w:r>
              <w:rPr>
                <w:vertAlign w:val="superscript"/>
              </w:rPr>
              <w:t>d</w:t>
            </w:r>
            <w:proofErr w:type="spellEnd"/>
          </w:p>
        </w:tc>
        <w:tc>
          <w:tcPr>
            <w:tcW w:w="1294" w:type="dxa"/>
          </w:tcPr>
          <w:p w14:paraId="2590A5C7" w14:textId="4464CE50" w:rsidR="00656FEF" w:rsidRPr="00BE6EE9" w:rsidRDefault="00656FEF" w:rsidP="00CB20C3">
            <w:pPr>
              <w:pStyle w:val="TableTextLeft"/>
            </w:pPr>
            <w:r w:rsidRPr="00BE6EE9">
              <w:t>Assemble</w:t>
            </w:r>
          </w:p>
        </w:tc>
        <w:tc>
          <w:tcPr>
            <w:tcW w:w="1295" w:type="dxa"/>
            <w:vMerge/>
          </w:tcPr>
          <w:p w14:paraId="393477E5" w14:textId="77777777" w:rsidR="00656FEF" w:rsidRPr="00BE6EE9" w:rsidRDefault="00656FEF" w:rsidP="0056571F">
            <w:pPr>
              <w:pStyle w:val="TableTextRight"/>
              <w:rPr>
                <w:vertAlign w:val="superscript"/>
              </w:rPr>
            </w:pPr>
          </w:p>
        </w:tc>
        <w:tc>
          <w:tcPr>
            <w:tcW w:w="1294" w:type="dxa"/>
          </w:tcPr>
          <w:p w14:paraId="2CE8534D" w14:textId="6F7DCFF6" w:rsidR="00656FEF" w:rsidRPr="00BE6EE9" w:rsidRDefault="00656FEF" w:rsidP="0056571F">
            <w:pPr>
              <w:pStyle w:val="TableTextRight"/>
            </w:pPr>
            <w:r w:rsidRPr="00BE6EE9">
              <w:t>325</w:t>
            </w:r>
          </w:p>
        </w:tc>
        <w:tc>
          <w:tcPr>
            <w:tcW w:w="1294" w:type="dxa"/>
          </w:tcPr>
          <w:p w14:paraId="67D072E8" w14:textId="26A2BA79" w:rsidR="00656FEF" w:rsidRPr="00BE6EE9" w:rsidRDefault="00656FEF" w:rsidP="00CB20C3">
            <w:pPr>
              <w:pStyle w:val="TableTextLeft"/>
            </w:pPr>
            <w:r w:rsidRPr="00BE6EE9">
              <w:t>Melbourne</w:t>
            </w:r>
          </w:p>
        </w:tc>
        <w:tc>
          <w:tcPr>
            <w:tcW w:w="1295" w:type="dxa"/>
          </w:tcPr>
          <w:p w14:paraId="42D5287D" w14:textId="7F455B08" w:rsidR="00656FEF" w:rsidRDefault="00656FEF" w:rsidP="0056571F">
            <w:pPr>
              <w:pStyle w:val="TableTextRight"/>
            </w:pPr>
            <w:r>
              <w:t>N/A</w:t>
            </w:r>
          </w:p>
        </w:tc>
      </w:tr>
    </w:tbl>
    <w:p w14:paraId="3BF9C732" w14:textId="2195E242" w:rsidR="00AE7E73" w:rsidRPr="00670373" w:rsidRDefault="00AE7E73" w:rsidP="004462E8">
      <w:pPr>
        <w:pStyle w:val="ChartandTableFootnoteAlpha"/>
        <w:numPr>
          <w:ilvl w:val="0"/>
          <w:numId w:val="32"/>
        </w:numPr>
      </w:pPr>
      <w:r w:rsidRPr="00670373">
        <w:t>Figures presented are project values reported by project proponents or relayed in media coverage of the project.</w:t>
      </w:r>
    </w:p>
    <w:p w14:paraId="785BAA92" w14:textId="34CF11BD" w:rsidR="00AE7E73" w:rsidRPr="00670373" w:rsidRDefault="00AE7E73" w:rsidP="006D10A1">
      <w:pPr>
        <w:pStyle w:val="ChartandTableFootnoteAlpha"/>
      </w:pPr>
      <w:r w:rsidRPr="00670373">
        <w:t>Social and affordable housing projects.</w:t>
      </w:r>
    </w:p>
    <w:p w14:paraId="6FAB98F9" w14:textId="2BA93F6C" w:rsidR="00AE7E73" w:rsidRPr="00670373" w:rsidRDefault="00AE7E73" w:rsidP="006D10A1">
      <w:pPr>
        <w:pStyle w:val="ChartandTableFootnoteAlpha"/>
      </w:pPr>
      <w:r w:rsidRPr="00670373">
        <w:t>Mixed</w:t>
      </w:r>
      <w:r w:rsidR="00563A2B">
        <w:noBreakHyphen/>
      </w:r>
      <w:r w:rsidRPr="00670373">
        <w:t>tenure projects.</w:t>
      </w:r>
    </w:p>
    <w:p w14:paraId="25188511" w14:textId="1C7BE361" w:rsidR="00AE7E73" w:rsidRPr="00670373" w:rsidRDefault="00AE7E73" w:rsidP="006D10A1">
      <w:pPr>
        <w:pStyle w:val="ChartandTableFootnoteAlpha"/>
      </w:pPr>
      <w:r w:rsidRPr="00670373">
        <w:t>Super Housing Partnerships is an investment vehicle established by superannuation fund HESTA. HESTA is currently the only disclosed institutional investor.</w:t>
      </w:r>
    </w:p>
    <w:p w14:paraId="38B5935A" w14:textId="7C07983B" w:rsidR="00AE7E73" w:rsidRPr="00670373" w:rsidRDefault="00AE7E73" w:rsidP="006D10A1">
      <w:pPr>
        <w:pStyle w:val="ChartandTableFootnoteAlpha"/>
      </w:pPr>
      <w:r w:rsidRPr="00670373">
        <w:t>The Queensland Investment Corporation (QIC)</w:t>
      </w:r>
      <w:r w:rsidR="00563A2B">
        <w:noBreakHyphen/>
      </w:r>
      <w:r w:rsidRPr="00670373">
        <w:t xml:space="preserve">Brisbane Housing Company (BHC) Social Housing Consortium intends to deliver up to 1,200 new homes through the partnership. The initial stage will deliver </w:t>
      </w:r>
      <w:r w:rsidR="00FC6985">
        <w:t>7</w:t>
      </w:r>
      <w:r w:rsidRPr="00670373">
        <w:t xml:space="preserve"> projects, representing nearly 600</w:t>
      </w:r>
      <w:r w:rsidR="00CD42FE">
        <w:t> </w:t>
      </w:r>
      <w:r w:rsidRPr="00670373">
        <w:t>dwellings.</w:t>
      </w:r>
    </w:p>
    <w:p w14:paraId="28E2A3B0" w14:textId="37FACE3E" w:rsidR="00AE7E73" w:rsidRPr="00670373" w:rsidRDefault="00AE7E73" w:rsidP="006D10A1">
      <w:pPr>
        <w:pStyle w:val="ChartandTableFootnoteAlpha"/>
      </w:pPr>
      <w:r w:rsidRPr="00670373">
        <w:t>For Illustrative purposes, total project values which could not be identified have been calculated using CoreLogic</w:t>
      </w:r>
      <w:r w:rsidR="00563A2B">
        <w:t>’</w:t>
      </w:r>
      <w:r w:rsidRPr="00670373">
        <w:t>s median monthly unit price for a project</w:t>
      </w:r>
      <w:r w:rsidR="00563A2B">
        <w:t>’</w:t>
      </w:r>
      <w:r w:rsidRPr="00670373">
        <w:t xml:space="preserve">s location (e.g. greater Melbourne) taking a </w:t>
      </w:r>
      <w:r w:rsidR="00FC6985">
        <w:t>5</w:t>
      </w:r>
      <w:r w:rsidR="00563A2B">
        <w:noBreakHyphen/>
      </w:r>
      <w:r w:rsidRPr="00670373">
        <w:t>year average (July 2018 to June</w:t>
      </w:r>
      <w:r w:rsidR="00FB71C7">
        <w:t> </w:t>
      </w:r>
      <w:r w:rsidRPr="00670373">
        <w:t>2023) for the price. The average price is then multiplied by a project</w:t>
      </w:r>
      <w:r w:rsidR="00563A2B">
        <w:t>’</w:t>
      </w:r>
      <w:r w:rsidRPr="00670373">
        <w:t>s total units to generate an estimated project value.</w:t>
      </w:r>
    </w:p>
    <w:p w14:paraId="3F0098CC" w14:textId="0DE0BDD7" w:rsidR="00AE7E73" w:rsidRDefault="00AE7E73" w:rsidP="00B13F48">
      <w:pPr>
        <w:pStyle w:val="ChartorTableNote"/>
      </w:pPr>
      <w:r w:rsidRPr="00670373">
        <w:t>Source: Project details compiled using information on developer and investor websites, and media coverage of projects.</w:t>
      </w:r>
    </w:p>
    <w:p w14:paraId="274C827A" w14:textId="77777777" w:rsidR="009A4DA0" w:rsidRPr="007968D8" w:rsidRDefault="009A4DA0" w:rsidP="00A83E6C">
      <w:pPr>
        <w:pStyle w:val="Heading2Numbered"/>
      </w:pPr>
      <w:bookmarkStart w:id="104" w:name="_Toc141355261"/>
      <w:r w:rsidRPr="007968D8">
        <w:lastRenderedPageBreak/>
        <w:t>Lack of an existing market</w:t>
      </w:r>
      <w:bookmarkEnd w:id="104"/>
    </w:p>
    <w:p w14:paraId="3D365591" w14:textId="08AD503C" w:rsidR="009A4DA0" w:rsidRPr="00C5313F" w:rsidRDefault="009A4DA0" w:rsidP="00B20C3F">
      <w:pPr>
        <w:keepLines/>
      </w:pPr>
      <w:r w:rsidRPr="003D1A3D">
        <w:t>The lack of</w:t>
      </w:r>
      <w:r>
        <w:t xml:space="preserve"> a </w:t>
      </w:r>
      <w:r w:rsidR="00CE720B">
        <w:t>consistent and</w:t>
      </w:r>
      <w:r>
        <w:t xml:space="preserve"> </w:t>
      </w:r>
      <w:r w:rsidR="00B64A36">
        <w:t>sufficient</w:t>
      </w:r>
      <w:r w:rsidR="003609B4">
        <w:t xml:space="preserve"> number</w:t>
      </w:r>
      <w:r>
        <w:t xml:space="preserve"> of new,</w:t>
      </w:r>
      <w:r w:rsidRPr="003D1A3D">
        <w:t xml:space="preserve"> large</w:t>
      </w:r>
      <w:r w:rsidR="00563A2B">
        <w:noBreakHyphen/>
      </w:r>
      <w:r w:rsidRPr="003D1A3D">
        <w:t xml:space="preserve">scale </w:t>
      </w:r>
      <w:r>
        <w:t>institutional housing</w:t>
      </w:r>
      <w:r w:rsidRPr="003D1A3D">
        <w:t xml:space="preserve"> assets </w:t>
      </w:r>
      <w:r>
        <w:t>coming to market, and a lack of</w:t>
      </w:r>
      <w:r w:rsidR="00730456">
        <w:t> </w:t>
      </w:r>
      <w:r>
        <w:t xml:space="preserve">secondary market </w:t>
      </w:r>
      <w:r w:rsidRPr="003D1A3D">
        <w:t xml:space="preserve">assets </w:t>
      </w:r>
      <w:r>
        <w:t>for sale, creates a number of investment management risks for investors</w:t>
      </w:r>
      <w:r w:rsidRPr="003D1A3D">
        <w:t>.</w:t>
      </w:r>
      <w:r>
        <w:t xml:space="preserve"> Price discovery is limited, which</w:t>
      </w:r>
      <w:r w:rsidRPr="008B1C0F">
        <w:t xml:space="preserve"> adds risk and complexity for trustees, including with respect to member equity (if </w:t>
      </w:r>
      <w:r w:rsidRPr="00C5313F">
        <w:t xml:space="preserve">an asset is overvalued, exiting members are favoured over remaining members). </w:t>
      </w:r>
      <w:r>
        <w:t>It</w:t>
      </w:r>
      <w:r w:rsidR="008E5EF5">
        <w:t> </w:t>
      </w:r>
      <w:r>
        <w:t>also raises liquidity risk, as there is no ready market to acquire or dispose of large</w:t>
      </w:r>
      <w:r w:rsidR="00563A2B">
        <w:noBreakHyphen/>
      </w:r>
      <w:r>
        <w:t>scale housing assets. And it</w:t>
      </w:r>
      <w:r w:rsidRPr="00C5313F">
        <w:t xml:space="preserve"> reduces the availability of data for investment analysis </w:t>
      </w:r>
      <w:r>
        <w:t>and for credit assessment</w:t>
      </w:r>
      <w:r w:rsidRPr="00C5313F">
        <w:t xml:space="preserve">, which raises the cost of </w:t>
      </w:r>
      <w:r>
        <w:t xml:space="preserve">debt and equity </w:t>
      </w:r>
      <w:r w:rsidRPr="00C5313F">
        <w:t xml:space="preserve">financing. </w:t>
      </w:r>
      <w:r>
        <w:t>Lastly,</w:t>
      </w:r>
      <w:r w:rsidRPr="00C5313F">
        <w:t xml:space="preserve"> the absence of an established market also raises uncertainty about </w:t>
      </w:r>
      <w:r w:rsidR="004F28A5">
        <w:t>g</w:t>
      </w:r>
      <w:r w:rsidRPr="00C5313F">
        <w:t>overnment policy, given the lack of an existing constituency that can advocate for stability in policy settings.</w:t>
      </w:r>
    </w:p>
    <w:p w14:paraId="687D6DF2" w14:textId="39BBA483" w:rsidR="009A4DA0" w:rsidRPr="00C5313F" w:rsidRDefault="009A4DA0" w:rsidP="002239E2">
      <w:r w:rsidRPr="00C5313F">
        <w:t xml:space="preserve">As noted in Chapter </w:t>
      </w:r>
      <w:r w:rsidR="00DE1EEF">
        <w:t>2</w:t>
      </w:r>
      <w:r w:rsidRPr="00C5313F">
        <w:t xml:space="preserve">, many Australian institutional investors that do not invest in residential property in Australia participate in the </w:t>
      </w:r>
      <w:r>
        <w:t xml:space="preserve">United States, </w:t>
      </w:r>
      <w:r w:rsidR="008E5EF5">
        <w:t xml:space="preserve">the </w:t>
      </w:r>
      <w:r>
        <w:t>United Kingdom</w:t>
      </w:r>
      <w:r w:rsidRPr="00C5313F">
        <w:t xml:space="preserve"> and other residential property markets where the institutional housing sector is better developed. These investors cite the availability of key data such</w:t>
      </w:r>
      <w:r w:rsidR="00235D9F">
        <w:t xml:space="preserve"> as</w:t>
      </w:r>
      <w:r w:rsidRPr="00C5313F">
        <w:t xml:space="preserve"> property transaction histories, and operational data on tenancies, vacancy rates and capital expenditure, as supportive of investment.</w:t>
      </w:r>
    </w:p>
    <w:p w14:paraId="2EEFC7B0" w14:textId="7B92FA5F" w:rsidR="009A4DA0" w:rsidRPr="00C5313F" w:rsidRDefault="009A4DA0" w:rsidP="002239E2">
      <w:r w:rsidRPr="00C5313F">
        <w:t>The lack of a market partly reflects the preference of large developers of new projects to sell directly to many individual investors, rather</w:t>
      </w:r>
      <w:r w:rsidR="00A77AC6">
        <w:t xml:space="preserve"> than</w:t>
      </w:r>
      <w:r w:rsidRPr="00C5313F">
        <w:t xml:space="preserve"> as a single transaction to an institutional investor. This in part reflects the </w:t>
      </w:r>
      <w:r w:rsidR="00362A65">
        <w:t xml:space="preserve">potential for developers to receive higher prices from individuals, and </w:t>
      </w:r>
      <w:r w:rsidRPr="00C5313F">
        <w:t>the preference of banks for a fraction of units to be pre</w:t>
      </w:r>
      <w:r w:rsidR="00563A2B">
        <w:noBreakHyphen/>
      </w:r>
      <w:r w:rsidRPr="00C5313F">
        <w:t>sold prior to commencement, after which time the ownership of the asset is fragmented and is difficult to re</w:t>
      </w:r>
      <w:r w:rsidR="00563A2B">
        <w:noBreakHyphen/>
      </w:r>
      <w:r w:rsidRPr="00C5313F">
        <w:t xml:space="preserve">constitute as a single asset. </w:t>
      </w:r>
    </w:p>
    <w:p w14:paraId="3FCC7E8F" w14:textId="79F2C185" w:rsidR="009A4DA0" w:rsidRPr="00C5313F" w:rsidRDefault="009A4DA0" w:rsidP="002239E2">
      <w:r w:rsidRPr="00C5313F">
        <w:t xml:space="preserve">The lack of large projects coming to market </w:t>
      </w:r>
      <w:r w:rsidR="00362A65">
        <w:t xml:space="preserve">from developers </w:t>
      </w:r>
      <w:r w:rsidRPr="00C5313F">
        <w:t xml:space="preserve">for institutional investors means that the main avenue into the market is </w:t>
      </w:r>
      <w:r w:rsidR="00E52462">
        <w:t xml:space="preserve">by investing in and supporting the </w:t>
      </w:r>
      <w:r w:rsidR="00DD7941">
        <w:t>development of projects themselves</w:t>
      </w:r>
      <w:r w:rsidRPr="00C5313F">
        <w:t xml:space="preserve">. However, there is limited appetite to invest </w:t>
      </w:r>
      <w:r w:rsidR="002E41F3">
        <w:t>in this</w:t>
      </w:r>
      <w:r>
        <w:t xml:space="preserve"> format</w:t>
      </w:r>
      <w:r w:rsidRPr="00C5313F">
        <w:t>. It involves taking significant development risk, which is not a core competency of most institutional investors. Some investors also cited the difficulty in valuing build</w:t>
      </w:r>
      <w:r w:rsidR="00563A2B">
        <w:noBreakHyphen/>
      </w:r>
      <w:r w:rsidRPr="00C5313F">
        <w:t>to</w:t>
      </w:r>
      <w:r w:rsidR="00563A2B">
        <w:noBreakHyphen/>
      </w:r>
      <w:r w:rsidRPr="00C5313F">
        <w:t xml:space="preserve">rent projects over their life, which gives rise to </w:t>
      </w:r>
      <w:r w:rsidR="00563A2B">
        <w:t>‘</w:t>
      </w:r>
      <w:r w:rsidRPr="00C5313F">
        <w:t>sequencing</w:t>
      </w:r>
      <w:r w:rsidR="00563A2B">
        <w:t>’</w:t>
      </w:r>
      <w:r w:rsidRPr="00C5313F">
        <w:t xml:space="preserve"> or </w:t>
      </w:r>
      <w:r w:rsidR="00563A2B">
        <w:t>‘</w:t>
      </w:r>
      <w:r w:rsidRPr="00C5313F">
        <w:t>J</w:t>
      </w:r>
      <w:r w:rsidR="00563A2B">
        <w:noBreakHyphen/>
      </w:r>
      <w:r w:rsidRPr="00C5313F">
        <w:t>curve</w:t>
      </w:r>
      <w:r w:rsidR="00563A2B">
        <w:t>’</w:t>
      </w:r>
      <w:r w:rsidRPr="00C5313F">
        <w:t xml:space="preserve"> risk. This risk arises from the fact that substantial cash outflows occur at the start of a project, while there is a long tail of income over the project</w:t>
      </w:r>
      <w:r w:rsidR="00563A2B">
        <w:t>’</w:t>
      </w:r>
      <w:r w:rsidRPr="00C5313F">
        <w:t>s life. This creates the risk that members exiting the fund prior to the completion of the project may receive inadequate or excessive compensation for their investment, at the expense or benefit of longer</w:t>
      </w:r>
      <w:r w:rsidR="00563A2B">
        <w:noBreakHyphen/>
      </w:r>
      <w:r w:rsidRPr="00C5313F">
        <w:t>term</w:t>
      </w:r>
      <w:r>
        <w:t xml:space="preserve"> – </w:t>
      </w:r>
      <w:r w:rsidRPr="00C5313F">
        <w:t>usually younger</w:t>
      </w:r>
      <w:r>
        <w:t xml:space="preserve"> – </w:t>
      </w:r>
      <w:r w:rsidRPr="00C5313F">
        <w:t>members. That said, this concern has not prevented institutional investors from investing in the development of commercial and industrial real estate assets, or other long</w:t>
      </w:r>
      <w:r w:rsidR="00563A2B">
        <w:noBreakHyphen/>
      </w:r>
      <w:r w:rsidRPr="00C5313F">
        <w:t>dated assets such as infrastructure.</w:t>
      </w:r>
    </w:p>
    <w:p w14:paraId="232002B3" w14:textId="77777777" w:rsidR="009A4DA0" w:rsidRPr="007968D8" w:rsidRDefault="009A4DA0" w:rsidP="00A83E6C">
      <w:pPr>
        <w:pStyle w:val="Heading2Numbered"/>
      </w:pPr>
      <w:bookmarkStart w:id="105" w:name="_Toc139618824"/>
      <w:bookmarkStart w:id="106" w:name="_Toc141355262"/>
      <w:bookmarkEnd w:id="102"/>
      <w:bookmarkEnd w:id="103"/>
      <w:r w:rsidRPr="007968D8">
        <w:lastRenderedPageBreak/>
        <w:t>Policy and regulatory uncertainty</w:t>
      </w:r>
      <w:bookmarkEnd w:id="105"/>
      <w:r w:rsidRPr="007968D8">
        <w:t xml:space="preserve"> </w:t>
      </w:r>
      <w:r>
        <w:t>and complexity</w:t>
      </w:r>
      <w:bookmarkEnd w:id="106"/>
    </w:p>
    <w:p w14:paraId="1E146333" w14:textId="0B5DC642" w:rsidR="009A4DA0" w:rsidRDefault="009A4DA0" w:rsidP="004462E8">
      <w:pPr>
        <w:keepNext/>
        <w:keepLines/>
        <w:rPr>
          <w:vertAlign w:val="superscript"/>
        </w:rPr>
      </w:pPr>
      <w:r w:rsidRPr="00C5313F">
        <w:t>Creating a stable</w:t>
      </w:r>
      <w:r>
        <w:t>, consistent and streamlined</w:t>
      </w:r>
      <w:r w:rsidRPr="00C5313F">
        <w:t xml:space="preserve"> policy </w:t>
      </w:r>
      <w:r>
        <w:t xml:space="preserve">and regulatory </w:t>
      </w:r>
      <w:r w:rsidR="00563A2B">
        <w:t>‘</w:t>
      </w:r>
      <w:r w:rsidRPr="00C5313F">
        <w:t>ecosystem</w:t>
      </w:r>
      <w:r w:rsidR="00563A2B">
        <w:t>’</w:t>
      </w:r>
      <w:r w:rsidRPr="00C5313F">
        <w:t xml:space="preserve"> </w:t>
      </w:r>
      <w:r>
        <w:t>is</w:t>
      </w:r>
      <w:r w:rsidRPr="00C5313F">
        <w:t xml:space="preserve"> essential to the development and maintenance of housing </w:t>
      </w:r>
      <w:r>
        <w:t xml:space="preserve">as an </w:t>
      </w:r>
      <w:r w:rsidRPr="00C5313F">
        <w:t>asset class for institutional investors.</w:t>
      </w:r>
      <w:r w:rsidRPr="00C5313F">
        <w:rPr>
          <w:vertAlign w:val="superscript"/>
        </w:rPr>
        <w:footnoteReference w:id="2"/>
      </w:r>
      <w:r>
        <w:rPr>
          <w:vertAlign w:val="superscript"/>
        </w:rPr>
        <w:t xml:space="preserve"> </w:t>
      </w:r>
    </w:p>
    <w:p w14:paraId="0F2E4AA9" w14:textId="610C4AF6" w:rsidR="009A4DA0" w:rsidRPr="00C5313F" w:rsidRDefault="009A4DA0" w:rsidP="002239E2">
      <w:r>
        <w:t>Un</w:t>
      </w:r>
      <w:r w:rsidRPr="00C5313F">
        <w:t>certainty and complexity add to risks and costs</w:t>
      </w:r>
      <w:r>
        <w:t>. Of relevance for</w:t>
      </w:r>
      <w:r w:rsidRPr="00C5313F">
        <w:t xml:space="preserve"> institutional investors, complexity and </w:t>
      </w:r>
      <w:r>
        <w:t>uncertainty</w:t>
      </w:r>
      <w:r w:rsidRPr="00C5313F">
        <w:t xml:space="preserve"> tend to increase with </w:t>
      </w:r>
      <w:r>
        <w:t>project</w:t>
      </w:r>
      <w:r w:rsidRPr="00C5313F">
        <w:t xml:space="preserve"> and </w:t>
      </w:r>
      <w:r>
        <w:t xml:space="preserve">asset </w:t>
      </w:r>
      <w:r w:rsidRPr="00C5313F">
        <w:t xml:space="preserve">size. For example, holding multiple residential assets often requires owners to navigate differing regulatory </w:t>
      </w:r>
      <w:r>
        <w:t>regimes</w:t>
      </w:r>
      <w:r w:rsidRPr="00C5313F">
        <w:t xml:space="preserve"> across different state and local governments, adding to administrative costs.</w:t>
      </w:r>
      <w:r>
        <w:t xml:space="preserve"> And by their nature, larger developments attract more regulatory oversight and uncertainty. </w:t>
      </w:r>
    </w:p>
    <w:p w14:paraId="620FD188" w14:textId="77777777" w:rsidR="00397B2F" w:rsidRDefault="009A4DA0" w:rsidP="002719DD">
      <w:pPr>
        <w:spacing w:after="120"/>
      </w:pPr>
      <w:r w:rsidRPr="00C5313F">
        <w:t xml:space="preserve">Areas of policy and regulatory </w:t>
      </w:r>
      <w:r w:rsidRPr="00514183">
        <w:t>uncertainty</w:t>
      </w:r>
      <w:r w:rsidRPr="00C5313F">
        <w:rPr>
          <w:i/>
          <w:iCs/>
        </w:rPr>
        <w:t xml:space="preserve"> </w:t>
      </w:r>
      <w:r>
        <w:t>frequently</w:t>
      </w:r>
      <w:r w:rsidRPr="00C5313F">
        <w:t xml:space="preserve"> cited during consultation included</w:t>
      </w:r>
      <w:r w:rsidR="00397B2F">
        <w:t>:</w:t>
      </w:r>
    </w:p>
    <w:p w14:paraId="522BE65E" w14:textId="645F6277" w:rsidR="00397B2F" w:rsidRPr="002239E2" w:rsidRDefault="009A4DA0" w:rsidP="002239E2">
      <w:pPr>
        <w:pStyle w:val="Bullet"/>
      </w:pPr>
      <w:r w:rsidRPr="00C5313F">
        <w:t xml:space="preserve">local </w:t>
      </w:r>
      <w:r w:rsidRPr="002239E2">
        <w:t>council decision making processes</w:t>
      </w:r>
    </w:p>
    <w:p w14:paraId="738ADC9E" w14:textId="0C3B1F80" w:rsidR="00C3492F" w:rsidRPr="002239E2" w:rsidRDefault="009A4DA0" w:rsidP="002239E2">
      <w:pPr>
        <w:pStyle w:val="Bullet"/>
      </w:pPr>
      <w:r w:rsidRPr="002239E2">
        <w:t xml:space="preserve">the stability of affordable housing concessions, and </w:t>
      </w:r>
    </w:p>
    <w:p w14:paraId="7DF2F288" w14:textId="300F935B" w:rsidR="009A4DA0" w:rsidRPr="00C5313F" w:rsidRDefault="009A4DA0" w:rsidP="002239E2">
      <w:pPr>
        <w:pStyle w:val="Bullet"/>
      </w:pPr>
      <w:r w:rsidRPr="002239E2">
        <w:t>the current</w:t>
      </w:r>
      <w:r w:rsidRPr="00C5313F">
        <w:t xml:space="preserve"> public debate around rent controls and tenants</w:t>
      </w:r>
      <w:r w:rsidR="00563A2B">
        <w:t>’</w:t>
      </w:r>
      <w:r w:rsidRPr="00C5313F">
        <w:t xml:space="preserve"> rights. </w:t>
      </w:r>
    </w:p>
    <w:p w14:paraId="58253340" w14:textId="77777777" w:rsidR="00D46E93" w:rsidRDefault="009A4DA0" w:rsidP="002719DD">
      <w:pPr>
        <w:spacing w:after="120"/>
      </w:pPr>
      <w:r w:rsidRPr="00C5313F">
        <w:t xml:space="preserve">Areas of regulatory and policy </w:t>
      </w:r>
      <w:r w:rsidRPr="00514183">
        <w:t>inconsistency</w:t>
      </w:r>
      <w:r w:rsidRPr="00C5313F">
        <w:t xml:space="preserve"> cited included</w:t>
      </w:r>
      <w:r w:rsidR="00D46E93">
        <w:t>:</w:t>
      </w:r>
    </w:p>
    <w:p w14:paraId="4CB663D8" w14:textId="08D9BC62" w:rsidR="00D46E93" w:rsidRDefault="009A4DA0" w:rsidP="004C52C1">
      <w:pPr>
        <w:pStyle w:val="Bullet"/>
      </w:pPr>
      <w:r w:rsidRPr="00C5313F">
        <w:rPr>
          <w:bCs/>
        </w:rPr>
        <w:t>land use planning controls</w:t>
      </w:r>
    </w:p>
    <w:p w14:paraId="06E3702C" w14:textId="62A85526" w:rsidR="00D96051" w:rsidRDefault="009A4DA0" w:rsidP="004C52C1">
      <w:pPr>
        <w:pStyle w:val="Bullet"/>
      </w:pPr>
      <w:r w:rsidRPr="00C5313F">
        <w:rPr>
          <w:bCs/>
        </w:rPr>
        <w:t>building regulations</w:t>
      </w:r>
    </w:p>
    <w:p w14:paraId="7DC09615" w14:textId="66099C76" w:rsidR="00D96051" w:rsidRDefault="009A4DA0" w:rsidP="004C52C1">
      <w:pPr>
        <w:pStyle w:val="Bullet"/>
      </w:pPr>
      <w:r w:rsidRPr="00C5313F">
        <w:rPr>
          <w:bCs/>
        </w:rPr>
        <w:t>developer levies</w:t>
      </w:r>
    </w:p>
    <w:p w14:paraId="15BFA84A" w14:textId="14C644C5" w:rsidR="00D96051" w:rsidRDefault="009A4DA0" w:rsidP="004C52C1">
      <w:pPr>
        <w:pStyle w:val="Bullet"/>
      </w:pPr>
      <w:r w:rsidRPr="00C5313F">
        <w:rPr>
          <w:bCs/>
        </w:rPr>
        <w:t>landlord</w:t>
      </w:r>
      <w:r w:rsidR="00563A2B">
        <w:rPr>
          <w:bCs/>
        </w:rPr>
        <w:noBreakHyphen/>
      </w:r>
      <w:r w:rsidRPr="00C5313F">
        <w:rPr>
          <w:bCs/>
        </w:rPr>
        <w:t>tenant relations</w:t>
      </w:r>
    </w:p>
    <w:p w14:paraId="672BEAC1" w14:textId="30887EDC" w:rsidR="00D96051" w:rsidRDefault="009A4DA0" w:rsidP="004C52C1">
      <w:pPr>
        <w:pStyle w:val="Bullet"/>
      </w:pPr>
      <w:r w:rsidRPr="00C5313F">
        <w:rPr>
          <w:bCs/>
        </w:rPr>
        <w:t>real estate regulations</w:t>
      </w:r>
    </w:p>
    <w:p w14:paraId="3D621724" w14:textId="0ED52052" w:rsidR="00B650BC" w:rsidRDefault="009A4DA0" w:rsidP="004C52C1">
      <w:pPr>
        <w:pStyle w:val="Bullet"/>
      </w:pPr>
      <w:r w:rsidRPr="00C5313F">
        <w:rPr>
          <w:bCs/>
        </w:rPr>
        <w:t>incentives for affordable housing</w:t>
      </w:r>
      <w:r w:rsidR="0097076B">
        <w:rPr>
          <w:bCs/>
        </w:rPr>
        <w:t>,</w:t>
      </w:r>
      <w:r w:rsidRPr="00C5313F">
        <w:rPr>
          <w:bCs/>
        </w:rPr>
        <w:t xml:space="preserve"> and </w:t>
      </w:r>
    </w:p>
    <w:p w14:paraId="03CEAAB3" w14:textId="5E3BF63B" w:rsidR="0085731D" w:rsidRPr="00C5313F" w:rsidRDefault="009A4DA0" w:rsidP="004C52C1">
      <w:pPr>
        <w:pStyle w:val="Bullet"/>
        <w:rPr>
          <w:bCs/>
        </w:rPr>
      </w:pPr>
      <w:r w:rsidRPr="00C5313F">
        <w:rPr>
          <w:bCs/>
        </w:rPr>
        <w:t xml:space="preserve">regulatory oversight of social and affordable housing. </w:t>
      </w:r>
    </w:p>
    <w:p w14:paraId="3A5662EF" w14:textId="26AC7E48" w:rsidR="009A4DA0" w:rsidRPr="00C5313F" w:rsidRDefault="009A4DA0" w:rsidP="002239E2">
      <w:r>
        <w:t>Australia</w:t>
      </w:r>
      <w:r w:rsidR="00563A2B">
        <w:t>’</w:t>
      </w:r>
      <w:r>
        <w:t>s complex web of zoning and planning approval requirements is a key contributor to uncertainty and complexity. W</w:t>
      </w:r>
      <w:r w:rsidRPr="00C5313F">
        <w:t xml:space="preserve">hile each tier of </w:t>
      </w:r>
      <w:r>
        <w:t>g</w:t>
      </w:r>
      <w:r w:rsidRPr="00C5313F">
        <w:t>overnment control</w:t>
      </w:r>
      <w:r>
        <w:t>s</w:t>
      </w:r>
      <w:r w:rsidRPr="00C5313F">
        <w:t xml:space="preserve"> important policy levers relevant to housing development, </w:t>
      </w:r>
      <w:r>
        <w:t>g</w:t>
      </w:r>
      <w:r w:rsidRPr="00C5313F">
        <w:t xml:space="preserve">overnments </w:t>
      </w:r>
      <w:r>
        <w:t>often do not</w:t>
      </w:r>
      <w:r w:rsidRPr="00C5313F">
        <w:t xml:space="preserve"> act in a coordinated or consistent fashion. </w:t>
      </w:r>
      <w:r>
        <w:t>G</w:t>
      </w:r>
      <w:r w:rsidRPr="00C5313F">
        <w:t xml:space="preserve">reater alignment across levels of government and across jurisdictions </w:t>
      </w:r>
      <w:r>
        <w:t>can</w:t>
      </w:r>
      <w:r w:rsidRPr="00C5313F">
        <w:t xml:space="preserve"> create a more supportive policy environment. The </w:t>
      </w:r>
      <w:r w:rsidR="00E04484">
        <w:t>United Kingdom</w:t>
      </w:r>
      <w:r w:rsidR="00563A2B">
        <w:t>’</w:t>
      </w:r>
      <w:r w:rsidR="00E04484">
        <w:t>s</w:t>
      </w:r>
      <w:r w:rsidRPr="00C5313F">
        <w:t xml:space="preserve"> rapidly maturing build</w:t>
      </w:r>
      <w:r w:rsidR="00563A2B">
        <w:noBreakHyphen/>
      </w:r>
      <w:r w:rsidRPr="00C5313F">
        <w:t>to</w:t>
      </w:r>
      <w:r w:rsidR="00563A2B">
        <w:noBreakHyphen/>
      </w:r>
      <w:r w:rsidRPr="00C5313F">
        <w:t xml:space="preserve">rent market was cited as an example of this, which required cooperation and standardisation across </w:t>
      </w:r>
      <w:r w:rsidR="000E5AC5">
        <w:t xml:space="preserve">national and local </w:t>
      </w:r>
      <w:r w:rsidRPr="00C5313F">
        <w:t>government</w:t>
      </w:r>
      <w:r w:rsidR="000E5AC5">
        <w:t>s</w:t>
      </w:r>
      <w:r w:rsidRPr="00C5313F">
        <w:t xml:space="preserve"> over a number of years.</w:t>
      </w:r>
    </w:p>
    <w:p w14:paraId="1F1E4A0F" w14:textId="2FA4B1C9" w:rsidR="009A4DA0" w:rsidRDefault="009A4DA0" w:rsidP="002239E2">
      <w:r w:rsidRPr="00C5313F">
        <w:t>That said, policy change and uncertainty</w:t>
      </w:r>
      <w:r w:rsidR="004348A3" w:rsidRPr="00C5313F">
        <w:t xml:space="preserve"> </w:t>
      </w:r>
      <w:r w:rsidR="00B84702">
        <w:t>are</w:t>
      </w:r>
      <w:r w:rsidRPr="00C5313F">
        <w:t xml:space="preserve"> inherent features of a democratic political system. And establishing national frameworks </w:t>
      </w:r>
      <w:r w:rsidR="004348A3" w:rsidRPr="00C5313F">
        <w:t>is</w:t>
      </w:r>
      <w:r w:rsidRPr="00C5313F">
        <w:t xml:space="preserve"> difficult: different jurisdictions have differing objectives, and each jurisdiction already has established programs, policies and funding arrangements that may be </w:t>
      </w:r>
      <w:r w:rsidRPr="00C5313F">
        <w:lastRenderedPageBreak/>
        <w:t>inconsistent with a national approach</w:t>
      </w:r>
      <w:r>
        <w:t xml:space="preserve">. </w:t>
      </w:r>
      <w:r w:rsidRPr="00C5313F">
        <w:t xml:space="preserve">For example, efforts to create a national framework for the regulation of </w:t>
      </w:r>
      <w:r>
        <w:t>community housing providers</w:t>
      </w:r>
      <w:r w:rsidRPr="00C5313F">
        <w:t xml:space="preserve"> under the National Regulatory System for Community Housing have fallen short of establishing a fully standardised regime. </w:t>
      </w:r>
    </w:p>
    <w:p w14:paraId="680BF61E" w14:textId="6F9E6480" w:rsidR="009A4DA0" w:rsidRDefault="009A4DA0" w:rsidP="00D92DD9">
      <w:pPr>
        <w:keepLines/>
      </w:pPr>
      <w:r>
        <w:t>A degree of variation in regulatory arrangements across jurisdictions may, in fact, contribute to policy innovation as well as improved welfare by better aligning local policies with local preferences. However, this broad proposition only holds if the principle of subsidiarity is observed in inter</w:t>
      </w:r>
      <w:r w:rsidR="00563A2B">
        <w:noBreakHyphen/>
      </w:r>
      <w:r>
        <w:t xml:space="preserve">jurisdictional arrangements. That is, while local matters of purely local consequence may be safely left to, say, local governments to determine, </w:t>
      </w:r>
      <w:r w:rsidR="00E066D9">
        <w:t>c</w:t>
      </w:r>
      <w:r>
        <w:t xml:space="preserve">ouncils ought not have authority to determine matters that unduly compromise the interests of their host regional, metropolitan, </w:t>
      </w:r>
      <w:r w:rsidR="00E066D9">
        <w:t>s</w:t>
      </w:r>
      <w:r>
        <w:t>tate or national communities.</w:t>
      </w:r>
    </w:p>
    <w:tbl>
      <w:tblPr>
        <w:tblW w:w="5000" w:type="pct"/>
        <w:shd w:val="clear" w:color="auto" w:fill="F2E3C7" w:themeFill="background2"/>
        <w:tblCellMar>
          <w:top w:w="284" w:type="dxa"/>
          <w:left w:w="284" w:type="dxa"/>
          <w:bottom w:w="284" w:type="dxa"/>
          <w:right w:w="284" w:type="dxa"/>
        </w:tblCellMar>
        <w:tblLook w:val="0600" w:firstRow="0" w:lastRow="0" w:firstColumn="0" w:lastColumn="0" w:noHBand="1" w:noVBand="1"/>
      </w:tblPr>
      <w:tblGrid>
        <w:gridCol w:w="9070"/>
      </w:tblGrid>
      <w:tr w:rsidR="00F577E1" w14:paraId="487C3295" w14:textId="77777777">
        <w:tc>
          <w:tcPr>
            <w:tcW w:w="5000" w:type="pct"/>
            <w:shd w:val="clear" w:color="auto" w:fill="F2E3C7" w:themeFill="background2"/>
            <w:hideMark/>
          </w:tcPr>
          <w:p w14:paraId="11EF8D14" w14:textId="718B9477" w:rsidR="00F577E1" w:rsidRDefault="00F577E1">
            <w:pPr>
              <w:pStyle w:val="BoxHeading"/>
              <w:rPr>
                <w:sz w:val="28"/>
                <w:szCs w:val="28"/>
                <w:lang w:eastAsia="en-US"/>
              </w:rPr>
            </w:pPr>
            <w:r>
              <w:rPr>
                <w:sz w:val="28"/>
                <w:szCs w:val="28"/>
                <w:lang w:eastAsia="en-US"/>
              </w:rPr>
              <w:t xml:space="preserve">Box 6: What is the principle of </w:t>
            </w:r>
            <w:r w:rsidR="00AB4456">
              <w:rPr>
                <w:sz w:val="28"/>
                <w:szCs w:val="28"/>
                <w:lang w:eastAsia="en-US"/>
              </w:rPr>
              <w:t xml:space="preserve">subsidiarity? </w:t>
            </w:r>
          </w:p>
          <w:p w14:paraId="2BC3D39B" w14:textId="6AB7D254" w:rsidR="00AB4456" w:rsidRDefault="00AB4456" w:rsidP="00AB4456">
            <w:pPr>
              <w:pStyle w:val="BoxText"/>
            </w:pPr>
            <w:r>
              <w:t>Subsidiarity is the principle that powers and responsibilities should be with the most local level of government practicable. Such a devolved system means there is greater local input into decision</w:t>
            </w:r>
            <w:r w:rsidR="00563A2B">
              <w:noBreakHyphen/>
            </w:r>
            <w:r>
              <w:t>making and states, territories and local governments can customise policies and services to suit local preferences.</w:t>
            </w:r>
          </w:p>
          <w:p w14:paraId="12999982" w14:textId="09D51C8B" w:rsidR="00AB4456" w:rsidRDefault="00AB4456" w:rsidP="00AB4456">
            <w:pPr>
              <w:pStyle w:val="BoxText"/>
            </w:pPr>
            <w:r>
              <w:t>Australia</w:t>
            </w:r>
            <w:r w:rsidR="00563A2B">
              <w:t>’</w:t>
            </w:r>
            <w:r>
              <w:t>s Federation relies on subsidiarity, with the Constitution explicitly preserving the powers of the states and territories, while granting the Commonwealth Government only limited powers. The authors of the Constitution, as evidenced in the Convention debates, expressed a desire to ensure that power remained decentralised where possible (Deem 2021).</w:t>
            </w:r>
          </w:p>
          <w:p w14:paraId="70E97D63" w14:textId="6460327F" w:rsidR="00F577E1" w:rsidRDefault="00AB4456" w:rsidP="002239E2">
            <w:pPr>
              <w:pStyle w:val="BoxText"/>
            </w:pPr>
            <w:r>
              <w:t>While subsidiarity is an important part of Australia</w:t>
            </w:r>
            <w:r w:rsidR="00563A2B">
              <w:t>’</w:t>
            </w:r>
            <w:r>
              <w:t>s democratic system, the delineation of responsibilities in the Constitution means that in practice, regulatory arrangements between the various tiers of government are varied, and at times overlap, which can add to complexity and costs for commercial enterprise, including institutional investors and property developers.</w:t>
            </w:r>
          </w:p>
        </w:tc>
      </w:tr>
    </w:tbl>
    <w:p w14:paraId="2DEDC07B" w14:textId="77777777" w:rsidR="009A4DA0" w:rsidRPr="00514183" w:rsidRDefault="009A4DA0" w:rsidP="00A83E6C">
      <w:pPr>
        <w:pStyle w:val="Heading2Numbered"/>
      </w:pPr>
      <w:bookmarkStart w:id="107" w:name="_Toc139618825"/>
      <w:bookmarkStart w:id="108" w:name="_Toc139635552"/>
      <w:bookmarkStart w:id="109" w:name="_Toc141355263"/>
      <w:r w:rsidRPr="00514183">
        <w:t>Unclear housing targets</w:t>
      </w:r>
      <w:bookmarkEnd w:id="107"/>
      <w:bookmarkEnd w:id="108"/>
      <w:bookmarkEnd w:id="109"/>
    </w:p>
    <w:p w14:paraId="14FDF186" w14:textId="326AE248" w:rsidR="009A4DA0" w:rsidRPr="00C5313F" w:rsidRDefault="009A4DA0" w:rsidP="002239E2">
      <w:r>
        <w:t>C</w:t>
      </w:r>
      <w:r w:rsidRPr="00C5313F">
        <w:t>lear and enforceable housing supply targets</w:t>
      </w:r>
      <w:r w:rsidR="00783331">
        <w:t xml:space="preserve"> that are consistent</w:t>
      </w:r>
      <w:r>
        <w:t xml:space="preserve"> </w:t>
      </w:r>
      <w:r w:rsidR="00783331">
        <w:t>with</w:t>
      </w:r>
      <w:r>
        <w:t xml:space="preserve"> the needs of regional</w:t>
      </w:r>
      <w:r w:rsidR="0023721D">
        <w:t xml:space="preserve"> and </w:t>
      </w:r>
      <w:r>
        <w:t>metropolitan communities,</w:t>
      </w:r>
      <w:r w:rsidRPr="00C5313F">
        <w:t xml:space="preserve"> </w:t>
      </w:r>
      <w:r>
        <w:t>can</w:t>
      </w:r>
      <w:r w:rsidRPr="00C5313F">
        <w:t xml:space="preserve"> create a more certain operating environment for </w:t>
      </w:r>
      <w:r>
        <w:t>developers and</w:t>
      </w:r>
      <w:r w:rsidRPr="00C5313F">
        <w:t xml:space="preserve"> investors. </w:t>
      </w:r>
    </w:p>
    <w:p w14:paraId="6D27560D" w14:textId="5D7EE008" w:rsidR="009A4DA0" w:rsidRPr="00C5313F" w:rsidRDefault="009A4DA0" w:rsidP="002239E2">
      <w:r w:rsidRPr="00C5313F">
        <w:t>Historically, Australian jurisdictions have been reluctant to commit to specific housing targets. This</w:t>
      </w:r>
      <w:r w:rsidR="00FB71C7">
        <w:t> </w:t>
      </w:r>
      <w:r w:rsidRPr="00C5313F">
        <w:t>in</w:t>
      </w:r>
      <w:r w:rsidR="00E066D9">
        <w:t> </w:t>
      </w:r>
      <w:r w:rsidRPr="00C5313F">
        <w:t>part reflected a reluctance to agree to targets that may be difficult to meet,</w:t>
      </w:r>
      <w:r w:rsidR="00522132">
        <w:t xml:space="preserve"> be</w:t>
      </w:r>
      <w:r w:rsidR="00D349C7">
        <w:t>yond</w:t>
      </w:r>
      <w:r w:rsidR="00522132">
        <w:t xml:space="preserve"> the direct </w:t>
      </w:r>
      <w:r w:rsidR="006A3CA7">
        <w:t xml:space="preserve">control </w:t>
      </w:r>
      <w:r w:rsidR="00D349C7">
        <w:t>of</w:t>
      </w:r>
      <w:r w:rsidR="006A3CA7">
        <w:t xml:space="preserve"> any one jurisdiction</w:t>
      </w:r>
      <w:r w:rsidRPr="00C5313F">
        <w:t xml:space="preserve">, </w:t>
      </w:r>
      <w:r w:rsidR="001B0E27">
        <w:t xml:space="preserve">or are </w:t>
      </w:r>
      <w:r w:rsidRPr="00C5313F">
        <w:t xml:space="preserve">controversial or require significant resourcing. Some parallels can possibly be drawn with the variable level of compliance shown against housing targets that are sometimes imposed on local councils without any incentives or accountability mechanisms. </w:t>
      </w:r>
    </w:p>
    <w:p w14:paraId="191D2FA7" w14:textId="77777777" w:rsidR="009A4DA0" w:rsidRPr="00514183" w:rsidRDefault="009A4DA0" w:rsidP="00A83E6C">
      <w:pPr>
        <w:pStyle w:val="Heading2Numbered"/>
      </w:pPr>
      <w:bookmarkStart w:id="110" w:name="_Toc139618826"/>
      <w:bookmarkStart w:id="111" w:name="_Toc139635553"/>
      <w:bookmarkStart w:id="112" w:name="_Toc141355264"/>
      <w:r w:rsidRPr="00514183">
        <w:t>Inadequate and inconsistent data</w:t>
      </w:r>
      <w:bookmarkEnd w:id="110"/>
      <w:bookmarkEnd w:id="111"/>
      <w:bookmarkEnd w:id="112"/>
    </w:p>
    <w:p w14:paraId="0CF991B9" w14:textId="680349D4" w:rsidR="000E67B4" w:rsidRDefault="002D495B" w:rsidP="002239E2">
      <w:r>
        <w:rPr>
          <w:rFonts w:cstheme="minorHAnsi"/>
        </w:rPr>
        <w:t xml:space="preserve">There are a number of issues in the availability and quality of data that </w:t>
      </w:r>
      <w:r w:rsidR="000E67B4" w:rsidRPr="00C5313F">
        <w:t>reduces the quality of analytics undertaken to support investment decisions, raising risks and the cost of capital. Th</w:t>
      </w:r>
      <w:r w:rsidR="000E67B4">
        <w:t>ese issues</w:t>
      </w:r>
      <w:r w:rsidR="000E67B4" w:rsidRPr="00C5313F">
        <w:t xml:space="preserve"> also create uncertainty around the future pipeline of work, limiting the ability to plan investment in the sector.</w:t>
      </w:r>
    </w:p>
    <w:p w14:paraId="4C375E69" w14:textId="6910DE52" w:rsidR="003537F6" w:rsidRDefault="002E374A" w:rsidP="00D92DD9">
      <w:pPr>
        <w:keepLines/>
        <w:rPr>
          <w:rFonts w:cstheme="minorHAnsi"/>
        </w:rPr>
      </w:pPr>
      <w:r>
        <w:rPr>
          <w:rFonts w:cstheme="minorHAnsi"/>
        </w:rPr>
        <w:lastRenderedPageBreak/>
        <w:t xml:space="preserve">These data issues reflect several factors. </w:t>
      </w:r>
      <w:r w:rsidR="003537F6">
        <w:rPr>
          <w:rFonts w:cstheme="minorHAnsi"/>
        </w:rPr>
        <w:t xml:space="preserve">There is a lack of data consistency </w:t>
      </w:r>
      <w:r w:rsidR="003537F6" w:rsidRPr="00DF3D18">
        <w:rPr>
          <w:rFonts w:cstheme="minorHAnsi"/>
        </w:rPr>
        <w:t>across jurisdictions due to the lack of nationally harmonised data frameworks and measurement approaches. </w:t>
      </w:r>
      <w:r w:rsidR="003537F6">
        <w:rPr>
          <w:rFonts w:cstheme="minorHAnsi"/>
        </w:rPr>
        <w:t>There is also l</w:t>
      </w:r>
      <w:r w:rsidR="003537F6" w:rsidRPr="00DF3D18">
        <w:rPr>
          <w:rFonts w:cstheme="minorHAnsi"/>
        </w:rPr>
        <w:t xml:space="preserve">imited data sharing and integration across governments, as data </w:t>
      </w:r>
      <w:r w:rsidR="003537F6">
        <w:rPr>
          <w:rFonts w:cstheme="minorHAnsi"/>
        </w:rPr>
        <w:t xml:space="preserve">are </w:t>
      </w:r>
      <w:r w:rsidR="003537F6" w:rsidRPr="00DF3D18">
        <w:rPr>
          <w:rFonts w:cstheme="minorHAnsi"/>
        </w:rPr>
        <w:t xml:space="preserve">held by different agencies in different jurisdictions and there are </w:t>
      </w:r>
      <w:r w:rsidR="003537F6">
        <w:rPr>
          <w:rFonts w:cstheme="minorHAnsi"/>
        </w:rPr>
        <w:t>technical</w:t>
      </w:r>
      <w:r w:rsidR="003537F6" w:rsidRPr="00DF3D18">
        <w:rPr>
          <w:rFonts w:cstheme="minorHAnsi"/>
        </w:rPr>
        <w:t xml:space="preserve"> and </w:t>
      </w:r>
      <w:r w:rsidR="003537F6">
        <w:rPr>
          <w:rFonts w:cstheme="minorHAnsi"/>
        </w:rPr>
        <w:t>legal</w:t>
      </w:r>
      <w:r w:rsidR="003537F6" w:rsidRPr="00DF3D18">
        <w:rPr>
          <w:rFonts w:cstheme="minorHAnsi"/>
        </w:rPr>
        <w:t xml:space="preserve"> barriers to integrat</w:t>
      </w:r>
      <w:r w:rsidR="003537F6">
        <w:rPr>
          <w:rFonts w:cstheme="minorHAnsi"/>
        </w:rPr>
        <w:t>ing</w:t>
      </w:r>
      <w:r w:rsidR="003537F6" w:rsidRPr="00DF3D18">
        <w:rPr>
          <w:rFonts w:cstheme="minorHAnsi"/>
        </w:rPr>
        <w:t xml:space="preserve"> data into a national dataset. </w:t>
      </w:r>
      <w:r w:rsidR="003537F6">
        <w:rPr>
          <w:rFonts w:cstheme="minorHAnsi"/>
        </w:rPr>
        <w:t>Housing</w:t>
      </w:r>
      <w:r w:rsidR="00563A2B">
        <w:rPr>
          <w:rFonts w:cstheme="minorHAnsi"/>
        </w:rPr>
        <w:noBreakHyphen/>
      </w:r>
      <w:r w:rsidR="003537F6">
        <w:rPr>
          <w:rFonts w:cstheme="minorHAnsi"/>
        </w:rPr>
        <w:t>related data is also sometime</w:t>
      </w:r>
      <w:r w:rsidR="00BA60E8">
        <w:rPr>
          <w:rFonts w:cstheme="minorHAnsi"/>
        </w:rPr>
        <w:t>s</w:t>
      </w:r>
      <w:r w:rsidR="003537F6">
        <w:rPr>
          <w:rFonts w:cstheme="minorHAnsi"/>
        </w:rPr>
        <w:t xml:space="preserve"> of l</w:t>
      </w:r>
      <w:r w:rsidR="003537F6" w:rsidRPr="00DF3D18">
        <w:rPr>
          <w:rFonts w:cstheme="minorHAnsi"/>
        </w:rPr>
        <w:t>ow quality, as data are often collected from administrative systems rather than properly designed statistical processes</w:t>
      </w:r>
      <w:r w:rsidR="003537F6">
        <w:rPr>
          <w:rFonts w:cstheme="minorHAnsi"/>
        </w:rPr>
        <w:t>.</w:t>
      </w:r>
    </w:p>
    <w:p w14:paraId="02FA2295" w14:textId="77777777" w:rsidR="009A4DA0" w:rsidRPr="00514183" w:rsidRDefault="009A4DA0" w:rsidP="00C2357C">
      <w:pPr>
        <w:pStyle w:val="Heading2Numbered"/>
      </w:pPr>
      <w:bookmarkStart w:id="113" w:name="_Toc139635554"/>
      <w:bookmarkStart w:id="114" w:name="_Toc141355265"/>
      <w:bookmarkStart w:id="115" w:name="_Toc139618827"/>
      <w:r w:rsidRPr="00514183">
        <w:t>Cultural preferences</w:t>
      </w:r>
      <w:bookmarkEnd w:id="113"/>
      <w:bookmarkEnd w:id="114"/>
    </w:p>
    <w:p w14:paraId="510D5876" w14:textId="54B51AF2" w:rsidR="009A4DA0" w:rsidRPr="00C5313F" w:rsidRDefault="009A4DA0" w:rsidP="002239E2">
      <w:r w:rsidRPr="00C5313F">
        <w:t>There was some scepticism among investors that there is sufficient demand for institutionally provided rental services, given Australian</w:t>
      </w:r>
      <w:r w:rsidR="00563A2B">
        <w:t>’</w:t>
      </w:r>
      <w:r w:rsidRPr="00C5313F">
        <w:t xml:space="preserve">s cultural preference for home ownership and detached dwellings. Stakeholders also noted that early investment has been skewed towards the premium end of the market, and that there may be limited appetite for such housing. </w:t>
      </w:r>
    </w:p>
    <w:p w14:paraId="080798C4" w14:textId="5DD04C2B" w:rsidR="009A4DA0" w:rsidRPr="00C5313F" w:rsidRDefault="009A4DA0" w:rsidP="002239E2">
      <w:r>
        <w:t>That said, a significant share of the population has already demonstrated a preference for well</w:t>
      </w:r>
      <w:r w:rsidR="00563A2B">
        <w:noBreakHyphen/>
      </w:r>
      <w:r>
        <w:t>located,</w:t>
      </w:r>
      <w:r w:rsidR="009015CC">
        <w:t> </w:t>
      </w:r>
      <w:r>
        <w:t>high</w:t>
      </w:r>
      <w:r w:rsidR="00563A2B">
        <w:noBreakHyphen/>
      </w:r>
      <w:r>
        <w:t xml:space="preserve">density urban accommodation at various points in their lifecycle. </w:t>
      </w:r>
    </w:p>
    <w:p w14:paraId="267C3EEB" w14:textId="1AB74663" w:rsidR="009A4DA0" w:rsidRPr="00514183" w:rsidRDefault="009A4DA0" w:rsidP="00C2357C">
      <w:pPr>
        <w:pStyle w:val="Heading2Numbered"/>
      </w:pPr>
      <w:bookmarkStart w:id="116" w:name="_Toc139635555"/>
      <w:bookmarkStart w:id="117" w:name="_Toc141355266"/>
      <w:bookmarkEnd w:id="115"/>
      <w:r w:rsidRPr="00514183">
        <w:t>Superannuation regulations</w:t>
      </w:r>
      <w:bookmarkEnd w:id="116"/>
      <w:bookmarkEnd w:id="117"/>
    </w:p>
    <w:p w14:paraId="07867B31" w14:textId="0354FB85" w:rsidR="009A4DA0" w:rsidRPr="00C5313F" w:rsidRDefault="009A4DA0" w:rsidP="002239E2">
      <w:r w:rsidRPr="00C5313F">
        <w:t xml:space="preserve">A number of superannuation funds cited disclosure requirements around taxation and other investment costs as a barrier to investment. In particular, </w:t>
      </w:r>
      <w:r w:rsidR="0074664C" w:rsidRPr="00C5313F">
        <w:t>requirement</w:t>
      </w:r>
      <w:r w:rsidR="0074664C">
        <w:t xml:space="preserve">s by </w:t>
      </w:r>
      <w:r w:rsidRPr="00C5313F">
        <w:t>the</w:t>
      </w:r>
      <w:r w:rsidR="00AD3488" w:rsidRPr="00C5313F">
        <w:t xml:space="preserve"> Australian Securities and Investment Commission</w:t>
      </w:r>
      <w:r w:rsidR="00AD3488">
        <w:t xml:space="preserve"> (ASIC)</w:t>
      </w:r>
      <w:r w:rsidRPr="00C5313F">
        <w:t xml:space="preserve"> under</w:t>
      </w:r>
      <w:r w:rsidR="00AD3488">
        <w:t xml:space="preserve"> </w:t>
      </w:r>
      <w:r w:rsidRPr="00C5313F">
        <w:t>Regulatory Guide 97 to disclose transfer duties (stamp duty) under total fees and charges.</w:t>
      </w:r>
      <w:r w:rsidR="004348A3" w:rsidRPr="00C5313F">
        <w:t xml:space="preserve"> </w:t>
      </w:r>
      <w:r w:rsidRPr="00C5313F">
        <w:t>Regulatory Guide 97 is designed to ensure fees and costs disclosures by super funds are comparable. Stamp duty is recognised as a transaction cost because it</w:t>
      </w:r>
      <w:r w:rsidR="0074664C">
        <w:t> </w:t>
      </w:r>
      <w:r w:rsidRPr="00C5313F">
        <w:t xml:space="preserve">is measurable, known and an explicit cost. </w:t>
      </w:r>
    </w:p>
    <w:p w14:paraId="4D30B4A8" w14:textId="5F9FB893" w:rsidR="009A4DA0" w:rsidRPr="00C5313F" w:rsidRDefault="009A4DA0" w:rsidP="002239E2">
      <w:r w:rsidRPr="00C5313F">
        <w:t>Stakeholders argued this can create the perception that a fund that invests in property has high management expense ratios, which is a deterrent to potential members who are price sensitive. That</w:t>
      </w:r>
      <w:r w:rsidR="00FB71C7">
        <w:t> </w:t>
      </w:r>
      <w:r w:rsidRPr="00C5313F">
        <w:t>said,</w:t>
      </w:r>
      <w:r w:rsidR="00235AFC" w:rsidRPr="00C5313F">
        <w:t xml:space="preserve"> </w:t>
      </w:r>
      <w:r w:rsidRPr="00C5313F">
        <w:t xml:space="preserve">Regulatory Guide 97 requirements on how stamp duty costs are disclosed to members does not </w:t>
      </w:r>
      <w:r w:rsidR="00F63AA9">
        <w:t>affect</w:t>
      </w:r>
      <w:r w:rsidR="004A13D6">
        <w:t xml:space="preserve"> </w:t>
      </w:r>
      <w:r w:rsidRPr="00C5313F">
        <w:t xml:space="preserve">the commerciality of housing projects. </w:t>
      </w:r>
    </w:p>
    <w:p w14:paraId="608F712A" w14:textId="7F31D5DF" w:rsidR="009A4DA0" w:rsidRPr="00C5313F" w:rsidRDefault="009A4DA0" w:rsidP="002239E2">
      <w:r w:rsidRPr="00C5313F">
        <w:t xml:space="preserve">Superannuation funds also cited the performance test benchmarks administered by </w:t>
      </w:r>
      <w:r w:rsidR="006B0685">
        <w:t xml:space="preserve">the </w:t>
      </w:r>
      <w:r w:rsidRPr="00C5313F">
        <w:t>A</w:t>
      </w:r>
      <w:r>
        <w:t xml:space="preserve">ustralian </w:t>
      </w:r>
      <w:r w:rsidRPr="00C5313F">
        <w:t>P</w:t>
      </w:r>
      <w:r>
        <w:t xml:space="preserve">rudential </w:t>
      </w:r>
      <w:r w:rsidRPr="00C5313F">
        <w:t>R</w:t>
      </w:r>
      <w:r>
        <w:t xml:space="preserve">egulation </w:t>
      </w:r>
      <w:r w:rsidRPr="00C5313F">
        <w:t>A</w:t>
      </w:r>
      <w:r>
        <w:t>uthority</w:t>
      </w:r>
      <w:r w:rsidRPr="00C5313F">
        <w:t xml:space="preserve"> </w:t>
      </w:r>
      <w:r>
        <w:t>(APRA)</w:t>
      </w:r>
      <w:r w:rsidRPr="00C5313F">
        <w:t xml:space="preserve"> as a barrier to investment. The performance test is designed to hold funds to account for the investment performance they deliver and the fees they charge to members. Some in the superannuation fund industry argue that the test may incentivise funds to </w:t>
      </w:r>
      <w:r w:rsidR="00563A2B">
        <w:t>‘</w:t>
      </w:r>
      <w:r w:rsidRPr="00C5313F">
        <w:t>hug</w:t>
      </w:r>
      <w:r w:rsidR="00563A2B">
        <w:t>’</w:t>
      </w:r>
      <w:r w:rsidRPr="00C5313F">
        <w:t xml:space="preserve"> performance benchmarks to reduce tracking error risk and thus the risk of closure or amalgamation. This may discourage investment in assets that are not well represented in the benchmarks, including residential property.</w:t>
      </w:r>
    </w:p>
    <w:p w14:paraId="79F533D1" w14:textId="66048651" w:rsidR="009A4DA0" w:rsidRPr="00C5313F" w:rsidRDefault="009A4DA0" w:rsidP="002239E2">
      <w:r w:rsidRPr="00C5313F">
        <w:t>However, changes to superannuation regulations related to performance testing will not change the commerciality of potential housing projects for superannuation funds</w:t>
      </w:r>
      <w:r>
        <w:t xml:space="preserve"> (Treasury 2023)</w:t>
      </w:r>
      <w:r w:rsidRPr="00C5313F">
        <w:t xml:space="preserve">. Consistent with this, the performance test has not stopped a number of recent investments in housing by superannuation funds, including by Australian Retirement Trust and Aware Super. </w:t>
      </w:r>
    </w:p>
    <w:p w14:paraId="4ED1D7C7" w14:textId="77777777" w:rsidR="009A4DA0" w:rsidRPr="00514183" w:rsidRDefault="009A4DA0" w:rsidP="00A83E6C">
      <w:pPr>
        <w:pStyle w:val="Heading2Numbered"/>
      </w:pPr>
      <w:bookmarkStart w:id="118" w:name="_Toc139635556"/>
      <w:bookmarkStart w:id="119" w:name="_Toc139618829"/>
      <w:bookmarkStart w:id="120" w:name="_Toc141355267"/>
      <w:r w:rsidRPr="00514183">
        <w:lastRenderedPageBreak/>
        <w:t>Taxation arrangements</w:t>
      </w:r>
      <w:bookmarkEnd w:id="118"/>
      <w:bookmarkEnd w:id="119"/>
      <w:bookmarkEnd w:id="120"/>
    </w:p>
    <w:p w14:paraId="634FDB10" w14:textId="3F911300" w:rsidR="009A4DA0" w:rsidRPr="00C5313F" w:rsidRDefault="009A4DA0" w:rsidP="002239E2">
      <w:r w:rsidRPr="00C5313F">
        <w:t>Some stakeholders argued that the dominance in the residential market of individual landlords is a</w:t>
      </w:r>
      <w:r w:rsidR="00FB71C7">
        <w:t> </w:t>
      </w:r>
      <w:r w:rsidRPr="00C5313F">
        <w:t>barrier to institutional investment, as they are prepared to acquire housing stock at higher prices (or,</w:t>
      </w:r>
      <w:r w:rsidR="00297DE3">
        <w:t> </w:t>
      </w:r>
      <w:r w:rsidRPr="00C5313F">
        <w:t>equivalently, lower yields) or charge lower rents than institutional investors.</w:t>
      </w:r>
    </w:p>
    <w:p w14:paraId="0993D2A0" w14:textId="5D48BD21" w:rsidR="009A4DA0" w:rsidRPr="00C5313F" w:rsidRDefault="009A4DA0" w:rsidP="002239E2">
      <w:r w:rsidRPr="00C5313F">
        <w:t>These stakeholders indicated that individual investors are willing to purchase individual units at 1</w:t>
      </w:r>
      <w:r w:rsidR="00297DE3">
        <w:t> </w:t>
      </w:r>
      <w:r w:rsidRPr="00C5313F">
        <w:t>to</w:t>
      </w:r>
      <w:r w:rsidR="00297DE3">
        <w:t> </w:t>
      </w:r>
      <w:r w:rsidRPr="00C5313F">
        <w:t>1.5</w:t>
      </w:r>
      <w:r>
        <w:t> percentage points</w:t>
      </w:r>
      <w:r w:rsidRPr="00C5313F">
        <w:t xml:space="preserve"> lower yields than institutional investors</w:t>
      </w:r>
      <w:r w:rsidR="00297DE3">
        <w:t xml:space="preserve"> would</w:t>
      </w:r>
      <w:r w:rsidR="00E3089F">
        <w:t xml:space="preserve"> be prepared to accept</w:t>
      </w:r>
      <w:r w:rsidRPr="00C5313F">
        <w:t>. As</w:t>
      </w:r>
      <w:r w:rsidR="00FB71C7">
        <w:t> </w:t>
      </w:r>
      <w:r w:rsidRPr="00C5313F">
        <w:t>a</w:t>
      </w:r>
      <w:r w:rsidR="00FB71C7">
        <w:t> </w:t>
      </w:r>
      <w:r w:rsidRPr="00C5313F">
        <w:t>result, it is more profitable for developers of new large</w:t>
      </w:r>
      <w:r w:rsidR="00563A2B">
        <w:noBreakHyphen/>
      </w:r>
      <w:r w:rsidRPr="00C5313F">
        <w:t>scale housing projects to sell individual units to individual investors, rather than selling the entire project to a single institutional investor, even accounting for</w:t>
      </w:r>
      <w:r w:rsidR="006B63CF">
        <w:t> </w:t>
      </w:r>
      <w:r w:rsidRPr="00C5313F">
        <w:t xml:space="preserve">the higher marketing and other costs associated with this sales strategy. </w:t>
      </w:r>
    </w:p>
    <w:p w14:paraId="0704077D" w14:textId="73193A9A" w:rsidR="009A4DA0" w:rsidRPr="00C5313F" w:rsidRDefault="009A4DA0" w:rsidP="002239E2">
      <w:r w:rsidRPr="00C5313F">
        <w:t xml:space="preserve">This outcome may </w:t>
      </w:r>
      <w:r>
        <w:t xml:space="preserve">in part </w:t>
      </w:r>
      <w:r w:rsidRPr="00C5313F">
        <w:t>reflect features of Australia</w:t>
      </w:r>
      <w:r w:rsidR="00563A2B">
        <w:t>’</w:t>
      </w:r>
      <w:r w:rsidRPr="00C5313F">
        <w:t xml:space="preserve">s taxation system, in particular the 50 per cent capital gains tax discount and its interaction with the ability of taxpayers to </w:t>
      </w:r>
      <w:r w:rsidR="00563A2B">
        <w:t>‘</w:t>
      </w:r>
      <w:r w:rsidRPr="00C5313F">
        <w:t>negatively gear</w:t>
      </w:r>
      <w:r w:rsidR="00563A2B">
        <w:t>’</w:t>
      </w:r>
      <w:r w:rsidRPr="00C5313F">
        <w:t xml:space="preserve"> investments. As a result of these features, individuals may be prepared to acquire assets delivering relatively low returns in the near term in expectation of (concessionally taxed) capital gains in the future.</w:t>
      </w:r>
    </w:p>
    <w:p w14:paraId="40A00533" w14:textId="4AAC1C54" w:rsidR="009A4DA0" w:rsidRPr="00C5313F" w:rsidRDefault="009A4DA0" w:rsidP="002239E2">
      <w:r w:rsidRPr="00C5313F">
        <w:t>Individuals may favour residential property to achieve such outcomes, as they can typically achieve a</w:t>
      </w:r>
      <w:r w:rsidR="006B63CF">
        <w:t> </w:t>
      </w:r>
      <w:r w:rsidRPr="00C5313F">
        <w:t>higher degree of leverage, at a lower interest rate and for a longer term on residential property than other assets. Moreover, investment in residential property is not subject to margin calls, unlike arrangements for marketable securities. These benefits may outweigh the higher transaction costs associated with investment in residential property.</w:t>
      </w:r>
    </w:p>
    <w:p w14:paraId="55F4579C" w14:textId="5B5F6F1E" w:rsidR="00063B43" w:rsidRDefault="009A4DA0" w:rsidP="002239E2">
      <w:r w:rsidRPr="00C5313F">
        <w:t xml:space="preserve">That said, </w:t>
      </w:r>
      <w:r w:rsidR="00563A2B">
        <w:t>‘</w:t>
      </w:r>
      <w:r w:rsidRPr="00C5313F">
        <w:t>negative gearing</w:t>
      </w:r>
      <w:r w:rsidR="00563A2B">
        <w:t>’</w:t>
      </w:r>
      <w:r w:rsidRPr="00C5313F">
        <w:t xml:space="preserve"> is a long</w:t>
      </w:r>
      <w:r w:rsidR="00563A2B">
        <w:noBreakHyphen/>
      </w:r>
      <w:r w:rsidRPr="00C5313F">
        <w:t>standing feature of the tax system and is consistent with the core principle of Australia</w:t>
      </w:r>
      <w:r w:rsidR="00563A2B">
        <w:t>’</w:t>
      </w:r>
      <w:r w:rsidRPr="00C5313F">
        <w:t xml:space="preserve">s tax framework that taxpayers can deduct expenses incurred in producing assessable income. The </w:t>
      </w:r>
      <w:r>
        <w:t>capital gains tax</w:t>
      </w:r>
      <w:r w:rsidRPr="00C5313F">
        <w:t xml:space="preserve"> discount was introduced in 1999 as an economic measure to promote more efficient asset management and improve capital mobility by reducing the tax benefit derived from delaying the realisation of capital gains</w:t>
      </w:r>
      <w:r>
        <w:t xml:space="preserve"> (Treasury 2006)</w:t>
      </w:r>
      <w:r w:rsidRPr="00C5313F">
        <w:t xml:space="preserve">. The </w:t>
      </w:r>
      <w:r>
        <w:t>capital gains tax</w:t>
      </w:r>
      <w:r w:rsidRPr="00C5313F">
        <w:t xml:space="preserve"> discount was also designed to compensate for the lack of indexation and to simplify the administration of tax arrangements without affecting business investment decisions. Like negative gearing, the </w:t>
      </w:r>
      <w:r>
        <w:t>capital gains tax</w:t>
      </w:r>
      <w:r w:rsidRPr="00C5313F">
        <w:t xml:space="preserve"> discount applies generally – not to property specifically.</w:t>
      </w:r>
    </w:p>
    <w:p w14:paraId="19D1CC99" w14:textId="7F095C3F" w:rsidR="009A4DA0" w:rsidRPr="00514183" w:rsidRDefault="009A4DA0" w:rsidP="00296E8F">
      <w:pPr>
        <w:pStyle w:val="Heading2Numbered"/>
      </w:pPr>
      <w:bookmarkStart w:id="121" w:name="_Toc139635560"/>
      <w:bookmarkStart w:id="122" w:name="_Toc141355268"/>
      <w:bookmarkStart w:id="123" w:name="_Toc139618833"/>
      <w:r w:rsidRPr="00514183">
        <w:t xml:space="preserve">Barriers specific to </w:t>
      </w:r>
      <w:r w:rsidR="00F63AA9" w:rsidRPr="00A2492C">
        <w:t>investment</w:t>
      </w:r>
      <w:r w:rsidR="00F63AA9" w:rsidRPr="001436EA">
        <w:rPr>
          <w:szCs w:val="36"/>
        </w:rPr>
        <w:t xml:space="preserve"> in</w:t>
      </w:r>
      <w:r w:rsidRPr="001436EA">
        <w:rPr>
          <w:szCs w:val="36"/>
        </w:rPr>
        <w:t xml:space="preserve"> </w:t>
      </w:r>
      <w:r w:rsidRPr="00514183">
        <w:t xml:space="preserve">social and affordable </w:t>
      </w:r>
      <w:r w:rsidRPr="00296E8F">
        <w:t>housing</w:t>
      </w:r>
      <w:bookmarkEnd w:id="121"/>
      <w:bookmarkEnd w:id="122"/>
      <w:r w:rsidRPr="00514183">
        <w:t xml:space="preserve"> </w:t>
      </w:r>
      <w:bookmarkEnd w:id="123"/>
    </w:p>
    <w:p w14:paraId="20A2C3A7" w14:textId="2B25915D" w:rsidR="009A4DA0" w:rsidRDefault="009A4DA0" w:rsidP="002239E2">
      <w:r>
        <w:t xml:space="preserve">There are additional barriers faced by institutional investors in relation to social and affordable housing. </w:t>
      </w:r>
    </w:p>
    <w:p w14:paraId="1F38AEBE" w14:textId="77777777" w:rsidR="009A4DA0" w:rsidRPr="008A36CB" w:rsidRDefault="009A4DA0" w:rsidP="002239E2">
      <w:pPr>
        <w:pStyle w:val="Heading3"/>
      </w:pPr>
      <w:bookmarkStart w:id="124" w:name="_Toc139618834"/>
      <w:bookmarkStart w:id="125" w:name="_Toc139635561"/>
      <w:r w:rsidRPr="00A733C7">
        <w:t xml:space="preserve">Policy </w:t>
      </w:r>
      <w:r>
        <w:t>un</w:t>
      </w:r>
      <w:r w:rsidRPr="00A733C7">
        <w:t>certainty around bridging the funding gap</w:t>
      </w:r>
      <w:bookmarkEnd w:id="124"/>
      <w:bookmarkEnd w:id="125"/>
      <w:r>
        <w:t xml:space="preserve"> </w:t>
      </w:r>
    </w:p>
    <w:p w14:paraId="7DA65023" w14:textId="374AE4AC" w:rsidR="00365128" w:rsidRDefault="009A4DA0" w:rsidP="002239E2">
      <w:r>
        <w:t>T</w:t>
      </w:r>
      <w:r w:rsidRPr="00054437">
        <w:t>he most</w:t>
      </w:r>
      <w:r>
        <w:t xml:space="preserve"> fundamental </w:t>
      </w:r>
      <w:r w:rsidRPr="00054437">
        <w:t>constraint</w:t>
      </w:r>
      <w:r w:rsidRPr="00E47DFF">
        <w:t xml:space="preserve"> </w:t>
      </w:r>
      <w:r>
        <w:t xml:space="preserve">to </w:t>
      </w:r>
      <w:r w:rsidRPr="00054437">
        <w:t>more</w:t>
      </w:r>
      <w:r>
        <w:t xml:space="preserve"> social and affordable housing</w:t>
      </w:r>
      <w:r w:rsidRPr="00054437">
        <w:t>, including housing provided by institutional investors,</w:t>
      </w:r>
      <w:r>
        <w:t xml:space="preserve"> </w:t>
      </w:r>
      <w:r w:rsidRPr="00E47DFF">
        <w:t xml:space="preserve">is </w:t>
      </w:r>
      <w:r w:rsidRPr="00054437">
        <w:t>that without government assistance the</w:t>
      </w:r>
      <w:r w:rsidRPr="00E47DFF">
        <w:t xml:space="preserve"> revenues generated by social and affordable housing </w:t>
      </w:r>
      <w:r w:rsidRPr="00054437">
        <w:t>are insufficient to fund</w:t>
      </w:r>
      <w:r w:rsidRPr="00E47DFF">
        <w:t xml:space="preserve"> the cost of provision</w:t>
      </w:r>
      <w:r w:rsidRPr="00054437">
        <w:t xml:space="preserve"> (the </w:t>
      </w:r>
      <w:r w:rsidR="00563A2B">
        <w:t>‘</w:t>
      </w:r>
      <w:r w:rsidRPr="00054437">
        <w:t>funding gap</w:t>
      </w:r>
      <w:r w:rsidR="00563A2B">
        <w:t>’</w:t>
      </w:r>
      <w:r w:rsidRPr="00054437">
        <w:t>).</w:t>
      </w:r>
      <w:r w:rsidRPr="00E47DFF">
        <w:t xml:space="preserve"> </w:t>
      </w:r>
    </w:p>
    <w:p w14:paraId="5C947707" w14:textId="2D2D028A" w:rsidR="009A4DA0" w:rsidRDefault="009A4DA0" w:rsidP="00D92DD9">
      <w:pPr>
        <w:keepLines/>
      </w:pPr>
      <w:r w:rsidRPr="00E47DFF">
        <w:lastRenderedPageBreak/>
        <w:t xml:space="preserve">The size of this gap varies </w:t>
      </w:r>
      <w:r>
        <w:t xml:space="preserve">– </w:t>
      </w:r>
      <w:r w:rsidRPr="00E47DFF">
        <w:t>social housing</w:t>
      </w:r>
      <w:r>
        <w:t>, for instance,</w:t>
      </w:r>
      <w:r w:rsidRPr="00E47DFF">
        <w:t xml:space="preserve"> requires substantial subsid</w:t>
      </w:r>
      <w:r>
        <w:t>ies</w:t>
      </w:r>
      <w:r w:rsidRPr="00E47DFF">
        <w:t xml:space="preserve"> (</w:t>
      </w:r>
      <w:r>
        <w:t xml:space="preserve">in some cases, </w:t>
      </w:r>
      <w:r w:rsidRPr="00E47DFF">
        <w:t>up to 100</w:t>
      </w:r>
      <w:r w:rsidR="00E67AFE">
        <w:t> per </w:t>
      </w:r>
      <w:r w:rsidRPr="00E47DFF">
        <w:t>cent)</w:t>
      </w:r>
      <w:r>
        <w:t xml:space="preserve"> </w:t>
      </w:r>
      <w:r w:rsidRPr="00054437">
        <w:t>reflecting its higher cost of provision and lower income of tenants</w:t>
      </w:r>
      <w:r>
        <w:t>. Conversely,</w:t>
      </w:r>
      <w:r w:rsidRPr="00E47DFF" w:rsidDel="00DC4769">
        <w:t xml:space="preserve"> the</w:t>
      </w:r>
      <w:r w:rsidRPr="00E47DFF">
        <w:t xml:space="preserve"> gap for </w:t>
      </w:r>
      <w:r>
        <w:t xml:space="preserve">below market rental </w:t>
      </w:r>
      <w:r w:rsidRPr="00E47DFF">
        <w:t>housing will depend on the size of the discount to market rent.</w:t>
      </w:r>
      <w:r>
        <w:t xml:space="preserve"> </w:t>
      </w:r>
      <w:r w:rsidR="00900025">
        <w:t>T</w:t>
      </w:r>
      <w:r>
        <w:t>o bridge the funding gap, social and affordable housing providers need to secure a range of subsidies from different levels of government to ensure the projects are commercially viable (see Figure 2).</w:t>
      </w:r>
    </w:p>
    <w:p w14:paraId="46A736BD" w14:textId="23E2F6E1" w:rsidR="009A4DA0" w:rsidRDefault="00900025" w:rsidP="002239E2">
      <w:pPr>
        <w:rPr>
          <w:rFonts w:cstheme="minorHAnsi"/>
        </w:rPr>
      </w:pPr>
      <w:r>
        <w:t>Even with these measures</w:t>
      </w:r>
      <w:r w:rsidR="009A4DA0">
        <w:t>, the returns can be too low to warrant investment in social and affordable housing projects</w:t>
      </w:r>
      <w:r w:rsidR="00C66913" w:rsidRPr="00C66913">
        <w:t xml:space="preserve"> </w:t>
      </w:r>
      <w:r w:rsidR="00C66913">
        <w:t>by some institutional investors</w:t>
      </w:r>
      <w:r w:rsidR="009A4DA0">
        <w:t>.</w:t>
      </w:r>
      <w:r w:rsidR="009A4DA0" w:rsidRPr="00054437">
        <w:t xml:space="preserve"> </w:t>
      </w:r>
      <w:r w:rsidR="009A4DA0">
        <w:t xml:space="preserve">This will likely always be the case for projects at the lower end of the social and affordable housing spectrum. </w:t>
      </w:r>
      <w:r w:rsidR="009A4DA0" w:rsidRPr="00E11C0F">
        <w:rPr>
          <w:rFonts w:cstheme="minorHAnsi"/>
        </w:rPr>
        <w:t xml:space="preserve">Institutional capital </w:t>
      </w:r>
      <w:r w:rsidR="009A4DA0">
        <w:rPr>
          <w:rFonts w:cstheme="minorHAnsi"/>
        </w:rPr>
        <w:t xml:space="preserve">is most likely to invest in </w:t>
      </w:r>
      <w:r w:rsidR="009A4DA0" w:rsidRPr="00E11C0F">
        <w:rPr>
          <w:rFonts w:cstheme="minorHAnsi"/>
        </w:rPr>
        <w:t xml:space="preserve">social and affordable housing </w:t>
      </w:r>
      <w:r w:rsidR="009A4DA0">
        <w:rPr>
          <w:rFonts w:cstheme="minorHAnsi"/>
        </w:rPr>
        <w:t>projects w</w:t>
      </w:r>
      <w:r w:rsidR="009A4DA0" w:rsidRPr="00E11C0F">
        <w:rPr>
          <w:rFonts w:cstheme="minorHAnsi"/>
        </w:rPr>
        <w:t>here the funding gap is small</w:t>
      </w:r>
      <w:r w:rsidR="009A4DA0">
        <w:rPr>
          <w:rFonts w:cstheme="minorHAnsi"/>
        </w:rPr>
        <w:t xml:space="preserve">est, as it is easier to bridge the funding gap </w:t>
      </w:r>
      <w:r w:rsidR="00D254CF">
        <w:rPr>
          <w:rFonts w:cstheme="minorHAnsi"/>
        </w:rPr>
        <w:t xml:space="preserve">by </w:t>
      </w:r>
      <w:r w:rsidR="009A4DA0">
        <w:rPr>
          <w:rFonts w:cstheme="minorHAnsi"/>
        </w:rPr>
        <w:t>pooling government subsidies or cross</w:t>
      </w:r>
      <w:r w:rsidR="00563A2B">
        <w:rPr>
          <w:rFonts w:cstheme="minorHAnsi"/>
        </w:rPr>
        <w:noBreakHyphen/>
      </w:r>
      <w:r w:rsidR="009A4DA0">
        <w:rPr>
          <w:rFonts w:cstheme="minorHAnsi"/>
        </w:rPr>
        <w:t>subsidisation</w:t>
      </w:r>
      <w:r w:rsidR="009A4DA0" w:rsidRPr="00E11C0F">
        <w:rPr>
          <w:rFonts w:cstheme="minorHAnsi"/>
        </w:rPr>
        <w:t xml:space="preserve">. </w:t>
      </w:r>
    </w:p>
    <w:p w14:paraId="09C597A0" w14:textId="50CB99F8" w:rsidR="00E705C1" w:rsidRDefault="009A4DA0" w:rsidP="002239E2">
      <w:pPr>
        <w:rPr>
          <w:rFonts w:cstheme="minorHAnsi"/>
        </w:rPr>
      </w:pPr>
      <w:r>
        <w:rPr>
          <w:rFonts w:cstheme="minorHAnsi"/>
        </w:rPr>
        <w:t>The Council notes g</w:t>
      </w:r>
      <w:r w:rsidRPr="00EE7B0B">
        <w:rPr>
          <w:rFonts w:cstheme="minorHAnsi"/>
        </w:rPr>
        <w:t xml:space="preserve">overnments </w:t>
      </w:r>
      <w:r>
        <w:rPr>
          <w:rFonts w:cstheme="minorHAnsi"/>
        </w:rPr>
        <w:t xml:space="preserve">must </w:t>
      </w:r>
      <w:r w:rsidRPr="00EE7B0B">
        <w:rPr>
          <w:rFonts w:cstheme="minorHAnsi"/>
        </w:rPr>
        <w:t>continue to directly support the provision of social and lower</w:t>
      </w:r>
      <w:r w:rsidR="00563A2B">
        <w:rPr>
          <w:rFonts w:cstheme="minorHAnsi"/>
        </w:rPr>
        <w:noBreakHyphen/>
      </w:r>
      <w:r w:rsidRPr="00EE7B0B">
        <w:rPr>
          <w:rFonts w:cstheme="minorHAnsi"/>
        </w:rPr>
        <w:t xml:space="preserve">income affordable housing to support the most vulnerable members of our community. </w:t>
      </w:r>
      <w:r>
        <w:rPr>
          <w:rFonts w:cstheme="minorHAnsi"/>
        </w:rPr>
        <w:t>These</w:t>
      </w:r>
      <w:r w:rsidRPr="00EE7B0B">
        <w:rPr>
          <w:rFonts w:cstheme="minorHAnsi"/>
        </w:rPr>
        <w:t xml:space="preserve"> </w:t>
      </w:r>
      <w:r>
        <w:rPr>
          <w:rFonts w:cstheme="minorHAnsi"/>
        </w:rPr>
        <w:t>h</w:t>
      </w:r>
      <w:r w:rsidRPr="008A36CB">
        <w:rPr>
          <w:rFonts w:cstheme="minorHAnsi"/>
        </w:rPr>
        <w:t xml:space="preserve">ouseholds </w:t>
      </w:r>
      <w:r w:rsidR="00E705C1">
        <w:rPr>
          <w:rFonts w:cstheme="minorHAnsi"/>
        </w:rPr>
        <w:t xml:space="preserve">are likely to </w:t>
      </w:r>
      <w:r w:rsidRPr="008A36CB">
        <w:rPr>
          <w:rFonts w:cstheme="minorHAnsi"/>
        </w:rPr>
        <w:t xml:space="preserve">require explicit support from governments to have their housing needs met </w:t>
      </w:r>
      <w:r w:rsidR="00E705C1">
        <w:rPr>
          <w:rFonts w:cstheme="minorHAnsi"/>
        </w:rPr>
        <w:t>–</w:t>
      </w:r>
      <w:r w:rsidRPr="008A36CB">
        <w:rPr>
          <w:rFonts w:cstheme="minorHAnsi"/>
        </w:rPr>
        <w:t xml:space="preserve"> for example</w:t>
      </w:r>
      <w:r>
        <w:rPr>
          <w:rFonts w:cstheme="minorHAnsi"/>
        </w:rPr>
        <w:t xml:space="preserve"> through public housing run by the states and territories and</w:t>
      </w:r>
      <w:r w:rsidRPr="008A36CB">
        <w:rPr>
          <w:rFonts w:cstheme="minorHAnsi"/>
        </w:rPr>
        <w:t xml:space="preserve"> at the </w:t>
      </w:r>
      <w:r w:rsidR="007A426E">
        <w:rPr>
          <w:rFonts w:cstheme="minorHAnsi"/>
        </w:rPr>
        <w:t>Commonwealth</w:t>
      </w:r>
      <w:r w:rsidR="007A426E" w:rsidRPr="008A36CB">
        <w:rPr>
          <w:rFonts w:cstheme="minorHAnsi"/>
        </w:rPr>
        <w:t xml:space="preserve"> </w:t>
      </w:r>
      <w:r w:rsidRPr="008A36CB">
        <w:rPr>
          <w:rFonts w:cstheme="minorHAnsi"/>
        </w:rPr>
        <w:t xml:space="preserve">level through Commonwealth Rent Assistance. </w:t>
      </w:r>
      <w:r>
        <w:rPr>
          <w:rFonts w:cstheme="minorHAnsi"/>
        </w:rPr>
        <w:t>An ongoing service payment model</w:t>
      </w:r>
      <w:r w:rsidRPr="008A36CB">
        <w:rPr>
          <w:rFonts w:cstheme="minorHAnsi"/>
        </w:rPr>
        <w:t xml:space="preserve"> as </w:t>
      </w:r>
      <w:r>
        <w:rPr>
          <w:rFonts w:cstheme="minorHAnsi"/>
        </w:rPr>
        <w:t>has been</w:t>
      </w:r>
      <w:r w:rsidRPr="008A36CB">
        <w:rPr>
          <w:rFonts w:cstheme="minorHAnsi"/>
        </w:rPr>
        <w:t xml:space="preserve"> proposed </w:t>
      </w:r>
      <w:r>
        <w:rPr>
          <w:rFonts w:cstheme="minorHAnsi"/>
        </w:rPr>
        <w:t>for implementation of</w:t>
      </w:r>
      <w:r w:rsidRPr="008A36CB">
        <w:rPr>
          <w:rFonts w:cstheme="minorHAnsi"/>
        </w:rPr>
        <w:t xml:space="preserve"> the Housing Australia Future Fund would be a </w:t>
      </w:r>
      <w:r w:rsidRPr="00EE7B0B">
        <w:rPr>
          <w:rFonts w:cstheme="minorHAnsi"/>
        </w:rPr>
        <w:t>vital source</w:t>
      </w:r>
      <w:r w:rsidRPr="008A36CB">
        <w:rPr>
          <w:rFonts w:cstheme="minorHAnsi"/>
        </w:rPr>
        <w:t xml:space="preserve"> of finance to bridge the wide funding gap for social housing. </w:t>
      </w:r>
    </w:p>
    <w:p w14:paraId="1140BC4E" w14:textId="7D58B9DA" w:rsidR="009A4DA0" w:rsidRDefault="009A4DA0" w:rsidP="002239E2">
      <w:pPr>
        <w:pStyle w:val="ChartMainHeading"/>
      </w:pPr>
      <w:r w:rsidRPr="1C08A728">
        <w:t>Figure 2: Illustration of the costs and funding gaps for different types of rental housing</w:t>
      </w:r>
    </w:p>
    <w:p w14:paraId="0502C2B7" w14:textId="42597264" w:rsidR="007E4AC8" w:rsidRDefault="0035598B" w:rsidP="00FB71C7">
      <w:pPr>
        <w:pStyle w:val="ChartGraphic"/>
      </w:pPr>
      <w:r w:rsidRPr="0035598B">
        <w:rPr>
          <w:noProof/>
        </w:rPr>
        <w:drawing>
          <wp:inline distT="0" distB="0" distL="0" distR="0" wp14:anchorId="558D1F77" wp14:editId="7EF5ED4A">
            <wp:extent cx="5760000" cy="3902959"/>
            <wp:effectExtent l="0" t="0" r="0" b="2540"/>
            <wp:docPr id="36" name="Picture 36" descr="This figure displays subsidy requirements for four different categories of sub-market rental housing available to the spectrum of very-low-income through to median-income households. The figure shows that specialist housing requires the largest subsidy, with only a relatively small proportion of costs of the service being recoverable through rent income. Social housing is the next category, and also has a relatively small proportion of total costs recoverable through rent income. Affordable rental housing is the next category, which has a larger share of total costs recoverable through rental income. Below-market rental housing has the largest share of total costs recoverable through rental income and the smallest subsidy required of the four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his figure displays subsidy requirements for four different categories of sub-market rental housing available to the spectrum of very-low-income through to median-income households. The figure shows that specialist housing requires the largest subsidy, with only a relatively small proportion of costs of the service being recoverable through rent income. Social housing is the next category, and also has a relatively small proportion of total costs recoverable through rent income. Affordable rental housing is the next category, which has a larger share of total costs recoverable through rental income. Below-market rental housing has the largest share of total costs recoverable through rental income and the smallest subsidy required of the four categories."/>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3279" r="1456" b="6859"/>
                    <a:stretch/>
                  </pic:blipFill>
                  <pic:spPr bwMode="auto">
                    <a:xfrm>
                      <a:off x="0" y="0"/>
                      <a:ext cx="5760000" cy="3902959"/>
                    </a:xfrm>
                    <a:prstGeom prst="rect">
                      <a:avLst/>
                    </a:prstGeom>
                    <a:noFill/>
                    <a:ln>
                      <a:noFill/>
                    </a:ln>
                    <a:extLst>
                      <a:ext uri="{53640926-AAD7-44D8-BBD7-CCE9431645EC}">
                        <a14:shadowObscured xmlns:a14="http://schemas.microsoft.com/office/drawing/2010/main"/>
                      </a:ext>
                    </a:extLst>
                  </pic:spPr>
                </pic:pic>
              </a:graphicData>
            </a:graphic>
          </wp:inline>
        </w:drawing>
      </w:r>
    </w:p>
    <w:p w14:paraId="0C25876E" w14:textId="64E48890" w:rsidR="009A4DA0" w:rsidRPr="002239E2" w:rsidRDefault="009A4DA0" w:rsidP="002239E2">
      <w:pPr>
        <w:pStyle w:val="ChartorTableNote"/>
        <w:rPr>
          <w:rFonts w:eastAsia="Century Gothic"/>
        </w:rPr>
      </w:pPr>
      <w:r w:rsidRPr="002239E2">
        <w:rPr>
          <w:rFonts w:eastAsia="Century Gothic"/>
        </w:rPr>
        <w:t xml:space="preserve">Adapted from the </w:t>
      </w:r>
      <w:r w:rsidRPr="002239E2">
        <w:rPr>
          <w:rFonts w:eastAsia="Century Gothic"/>
          <w:i/>
          <w:iCs/>
        </w:rPr>
        <w:t>Statutory Review</w:t>
      </w:r>
      <w:r w:rsidR="00413FE4" w:rsidRPr="002239E2">
        <w:rPr>
          <w:rFonts w:eastAsia="Century Gothic"/>
          <w:i/>
          <w:iCs/>
        </w:rPr>
        <w:t xml:space="preserve"> of the </w:t>
      </w:r>
      <w:r w:rsidRPr="002239E2">
        <w:rPr>
          <w:rFonts w:eastAsia="Century Gothic"/>
          <w:i/>
          <w:iCs/>
        </w:rPr>
        <w:t>Operation of the National Housing Finance and Investment Corporation Act 2018</w:t>
      </w:r>
    </w:p>
    <w:p w14:paraId="2296BDB0" w14:textId="4F0E20F6" w:rsidR="00507848" w:rsidRDefault="009A4DA0" w:rsidP="00FB71C7">
      <w:pPr>
        <w:keepLines/>
      </w:pPr>
      <w:r>
        <w:lastRenderedPageBreak/>
        <w:t>A</w:t>
      </w:r>
      <w:r w:rsidRPr="005949DB">
        <w:t xml:space="preserve">ustralia lacks a unified policy approach to </w:t>
      </w:r>
      <w:r>
        <w:t xml:space="preserve">addressing </w:t>
      </w:r>
      <w:r w:rsidRPr="005949DB">
        <w:t xml:space="preserve">funding gaps. </w:t>
      </w:r>
      <w:r>
        <w:t xml:space="preserve">Other regimes, for example the </w:t>
      </w:r>
      <w:r w:rsidRPr="005949DB">
        <w:t>Low</w:t>
      </w:r>
      <w:r w:rsidR="00563A2B">
        <w:noBreakHyphen/>
      </w:r>
      <w:r w:rsidRPr="005949DB">
        <w:t>Income Housing Tax Credit program</w:t>
      </w:r>
      <w:r w:rsidR="00F272AD">
        <w:t xml:space="preserve"> used in the United States</w:t>
      </w:r>
      <w:r w:rsidRPr="005949DB">
        <w:t xml:space="preserve">, provides a single national framework for supporting investment in social and affordable housing which has spanned several </w:t>
      </w:r>
      <w:r w:rsidRPr="008A36CB">
        <w:t>U</w:t>
      </w:r>
      <w:r>
        <w:t xml:space="preserve">nited </w:t>
      </w:r>
      <w:r w:rsidRPr="008A36CB">
        <w:t>S</w:t>
      </w:r>
      <w:r>
        <w:t>tates</w:t>
      </w:r>
      <w:r w:rsidRPr="005949DB">
        <w:t xml:space="preserve"> </w:t>
      </w:r>
      <w:r w:rsidR="00372A72">
        <w:t>a</w:t>
      </w:r>
      <w:r w:rsidRPr="005949DB">
        <w:t xml:space="preserve">dministrations since the 1980s and has attracted a large and committed investor base (including Australian institutions). </w:t>
      </w:r>
    </w:p>
    <w:p w14:paraId="3C451FD5" w14:textId="6D56233D" w:rsidR="00E47506" w:rsidRDefault="009A4DA0" w:rsidP="002239E2">
      <w:r w:rsidRPr="005949DB">
        <w:t>In Australia,</w:t>
      </w:r>
      <w:r>
        <w:t xml:space="preserve"> private</w:t>
      </w:r>
      <w:r w:rsidRPr="005949DB">
        <w:t xml:space="preserve"> providers of social and affordable housing typically need to gather various sources of subsidy from both state and federal government</w:t>
      </w:r>
      <w:r w:rsidR="008D68C9">
        <w:t>s</w:t>
      </w:r>
      <w:r w:rsidR="001C20D6">
        <w:t>,</w:t>
      </w:r>
      <w:r w:rsidRPr="005949DB">
        <w:t xml:space="preserve"> </w:t>
      </w:r>
      <w:r w:rsidR="00A261F4">
        <w:t xml:space="preserve">or </w:t>
      </w:r>
      <w:r w:rsidR="001C20D6">
        <w:t>in partnerships with community housing providers,</w:t>
      </w:r>
      <w:r w:rsidR="001C20D6" w:rsidRPr="005949DB">
        <w:t xml:space="preserve"> </w:t>
      </w:r>
      <w:r w:rsidRPr="005949DB">
        <w:t xml:space="preserve">to initiate </w:t>
      </w:r>
      <w:r>
        <w:t>and maintain</w:t>
      </w:r>
      <w:r w:rsidRPr="005949DB">
        <w:t xml:space="preserve"> projects</w:t>
      </w:r>
      <w:r>
        <w:t xml:space="preserve"> leased at below market rates. </w:t>
      </w:r>
    </w:p>
    <w:p w14:paraId="1A61B744" w14:textId="77777777" w:rsidR="00325F28" w:rsidRDefault="009A4DA0" w:rsidP="002719DD">
      <w:pPr>
        <w:spacing w:after="120"/>
      </w:pPr>
      <w:r>
        <w:t>These sources can include</w:t>
      </w:r>
      <w:r w:rsidR="00325F28">
        <w:t>:</w:t>
      </w:r>
    </w:p>
    <w:p w14:paraId="3C896A70" w14:textId="10AC6E31" w:rsidR="00325F28" w:rsidRDefault="009A4DA0" w:rsidP="00E033FF">
      <w:pPr>
        <w:pStyle w:val="Bullet"/>
      </w:pPr>
      <w:r w:rsidRPr="008A36CB">
        <w:t xml:space="preserve">concessional finance and grants through </w:t>
      </w:r>
      <w:r>
        <w:t>NHFIC</w:t>
      </w:r>
    </w:p>
    <w:p w14:paraId="22EE382E" w14:textId="14B23603" w:rsidR="00325F28" w:rsidRDefault="009A4DA0" w:rsidP="00E033FF">
      <w:pPr>
        <w:pStyle w:val="Bullet"/>
      </w:pPr>
      <w:r>
        <w:t>funding for Specialist Disability Accommodation under the National Disability Insurance Scheme</w:t>
      </w:r>
    </w:p>
    <w:p w14:paraId="4A0E95B1" w14:textId="358C5B72" w:rsidR="00325F28" w:rsidRDefault="009A4DA0" w:rsidP="00E033FF">
      <w:pPr>
        <w:pStyle w:val="Bullet"/>
      </w:pPr>
      <w:r>
        <w:t xml:space="preserve">reliance on tenants receiving </w:t>
      </w:r>
      <w:r w:rsidRPr="008A36CB">
        <w:t>Commonwealth Rent Assistance</w:t>
      </w:r>
    </w:p>
    <w:p w14:paraId="5B7F6913" w14:textId="1F007ECB" w:rsidR="00325F28" w:rsidRDefault="009A4DA0" w:rsidP="00E033FF">
      <w:pPr>
        <w:pStyle w:val="Bullet"/>
      </w:pPr>
      <w:r>
        <w:t xml:space="preserve">goods and services tax </w:t>
      </w:r>
      <w:r w:rsidRPr="008A36CB">
        <w:t>concessions</w:t>
      </w:r>
    </w:p>
    <w:p w14:paraId="58EC43E5" w14:textId="77777777" w:rsidR="00325F28" w:rsidRDefault="009A4DA0" w:rsidP="00E033FF">
      <w:pPr>
        <w:pStyle w:val="Bullet"/>
      </w:pPr>
      <w:r>
        <w:t>state stamp duty concessions,</w:t>
      </w:r>
      <w:r w:rsidRPr="008A36CB">
        <w:t xml:space="preserve"> and </w:t>
      </w:r>
    </w:p>
    <w:p w14:paraId="16C9465A" w14:textId="120EB2C1" w:rsidR="009A4DA0" w:rsidRDefault="009A4DA0" w:rsidP="00E033FF">
      <w:pPr>
        <w:pStyle w:val="Bullet"/>
      </w:pPr>
      <w:r w:rsidRPr="008A36CB">
        <w:t>grants and land provided by states.</w:t>
      </w:r>
      <w:r>
        <w:t xml:space="preserve"> </w:t>
      </w:r>
    </w:p>
    <w:p w14:paraId="351C49B7" w14:textId="781DD447" w:rsidR="005033F8" w:rsidRDefault="00065F1E" w:rsidP="002239E2">
      <w:r>
        <w:t>One</w:t>
      </w:r>
      <w:r w:rsidR="009A4DA0" w:rsidRPr="00CE4A53">
        <w:t xml:space="preserve"> means by which the </w:t>
      </w:r>
      <w:r w:rsidR="00563A2B">
        <w:t>‘</w:t>
      </w:r>
      <w:r w:rsidR="009A4DA0" w:rsidRPr="00CE4A53">
        <w:t>funding gap</w:t>
      </w:r>
      <w:r w:rsidR="00563A2B">
        <w:t>’</w:t>
      </w:r>
      <w:r w:rsidR="009A4DA0" w:rsidRPr="00CE4A53">
        <w:t xml:space="preserve"> is bridged, at least in part, in international jurisdictions is a pool of capital garnered through mandatory inclusionary zoning and land value sharing mechanisms embedded in planning systems. </w:t>
      </w:r>
      <w:r w:rsidR="009A4DA0">
        <w:t xml:space="preserve">These mechanisms require developers to either set aside a proportion of new housing to be sold or </w:t>
      </w:r>
      <w:r w:rsidR="001070B5">
        <w:t>rented</w:t>
      </w:r>
      <w:r w:rsidR="009A4DA0">
        <w:t xml:space="preserve"> at sub</w:t>
      </w:r>
      <w:r w:rsidR="00563A2B">
        <w:noBreakHyphen/>
      </w:r>
      <w:r w:rsidR="009A4DA0">
        <w:t xml:space="preserve">market rates </w:t>
      </w:r>
      <w:r w:rsidR="009A4DA0" w:rsidRPr="005F4F83">
        <w:t>or to make financial contributions t</w:t>
      </w:r>
      <w:r w:rsidR="009A4DA0" w:rsidRPr="001436EA">
        <w:t xml:space="preserve">o fund </w:t>
      </w:r>
      <w:r w:rsidR="009A4DA0" w:rsidRPr="005F4F83">
        <w:t>social infrastructure,</w:t>
      </w:r>
      <w:r w:rsidR="009A4DA0">
        <w:t xml:space="preserve"> including affordable housing. </w:t>
      </w:r>
    </w:p>
    <w:p w14:paraId="0265DE6A" w14:textId="12822A31" w:rsidR="005033F8" w:rsidRDefault="001070B5" w:rsidP="002239E2">
      <w:r>
        <w:t>For instance, i</w:t>
      </w:r>
      <w:r w:rsidR="009A4DA0">
        <w:t xml:space="preserve">n the United Kingdom section 106 of the </w:t>
      </w:r>
      <w:r w:rsidR="009A4DA0" w:rsidRPr="001436EA">
        <w:rPr>
          <w:i/>
          <w:iCs/>
        </w:rPr>
        <w:t>Town and Country Planning Act</w:t>
      </w:r>
      <w:r w:rsidR="009A4DA0">
        <w:t xml:space="preserve"> requires developers to make either financial or in</w:t>
      </w:r>
      <w:r w:rsidR="00563A2B">
        <w:noBreakHyphen/>
      </w:r>
      <w:r w:rsidR="009A4DA0">
        <w:t>kind contributions to public and social infrastructure, including affordable housing. In 2021</w:t>
      </w:r>
      <w:r w:rsidR="00815E0F">
        <w:t>–</w:t>
      </w:r>
      <w:r w:rsidR="009A4DA0">
        <w:t>22, nearly 26,</w:t>
      </w:r>
      <w:r w:rsidR="006C5F99">
        <w:t>269</w:t>
      </w:r>
      <w:r w:rsidR="009A4DA0">
        <w:t xml:space="preserve"> dwellings, amounting to 44</w:t>
      </w:r>
      <w:r w:rsidR="00E67AFE">
        <w:t> per </w:t>
      </w:r>
      <w:r w:rsidR="009A4DA0">
        <w:t xml:space="preserve">cent of the total affordable housing supply in England, were delivered through section 106 contributions (Department for Levelling Up, Housing &amp; Communities 2022). </w:t>
      </w:r>
    </w:p>
    <w:p w14:paraId="1143E36E" w14:textId="0385DCB6" w:rsidR="009A4DA0" w:rsidRPr="00CE4A53" w:rsidRDefault="001F1346" w:rsidP="002239E2">
      <w:r>
        <w:t>To date, s</w:t>
      </w:r>
      <w:r w:rsidR="009A4DA0">
        <w:t xml:space="preserve">imilar arrangements in Australia have proven to be </w:t>
      </w:r>
      <w:r w:rsidR="009A4DA0" w:rsidRPr="00CE4A53">
        <w:t>fragmented, inconsistent and administratively complex</w:t>
      </w:r>
      <w:r w:rsidR="009A4DA0">
        <w:t>.</w:t>
      </w:r>
      <w:r w:rsidR="009A4DA0" w:rsidRPr="00CE4A53">
        <w:t xml:space="preserve"> A harmoni</w:t>
      </w:r>
      <w:r w:rsidR="001C514F">
        <w:t>s</w:t>
      </w:r>
      <w:r w:rsidR="009A4DA0" w:rsidRPr="00CE4A53">
        <w:t xml:space="preserve">ed approach to mandatory inclusionary zoning across the </w:t>
      </w:r>
      <w:r w:rsidR="009B003E">
        <w:t>s</w:t>
      </w:r>
      <w:r w:rsidR="009A4DA0" w:rsidRPr="00CE4A53">
        <w:t xml:space="preserve">tates and </w:t>
      </w:r>
      <w:r w:rsidR="009B003E">
        <w:t>t</w:t>
      </w:r>
      <w:r w:rsidR="009A4DA0" w:rsidRPr="00CE4A53">
        <w:t xml:space="preserve">erritories </w:t>
      </w:r>
      <w:r w:rsidR="00A04CC9">
        <w:t>c</w:t>
      </w:r>
      <w:r w:rsidR="009A4DA0" w:rsidRPr="00CE4A53">
        <w:t xml:space="preserve">ould be an </w:t>
      </w:r>
      <w:r w:rsidR="00A04CC9">
        <w:t xml:space="preserve">important </w:t>
      </w:r>
      <w:r w:rsidR="009A4DA0" w:rsidRPr="00CE4A53">
        <w:t>component in a stable and robust regulatory environment for institutional investment in social and affordable housing</w:t>
      </w:r>
      <w:r w:rsidR="00EB496D">
        <w:t xml:space="preserve">. </w:t>
      </w:r>
    </w:p>
    <w:p w14:paraId="6BCDBF31" w14:textId="5525ED41" w:rsidR="00534B9C" w:rsidRDefault="009A4DA0" w:rsidP="002239E2">
      <w:r>
        <w:t>One example of policy uncertainty routinely cited by stakeholders</w:t>
      </w:r>
      <w:r w:rsidRPr="005949DB">
        <w:t xml:space="preserve"> was </w:t>
      </w:r>
      <w:r w:rsidR="00835C61">
        <w:t xml:space="preserve">the </w:t>
      </w:r>
      <w:r w:rsidRPr="005949DB">
        <w:t xml:space="preserve">National Rental </w:t>
      </w:r>
      <w:r w:rsidRPr="005949DB" w:rsidDel="00E950F3">
        <w:t>Affordabili</w:t>
      </w:r>
      <w:r w:rsidRPr="005949DB" w:rsidDel="00881240">
        <w:t>t</w:t>
      </w:r>
      <w:r w:rsidRPr="005949DB" w:rsidDel="00E950F3">
        <w:t>y</w:t>
      </w:r>
      <w:r w:rsidRPr="005949DB">
        <w:t xml:space="preserve"> Scheme</w:t>
      </w:r>
      <w:r w:rsidR="00E218E7">
        <w:t xml:space="preserve"> (which will conclude in June 2026)</w:t>
      </w:r>
      <w:r>
        <w:t>. W</w:t>
      </w:r>
      <w:r w:rsidRPr="005949DB">
        <w:t xml:space="preserve">hile </w:t>
      </w:r>
      <w:r>
        <w:t>the scheme</w:t>
      </w:r>
      <w:r w:rsidRPr="005949DB">
        <w:t xml:space="preserve"> operated in a similar way to the </w:t>
      </w:r>
      <w:r w:rsidR="00684DE9">
        <w:t>US</w:t>
      </w:r>
      <w:r>
        <w:t xml:space="preserve"> Low</w:t>
      </w:r>
      <w:r w:rsidR="00563A2B">
        <w:noBreakHyphen/>
      </w:r>
      <w:r>
        <w:t>Income Housing Tax Credit</w:t>
      </w:r>
      <w:r w:rsidRPr="005949DB">
        <w:t xml:space="preserve"> by</w:t>
      </w:r>
      <w:r w:rsidRPr="005949DB" w:rsidDel="009659C0">
        <w:t xml:space="preserve"> </w:t>
      </w:r>
      <w:r w:rsidRPr="005949DB">
        <w:t>providing</w:t>
      </w:r>
      <w:r w:rsidRPr="005949DB" w:rsidDel="008F45A1">
        <w:t xml:space="preserve"> </w:t>
      </w:r>
      <w:r w:rsidRPr="005949DB">
        <w:t xml:space="preserve">financial incentives to landlords who rented out properties at below market rates, </w:t>
      </w:r>
      <w:r>
        <w:t xml:space="preserve">it </w:t>
      </w:r>
      <w:r w:rsidRPr="005949DB">
        <w:t xml:space="preserve">did not attract significant interest from institutional investors. </w:t>
      </w:r>
    </w:p>
    <w:p w14:paraId="45C1DE9D" w14:textId="3F7E729E" w:rsidR="00C50857" w:rsidRDefault="009A4DA0" w:rsidP="002239E2">
      <w:r>
        <w:t xml:space="preserve">The </w:t>
      </w:r>
      <w:r w:rsidRPr="00514183">
        <w:rPr>
          <w:color w:val="auto"/>
        </w:rPr>
        <w:t xml:space="preserve">sector argued that because </w:t>
      </w:r>
      <w:r>
        <w:rPr>
          <w:color w:val="auto"/>
        </w:rPr>
        <w:t>the</w:t>
      </w:r>
      <w:r w:rsidRPr="00206820">
        <w:rPr>
          <w:color w:val="auto"/>
        </w:rPr>
        <w:t xml:space="preserve"> </w:t>
      </w:r>
      <w:r w:rsidRPr="00514183">
        <w:rPr>
          <w:color w:val="auto"/>
        </w:rPr>
        <w:t xml:space="preserve">National Rental Affordability Scheme </w:t>
      </w:r>
      <w:r w:rsidRPr="00206820">
        <w:rPr>
          <w:color w:val="auto"/>
        </w:rPr>
        <w:t xml:space="preserve">incentive </w:t>
      </w:r>
      <w:r w:rsidRPr="00514183">
        <w:rPr>
          <w:color w:val="auto"/>
        </w:rPr>
        <w:t xml:space="preserve">was limited to </w:t>
      </w:r>
      <w:r w:rsidR="00974C1A">
        <w:rPr>
          <w:color w:val="auto"/>
        </w:rPr>
        <w:t>around</w:t>
      </w:r>
      <w:r w:rsidR="00FC6985">
        <w:rPr>
          <w:color w:val="auto"/>
        </w:rPr>
        <w:t xml:space="preserve"> 10 </w:t>
      </w:r>
      <w:r w:rsidRPr="00514183">
        <w:rPr>
          <w:color w:val="auto"/>
        </w:rPr>
        <w:t>years</w:t>
      </w:r>
      <w:r w:rsidRPr="00206820">
        <w:rPr>
          <w:color w:val="auto"/>
        </w:rPr>
        <w:t xml:space="preserve">, and the scheme </w:t>
      </w:r>
      <w:r w:rsidR="00A44A87">
        <w:rPr>
          <w:color w:val="auto"/>
        </w:rPr>
        <w:t>was</w:t>
      </w:r>
      <w:r w:rsidRPr="00206820">
        <w:rPr>
          <w:color w:val="auto"/>
        </w:rPr>
        <w:t xml:space="preserve"> </w:t>
      </w:r>
      <w:r w:rsidR="001162A2">
        <w:rPr>
          <w:color w:val="auto"/>
        </w:rPr>
        <w:t xml:space="preserve">not extended in 2014 </w:t>
      </w:r>
      <w:r w:rsidRPr="00514183">
        <w:rPr>
          <w:color w:val="auto"/>
        </w:rPr>
        <w:t xml:space="preserve">(unlike the </w:t>
      </w:r>
      <w:r w:rsidRPr="00206820">
        <w:rPr>
          <w:color w:val="auto"/>
        </w:rPr>
        <w:t xml:space="preserve">longstanding </w:t>
      </w:r>
      <w:r>
        <w:rPr>
          <w:color w:val="auto"/>
        </w:rPr>
        <w:t xml:space="preserve">US </w:t>
      </w:r>
      <w:r w:rsidRPr="00514183">
        <w:rPr>
          <w:color w:val="auto"/>
        </w:rPr>
        <w:t>Low</w:t>
      </w:r>
      <w:r w:rsidR="00563A2B">
        <w:rPr>
          <w:color w:val="auto"/>
        </w:rPr>
        <w:noBreakHyphen/>
      </w:r>
      <w:r w:rsidRPr="00514183">
        <w:rPr>
          <w:color w:val="auto"/>
        </w:rPr>
        <w:t>Income Housing Tax Credit</w:t>
      </w:r>
      <w:r w:rsidRPr="00206820">
        <w:rPr>
          <w:color w:val="auto"/>
        </w:rPr>
        <w:t>),</w:t>
      </w:r>
      <w:r w:rsidRPr="00514183">
        <w:rPr>
          <w:color w:val="auto"/>
        </w:rPr>
        <w:t xml:space="preserve"> it did </w:t>
      </w:r>
      <w:r w:rsidRPr="00514183" w:rsidDel="00B50E65">
        <w:rPr>
          <w:color w:val="auto"/>
        </w:rPr>
        <w:t xml:space="preserve">not </w:t>
      </w:r>
      <w:r w:rsidRPr="00514183">
        <w:rPr>
          <w:color w:val="auto"/>
        </w:rPr>
        <w:t>provide sufficient certainty for institutional investors to commit to long</w:t>
      </w:r>
      <w:r w:rsidR="00563A2B">
        <w:rPr>
          <w:color w:val="auto"/>
        </w:rPr>
        <w:noBreakHyphen/>
      </w:r>
      <w:r w:rsidRPr="00514183">
        <w:rPr>
          <w:color w:val="auto"/>
        </w:rPr>
        <w:t xml:space="preserve">term affordable housing </w:t>
      </w:r>
      <w:r w:rsidRPr="005949DB">
        <w:t>projects.</w:t>
      </w:r>
      <w:r>
        <w:t xml:space="preserve"> </w:t>
      </w:r>
    </w:p>
    <w:p w14:paraId="7478B006" w14:textId="2B0BB673" w:rsidR="009A4DA0" w:rsidRPr="00DD170A" w:rsidRDefault="009A4DA0" w:rsidP="004462E8">
      <w:pPr>
        <w:keepLines/>
      </w:pPr>
      <w:r>
        <w:lastRenderedPageBreak/>
        <w:t xml:space="preserve">There is also evidence that institutional investment did not occur at scale with the National Rental Affordability Scheme because the present value of the available subsidies was not sufficient to bridge what was then judged by </w:t>
      </w:r>
      <w:r w:rsidR="00090C24">
        <w:t xml:space="preserve">institutional </w:t>
      </w:r>
      <w:r w:rsidR="004744E0">
        <w:t xml:space="preserve">investors </w:t>
      </w:r>
      <w:r>
        <w:t xml:space="preserve">to be the operative return gap. </w:t>
      </w:r>
      <w:r w:rsidR="00974C1A">
        <w:t>In</w:t>
      </w:r>
      <w:r w:rsidR="00D92DD9">
        <w:t> </w:t>
      </w:r>
      <w:r w:rsidR="00974C1A">
        <w:t>addition</w:t>
      </w:r>
      <w:r>
        <w:t>, some of these institutional investors were apprehensive about exposure to tenancy management risk</w:t>
      </w:r>
      <w:r w:rsidR="00E31820">
        <w:t>. T</w:t>
      </w:r>
      <w:r>
        <w:t xml:space="preserve">hat is, the reputational damage that could arise when </w:t>
      </w:r>
      <w:r w:rsidR="00563A2B">
        <w:t>‘</w:t>
      </w:r>
      <w:r>
        <w:t>supported tenants</w:t>
      </w:r>
      <w:r w:rsidR="00563A2B">
        <w:t>’</w:t>
      </w:r>
      <w:r>
        <w:t xml:space="preserve"> lost their market rent subsidy at the conclusion of the subsidised rental contract after </w:t>
      </w:r>
      <w:r w:rsidR="0001792C">
        <w:t>10</w:t>
      </w:r>
      <w:r>
        <w:t xml:space="preserve"> years.</w:t>
      </w:r>
    </w:p>
    <w:p w14:paraId="5505D7CE" w14:textId="26BC787D" w:rsidR="009A4DA0" w:rsidRPr="00DD170A" w:rsidRDefault="009A4DA0" w:rsidP="002239E2">
      <w:r w:rsidRPr="00EE7B0B">
        <w:rPr>
          <w:rFonts w:cstheme="minorHAnsi"/>
        </w:rPr>
        <w:t xml:space="preserve">Previous </w:t>
      </w:r>
      <w:r>
        <w:rPr>
          <w:rFonts w:cstheme="minorHAnsi"/>
        </w:rPr>
        <w:t>large</w:t>
      </w:r>
      <w:r w:rsidR="00563A2B">
        <w:rPr>
          <w:rFonts w:cstheme="minorHAnsi"/>
        </w:rPr>
        <w:noBreakHyphen/>
      </w:r>
      <w:r>
        <w:rPr>
          <w:rFonts w:cstheme="minorHAnsi"/>
        </w:rPr>
        <w:t>scale</w:t>
      </w:r>
      <w:r w:rsidRPr="00EE7B0B">
        <w:rPr>
          <w:rFonts w:cstheme="minorHAnsi"/>
        </w:rPr>
        <w:t xml:space="preserve"> initiatives in social and affordable housing, such as the Social Housing Initiative in 2009, </w:t>
      </w:r>
      <w:r>
        <w:rPr>
          <w:rFonts w:cstheme="minorHAnsi"/>
        </w:rPr>
        <w:t xml:space="preserve">have also been </w:t>
      </w:r>
      <w:r w:rsidRPr="00EE7B0B">
        <w:rPr>
          <w:rFonts w:cstheme="minorHAnsi"/>
        </w:rPr>
        <w:t>time limited and did not provide an ongoing subsidy. Government measures that aim to bridge the funding gap should be ongoing to provide as much certainty as possible to institutional investors</w:t>
      </w:r>
      <w:r w:rsidR="009E14CD">
        <w:rPr>
          <w:rFonts w:cstheme="minorHAnsi"/>
        </w:rPr>
        <w:t xml:space="preserve"> </w:t>
      </w:r>
      <w:r w:rsidR="009E14CD" w:rsidRPr="001436EA">
        <w:rPr>
          <w:rFonts w:cstheme="minorHAnsi"/>
        </w:rPr>
        <w:t>were demonstrated to be effective in increasing social and affordable housing supply</w:t>
      </w:r>
      <w:r w:rsidRPr="00EE7B0B">
        <w:rPr>
          <w:rFonts w:cstheme="minorHAnsi"/>
        </w:rPr>
        <w:t>. For example, funding social and affordable housing in a similar way to other infrastructure by setting targets and providing ongoing subsidies might provide sufficient certainty to attract more private capital to the sector</w:t>
      </w:r>
      <w:r w:rsidRPr="00E705C1">
        <w:rPr>
          <w:rFonts w:cstheme="minorHAnsi"/>
        </w:rPr>
        <w:t xml:space="preserve">. A model like that proposed by the </w:t>
      </w:r>
      <w:r w:rsidR="00C320BD">
        <w:rPr>
          <w:rFonts w:cstheme="minorHAnsi"/>
        </w:rPr>
        <w:t>Australian</w:t>
      </w:r>
      <w:r>
        <w:t xml:space="preserve"> Government for the Housing Australia Future Fund could help address this uncertainty.</w:t>
      </w:r>
    </w:p>
    <w:p w14:paraId="5C34DCF7" w14:textId="22C79ECA" w:rsidR="009A4DA0" w:rsidRPr="002239E2" w:rsidRDefault="001E4DDB" w:rsidP="002239E2">
      <w:r w:rsidRPr="002239E2">
        <w:t>S</w:t>
      </w:r>
      <w:r w:rsidR="009A4DA0" w:rsidRPr="002239E2">
        <w:t xml:space="preserve">ome institutional investors argue </w:t>
      </w:r>
      <w:r w:rsidR="00E609DB" w:rsidRPr="002239E2">
        <w:t xml:space="preserve">that </w:t>
      </w:r>
      <w:r w:rsidR="009A4DA0" w:rsidRPr="002239E2">
        <w:t xml:space="preserve">all providers of social and affordable housing </w:t>
      </w:r>
      <w:r w:rsidR="00CF0D6B" w:rsidRPr="002239E2">
        <w:t xml:space="preserve">(i.e. including institutional investors) </w:t>
      </w:r>
      <w:r w:rsidR="009A4DA0" w:rsidRPr="002239E2">
        <w:t xml:space="preserve">should be able to access the same subsidy assistance </w:t>
      </w:r>
      <w:r w:rsidR="00E609DB" w:rsidRPr="002239E2">
        <w:t xml:space="preserve">that is </w:t>
      </w:r>
      <w:r w:rsidR="009A4DA0" w:rsidRPr="002239E2">
        <w:t>available to community housing providers</w:t>
      </w:r>
      <w:r w:rsidR="00E609DB" w:rsidRPr="002239E2">
        <w:t>. This</w:t>
      </w:r>
      <w:r w:rsidR="009A4DA0" w:rsidRPr="002239E2">
        <w:t xml:space="preserve"> includ</w:t>
      </w:r>
      <w:r w:rsidR="00E609DB" w:rsidRPr="002239E2">
        <w:t>es</w:t>
      </w:r>
      <w:r w:rsidR="009A4DA0" w:rsidRPr="002239E2">
        <w:t xml:space="preserve"> tax concessions available to registered charities. They</w:t>
      </w:r>
      <w:r w:rsidR="00FB71C7">
        <w:t> </w:t>
      </w:r>
      <w:r w:rsidR="009A4DA0" w:rsidRPr="002239E2">
        <w:t>noted that partnering with community housing providers can create additional complexity and counterparty risk, and that some community housing providers lack the capability to partner effectively with institutional investors</w:t>
      </w:r>
      <w:r w:rsidR="004744E0">
        <w:t xml:space="preserve"> (see below)</w:t>
      </w:r>
      <w:r w:rsidR="009A4DA0" w:rsidRPr="002239E2">
        <w:t>.</w:t>
      </w:r>
      <w:r w:rsidR="00C938D6" w:rsidRPr="002239E2">
        <w:t xml:space="preserve"> </w:t>
      </w:r>
    </w:p>
    <w:p w14:paraId="730DD57B" w14:textId="7B631977" w:rsidR="009A4DA0" w:rsidRPr="00054437" w:rsidRDefault="009A4DA0" w:rsidP="002239E2">
      <w:r>
        <w:t>Conversely, community housing providers</w:t>
      </w:r>
      <w:r w:rsidRPr="00054437">
        <w:t xml:space="preserve"> argue that they are best placed to cater to the needs of vulnerable tenants and provide specific support services, though they acknowledge this point is less relevant for affordable housing </w:t>
      </w:r>
      <w:r>
        <w:t>and below market rent housing</w:t>
      </w:r>
      <w:r w:rsidRPr="00054437">
        <w:t xml:space="preserve"> provided to less vulnerable clients such as essential workers. </w:t>
      </w:r>
      <w:r w:rsidR="00A916EA">
        <w:t>They also noted that</w:t>
      </w:r>
      <w:r w:rsidR="00C47D94">
        <w:t xml:space="preserve"> there are several examples of institutional investors partnering successfully with community housing providers to deliver affordable housing as part of mixed</w:t>
      </w:r>
      <w:r w:rsidR="00563A2B">
        <w:noBreakHyphen/>
      </w:r>
      <w:r w:rsidR="00C47D94">
        <w:t>tenure developments.</w:t>
      </w:r>
    </w:p>
    <w:p w14:paraId="74C3C325" w14:textId="7DD0BC9A" w:rsidR="009A4DA0" w:rsidRDefault="009A4DA0" w:rsidP="002239E2">
      <w:r>
        <w:t>Institutional investors are not well placed to manage the a</w:t>
      </w:r>
      <w:r w:rsidRPr="001B2E4F">
        <w:t>dditional costs associated with vulnerable tenants</w:t>
      </w:r>
      <w:r w:rsidR="00682DEA">
        <w:t xml:space="preserve"> </w:t>
      </w:r>
      <w:r w:rsidR="00B74D36" w:rsidRPr="00B74D36">
        <w:t>and tenants with special needs</w:t>
      </w:r>
      <w:r>
        <w:t xml:space="preserve">. These tenancy services often require additional capital to </w:t>
      </w:r>
      <w:r w:rsidR="00543D9A">
        <w:t xml:space="preserve">be </w:t>
      </w:r>
      <w:r>
        <w:t>provide</w:t>
      </w:r>
      <w:r w:rsidR="00543D9A">
        <w:t>d</w:t>
      </w:r>
      <w:r w:rsidDel="00CD6DE4">
        <w:t>.</w:t>
      </w:r>
      <w:r w:rsidDel="00743B78">
        <w:t xml:space="preserve"> </w:t>
      </w:r>
      <w:r>
        <w:t>While this</w:t>
      </w:r>
      <w:r w:rsidRPr="001B2E4F">
        <w:t xml:space="preserve"> can be </w:t>
      </w:r>
      <w:r>
        <w:t>managed</w:t>
      </w:r>
      <w:r w:rsidRPr="001B2E4F">
        <w:t xml:space="preserve"> </w:t>
      </w:r>
      <w:r>
        <w:t xml:space="preserve">by </w:t>
      </w:r>
      <w:r w:rsidRPr="001B2E4F">
        <w:t xml:space="preserve">contracting tenancy management in the affordable and social housing sectors to </w:t>
      </w:r>
      <w:r>
        <w:t>community housing providers</w:t>
      </w:r>
      <w:r w:rsidRPr="001B2E4F">
        <w:t xml:space="preserve">, </w:t>
      </w:r>
      <w:r>
        <w:t xml:space="preserve">it creates an inherent limitation of the extent to which institutional investment can support the social and affordable housing sector. </w:t>
      </w:r>
      <w:r w:rsidR="00D82066">
        <w:t>Additionally, the tax concessions afforded to not</w:t>
      </w:r>
      <w:r w:rsidR="00563A2B">
        <w:noBreakHyphen/>
      </w:r>
      <w:r w:rsidR="00D82066">
        <w:t>for</w:t>
      </w:r>
      <w:r w:rsidR="00563A2B">
        <w:noBreakHyphen/>
      </w:r>
      <w:r w:rsidR="00D82066">
        <w:t xml:space="preserve">profit community housing </w:t>
      </w:r>
      <w:r w:rsidR="00980640">
        <w:t>providers</w:t>
      </w:r>
      <w:r w:rsidR="00D82066">
        <w:t xml:space="preserve"> is given in explicit recognition of </w:t>
      </w:r>
      <w:r w:rsidR="00563A2B">
        <w:t>‘</w:t>
      </w:r>
      <w:r w:rsidR="00D82066">
        <w:t>non</w:t>
      </w:r>
      <w:r w:rsidR="00563A2B">
        <w:noBreakHyphen/>
      </w:r>
      <w:r w:rsidR="00D82066">
        <w:t>market</w:t>
      </w:r>
      <w:r w:rsidR="00563A2B">
        <w:t>’</w:t>
      </w:r>
      <w:r w:rsidR="00D82066">
        <w:t xml:space="preserve"> activities these organisation</w:t>
      </w:r>
      <w:r w:rsidR="00EC7FD7">
        <w:t>s</w:t>
      </w:r>
      <w:r w:rsidR="00D82066">
        <w:t xml:space="preserve"> provide. </w:t>
      </w:r>
      <w:r w:rsidR="00905AEC">
        <w:t xml:space="preserve">Such arrangements may be inconsistent with </w:t>
      </w:r>
      <w:r w:rsidR="006F00C9">
        <w:t>the core mandate of institutional investors</w:t>
      </w:r>
      <w:r w:rsidR="00D82066">
        <w:t xml:space="preserve">. </w:t>
      </w:r>
    </w:p>
    <w:p w14:paraId="15225F33" w14:textId="1883D185" w:rsidR="009A4DA0" w:rsidRDefault="009A4DA0" w:rsidP="002239E2">
      <w:pPr>
        <w:pStyle w:val="Heading3"/>
      </w:pPr>
      <w:r>
        <w:t xml:space="preserve">A lack of capability among </w:t>
      </w:r>
      <w:r w:rsidR="006F00C9">
        <w:t>some</w:t>
      </w:r>
      <w:r>
        <w:t xml:space="preserve"> community housing providers to partner with institutional capital</w:t>
      </w:r>
    </w:p>
    <w:p w14:paraId="62AAEBA3" w14:textId="7561E021" w:rsidR="009A4DA0" w:rsidRDefault="009A4DA0" w:rsidP="002239E2">
      <w:r w:rsidRPr="001B2E4F">
        <w:t xml:space="preserve">The performance of the </w:t>
      </w:r>
      <w:r>
        <w:t xml:space="preserve">community housing </w:t>
      </w:r>
      <w:r w:rsidRPr="001B2E4F">
        <w:t xml:space="preserve">sector in sustaining </w:t>
      </w:r>
      <w:r>
        <w:t>social and affordable</w:t>
      </w:r>
      <w:r w:rsidRPr="001B2E4F">
        <w:t xml:space="preserve"> tenancies is well recognised</w:t>
      </w:r>
      <w:r>
        <w:t xml:space="preserve">. </w:t>
      </w:r>
      <w:r w:rsidR="003E2F88">
        <w:t>That said</w:t>
      </w:r>
      <w:r w:rsidR="001122C5">
        <w:t>, t</w:t>
      </w:r>
      <w:r w:rsidR="009762D3">
        <w:t>he</w:t>
      </w:r>
      <w:r w:rsidRPr="001B2E4F">
        <w:t xml:space="preserve"> scale and capability of </w:t>
      </w:r>
      <w:r>
        <w:t xml:space="preserve">community housing </w:t>
      </w:r>
      <w:r w:rsidR="005C68D5">
        <w:t xml:space="preserve">providers </w:t>
      </w:r>
      <w:r w:rsidRPr="001B2E4F">
        <w:t>varies across and within jurisdictions</w:t>
      </w:r>
      <w:r>
        <w:t>, including</w:t>
      </w:r>
      <w:r w:rsidRPr="008A36CB">
        <w:t xml:space="preserve"> in terms of organisation type</w:t>
      </w:r>
      <w:r>
        <w:t>, core business</w:t>
      </w:r>
      <w:r w:rsidRPr="008A36CB">
        <w:t>, capacity, scale and maturity</w:t>
      </w:r>
      <w:r w:rsidRPr="002D6334">
        <w:t>.</w:t>
      </w:r>
      <w:r>
        <w:t xml:space="preserve"> </w:t>
      </w:r>
      <w:r w:rsidR="001122C5">
        <w:t>I</w:t>
      </w:r>
      <w:r>
        <w:t xml:space="preserve">nstitutional investors assess that only 10 – 15 </w:t>
      </w:r>
      <w:r w:rsidRPr="002D6334">
        <w:t xml:space="preserve">providers </w:t>
      </w:r>
      <w:r>
        <w:t>have sufficient capability to partner with them</w:t>
      </w:r>
      <w:r w:rsidRPr="002D6334">
        <w:t>.</w:t>
      </w:r>
      <w:r>
        <w:t xml:space="preserve"> The </w:t>
      </w:r>
      <w:r w:rsidR="00040FEB">
        <w:t>limited</w:t>
      </w:r>
      <w:r>
        <w:t xml:space="preserve"> range of capacity of providers in the sector is unsurprising given the </w:t>
      </w:r>
      <w:r w:rsidR="00872B76">
        <w:t xml:space="preserve">still relatively </w:t>
      </w:r>
      <w:r w:rsidR="00040FEB">
        <w:t>nascent state</w:t>
      </w:r>
      <w:r>
        <w:t xml:space="preserve"> of the sector. Many only specialise in tenancy services, rather than building or redeveloping social and affordable housing stock. </w:t>
      </w:r>
      <w:r w:rsidR="00F16E41">
        <w:t>Nonetheless</w:t>
      </w:r>
      <w:r w:rsidR="00B66AD3">
        <w:t xml:space="preserve">, some institutional investors have </w:t>
      </w:r>
      <w:r w:rsidR="00B66AD3">
        <w:lastRenderedPageBreak/>
        <w:t xml:space="preserve">begun partnering with community housing providers </w:t>
      </w:r>
      <w:r w:rsidR="00EF189E">
        <w:t xml:space="preserve">in projects that </w:t>
      </w:r>
      <w:r w:rsidR="00B74AF9">
        <w:t>include</w:t>
      </w:r>
      <w:r w:rsidR="00B66AD3">
        <w:t xml:space="preserve"> affordable housing, such as the partnership between Lighthouse Infrastructure and St George Community Housing.</w:t>
      </w:r>
      <w:r w:rsidR="00BA7D5E">
        <w:t xml:space="preserve"> Some</w:t>
      </w:r>
      <w:r w:rsidR="00D92DD9">
        <w:t> </w:t>
      </w:r>
      <w:r w:rsidR="00AA7CA4">
        <w:t>community housing providers</w:t>
      </w:r>
      <w:r w:rsidR="00BA7D5E">
        <w:t xml:space="preserve"> have, however, developed quickly and have strong governance, management and financial profiles.</w:t>
      </w:r>
    </w:p>
    <w:p w14:paraId="521EAA53" w14:textId="34DBA446" w:rsidR="009A4DA0" w:rsidRPr="00F0771D" w:rsidRDefault="009A4DA0" w:rsidP="002239E2">
      <w:r>
        <w:t xml:space="preserve">Coupled with the nascency of the sector and the </w:t>
      </w:r>
      <w:r w:rsidR="00563A2B">
        <w:t>‘</w:t>
      </w:r>
      <w:r>
        <w:t>first mover problem,</w:t>
      </w:r>
      <w:r w:rsidR="00563A2B">
        <w:t>’</w:t>
      </w:r>
      <w:r>
        <w:t xml:space="preserve"> complexity around the additional arrangements to partner with community housing providers also acts as a disincentive for institutional capital to invest </w:t>
      </w:r>
      <w:r w:rsidR="006C5F99">
        <w:t xml:space="preserve">in </w:t>
      </w:r>
      <w:r>
        <w:t>project</w:t>
      </w:r>
      <w:r w:rsidR="006C5F99">
        <w:t>s</w:t>
      </w:r>
      <w:r>
        <w:t xml:space="preserve"> with social and affordable housing components.</w:t>
      </w:r>
    </w:p>
    <w:p w14:paraId="7D791162" w14:textId="77777777" w:rsidR="009A4DA0" w:rsidRPr="008A36CB" w:rsidRDefault="009A4DA0" w:rsidP="002239E2">
      <w:pPr>
        <w:pStyle w:val="Heading3"/>
      </w:pPr>
      <w:r w:rsidRPr="00A733C7">
        <w:t>Lack of agreed definitions</w:t>
      </w:r>
    </w:p>
    <w:p w14:paraId="289CD7A3" w14:textId="6FEEA320" w:rsidR="009A4DA0" w:rsidRDefault="009A4DA0" w:rsidP="002239E2">
      <w:r>
        <w:t xml:space="preserve">There is a wide range of housing that falls between the private rental market and homelessness services on the housing continuum, often referred to as </w:t>
      </w:r>
      <w:r w:rsidR="00563A2B">
        <w:t>‘</w:t>
      </w:r>
      <w:r>
        <w:t>social and affordable housing</w:t>
      </w:r>
      <w:r w:rsidR="00563A2B">
        <w:t>’</w:t>
      </w:r>
      <w:r>
        <w:t xml:space="preserve"> (see Box 1). At</w:t>
      </w:r>
      <w:r w:rsidR="00FB71C7">
        <w:t> </w:t>
      </w:r>
      <w:r>
        <w:t xml:space="preserve">a high level, </w:t>
      </w:r>
      <w:r w:rsidR="00563A2B">
        <w:t>‘</w:t>
      </w:r>
      <w:r>
        <w:t xml:space="preserve">social and </w:t>
      </w:r>
      <w:r w:rsidRPr="001E56D7">
        <w:t>affordable housing</w:t>
      </w:r>
      <w:r w:rsidR="00563A2B">
        <w:t>’</w:t>
      </w:r>
      <w:r w:rsidRPr="001E56D7">
        <w:t xml:space="preserve"> refers to a range of discounted or subsidised housing that can assist low to moderate income households to avoid housing stress (Treasury 2021)</w:t>
      </w:r>
      <w:r>
        <w:t xml:space="preserve">. While the broad phrase </w:t>
      </w:r>
      <w:r w:rsidR="00563A2B">
        <w:t>‘</w:t>
      </w:r>
      <w:r>
        <w:t>social and affordable housing</w:t>
      </w:r>
      <w:r w:rsidR="00563A2B">
        <w:t>’</w:t>
      </w:r>
      <w:r>
        <w:t xml:space="preserve"> is often used, it is not a uniform, singular asset class. There is a large degree of variation in the types of housing that fall under this banner, with different characteristics. </w:t>
      </w:r>
    </w:p>
    <w:p w14:paraId="24094595" w14:textId="2708B030" w:rsidR="009A4DA0" w:rsidRPr="00054437" w:rsidRDefault="00B83B26" w:rsidP="002239E2">
      <w:r>
        <w:t>T</w:t>
      </w:r>
      <w:r w:rsidR="009A4DA0" w:rsidRPr="00054437">
        <w:t xml:space="preserve">here is no common definition of </w:t>
      </w:r>
      <w:r>
        <w:t>‘</w:t>
      </w:r>
      <w:r w:rsidR="009A4DA0" w:rsidRPr="00054437">
        <w:t>affordable</w:t>
      </w:r>
      <w:r>
        <w:t>’</w:t>
      </w:r>
      <w:r w:rsidR="009A4DA0" w:rsidRPr="00054437">
        <w:t xml:space="preserve"> housing for either renters or owners in Australia</w:t>
      </w:r>
      <w:r w:rsidR="009A4DA0">
        <w:t xml:space="preserve"> (see Box 1 and AHURI 2023)</w:t>
      </w:r>
      <w:r w:rsidR="009A4DA0" w:rsidRPr="00054437">
        <w:t>.</w:t>
      </w:r>
      <w:r w:rsidR="009A4DA0" w:rsidRPr="00054437">
        <w:rPr>
          <w:vertAlign w:val="superscript"/>
        </w:rPr>
        <w:t xml:space="preserve"> </w:t>
      </w:r>
      <w:r w:rsidR="009A4DA0">
        <w:t xml:space="preserve">The </w:t>
      </w:r>
      <w:r w:rsidR="009A4DA0" w:rsidRPr="00054437">
        <w:t xml:space="preserve">definition </w:t>
      </w:r>
      <w:r w:rsidR="009A4DA0">
        <w:t>varies</w:t>
      </w:r>
      <w:r w:rsidR="009A4DA0" w:rsidRPr="00054437">
        <w:t xml:space="preserve"> across and within jurisdictions, including across programs, policies</w:t>
      </w:r>
      <w:r w:rsidR="009A4DA0">
        <w:t xml:space="preserve">, </w:t>
      </w:r>
      <w:r w:rsidR="009A4DA0" w:rsidRPr="00054437">
        <w:t>legislation</w:t>
      </w:r>
      <w:r w:rsidR="009A4DA0">
        <w:t xml:space="preserve"> and regulation</w:t>
      </w:r>
      <w:r w:rsidR="008B418B">
        <w:t>s</w:t>
      </w:r>
      <w:r w:rsidR="009A4DA0">
        <w:t>. W</w:t>
      </w:r>
      <w:r w:rsidR="009A4DA0" w:rsidRPr="00054437">
        <w:t xml:space="preserve">ithout a common, implementable definition, institutions face inconsistent and uncertain conditions when making investment decisions around affordable housing projects. </w:t>
      </w:r>
      <w:r w:rsidR="009A4DA0">
        <w:t xml:space="preserve">It creates confusion as to whether a project will be eligible for the patchwork of concessions offered by different tiers of government. </w:t>
      </w:r>
    </w:p>
    <w:p w14:paraId="12BF35E8" w14:textId="77777777" w:rsidR="009A4DA0" w:rsidRDefault="009A4DA0" w:rsidP="002719DD">
      <w:pPr>
        <w:spacing w:after="120"/>
      </w:pPr>
      <w:r>
        <w:t>The difficulty in agreeing on a single definition in part reflects differing goals of participants:</w:t>
      </w:r>
    </w:p>
    <w:p w14:paraId="4C83B16A" w14:textId="112291A6" w:rsidR="009A4DA0" w:rsidRPr="002239E2" w:rsidRDefault="009A4DA0" w:rsidP="002239E2">
      <w:pPr>
        <w:pStyle w:val="Bullet"/>
      </w:pPr>
      <w:r w:rsidRPr="002239E2">
        <w:t xml:space="preserve">Community housing sector stakeholders </w:t>
      </w:r>
      <w:r w:rsidR="002C1AAC" w:rsidRPr="002239E2">
        <w:t xml:space="preserve">tend to favour </w:t>
      </w:r>
      <w:r w:rsidRPr="002239E2">
        <w:t>an income</w:t>
      </w:r>
      <w:r w:rsidR="00563A2B">
        <w:noBreakHyphen/>
      </w:r>
      <w:r w:rsidRPr="002239E2">
        <w:t xml:space="preserve">based approach </w:t>
      </w:r>
      <w:r w:rsidR="00EA6AA2" w:rsidRPr="002239E2">
        <w:t xml:space="preserve">that </w:t>
      </w:r>
      <w:r w:rsidRPr="002239E2">
        <w:t>better reflects affordability constraints for low</w:t>
      </w:r>
      <w:r w:rsidR="00563A2B">
        <w:noBreakHyphen/>
      </w:r>
      <w:r w:rsidRPr="002239E2">
        <w:t xml:space="preserve">income tenants. </w:t>
      </w:r>
    </w:p>
    <w:p w14:paraId="733A08D2" w14:textId="7E6125B2" w:rsidR="009A4DA0" w:rsidRPr="00054437" w:rsidRDefault="009A4DA0" w:rsidP="002239E2">
      <w:pPr>
        <w:pStyle w:val="Bullet"/>
      </w:pPr>
      <w:r w:rsidRPr="002239E2">
        <w:t>Inve</w:t>
      </w:r>
      <w:r w:rsidRPr="00054437">
        <w:t xml:space="preserve">stors </w:t>
      </w:r>
      <w:r w:rsidR="003620D9">
        <w:t xml:space="preserve">seek to minimise investment uncertainty and </w:t>
      </w:r>
      <w:r w:rsidR="00B83B26">
        <w:t xml:space="preserve">so </w:t>
      </w:r>
      <w:r w:rsidR="003620D9">
        <w:t>tend to favour a</w:t>
      </w:r>
      <w:r w:rsidRPr="00054437">
        <w:t xml:space="preserve"> measure linked to market</w:t>
      </w:r>
      <w:r w:rsidR="00FB71C7">
        <w:t> </w:t>
      </w:r>
      <w:r w:rsidRPr="00054437">
        <w:t>rents</w:t>
      </w:r>
      <w:r w:rsidR="00EB338B">
        <w:t>.</w:t>
      </w:r>
    </w:p>
    <w:p w14:paraId="59C6B397" w14:textId="41551660" w:rsidR="009A4DA0" w:rsidRDefault="009A4DA0" w:rsidP="002239E2">
      <w:pPr>
        <w:pStyle w:val="Heading3"/>
      </w:pPr>
      <w:bookmarkStart w:id="126" w:name="_Toc139618836"/>
      <w:bookmarkStart w:id="127" w:name="_Toc139635563"/>
      <w:r>
        <w:t xml:space="preserve">Outdated and inconsistent </w:t>
      </w:r>
      <w:r w:rsidR="00714D5E" w:rsidRPr="00A733C7">
        <w:t>regulatory regimes</w:t>
      </w:r>
      <w:r w:rsidR="00714D5E">
        <w:t xml:space="preserve"> for the </w:t>
      </w:r>
      <w:r>
        <w:t>c</w:t>
      </w:r>
      <w:r w:rsidRPr="00A733C7">
        <w:t xml:space="preserve">ommunity housing sector </w:t>
      </w:r>
      <w:bookmarkEnd w:id="126"/>
      <w:bookmarkEnd w:id="127"/>
    </w:p>
    <w:p w14:paraId="36E4A0CA" w14:textId="1E72F45D" w:rsidR="009A4DA0" w:rsidRPr="00054437" w:rsidRDefault="009A4DA0" w:rsidP="002239E2">
      <w:r>
        <w:t>T</w:t>
      </w:r>
      <w:r w:rsidRPr="00054437">
        <w:t xml:space="preserve">he lack of a consistent national framework </w:t>
      </w:r>
      <w:r>
        <w:t xml:space="preserve">for the regulation </w:t>
      </w:r>
      <w:r w:rsidR="009B5278">
        <w:t xml:space="preserve">of </w:t>
      </w:r>
      <w:r>
        <w:t xml:space="preserve">the community housing sector adds to costs </w:t>
      </w:r>
      <w:r w:rsidRPr="00054437">
        <w:t>and uncertainty for institutional investors looking to invest in social and affordable housing.</w:t>
      </w:r>
      <w:r>
        <w:t xml:space="preserve"> While most jurisdictions have adopted the National Regulatory System of Community Housing, Victoria and Western Australia have their own regulatory regimes for community housing providers. </w:t>
      </w:r>
    </w:p>
    <w:p w14:paraId="7BF945AA" w14:textId="3CF3A923" w:rsidR="009A4DA0" w:rsidRPr="00054437" w:rsidRDefault="009A4DA0" w:rsidP="002719DD">
      <w:pPr>
        <w:keepNext/>
        <w:keepLines/>
        <w:spacing w:after="120"/>
      </w:pPr>
      <w:r>
        <w:lastRenderedPageBreak/>
        <w:t xml:space="preserve">There have long been calls to harmonise the different regulatory regimes for community housing providers (Milligan </w:t>
      </w:r>
      <w:r w:rsidR="005F7DBF">
        <w:t>and others</w:t>
      </w:r>
      <w:r>
        <w:t xml:space="preserve"> 2017; </w:t>
      </w:r>
      <w:r w:rsidR="00C67A37">
        <w:t>NSW DCJ 2021</w:t>
      </w:r>
      <w:r>
        <w:t>).</w:t>
      </w:r>
      <w:r w:rsidR="00090069">
        <w:t xml:space="preserve"> </w:t>
      </w:r>
      <w:r w:rsidRPr="00054437">
        <w:t xml:space="preserve">A </w:t>
      </w:r>
      <w:r w:rsidRPr="00401907">
        <w:t xml:space="preserve">2016 </w:t>
      </w:r>
      <w:r>
        <w:t>r</w:t>
      </w:r>
      <w:r w:rsidRPr="00401907">
        <w:t>eport</w:t>
      </w:r>
      <w:r w:rsidRPr="00054437">
        <w:t xml:space="preserve"> by the Affordable Housing Working Group established by the Council on Federal Financial Relations and the </w:t>
      </w:r>
      <w:r w:rsidRPr="00401907">
        <w:t>National Regulatory System for Community Housing Review</w:t>
      </w:r>
      <w:r w:rsidRPr="00054437">
        <w:t xml:space="preserve"> (2021) both agreed that:</w:t>
      </w:r>
    </w:p>
    <w:p w14:paraId="24F27442" w14:textId="2129748C" w:rsidR="009A4DA0" w:rsidRPr="002239E2" w:rsidRDefault="00AB1316" w:rsidP="00D92DD9">
      <w:pPr>
        <w:pStyle w:val="Bullet"/>
        <w:keepNext/>
        <w:keepLines/>
      </w:pPr>
      <w:r>
        <w:t>I</w:t>
      </w:r>
      <w:r w:rsidR="009A4DA0" w:rsidRPr="00054437">
        <w:t xml:space="preserve">nconsistencies across </w:t>
      </w:r>
      <w:r w:rsidR="009A4DA0" w:rsidRPr="002239E2">
        <w:t>the different regulatory regimes reduce investor confidence in the sector</w:t>
      </w:r>
      <w:r w:rsidRPr="002239E2">
        <w:t>.</w:t>
      </w:r>
      <w:r w:rsidR="009A4DA0" w:rsidRPr="002239E2">
        <w:t xml:space="preserve"> </w:t>
      </w:r>
    </w:p>
    <w:p w14:paraId="0462D83B" w14:textId="1B26144F" w:rsidR="009A4DA0" w:rsidRPr="002239E2" w:rsidRDefault="00AB1316" w:rsidP="00D92DD9">
      <w:pPr>
        <w:pStyle w:val="Bullet"/>
        <w:keepNext/>
        <w:keepLines/>
      </w:pPr>
      <w:r w:rsidRPr="002239E2">
        <w:t>T</w:t>
      </w:r>
      <w:r w:rsidR="009A4DA0" w:rsidRPr="002239E2">
        <w:t>he Commonwealth, state and territory governments should collaborate with the community housing sector to develop and implement a uniform and nationally applied regulatory framework</w:t>
      </w:r>
      <w:r w:rsidRPr="002239E2">
        <w:t>.</w:t>
      </w:r>
    </w:p>
    <w:p w14:paraId="5F0DF126" w14:textId="32195E3F" w:rsidR="009A4DA0" w:rsidRPr="00054437" w:rsidRDefault="00AB1316" w:rsidP="002239E2">
      <w:pPr>
        <w:pStyle w:val="Bullet"/>
      </w:pPr>
      <w:r w:rsidRPr="002239E2">
        <w:t>T</w:t>
      </w:r>
      <w:r w:rsidR="009A4DA0" w:rsidRPr="002239E2">
        <w:t>he National Regulatory System</w:t>
      </w:r>
      <w:r w:rsidR="009A4DA0" w:rsidRPr="00054437">
        <w:t xml:space="preserve"> for Community Housing should be expanded to cover all providers of </w:t>
      </w:r>
      <w:r w:rsidR="009A4DA0">
        <w:t xml:space="preserve">social and </w:t>
      </w:r>
      <w:r w:rsidR="009A4DA0" w:rsidRPr="00054437">
        <w:t>affordable housing, including</w:t>
      </w:r>
      <w:r w:rsidR="00775031">
        <w:t>, where applicable,</w:t>
      </w:r>
      <w:r w:rsidR="009A4DA0" w:rsidRPr="00054437">
        <w:t xml:space="preserve"> for</w:t>
      </w:r>
      <w:r w:rsidR="00563A2B">
        <w:noBreakHyphen/>
      </w:r>
      <w:r w:rsidR="009A4DA0" w:rsidRPr="00054437">
        <w:t>profit providers</w:t>
      </w:r>
      <w:r>
        <w:t>.</w:t>
      </w:r>
    </w:p>
    <w:p w14:paraId="34E934F8" w14:textId="135BE361" w:rsidR="009A4DA0" w:rsidRPr="00054437" w:rsidRDefault="009A4DA0" w:rsidP="002239E2">
      <w:r>
        <w:t>During consultation, s</w:t>
      </w:r>
      <w:r w:rsidRPr="00054437">
        <w:t>takeholders argued that current regulations are no longer fit</w:t>
      </w:r>
      <w:r w:rsidR="00563A2B">
        <w:noBreakHyphen/>
      </w:r>
      <w:r w:rsidRPr="00054437">
        <w:t>for</w:t>
      </w:r>
      <w:r w:rsidR="00563A2B">
        <w:noBreakHyphen/>
      </w:r>
      <w:r w:rsidRPr="00054437">
        <w:t xml:space="preserve">purpose as they do not account for current financing arrangements, company structures or business practices. </w:t>
      </w:r>
      <w:r>
        <w:t>T</w:t>
      </w:r>
      <w:r w:rsidRPr="00054437">
        <w:t>he</w:t>
      </w:r>
      <w:r w:rsidR="00FB71C7">
        <w:t> </w:t>
      </w:r>
      <w:r>
        <w:t>NHFIC Review</w:t>
      </w:r>
      <w:r w:rsidRPr="00054437">
        <w:t xml:space="preserve"> noted </w:t>
      </w:r>
      <w:r w:rsidR="00FD64E3">
        <w:t>current arrangements</w:t>
      </w:r>
      <w:r w:rsidRPr="00054437">
        <w:t xml:space="preserve"> focus on compliance rather than capacity building, poor quality and availability of sector data, and a lack of measures for tenant outcomes</w:t>
      </w:r>
      <w:r w:rsidR="00DD0473">
        <w:t xml:space="preserve">. </w:t>
      </w:r>
      <w:r w:rsidR="00204301">
        <w:t>I</w:t>
      </w:r>
      <w:r w:rsidR="00DD0473">
        <w:t>t</w:t>
      </w:r>
      <w:r w:rsidRPr="00054437">
        <w:t xml:space="preserve"> </w:t>
      </w:r>
      <w:r>
        <w:t xml:space="preserve">found that </w:t>
      </w:r>
      <w:r w:rsidRPr="00054437">
        <w:t xml:space="preserve">to build trust among investors, the regulatory system must be improved, with </w:t>
      </w:r>
      <w:r>
        <w:t xml:space="preserve">more </w:t>
      </w:r>
      <w:r w:rsidRPr="00054437">
        <w:t>focus on governance, clearly defined rules and transparency</w:t>
      </w:r>
      <w:r>
        <w:t xml:space="preserve"> (Treasury 2021). </w:t>
      </w:r>
    </w:p>
    <w:p w14:paraId="79CC772B" w14:textId="77777777" w:rsidR="002C2697" w:rsidRPr="00B430DA" w:rsidRDefault="002C2697" w:rsidP="00B430DA">
      <w:pPr>
        <w:sectPr w:rsidR="002C2697" w:rsidRPr="00B430DA" w:rsidSect="00B66783">
          <w:headerReference w:type="even" r:id="rId34"/>
          <w:headerReference w:type="default" r:id="rId35"/>
          <w:footerReference w:type="even" r:id="rId36"/>
          <w:footerReference w:type="default" r:id="rId37"/>
          <w:headerReference w:type="first" r:id="rId38"/>
          <w:footerReference w:type="first" r:id="rId39"/>
          <w:pgSz w:w="11906" w:h="16838" w:code="9"/>
          <w:pgMar w:top="1843" w:right="1418" w:bottom="1418" w:left="1418" w:header="709" w:footer="709" w:gutter="0"/>
          <w:cols w:space="708"/>
          <w:docGrid w:linePitch="360"/>
        </w:sectPr>
      </w:pPr>
    </w:p>
    <w:p w14:paraId="442CB1C2" w14:textId="6A7F3D75" w:rsidR="009A4DA0" w:rsidRPr="00700C9D" w:rsidRDefault="00ED4831" w:rsidP="009A4DA0">
      <w:pPr>
        <w:pStyle w:val="Heading1Numbered"/>
      </w:pPr>
      <w:bookmarkStart w:id="128" w:name="_Toc141355269"/>
      <w:r>
        <w:lastRenderedPageBreak/>
        <w:t>The need for a market for institutional housing</w:t>
      </w:r>
      <w:bookmarkEnd w:id="128"/>
    </w:p>
    <w:p w14:paraId="25263E1D" w14:textId="450E562C" w:rsidR="006C22A6" w:rsidRPr="00514183" w:rsidRDefault="00A75163" w:rsidP="00A83E6C">
      <w:pPr>
        <w:pStyle w:val="Heading2Numbered"/>
        <w:rPr>
          <w:szCs w:val="20"/>
        </w:rPr>
      </w:pPr>
      <w:bookmarkStart w:id="129" w:name="_Toc141355270"/>
      <w:r>
        <w:rPr>
          <w:szCs w:val="20"/>
        </w:rPr>
        <w:t>Supporting a</w:t>
      </w:r>
      <w:r w:rsidR="00931143">
        <w:rPr>
          <w:szCs w:val="20"/>
        </w:rPr>
        <w:t xml:space="preserve"> market for institutional housing</w:t>
      </w:r>
      <w:bookmarkEnd w:id="129"/>
    </w:p>
    <w:p w14:paraId="01AC264A" w14:textId="31640768" w:rsidR="009A4DA0" w:rsidRPr="00B06041" w:rsidRDefault="009A4DA0" w:rsidP="00D018FC">
      <w:r w:rsidRPr="00B06041">
        <w:t xml:space="preserve">The central finding of </w:t>
      </w:r>
      <w:r>
        <w:t>this report</w:t>
      </w:r>
      <w:r w:rsidRPr="00B06041">
        <w:t xml:space="preserve"> is that the emergence of a domestic market for institutional housing would add to, and improve the quality of, Australia</w:t>
      </w:r>
      <w:r w:rsidR="00563A2B">
        <w:t>’</w:t>
      </w:r>
      <w:r w:rsidRPr="00B06041">
        <w:t>s stock of well</w:t>
      </w:r>
      <w:r w:rsidR="00563A2B">
        <w:noBreakHyphen/>
      </w:r>
      <w:r w:rsidRPr="00B06041">
        <w:t xml:space="preserve">located private rental and </w:t>
      </w:r>
      <w:r w:rsidRPr="006763DB">
        <w:t>social and affordable</w:t>
      </w:r>
      <w:r>
        <w:t xml:space="preserve"> </w:t>
      </w:r>
      <w:r w:rsidRPr="00B06041">
        <w:t>housing, offer more housing diversity and choice for renters, and improve rental affordability. For institutional investors, it would provide a new and potentially large domestic asset class that meets the investment objectives and preference</w:t>
      </w:r>
      <w:r>
        <w:t>s</w:t>
      </w:r>
      <w:r w:rsidRPr="00B06041">
        <w:t xml:space="preserve"> of many members and unitholders. </w:t>
      </w:r>
    </w:p>
    <w:p w14:paraId="44458AF2" w14:textId="46D380E0" w:rsidR="009A4DA0" w:rsidRPr="00D018FC" w:rsidRDefault="009A4DA0" w:rsidP="00D018FC">
      <w:r w:rsidRPr="00D018FC">
        <w:t>A desirable system would have a well</w:t>
      </w:r>
      <w:r w:rsidR="00563A2B" w:rsidRPr="00D018FC">
        <w:noBreakHyphen/>
      </w:r>
      <w:r w:rsidRPr="00D018FC">
        <w:t>supplied primary market (that is, a steady pipeline of large, multi</w:t>
      </w:r>
      <w:r w:rsidR="00563A2B" w:rsidRPr="00D018FC">
        <w:noBreakHyphen/>
      </w:r>
      <w:r w:rsidRPr="00D018FC">
        <w:t>residential, well</w:t>
      </w:r>
      <w:r w:rsidR="00563A2B" w:rsidRPr="00D018FC">
        <w:noBreakHyphen/>
      </w:r>
      <w:r w:rsidRPr="00D018FC">
        <w:t>located projects coming to market), and a well</w:t>
      </w:r>
      <w:r w:rsidR="00563A2B" w:rsidRPr="00D018FC">
        <w:noBreakHyphen/>
      </w:r>
      <w:r w:rsidRPr="00D018FC">
        <w:t>regulated secondary market with low information asymmetries and moderate transaction costs. The development of new stock would be either by institutional investors themselves as build</w:t>
      </w:r>
      <w:r w:rsidR="00563A2B" w:rsidRPr="00D018FC">
        <w:noBreakHyphen/>
      </w:r>
      <w:r w:rsidRPr="00D018FC">
        <w:t>to</w:t>
      </w:r>
      <w:r w:rsidR="00563A2B" w:rsidRPr="00D018FC">
        <w:noBreakHyphen/>
      </w:r>
      <w:r w:rsidRPr="00D018FC">
        <w:t xml:space="preserve">rent developments, or by large developers, with the stock acquired on completion as a single asset by institutional investors to be used as rental stock. </w:t>
      </w:r>
    </w:p>
    <w:p w14:paraId="072FCDD3" w14:textId="472EADB8" w:rsidR="005275F3" w:rsidRDefault="009A4DA0" w:rsidP="00D018FC">
      <w:r>
        <w:t>Commonwealth and state tax</w:t>
      </w:r>
      <w:r w:rsidRPr="00E61F4B">
        <w:t xml:space="preserve"> </w:t>
      </w:r>
      <w:r>
        <w:t xml:space="preserve">measures are </w:t>
      </w:r>
      <w:r w:rsidRPr="00E61F4B">
        <w:t>support</w:t>
      </w:r>
      <w:r>
        <w:t>ing this outcome</w:t>
      </w:r>
      <w:r w:rsidRPr="00E61F4B">
        <w:t xml:space="preserve">. </w:t>
      </w:r>
      <w:r>
        <w:t>But, as discussed in Chapter 4, barriers remain.</w:t>
      </w:r>
      <w:r w:rsidRPr="00E61F4B">
        <w:t xml:space="preserve"> </w:t>
      </w:r>
      <w:r w:rsidR="00B40887">
        <w:t>The following</w:t>
      </w:r>
      <w:r w:rsidRPr="45F79E02">
        <w:t xml:space="preserve"> chapter</w:t>
      </w:r>
      <w:r w:rsidR="00AE3594">
        <w:t>s</w:t>
      </w:r>
      <w:r w:rsidRPr="45F79E02">
        <w:t xml:space="preserve"> propose recommendations to </w:t>
      </w:r>
      <w:r w:rsidR="00AE3594">
        <w:t>address these</w:t>
      </w:r>
      <w:r w:rsidRPr="45F79E02">
        <w:t xml:space="preserve">. </w:t>
      </w:r>
      <w:r w:rsidR="005275F3">
        <w:t>The</w:t>
      </w:r>
      <w:r w:rsidR="00FB71C7">
        <w:t> </w:t>
      </w:r>
      <w:r w:rsidR="005275F3">
        <w:t>recommendations are best viewed holistically, rather than as a menu of options, reflecting the fact that they are mutually reinforcing, and all barriers need to be addressed to support the full and sustainable emergence of a market.</w:t>
      </w:r>
    </w:p>
    <w:p w14:paraId="3AF04A3F" w14:textId="5B077DF3" w:rsidR="009A4DA0" w:rsidRDefault="005275F3" w:rsidP="00D018FC">
      <w:r>
        <w:rPr>
          <w:rFonts w:cstheme="minorHAnsi"/>
        </w:rPr>
        <w:t>The</w:t>
      </w:r>
      <w:r w:rsidR="009A4DA0">
        <w:rPr>
          <w:rFonts w:cstheme="minorHAnsi"/>
        </w:rPr>
        <w:t xml:space="preserve"> recommendations </w:t>
      </w:r>
      <w:r w:rsidR="00A874CB">
        <w:rPr>
          <w:rFonts w:cstheme="minorHAnsi"/>
        </w:rPr>
        <w:t>draw upon</w:t>
      </w:r>
      <w:r w:rsidR="009A4DA0">
        <w:rPr>
          <w:rFonts w:cstheme="minorHAnsi"/>
        </w:rPr>
        <w:t xml:space="preserve"> the literature on</w:t>
      </w:r>
      <w:r w:rsidR="009A4DA0" w:rsidRPr="00F0771D">
        <w:t xml:space="preserve"> market </w:t>
      </w:r>
      <w:r w:rsidR="00FE54B6">
        <w:rPr>
          <w:rFonts w:cstheme="minorHAnsi"/>
        </w:rPr>
        <w:t>efficiency</w:t>
      </w:r>
      <w:r w:rsidR="009A4DA0">
        <w:rPr>
          <w:rFonts w:cstheme="minorHAnsi"/>
        </w:rPr>
        <w:t>, which emphasise</w:t>
      </w:r>
      <w:r w:rsidR="005E1104">
        <w:rPr>
          <w:rFonts w:cstheme="minorHAnsi"/>
        </w:rPr>
        <w:t>s</w:t>
      </w:r>
      <w:r w:rsidR="009A4DA0">
        <w:rPr>
          <w:rFonts w:cstheme="minorHAnsi"/>
        </w:rPr>
        <w:t xml:space="preserve"> the </w:t>
      </w:r>
      <w:r w:rsidR="009A4DA0">
        <w:t xml:space="preserve">need for </w:t>
      </w:r>
      <w:r w:rsidR="0052452D">
        <w:t>appropriate</w:t>
      </w:r>
      <w:r w:rsidR="009A4DA0">
        <w:t xml:space="preserve"> </w:t>
      </w:r>
      <w:r w:rsidR="009A4DA0" w:rsidRPr="00F0771D">
        <w:t>regulatory and legal frameworks, market transparency, low information asymmetries</w:t>
      </w:r>
      <w:r w:rsidR="009A4DA0">
        <w:t xml:space="preserve">, </w:t>
      </w:r>
      <w:r w:rsidR="009A4DA0" w:rsidRPr="00F0771D">
        <w:t>low transaction costs</w:t>
      </w:r>
      <w:r w:rsidR="009A4DA0">
        <w:t xml:space="preserve">, and </w:t>
      </w:r>
      <w:r w:rsidR="009A4DA0" w:rsidRPr="00F0771D">
        <w:t>policy consistency and certainty</w:t>
      </w:r>
      <w:r w:rsidR="009A4DA0">
        <w:t xml:space="preserve"> (discussed further in Box </w:t>
      </w:r>
      <w:r w:rsidR="006B73D1">
        <w:t>7</w:t>
      </w:r>
      <w:r w:rsidR="009A4DA0">
        <w:t>).</w:t>
      </w:r>
    </w:p>
    <w:tbl>
      <w:tblPr>
        <w:tblpPr w:leftFromText="181" w:rightFromText="181" w:vertAnchor="text" w:tblpY="1"/>
        <w:tblOverlap w:val="never"/>
        <w:tblW w:w="5000" w:type="pct"/>
        <w:shd w:val="clear" w:color="auto" w:fill="F2E3C7" w:themeFill="background2"/>
        <w:tblCellMar>
          <w:top w:w="284" w:type="dxa"/>
          <w:left w:w="284" w:type="dxa"/>
          <w:bottom w:w="284" w:type="dxa"/>
          <w:right w:w="284" w:type="dxa"/>
        </w:tblCellMar>
        <w:tblLook w:val="0600" w:firstRow="0" w:lastRow="0" w:firstColumn="0" w:lastColumn="0" w:noHBand="1" w:noVBand="1"/>
      </w:tblPr>
      <w:tblGrid>
        <w:gridCol w:w="9070"/>
      </w:tblGrid>
      <w:tr w:rsidR="009A4DA0" w14:paraId="16DC6C64" w14:textId="77777777">
        <w:tc>
          <w:tcPr>
            <w:tcW w:w="5000" w:type="pct"/>
            <w:shd w:val="clear" w:color="auto" w:fill="F2E3C7" w:themeFill="background2"/>
            <w:hideMark/>
          </w:tcPr>
          <w:p w14:paraId="2F5D25AF" w14:textId="22B673E2" w:rsidR="009A4DA0" w:rsidRPr="00395532" w:rsidRDefault="009A4DA0">
            <w:pPr>
              <w:pStyle w:val="BoxHeading"/>
              <w:rPr>
                <w:sz w:val="28"/>
                <w:szCs w:val="28"/>
                <w:lang w:eastAsia="en-US"/>
              </w:rPr>
            </w:pPr>
            <w:r w:rsidRPr="00395532">
              <w:rPr>
                <w:sz w:val="28"/>
                <w:szCs w:val="28"/>
                <w:lang w:eastAsia="en-US"/>
              </w:rPr>
              <w:t xml:space="preserve">Box </w:t>
            </w:r>
            <w:r w:rsidR="006F30AA">
              <w:rPr>
                <w:sz w:val="28"/>
                <w:szCs w:val="28"/>
                <w:lang w:eastAsia="en-US"/>
              </w:rPr>
              <w:t>7</w:t>
            </w:r>
            <w:r w:rsidRPr="00395532">
              <w:rPr>
                <w:sz w:val="28"/>
                <w:szCs w:val="28"/>
                <w:lang w:eastAsia="en-US"/>
              </w:rPr>
              <w:t xml:space="preserve">: </w:t>
            </w:r>
            <w:r w:rsidRPr="00514183">
              <w:rPr>
                <w:rFonts w:eastAsia="Arial Unicode MS"/>
                <w:sz w:val="28"/>
              </w:rPr>
              <w:t xml:space="preserve">Establishing a viable </w:t>
            </w:r>
            <w:r w:rsidR="003C28B6">
              <w:rPr>
                <w:rFonts w:eastAsia="Arial Unicode MS"/>
                <w:sz w:val="28"/>
              </w:rPr>
              <w:t>and well</w:t>
            </w:r>
            <w:r w:rsidR="00563A2B">
              <w:rPr>
                <w:rFonts w:eastAsia="Arial Unicode MS"/>
                <w:sz w:val="28"/>
              </w:rPr>
              <w:noBreakHyphen/>
            </w:r>
            <w:r w:rsidR="003C28B6">
              <w:rPr>
                <w:rFonts w:eastAsia="Arial Unicode MS"/>
                <w:sz w:val="28"/>
              </w:rPr>
              <w:t xml:space="preserve">functioning </w:t>
            </w:r>
            <w:r w:rsidRPr="00514183">
              <w:rPr>
                <w:rFonts w:eastAsia="Arial Unicode MS"/>
                <w:sz w:val="28"/>
              </w:rPr>
              <w:t>asset market</w:t>
            </w:r>
            <w:r w:rsidRPr="00395532">
              <w:rPr>
                <w:rFonts w:ascii="Arial Unicode MS" w:eastAsia="Arial Unicode MS" w:hAnsi="Arial Unicode MS" w:cs="Courier New"/>
                <w:color w:val="000000"/>
                <w:sz w:val="28"/>
                <w:szCs w:val="28"/>
                <w:lang w:eastAsia="en-US"/>
              </w:rPr>
              <w:t xml:space="preserve"> </w:t>
            </w:r>
          </w:p>
          <w:p w14:paraId="237B7967" w14:textId="2A0DA5A6" w:rsidR="009A4DA0" w:rsidRPr="00F00447" w:rsidRDefault="005E42A1">
            <w:pPr>
              <w:pStyle w:val="BoxText"/>
            </w:pPr>
            <w:proofErr w:type="gramStart"/>
            <w:r>
              <w:t>W</w:t>
            </w:r>
            <w:r w:rsidR="009A4DA0" w:rsidRPr="00F00447">
              <w:t>ell</w:t>
            </w:r>
            <w:proofErr w:type="gramEnd"/>
            <w:r w:rsidR="00563A2B">
              <w:noBreakHyphen/>
            </w:r>
            <w:r w:rsidR="009A4DA0" w:rsidRPr="00F00447">
              <w:t>functioning market</w:t>
            </w:r>
            <w:r>
              <w:t>s</w:t>
            </w:r>
            <w:r w:rsidR="009A4DA0" w:rsidRPr="00F00447">
              <w:t xml:space="preserve"> result in the most efficient allocation of resources in an economy, taking into account the preferences of consumers and producers</w:t>
            </w:r>
            <w:r w:rsidR="005F41E0">
              <w:t xml:space="preserve"> (</w:t>
            </w:r>
            <w:r w:rsidR="009A585F">
              <w:t>Productivity Commission</w:t>
            </w:r>
            <w:r w:rsidR="004F74E0">
              <w:t xml:space="preserve"> 201</w:t>
            </w:r>
            <w:r w:rsidR="002D7D75">
              <w:t>3</w:t>
            </w:r>
            <w:r w:rsidR="00262CC8">
              <w:t xml:space="preserve">; </w:t>
            </w:r>
            <w:proofErr w:type="spellStart"/>
            <w:r w:rsidR="005F41E0">
              <w:t>Murtough</w:t>
            </w:r>
            <w:proofErr w:type="spellEnd"/>
            <w:r w:rsidR="005F41E0">
              <w:t xml:space="preserve"> </w:t>
            </w:r>
            <w:r w:rsidR="005F7DBF">
              <w:t>and others</w:t>
            </w:r>
            <w:r w:rsidR="005F41E0">
              <w:t xml:space="preserve"> 2002)</w:t>
            </w:r>
            <w:r w:rsidR="009A4DA0" w:rsidRPr="00F00447">
              <w:t>.</w:t>
            </w:r>
          </w:p>
          <w:p w14:paraId="52ED1B31" w14:textId="284CB4F5" w:rsidR="009A4DA0" w:rsidRPr="00F00447" w:rsidRDefault="003C28B6">
            <w:pPr>
              <w:pStyle w:val="BoxText"/>
            </w:pPr>
            <w:r>
              <w:t>To function well, a</w:t>
            </w:r>
            <w:r w:rsidR="009A4DA0">
              <w:t>n</w:t>
            </w:r>
            <w:r w:rsidR="009A4DA0" w:rsidRPr="00F00447">
              <w:t xml:space="preserve"> asset market requires the following conditions:</w:t>
            </w:r>
          </w:p>
          <w:p w14:paraId="6D38F82C" w14:textId="77777777" w:rsidR="009A4DA0" w:rsidRPr="00F00447" w:rsidRDefault="009A4DA0" w:rsidP="00514183">
            <w:pPr>
              <w:pStyle w:val="Boxbullet"/>
              <w:spacing w:after="60" w:line="276" w:lineRule="auto"/>
            </w:pPr>
            <w:r w:rsidRPr="00F00447">
              <w:t>Low transaction costs</w:t>
            </w:r>
          </w:p>
          <w:p w14:paraId="3D9593DD" w14:textId="211048A8" w:rsidR="009A4DA0" w:rsidRPr="00F00447" w:rsidRDefault="009A4DA0" w:rsidP="00514183">
            <w:pPr>
              <w:pStyle w:val="Boxbullet"/>
              <w:spacing w:after="60" w:line="276" w:lineRule="auto"/>
            </w:pPr>
            <w:r w:rsidRPr="00F00447">
              <w:t xml:space="preserve">Low uncertainty about the essential attributes of the </w:t>
            </w:r>
            <w:r w:rsidR="005E42A1">
              <w:t>asset</w:t>
            </w:r>
            <w:r w:rsidRPr="00F00447">
              <w:t xml:space="preserve"> </w:t>
            </w:r>
          </w:p>
          <w:p w14:paraId="2E566412" w14:textId="77777777" w:rsidR="009A4DA0" w:rsidRPr="00F00447" w:rsidRDefault="009A4DA0" w:rsidP="00514183">
            <w:pPr>
              <w:pStyle w:val="Boxbullet"/>
              <w:spacing w:after="60" w:line="276" w:lineRule="auto"/>
            </w:pPr>
            <w:r w:rsidRPr="00F00447">
              <w:t>Low information asymmetry between market participants</w:t>
            </w:r>
          </w:p>
          <w:p w14:paraId="4349D7C3" w14:textId="7C498CAB" w:rsidR="009A4DA0" w:rsidRPr="00F00447" w:rsidRDefault="009A4DA0" w:rsidP="00514183">
            <w:pPr>
              <w:pStyle w:val="Boxbullet"/>
              <w:spacing w:after="60" w:line="276" w:lineRule="auto"/>
            </w:pPr>
            <w:r w:rsidRPr="00F00447">
              <w:t>A sufficient number of buyers and sellers</w:t>
            </w:r>
            <w:r w:rsidR="00045A5B">
              <w:t>, and</w:t>
            </w:r>
            <w:r w:rsidRPr="00F00447">
              <w:t xml:space="preserve"> </w:t>
            </w:r>
          </w:p>
          <w:p w14:paraId="09F854DE" w14:textId="236B4B1C" w:rsidR="009A4DA0" w:rsidRPr="00F00447" w:rsidRDefault="009A4DA0" w:rsidP="002F28C1">
            <w:pPr>
              <w:pStyle w:val="Boxbullet"/>
              <w:spacing w:after="60" w:line="276" w:lineRule="auto"/>
            </w:pPr>
            <w:r w:rsidRPr="00F00447">
              <w:t xml:space="preserve">Property rights that can be cost effectively enforced. </w:t>
            </w:r>
          </w:p>
        </w:tc>
      </w:tr>
    </w:tbl>
    <w:p w14:paraId="7DA0A139" w14:textId="77777777" w:rsidR="00D018FC" w:rsidRDefault="00D018FC"/>
    <w:tbl>
      <w:tblPr>
        <w:tblpPr w:leftFromText="181" w:rightFromText="181" w:vertAnchor="text" w:tblpY="1"/>
        <w:tblOverlap w:val="never"/>
        <w:tblW w:w="5000" w:type="pct"/>
        <w:shd w:val="clear" w:color="auto" w:fill="F2E3C7" w:themeFill="background2"/>
        <w:tblCellMar>
          <w:top w:w="284" w:type="dxa"/>
          <w:left w:w="284" w:type="dxa"/>
          <w:bottom w:w="284" w:type="dxa"/>
          <w:right w:w="284" w:type="dxa"/>
        </w:tblCellMar>
        <w:tblLook w:val="0600" w:firstRow="0" w:lastRow="0" w:firstColumn="0" w:lastColumn="0" w:noHBand="1" w:noVBand="1"/>
      </w:tblPr>
      <w:tblGrid>
        <w:gridCol w:w="9070"/>
      </w:tblGrid>
      <w:tr w:rsidR="00D018FC" w14:paraId="264A5F82" w14:textId="77777777">
        <w:tc>
          <w:tcPr>
            <w:tcW w:w="5000" w:type="pct"/>
            <w:shd w:val="clear" w:color="auto" w:fill="F2E3C7" w:themeFill="background2"/>
          </w:tcPr>
          <w:p w14:paraId="0E176399" w14:textId="1462CA11" w:rsidR="00D018FC" w:rsidRDefault="00D018FC" w:rsidP="00D018FC">
            <w:pPr>
              <w:pStyle w:val="BoxHeading"/>
            </w:pPr>
            <w:bookmarkStart w:id="130" w:name="_Toc141355271"/>
            <w:bookmarkStart w:id="131" w:name="_Toc139618847"/>
            <w:bookmarkStart w:id="132" w:name="_Toc139635573"/>
            <w:bookmarkStart w:id="133" w:name="_Toc139618839"/>
            <w:bookmarkStart w:id="134" w:name="_Toc139635566"/>
            <w:r w:rsidRPr="00395532">
              <w:rPr>
                <w:sz w:val="28"/>
                <w:szCs w:val="28"/>
                <w:lang w:eastAsia="en-US"/>
              </w:rPr>
              <w:lastRenderedPageBreak/>
              <w:t xml:space="preserve">Box </w:t>
            </w:r>
            <w:r>
              <w:rPr>
                <w:sz w:val="28"/>
                <w:szCs w:val="28"/>
                <w:lang w:eastAsia="en-US"/>
              </w:rPr>
              <w:t>7</w:t>
            </w:r>
            <w:r w:rsidRPr="00395532">
              <w:rPr>
                <w:sz w:val="28"/>
                <w:szCs w:val="28"/>
                <w:lang w:eastAsia="en-US"/>
              </w:rPr>
              <w:t xml:space="preserve">: </w:t>
            </w:r>
            <w:r w:rsidRPr="00514183">
              <w:rPr>
                <w:rFonts w:eastAsia="Arial Unicode MS"/>
                <w:sz w:val="28"/>
              </w:rPr>
              <w:t xml:space="preserve">Establishing a viable </w:t>
            </w:r>
            <w:r>
              <w:rPr>
                <w:rFonts w:eastAsia="Arial Unicode MS"/>
                <w:sz w:val="28"/>
              </w:rPr>
              <w:t>and well</w:t>
            </w:r>
            <w:r>
              <w:rPr>
                <w:rFonts w:eastAsia="Arial Unicode MS"/>
                <w:sz w:val="28"/>
              </w:rPr>
              <w:noBreakHyphen/>
              <w:t xml:space="preserve">functioning </w:t>
            </w:r>
            <w:r w:rsidRPr="00514183">
              <w:rPr>
                <w:rFonts w:eastAsia="Arial Unicode MS"/>
                <w:sz w:val="28"/>
              </w:rPr>
              <w:t>asset market</w:t>
            </w:r>
            <w:r>
              <w:rPr>
                <w:rFonts w:eastAsia="Arial Unicode MS"/>
                <w:sz w:val="28"/>
              </w:rPr>
              <w:t xml:space="preserve"> (continued)</w:t>
            </w:r>
          </w:p>
          <w:p w14:paraId="1EF97C35" w14:textId="5E9826DA" w:rsidR="00D018FC" w:rsidRPr="00FB71C7" w:rsidRDefault="00D018FC" w:rsidP="00D018FC">
            <w:pPr>
              <w:pStyle w:val="BoxText"/>
            </w:pPr>
            <w:r w:rsidRPr="00FB71C7">
              <w:t xml:space="preserve">The formation of markets can be assisted by government intervention. Governments can ensure that robust legal and regulatory frameworks are in place that protect property rights and reduce </w:t>
            </w:r>
            <w:r w:rsidRPr="00D018FC">
              <w:t>information</w:t>
            </w:r>
            <w:r w:rsidRPr="00FB71C7">
              <w:t xml:space="preserve"> asymmetries. </w:t>
            </w:r>
          </w:p>
          <w:p w14:paraId="16C53336" w14:textId="641EB9F2" w:rsidR="00D018FC" w:rsidRPr="00395532" w:rsidRDefault="00D018FC" w:rsidP="00D018FC">
            <w:pPr>
              <w:pStyle w:val="BoxText"/>
              <w:rPr>
                <w:lang w:eastAsia="en-US"/>
              </w:rPr>
            </w:pPr>
            <w:r w:rsidRPr="00F00447">
              <w:t xml:space="preserve">Governments can also intervene </w:t>
            </w:r>
            <w:r>
              <w:t xml:space="preserve">with </w:t>
            </w:r>
            <w:r w:rsidRPr="00F00447">
              <w:t>tax</w:t>
            </w:r>
            <w:r>
              <w:t xml:space="preserve"> settings </w:t>
            </w:r>
            <w:r w:rsidRPr="00F00447">
              <w:t xml:space="preserve">or subsidies to reduce transaction costs, improve information </w:t>
            </w:r>
            <w:r>
              <w:t xml:space="preserve">about </w:t>
            </w:r>
            <w:r w:rsidRPr="002F28C1">
              <w:t>the</w:t>
            </w:r>
            <w:r>
              <w:t xml:space="preserve"> asset and the market</w:t>
            </w:r>
            <w:r w:rsidRPr="00F00447">
              <w:t xml:space="preserve">, and </w:t>
            </w:r>
            <w:r>
              <w:t>to</w:t>
            </w:r>
            <w:r w:rsidRPr="00F00447">
              <w:t xml:space="preserve"> </w:t>
            </w:r>
            <w:r>
              <w:t>otherwise</w:t>
            </w:r>
            <w:r w:rsidRPr="00F00447">
              <w:t xml:space="preserve"> entice participation to achieve a critical mass of participants, for example by supporting first movers and demonstrating market viability</w:t>
            </w:r>
            <w:r>
              <w:t xml:space="preserve"> through its own investment</w:t>
            </w:r>
            <w:r w:rsidRPr="00F00447">
              <w:t>.</w:t>
            </w:r>
          </w:p>
        </w:tc>
      </w:tr>
    </w:tbl>
    <w:p w14:paraId="741E88D1" w14:textId="6E901D19" w:rsidR="00731B4C" w:rsidRPr="00704E49" w:rsidRDefault="00731B4C" w:rsidP="00A83E6C">
      <w:pPr>
        <w:pStyle w:val="Heading2Numbered"/>
      </w:pPr>
      <w:r>
        <w:t>Catalysing a market</w:t>
      </w:r>
      <w:bookmarkEnd w:id="130"/>
    </w:p>
    <w:p w14:paraId="4D9E6FAE" w14:textId="1FB5742D" w:rsidR="00743C89" w:rsidRPr="00FB71C7" w:rsidRDefault="00704E49" w:rsidP="002F28C1">
      <w:pPr>
        <w:rPr>
          <w:spacing w:val="-2"/>
        </w:rPr>
      </w:pPr>
      <w:r w:rsidRPr="00FB71C7">
        <w:rPr>
          <w:spacing w:val="-2"/>
        </w:rPr>
        <w:t xml:space="preserve">The recommendations also </w:t>
      </w:r>
      <w:r w:rsidR="00A874CB" w:rsidRPr="00FB71C7">
        <w:rPr>
          <w:spacing w:val="-2"/>
        </w:rPr>
        <w:t xml:space="preserve">draw upon </w:t>
      </w:r>
      <w:r w:rsidRPr="00FB71C7">
        <w:rPr>
          <w:spacing w:val="-2"/>
        </w:rPr>
        <w:t xml:space="preserve">the literature on catalysing markets. </w:t>
      </w:r>
      <w:r w:rsidR="00162702" w:rsidRPr="00FB71C7">
        <w:rPr>
          <w:spacing w:val="-2"/>
        </w:rPr>
        <w:t xml:space="preserve">Public policy normally seeks to </w:t>
      </w:r>
      <w:r w:rsidR="00070A0B" w:rsidRPr="00FB71C7">
        <w:rPr>
          <w:spacing w:val="-2"/>
        </w:rPr>
        <w:t>encourage</w:t>
      </w:r>
      <w:r w:rsidR="00162702" w:rsidRPr="00FB71C7">
        <w:rPr>
          <w:spacing w:val="-2"/>
        </w:rPr>
        <w:t xml:space="preserve"> the organic growth of commercial sectors of the economy without subsidies or other interventions. </w:t>
      </w:r>
      <w:r w:rsidRPr="00FB71C7">
        <w:rPr>
          <w:spacing w:val="-2"/>
        </w:rPr>
        <w:t xml:space="preserve">However, governments can accelerate market development to </w:t>
      </w:r>
      <w:r w:rsidR="002F340A" w:rsidRPr="00FB71C7">
        <w:rPr>
          <w:spacing w:val="-2"/>
        </w:rPr>
        <w:t xml:space="preserve">more quickly achieve the </w:t>
      </w:r>
      <w:r w:rsidRPr="00FB71C7">
        <w:rPr>
          <w:spacing w:val="-2"/>
        </w:rPr>
        <w:t xml:space="preserve">critical mass of participants and activity </w:t>
      </w:r>
      <w:r w:rsidR="002F340A" w:rsidRPr="00FB71C7">
        <w:rPr>
          <w:spacing w:val="-2"/>
        </w:rPr>
        <w:t xml:space="preserve">needed </w:t>
      </w:r>
      <w:r w:rsidRPr="00FB71C7">
        <w:rPr>
          <w:spacing w:val="-2"/>
        </w:rPr>
        <w:t>to generate ongoing, sustainable growth</w:t>
      </w:r>
      <w:r w:rsidR="00B42478" w:rsidRPr="00FB71C7">
        <w:rPr>
          <w:spacing w:val="-2"/>
        </w:rPr>
        <w:t>, in particular by</w:t>
      </w:r>
      <w:r w:rsidR="00162702" w:rsidRPr="00FB71C7">
        <w:rPr>
          <w:spacing w:val="-2"/>
        </w:rPr>
        <w:t xml:space="preserve"> </w:t>
      </w:r>
      <w:r w:rsidRPr="00FB71C7">
        <w:rPr>
          <w:spacing w:val="-2"/>
        </w:rPr>
        <w:t>support</w:t>
      </w:r>
      <w:r w:rsidR="0047300E" w:rsidRPr="00FB71C7">
        <w:rPr>
          <w:spacing w:val="-2"/>
        </w:rPr>
        <w:t>ing</w:t>
      </w:r>
      <w:r w:rsidR="0059715D" w:rsidRPr="00FB71C7">
        <w:rPr>
          <w:spacing w:val="-2"/>
        </w:rPr>
        <w:t xml:space="preserve"> first movers (see Box </w:t>
      </w:r>
      <w:r w:rsidR="009C0AA5" w:rsidRPr="00FB71C7">
        <w:rPr>
          <w:spacing w:val="-2"/>
        </w:rPr>
        <w:t>8</w:t>
      </w:r>
      <w:r w:rsidRPr="00FB71C7">
        <w:rPr>
          <w:spacing w:val="-2"/>
        </w:rPr>
        <w:t>)</w:t>
      </w:r>
      <w:r w:rsidR="00A874CB" w:rsidRPr="00FB71C7">
        <w:rPr>
          <w:spacing w:val="-2"/>
        </w:rPr>
        <w:t>, demonstrating viability</w:t>
      </w:r>
      <w:r w:rsidR="00990069" w:rsidRPr="00FB71C7">
        <w:rPr>
          <w:spacing w:val="-2"/>
        </w:rPr>
        <w:t xml:space="preserve"> (</w:t>
      </w:r>
      <w:r w:rsidR="00563A2B" w:rsidRPr="00FB71C7">
        <w:rPr>
          <w:spacing w:val="-2"/>
        </w:rPr>
        <w:t>‘</w:t>
      </w:r>
      <w:r w:rsidR="00990069" w:rsidRPr="00FB71C7">
        <w:rPr>
          <w:spacing w:val="-2"/>
        </w:rPr>
        <w:t>proof of concept</w:t>
      </w:r>
      <w:r w:rsidR="00563A2B" w:rsidRPr="00FB71C7">
        <w:rPr>
          <w:spacing w:val="-2"/>
        </w:rPr>
        <w:t>’</w:t>
      </w:r>
      <w:r w:rsidR="00990069" w:rsidRPr="00FB71C7">
        <w:rPr>
          <w:spacing w:val="-2"/>
        </w:rPr>
        <w:t>)</w:t>
      </w:r>
      <w:r w:rsidR="00A874CB" w:rsidRPr="00FB71C7">
        <w:rPr>
          <w:spacing w:val="-2"/>
        </w:rPr>
        <w:t>,</w:t>
      </w:r>
      <w:r w:rsidR="00162702" w:rsidRPr="00FB71C7">
        <w:rPr>
          <w:spacing w:val="-2"/>
        </w:rPr>
        <w:t xml:space="preserve"> and </w:t>
      </w:r>
      <w:r w:rsidRPr="00FB71C7">
        <w:rPr>
          <w:spacing w:val="-2"/>
        </w:rPr>
        <w:t>demonstrat</w:t>
      </w:r>
      <w:r w:rsidR="0047300E" w:rsidRPr="00FB71C7">
        <w:rPr>
          <w:spacing w:val="-2"/>
        </w:rPr>
        <w:t>ing</w:t>
      </w:r>
      <w:r w:rsidR="00162702" w:rsidRPr="00FB71C7">
        <w:rPr>
          <w:spacing w:val="-2"/>
        </w:rPr>
        <w:t xml:space="preserve"> the commitment of government to the development of </w:t>
      </w:r>
      <w:r w:rsidR="00B42478" w:rsidRPr="00FB71C7">
        <w:rPr>
          <w:spacing w:val="-2"/>
        </w:rPr>
        <w:t>a</w:t>
      </w:r>
      <w:r w:rsidR="00162702" w:rsidRPr="00FB71C7">
        <w:rPr>
          <w:spacing w:val="-2"/>
        </w:rPr>
        <w:t xml:space="preserve"> market (Pawson and Milligan 2013). </w:t>
      </w:r>
    </w:p>
    <w:tbl>
      <w:tblPr>
        <w:tblpPr w:leftFromText="180" w:rightFromText="180" w:vertAnchor="text" w:tblpY="1"/>
        <w:tblOverlap w:val="never"/>
        <w:tblW w:w="5000" w:type="pct"/>
        <w:shd w:val="clear" w:color="auto" w:fill="F2E3C7" w:themeFill="background2"/>
        <w:tblCellMar>
          <w:top w:w="284" w:type="dxa"/>
          <w:left w:w="284" w:type="dxa"/>
          <w:bottom w:w="284" w:type="dxa"/>
          <w:right w:w="284" w:type="dxa"/>
        </w:tblCellMar>
        <w:tblLook w:val="0600" w:firstRow="0" w:lastRow="0" w:firstColumn="0" w:lastColumn="0" w:noHBand="1" w:noVBand="1"/>
      </w:tblPr>
      <w:tblGrid>
        <w:gridCol w:w="9070"/>
      </w:tblGrid>
      <w:tr w:rsidR="00162702" w14:paraId="0C3DE9BD" w14:textId="77777777" w:rsidTr="00D92DD9">
        <w:trPr>
          <w:trHeight w:val="5243"/>
        </w:trPr>
        <w:tc>
          <w:tcPr>
            <w:tcW w:w="5000" w:type="pct"/>
            <w:shd w:val="clear" w:color="auto" w:fill="F2E3C7" w:themeFill="background2"/>
            <w:tcMar>
              <w:bottom w:w="0" w:type="dxa"/>
            </w:tcMar>
            <w:hideMark/>
          </w:tcPr>
          <w:p w14:paraId="5C7766AC" w14:textId="417BD72F" w:rsidR="00162702" w:rsidRPr="00B13F48" w:rsidRDefault="00162702">
            <w:pPr>
              <w:pStyle w:val="BoxHeading"/>
            </w:pPr>
            <w:r w:rsidRPr="007D17FF">
              <w:t xml:space="preserve">Box </w:t>
            </w:r>
            <w:r w:rsidR="009C0AA5" w:rsidRPr="007D17FF">
              <w:t>8</w:t>
            </w:r>
            <w:r w:rsidRPr="007D17FF">
              <w:t>:</w:t>
            </w:r>
            <w:r w:rsidRPr="00B13F48">
              <w:t xml:space="preserve"> A first mover problem </w:t>
            </w:r>
          </w:p>
          <w:p w14:paraId="6BAAB78A" w14:textId="1B24BAAF" w:rsidR="00162702" w:rsidRDefault="00162702">
            <w:pPr>
              <w:pStyle w:val="BoxText"/>
            </w:pPr>
            <w:r>
              <w:t xml:space="preserve">Institutional housing as an asset class in Australia is unproven, and information on investment performance is limited. This is a critical issue for institutional investors, as </w:t>
            </w:r>
            <w:r w:rsidRPr="00B13F48">
              <w:t>relative</w:t>
            </w:r>
            <w:r>
              <w:t xml:space="preserve"> performance can be as important as </w:t>
            </w:r>
            <w:r w:rsidRPr="00B13F48">
              <w:t>absolute</w:t>
            </w:r>
            <w:r>
              <w:t xml:space="preserve"> performance to the success or otherwise of a particular provider. Superannuation funds in particular emphasised to the Council that the APRA performance test disincentivised investment in unproven assets, as the potential reputational cost of underperformance outweighs the potential benefit of outperformance (see Chapter </w:t>
            </w:r>
            <w:r w:rsidR="001D5843">
              <w:t>4</w:t>
            </w:r>
            <w:r>
              <w:t xml:space="preserve">). </w:t>
            </w:r>
          </w:p>
          <w:p w14:paraId="0F5007EC" w14:textId="5ED9ABB0" w:rsidR="00162702" w:rsidRPr="00114FEB" w:rsidRDefault="00162702">
            <w:pPr>
              <w:pStyle w:val="BoxText"/>
            </w:pPr>
            <w:r>
              <w:t>In short, the industry has a</w:t>
            </w:r>
            <w:r w:rsidRPr="00114FEB">
              <w:t xml:space="preserve"> </w:t>
            </w:r>
            <w:r w:rsidR="00563A2B">
              <w:t>‘</w:t>
            </w:r>
            <w:r w:rsidRPr="00114FEB">
              <w:t>first mover problem</w:t>
            </w:r>
            <w:r w:rsidR="00563A2B">
              <w:t>’</w:t>
            </w:r>
            <w:r>
              <w:t>. The first mover problem</w:t>
            </w:r>
            <w:r w:rsidRPr="00114FEB">
              <w:t xml:space="preserve"> refers to the reluctance of firms to enter a market due to perceived disadvantages of early entry. This may be due to </w:t>
            </w:r>
            <w:r>
              <w:t>the fact that</w:t>
            </w:r>
            <w:r w:rsidRPr="00114FEB">
              <w:t xml:space="preserve"> barriers to entry are reducing over time</w:t>
            </w:r>
            <w:r>
              <w:t>,</w:t>
            </w:r>
            <w:r w:rsidRPr="00114FEB">
              <w:t xml:space="preserve"> how quickly the specific technology is evolving</w:t>
            </w:r>
            <w:r>
              <w:t xml:space="preserve"> (running the risk of investing in obsolete assets),</w:t>
            </w:r>
            <w:r w:rsidRPr="00114FEB">
              <w:t xml:space="preserve"> or the unproven nature of the product</w:t>
            </w:r>
            <w:r>
              <w:t xml:space="preserve"> (Suarez F and </w:t>
            </w:r>
            <w:proofErr w:type="spellStart"/>
            <w:r>
              <w:t>Lanzolla</w:t>
            </w:r>
            <w:proofErr w:type="spellEnd"/>
            <w:r>
              <w:t xml:space="preserve"> G 2005)</w:t>
            </w:r>
            <w:r w:rsidRPr="00114FEB">
              <w:t xml:space="preserve">. </w:t>
            </w:r>
          </w:p>
          <w:p w14:paraId="0C4C93AC" w14:textId="41CB348E" w:rsidR="00162702" w:rsidRDefault="00162702">
            <w:pPr>
              <w:pStyle w:val="BoxText"/>
            </w:pPr>
            <w:r w:rsidRPr="00114FEB">
              <w:t>As a first mover, start</w:t>
            </w:r>
            <w:r w:rsidR="00563A2B">
              <w:noBreakHyphen/>
            </w:r>
            <w:r w:rsidRPr="00114FEB">
              <w:t xml:space="preserve">up costs (such as </w:t>
            </w:r>
            <w:r>
              <w:t xml:space="preserve">capability building, </w:t>
            </w:r>
            <w:r w:rsidRPr="00114FEB">
              <w:t>research and development, and marketing of a new type of product) are likely to be higher than</w:t>
            </w:r>
            <w:r>
              <w:t xml:space="preserve"> for</w:t>
            </w:r>
            <w:r w:rsidRPr="00114FEB">
              <w:t xml:space="preserve"> </w:t>
            </w:r>
            <w:r>
              <w:t>later market</w:t>
            </w:r>
            <w:r w:rsidRPr="00114FEB">
              <w:t xml:space="preserve"> entrants</w:t>
            </w:r>
            <w:r>
              <w:t>, who</w:t>
            </w:r>
            <w:r w:rsidRPr="00114FEB">
              <w:t xml:space="preserve"> may have the advantage of adopting or improving upon the business model or product developed by the </w:t>
            </w:r>
            <w:r>
              <w:t>earlier</w:t>
            </w:r>
            <w:r w:rsidRPr="00114FEB">
              <w:t xml:space="preserve"> entrant. </w:t>
            </w:r>
          </w:p>
          <w:p w14:paraId="70C9E408" w14:textId="66B5AB4D" w:rsidR="00162702" w:rsidRPr="00FE1836" w:rsidRDefault="00162702">
            <w:pPr>
              <w:pStyle w:val="BoxText"/>
            </w:pPr>
            <w:r>
              <w:t>Policy solutions to address</w:t>
            </w:r>
            <w:r w:rsidR="003C7B11">
              <w:t xml:space="preserve"> the</w:t>
            </w:r>
            <w:r>
              <w:t xml:space="preserve"> first mover problem involve fostering more complete and well</w:t>
            </w:r>
            <w:r w:rsidR="00563A2B">
              <w:noBreakHyphen/>
            </w:r>
            <w:r>
              <w:t>functioning markets and reducing information asymmetries to reduce costs and risk</w:t>
            </w:r>
            <w:r w:rsidR="00E72035">
              <w:t>.</w:t>
            </w:r>
            <w:r>
              <w:t xml:space="preserve"> </w:t>
            </w:r>
            <w:r w:rsidR="00E72035">
              <w:t>In some cases, governments can provide</w:t>
            </w:r>
            <w:r>
              <w:t xml:space="preserve"> subsidies to help defray the cost of being a first mover. </w:t>
            </w:r>
          </w:p>
        </w:tc>
      </w:tr>
    </w:tbl>
    <w:p w14:paraId="3FC8B523" w14:textId="77777777" w:rsidR="002C2697" w:rsidRPr="00B430DA" w:rsidRDefault="002C2697" w:rsidP="00B430DA">
      <w:pPr>
        <w:sectPr w:rsidR="002C2697" w:rsidRPr="00B430DA" w:rsidSect="00B66783">
          <w:pgSz w:w="11906" w:h="16838" w:code="9"/>
          <w:pgMar w:top="1843" w:right="1418" w:bottom="1418" w:left="1418" w:header="709" w:footer="709" w:gutter="0"/>
          <w:cols w:space="708"/>
          <w:docGrid w:linePitch="360"/>
        </w:sectPr>
      </w:pPr>
    </w:p>
    <w:p w14:paraId="08E2410E" w14:textId="6B261F49" w:rsidR="00ED4831" w:rsidRPr="00700C9D" w:rsidRDefault="00ED4831" w:rsidP="00291A1B">
      <w:pPr>
        <w:pStyle w:val="Heading1Numbered"/>
      </w:pPr>
      <w:bookmarkStart w:id="135" w:name="_Toc141355272"/>
      <w:r>
        <w:lastRenderedPageBreak/>
        <w:t>Creating a pipeline of suitable new projects</w:t>
      </w:r>
      <w:bookmarkEnd w:id="135"/>
    </w:p>
    <w:p w14:paraId="7BDBD2EA" w14:textId="77777777" w:rsidR="009A4DA0" w:rsidRPr="00514183" w:rsidRDefault="009A4DA0" w:rsidP="00A83E6C">
      <w:pPr>
        <w:pStyle w:val="Heading2Numbered"/>
        <w:rPr>
          <w:szCs w:val="20"/>
        </w:rPr>
      </w:pPr>
      <w:bookmarkStart w:id="136" w:name="_Toc141355273"/>
      <w:r w:rsidRPr="00514183">
        <w:rPr>
          <w:szCs w:val="20"/>
        </w:rPr>
        <w:t>Addressing planning and zoning barriers</w:t>
      </w:r>
      <w:bookmarkEnd w:id="136"/>
      <w:r w:rsidRPr="00514183">
        <w:rPr>
          <w:szCs w:val="20"/>
        </w:rPr>
        <w:t xml:space="preserve"> </w:t>
      </w:r>
    </w:p>
    <w:p w14:paraId="56B2C4F5" w14:textId="15082CF2" w:rsidR="009A4DA0" w:rsidRPr="000F4B55" w:rsidRDefault="009A4DA0" w:rsidP="002F28C1">
      <w:pPr>
        <w:rPr>
          <w:b/>
        </w:rPr>
      </w:pPr>
      <w:r>
        <w:t>Z</w:t>
      </w:r>
      <w:r w:rsidRPr="000F4B55">
        <w:t>oning and planning restrictions limit the ability of developers to bring to market projects appropriate for institutional investment</w:t>
      </w:r>
      <w:r w:rsidR="00EB496D">
        <w:t xml:space="preserve">. </w:t>
      </w:r>
      <w:r w:rsidR="00C50275">
        <w:t>This is</w:t>
      </w:r>
      <w:r>
        <w:t xml:space="preserve"> because</w:t>
      </w:r>
      <w:r w:rsidRPr="000F4B55">
        <w:t xml:space="preserve"> large</w:t>
      </w:r>
      <w:r w:rsidR="00563A2B">
        <w:noBreakHyphen/>
      </w:r>
      <w:r w:rsidRPr="000F4B55">
        <w:t xml:space="preserve">scale residential property </w:t>
      </w:r>
      <w:r>
        <w:t>developments are</w:t>
      </w:r>
      <w:r w:rsidRPr="000F4B55">
        <w:t xml:space="preserve"> the </w:t>
      </w:r>
      <w:r>
        <w:t>most difficult to get approved, and because they are the most complex, costly and time consuming</w:t>
      </w:r>
      <w:r w:rsidRPr="000F4B55">
        <w:t xml:space="preserve"> </w:t>
      </w:r>
      <w:r>
        <w:t>in terms of meeting</w:t>
      </w:r>
      <w:r w:rsidRPr="000F4B55">
        <w:t xml:space="preserve"> planning </w:t>
      </w:r>
      <w:r>
        <w:t>compliance requirements</w:t>
      </w:r>
      <w:r w:rsidRPr="000F4B55">
        <w:t xml:space="preserve">. </w:t>
      </w:r>
      <w:r>
        <w:t>Relatedly</w:t>
      </w:r>
      <w:r w:rsidRPr="000F4B55">
        <w:t xml:space="preserve">, inconsistencies </w:t>
      </w:r>
      <w:r>
        <w:t xml:space="preserve">in </w:t>
      </w:r>
      <w:r w:rsidRPr="000F4B55">
        <w:t xml:space="preserve">settings between and within jurisdictions limit </w:t>
      </w:r>
      <w:r>
        <w:t>the</w:t>
      </w:r>
      <w:r w:rsidRPr="000F4B55">
        <w:t xml:space="preserve"> ability </w:t>
      </w:r>
      <w:r>
        <w:t xml:space="preserve">of investors </w:t>
      </w:r>
      <w:r w:rsidRPr="000F4B55">
        <w:t xml:space="preserve">to </w:t>
      </w:r>
      <w:r>
        <w:t>achieve</w:t>
      </w:r>
      <w:r w:rsidRPr="000F4B55">
        <w:t xml:space="preserve"> scale efficiencies by developing, holding and managing multiple projects. </w:t>
      </w:r>
    </w:p>
    <w:p w14:paraId="0166EA3E" w14:textId="28C05CA9" w:rsidR="0055757E" w:rsidRDefault="009A4DA0" w:rsidP="002719DD">
      <w:pPr>
        <w:spacing w:after="120"/>
      </w:pPr>
      <w:r>
        <w:t>A central recommendation of the Council is that the planning treatment of large</w:t>
      </w:r>
      <w:r w:rsidR="00563A2B">
        <w:noBreakHyphen/>
      </w:r>
      <w:r>
        <w:t>scale build</w:t>
      </w:r>
      <w:r w:rsidR="00563A2B">
        <w:noBreakHyphen/>
      </w:r>
      <w:r>
        <w:t>to</w:t>
      </w:r>
      <w:r w:rsidR="00563A2B">
        <w:noBreakHyphen/>
      </w:r>
      <w:r>
        <w:t xml:space="preserve">rent projects should reflect the significant size and positive nature of their external impacts. Accordingly, governments should </w:t>
      </w:r>
      <w:r w:rsidRPr="000F4B55">
        <w:t>classify large</w:t>
      </w:r>
      <w:r w:rsidR="00563A2B">
        <w:noBreakHyphen/>
      </w:r>
      <w:r w:rsidRPr="000F4B55">
        <w:t xml:space="preserve">scale projects </w:t>
      </w:r>
      <w:r>
        <w:t xml:space="preserve">that are </w:t>
      </w:r>
      <w:r w:rsidRPr="000F4B55">
        <w:t>to be available for rent as a discrete land use type for development assessment purposes. The defining attributes of this land use type should include</w:t>
      </w:r>
      <w:r w:rsidR="0055757E">
        <w:t>:</w:t>
      </w:r>
    </w:p>
    <w:p w14:paraId="6C260405" w14:textId="20A225BF" w:rsidR="0055757E" w:rsidRDefault="009A4DA0" w:rsidP="00A4013A">
      <w:pPr>
        <w:pStyle w:val="Bullet"/>
      </w:pPr>
      <w:r w:rsidRPr="000F4B55">
        <w:t>scale (for example,</w:t>
      </w:r>
      <w:r>
        <w:t xml:space="preserve"> </w:t>
      </w:r>
      <w:r w:rsidRPr="00F0771D">
        <w:t xml:space="preserve">projects </w:t>
      </w:r>
      <w:r>
        <w:t>over</w:t>
      </w:r>
      <w:r w:rsidRPr="00F0771D">
        <w:t xml:space="preserve"> </w:t>
      </w:r>
      <w:r>
        <w:t>a minimum number of</w:t>
      </w:r>
      <w:r w:rsidRPr="00F0771D">
        <w:t xml:space="preserve"> dwellings)</w:t>
      </w:r>
    </w:p>
    <w:p w14:paraId="0D2D4E3D" w14:textId="124278D9" w:rsidR="0055757E" w:rsidRDefault="009A4DA0" w:rsidP="00A4013A">
      <w:pPr>
        <w:pStyle w:val="Bullet"/>
      </w:pPr>
      <w:r w:rsidRPr="00F0771D">
        <w:t xml:space="preserve">tenure (buildings retained for residential rental on an indefinite basis or for the life of the building) and </w:t>
      </w:r>
    </w:p>
    <w:p w14:paraId="233ADDA5" w14:textId="46912742" w:rsidR="009A4DA0" w:rsidRDefault="009A4DA0" w:rsidP="00A4013A">
      <w:pPr>
        <w:pStyle w:val="Bullet"/>
      </w:pPr>
      <w:r w:rsidRPr="00F0771D">
        <w:t>subdivision (dwellings to</w:t>
      </w:r>
      <w:r w:rsidR="00D01B59">
        <w:t xml:space="preserve"> be</w:t>
      </w:r>
      <w:r w:rsidRPr="00F0771D">
        <w:t xml:space="preserve"> kept on one title or equivalent to prevent on</w:t>
      </w:r>
      <w:r w:rsidR="00563A2B">
        <w:noBreakHyphen/>
      </w:r>
      <w:r w:rsidRPr="00F0771D">
        <w:t xml:space="preserve">selling to </w:t>
      </w:r>
      <w:r>
        <w:t>individual</w:t>
      </w:r>
      <w:r w:rsidRPr="00F0771D">
        <w:t xml:space="preserve"> investors). </w:t>
      </w:r>
    </w:p>
    <w:p w14:paraId="2455D956" w14:textId="77777777" w:rsidR="009A4DA0" w:rsidRPr="00F0771D" w:rsidRDefault="009A4DA0" w:rsidP="002F28C1">
      <w:r>
        <w:t>As major interventions in most development settings, these projects will have implications for place quality and functionality extending well beyond the local neighbourhood. As long term committed rental stock, these projects will also play an enhanced infrastructure role supporting the local and regional economy through improved access to labour and skills.</w:t>
      </w:r>
    </w:p>
    <w:p w14:paraId="0C7F7C48" w14:textId="7C98B318" w:rsidR="009A4DA0" w:rsidRPr="00F0771D" w:rsidRDefault="009A4DA0" w:rsidP="002F28C1">
      <w:r>
        <w:t xml:space="preserve">The Council also believes planning systems should be reviewed more generally to support </w:t>
      </w:r>
      <w:r w:rsidRPr="00D049E5">
        <w:rPr>
          <w:iCs/>
        </w:rPr>
        <w:t>the construction of large</w:t>
      </w:r>
      <w:r w:rsidR="00563A2B">
        <w:rPr>
          <w:iCs/>
        </w:rPr>
        <w:noBreakHyphen/>
      </w:r>
      <w:r w:rsidRPr="00D049E5">
        <w:rPr>
          <w:iCs/>
        </w:rPr>
        <w:t>scale housing assets suitable for institutional investment</w:t>
      </w:r>
      <w:r>
        <w:rPr>
          <w:iCs/>
        </w:rPr>
        <w:t xml:space="preserve">, consistent with best practice in planning. Principles to guide this process are described in Box </w:t>
      </w:r>
      <w:r w:rsidR="00D01B59">
        <w:rPr>
          <w:iCs/>
        </w:rPr>
        <w:t>9</w:t>
      </w:r>
      <w:r>
        <w:rPr>
          <w:iCs/>
        </w:rPr>
        <w:t xml:space="preserve">. </w:t>
      </w:r>
    </w:p>
    <w:tbl>
      <w:tblPr>
        <w:tblW w:w="5000" w:type="pct"/>
        <w:shd w:val="clear" w:color="auto" w:fill="BAD4E8" w:themeFill="accent5"/>
        <w:tblCellMar>
          <w:top w:w="284" w:type="dxa"/>
          <w:left w:w="284" w:type="dxa"/>
          <w:bottom w:w="284" w:type="dxa"/>
          <w:right w:w="284" w:type="dxa"/>
        </w:tblCellMar>
        <w:tblLook w:val="0600" w:firstRow="0" w:lastRow="0" w:firstColumn="0" w:lastColumn="0" w:noHBand="1" w:noVBand="1"/>
      </w:tblPr>
      <w:tblGrid>
        <w:gridCol w:w="9070"/>
      </w:tblGrid>
      <w:tr w:rsidR="009A4DA0" w14:paraId="71C590AB" w14:textId="77777777">
        <w:tc>
          <w:tcPr>
            <w:tcW w:w="5000" w:type="pct"/>
            <w:shd w:val="clear" w:color="auto" w:fill="BAD4E8" w:themeFill="accent5"/>
            <w:hideMark/>
          </w:tcPr>
          <w:p w14:paraId="11CF86F0" w14:textId="57D53BCF" w:rsidR="009A4DA0" w:rsidRPr="00F775FC" w:rsidRDefault="009A4DA0" w:rsidP="002F28C1">
            <w:pPr>
              <w:pStyle w:val="BoxHeading"/>
              <w:rPr>
                <w:lang w:eastAsia="en-US"/>
              </w:rPr>
            </w:pPr>
            <w:r w:rsidRPr="009B3352">
              <w:t>Recommendation 1</w:t>
            </w:r>
            <w:r w:rsidR="00BF319D" w:rsidRPr="00F775FC">
              <w:rPr>
                <w:lang w:eastAsia="en-US"/>
              </w:rPr>
              <w:t>:</w:t>
            </w:r>
            <w:r w:rsidRPr="00F775FC">
              <w:rPr>
                <w:lang w:eastAsia="en-US"/>
              </w:rPr>
              <w:t xml:space="preserve"> </w:t>
            </w:r>
            <w:r w:rsidR="00BF319D" w:rsidRPr="009B3352">
              <w:t>Build</w:t>
            </w:r>
            <w:r w:rsidR="00563A2B">
              <w:noBreakHyphen/>
            </w:r>
            <w:r w:rsidR="00BF319D" w:rsidRPr="009B3352">
              <w:t>to</w:t>
            </w:r>
            <w:r w:rsidR="00563A2B">
              <w:noBreakHyphen/>
            </w:r>
            <w:r w:rsidR="00BF319D" w:rsidRPr="009B3352">
              <w:t>rent as a separately defined development type</w:t>
            </w:r>
          </w:p>
          <w:p w14:paraId="2DE846B6" w14:textId="2C39E5F5" w:rsidR="00955E86" w:rsidRDefault="00955E86" w:rsidP="00955E86">
            <w:pPr>
              <w:pStyle w:val="BoxText"/>
            </w:pPr>
            <w:r w:rsidRPr="00E304D0">
              <w:t>Commonwealth, state and territory governments should develop nationally consistent planning provisions under which large</w:t>
            </w:r>
            <w:r w:rsidR="00563A2B">
              <w:noBreakHyphen/>
            </w:r>
            <w:r w:rsidRPr="00E304D0">
              <w:t>scale build</w:t>
            </w:r>
            <w:r w:rsidR="00563A2B">
              <w:noBreakHyphen/>
            </w:r>
            <w:r w:rsidRPr="00E304D0">
              <w:t>to</w:t>
            </w:r>
            <w:r w:rsidR="00563A2B">
              <w:noBreakHyphen/>
            </w:r>
            <w:r w:rsidRPr="00E304D0">
              <w:t>rent projects are a separately defined development type subject to expedited planning and development assessment</w:t>
            </w:r>
            <w:r w:rsidR="009B3352">
              <w:t>.</w:t>
            </w:r>
          </w:p>
          <w:p w14:paraId="42ED7934" w14:textId="7D58B9DA" w:rsidR="00955E86" w:rsidRPr="009B3352" w:rsidRDefault="00955E86" w:rsidP="002F28C1">
            <w:pPr>
              <w:pStyle w:val="BoxHeading"/>
            </w:pPr>
            <w:r w:rsidRPr="009B3352">
              <w:t>Recommendation 2: Reviewing planning systems</w:t>
            </w:r>
          </w:p>
          <w:p w14:paraId="648C3476" w14:textId="2593A101" w:rsidR="009A4DA0" w:rsidRPr="00B958F6" w:rsidRDefault="00F71FA5" w:rsidP="00514183">
            <w:pPr>
              <w:pStyle w:val="BoxText"/>
            </w:pPr>
            <w:r>
              <w:t>S</w:t>
            </w:r>
            <w:r w:rsidR="00955E86" w:rsidRPr="00E304D0">
              <w:t xml:space="preserve">tate and territory governments should identify, review and address barriers in planning and zoning systems </w:t>
            </w:r>
            <w:r w:rsidR="00955E86">
              <w:t>that impede</w:t>
            </w:r>
            <w:r w:rsidR="00955E86" w:rsidRPr="00E304D0">
              <w:t xml:space="preserve"> the construction of large</w:t>
            </w:r>
            <w:r w:rsidR="00563A2B">
              <w:noBreakHyphen/>
            </w:r>
            <w:r w:rsidR="00955E86" w:rsidRPr="00E304D0">
              <w:t>scale housing assets suitable for institutional investment</w:t>
            </w:r>
            <w:r w:rsidR="00955E86">
              <w:t>.</w:t>
            </w:r>
          </w:p>
        </w:tc>
      </w:tr>
    </w:tbl>
    <w:p w14:paraId="434BEF59" w14:textId="77777777" w:rsidR="009A4DA0" w:rsidRPr="00514183" w:rsidRDefault="009A4DA0" w:rsidP="002C2697">
      <w:pPr>
        <w:pStyle w:val="SingleParagraph"/>
      </w:pPr>
    </w:p>
    <w:tbl>
      <w:tblPr>
        <w:tblpPr w:leftFromText="181" w:rightFromText="181" w:vertAnchor="text" w:tblpY="1"/>
        <w:tblOverlap w:val="never"/>
        <w:tblW w:w="5000" w:type="pct"/>
        <w:shd w:val="clear" w:color="auto" w:fill="F2E3C7" w:themeFill="background2"/>
        <w:tblCellMar>
          <w:top w:w="284" w:type="dxa"/>
          <w:left w:w="284" w:type="dxa"/>
          <w:bottom w:w="284" w:type="dxa"/>
          <w:right w:w="284" w:type="dxa"/>
        </w:tblCellMar>
        <w:tblLook w:val="0600" w:firstRow="0" w:lastRow="0" w:firstColumn="0" w:lastColumn="0" w:noHBand="1" w:noVBand="1"/>
      </w:tblPr>
      <w:tblGrid>
        <w:gridCol w:w="9070"/>
      </w:tblGrid>
      <w:tr w:rsidR="009A4DA0" w14:paraId="69323985" w14:textId="77777777" w:rsidTr="00514183">
        <w:tc>
          <w:tcPr>
            <w:tcW w:w="5000" w:type="pct"/>
            <w:shd w:val="clear" w:color="auto" w:fill="F2E3C7" w:themeFill="accent6"/>
            <w:hideMark/>
          </w:tcPr>
          <w:p w14:paraId="532A13A8" w14:textId="210D3DB5" w:rsidR="009A4DA0" w:rsidRPr="00B13F48" w:rsidRDefault="009A4DA0" w:rsidP="002F28C1">
            <w:pPr>
              <w:pStyle w:val="BoxHeading"/>
            </w:pPr>
            <w:r w:rsidRPr="00B13F48">
              <w:lastRenderedPageBreak/>
              <w:t xml:space="preserve">Box </w:t>
            </w:r>
            <w:r w:rsidR="007D17FF">
              <w:t>9</w:t>
            </w:r>
            <w:r w:rsidRPr="00B13F48">
              <w:t xml:space="preserve">: </w:t>
            </w:r>
            <w:r w:rsidRPr="002F28C1">
              <w:t>Principles</w:t>
            </w:r>
            <w:r w:rsidRPr="00B13F48">
              <w:t xml:space="preserve"> to improve planning systems </w:t>
            </w:r>
          </w:p>
          <w:p w14:paraId="2C63AC4C" w14:textId="75332382" w:rsidR="003B19C5" w:rsidRDefault="009A4DA0" w:rsidP="003B19C5">
            <w:pPr>
              <w:pStyle w:val="BoxText"/>
            </w:pPr>
            <w:r w:rsidRPr="00024881">
              <w:t xml:space="preserve">The Council has </w:t>
            </w:r>
            <w:r>
              <w:t>identified</w:t>
            </w:r>
            <w:r w:rsidRPr="00024881">
              <w:t xml:space="preserve"> high</w:t>
            </w:r>
            <w:r w:rsidR="00563A2B">
              <w:noBreakHyphen/>
            </w:r>
            <w:r w:rsidRPr="00024881">
              <w:t xml:space="preserve">level principles which might guide ongoing improvement of planning regulation across jurisdictions. In doing so, the Council recognises that the </w:t>
            </w:r>
            <w:r>
              <w:t>s</w:t>
            </w:r>
            <w:r w:rsidRPr="00024881">
              <w:t xml:space="preserve">tates and </w:t>
            </w:r>
            <w:r>
              <w:t>t</w:t>
            </w:r>
            <w:r w:rsidRPr="00024881">
              <w:t xml:space="preserve">erritories continue to pursue their own reform initiatives which, to varying degrees, align with these principles. </w:t>
            </w:r>
          </w:p>
          <w:p w14:paraId="1040E435" w14:textId="5FD9BC75" w:rsidR="009A4DA0" w:rsidRPr="00024881" w:rsidRDefault="009A4DA0">
            <w:pPr>
              <w:pStyle w:val="BoxText"/>
            </w:pPr>
            <w:r w:rsidRPr="00024881">
              <w:t>The</w:t>
            </w:r>
            <w:r w:rsidR="009A1E7B">
              <w:t>se</w:t>
            </w:r>
            <w:r w:rsidRPr="00024881">
              <w:t xml:space="preserve"> principles include:</w:t>
            </w:r>
          </w:p>
          <w:p w14:paraId="247F865E" w14:textId="27F63CA4" w:rsidR="009A4DA0" w:rsidRPr="001436EA" w:rsidRDefault="009A4DA0" w:rsidP="005B3766">
            <w:pPr>
              <w:pStyle w:val="Boxbullet"/>
              <w:rPr>
                <w:szCs w:val="18"/>
              </w:rPr>
            </w:pPr>
            <w:r w:rsidRPr="001436EA">
              <w:rPr>
                <w:b/>
              </w:rPr>
              <w:t>Subsidiarity.</w:t>
            </w:r>
            <w:r w:rsidRPr="001436EA">
              <w:rPr>
                <w:szCs w:val="18"/>
              </w:rPr>
              <w:t xml:space="preserve"> Plan making and development assessment powers should be distributed across State, regional and local authorities with reference to subsidiarity. That is, decisions on plans and projects where prospective impacts are primarily local should be left to local forums, while proposals of metropolitan, regional or state</w:t>
            </w:r>
            <w:r w:rsidR="00563A2B">
              <w:rPr>
                <w:szCs w:val="18"/>
              </w:rPr>
              <w:noBreakHyphen/>
            </w:r>
            <w:r w:rsidRPr="001436EA">
              <w:rPr>
                <w:szCs w:val="18"/>
              </w:rPr>
              <w:t>wide significance should be determined by forums accountable to those spheres of community.</w:t>
            </w:r>
          </w:p>
          <w:p w14:paraId="4B529811" w14:textId="77777777" w:rsidR="009A4DA0" w:rsidRPr="0026153C" w:rsidRDefault="009A4DA0" w:rsidP="005B3766">
            <w:pPr>
              <w:pStyle w:val="Boxbullet"/>
            </w:pPr>
            <w:r w:rsidRPr="0026153C">
              <w:rPr>
                <w:b/>
              </w:rPr>
              <w:t>Efficient regulation.</w:t>
            </w:r>
            <w:r w:rsidRPr="0026153C">
              <w:t xml:space="preserve"> Proposed new planning rules should be subject to an efficiency test, consistent with the approach to most other regulations. Regulatory impact assessments of planning rules should be conducted. </w:t>
            </w:r>
          </w:p>
          <w:p w14:paraId="3AA0AECD" w14:textId="0E765FE8" w:rsidR="009A4DA0" w:rsidRPr="0026153C" w:rsidRDefault="009A4DA0" w:rsidP="005B3766">
            <w:pPr>
              <w:pStyle w:val="Boxbullet"/>
            </w:pPr>
            <w:r w:rsidRPr="0026153C">
              <w:rPr>
                <w:b/>
              </w:rPr>
              <w:t>Arm</w:t>
            </w:r>
            <w:r w:rsidR="00563A2B">
              <w:rPr>
                <w:b/>
              </w:rPr>
              <w:t>’</w:t>
            </w:r>
            <w:r w:rsidRPr="0026153C">
              <w:rPr>
                <w:b/>
              </w:rPr>
              <w:t>s length development assessment</w:t>
            </w:r>
            <w:r w:rsidRPr="0026153C">
              <w:t>. Where possible, development assessment – a primarily technical process of verifying compliance with adopted rules – should be separated from policy formulation which is rightly the province of elected decision makers.</w:t>
            </w:r>
          </w:p>
          <w:p w14:paraId="415EB428" w14:textId="432CA7A9" w:rsidR="009A4DA0" w:rsidRPr="00E60058" w:rsidRDefault="009A4DA0" w:rsidP="005B3766">
            <w:pPr>
              <w:pStyle w:val="Boxbullet"/>
            </w:pPr>
            <w:r w:rsidRPr="0026153C">
              <w:rPr>
                <w:b/>
              </w:rPr>
              <w:t>Certainty in development contributions.</w:t>
            </w:r>
            <w:r w:rsidRPr="0026153C">
              <w:t xml:space="preserve"> Transparency, consistency and certainty should characterise development contribution arrangements, including separation of policies and rules in respect of licensing of development rights (or value capture), user pays contributions for infrastructure used by development, impact mitigation where projects impose unanticipated costs on local infrastructure and the environment, and inclusionary provisions where development is expected to incorporate or pay for provision of certain features to be deemed sustainable (for example, open space, water cycle management and social and affordable housing).</w:t>
            </w:r>
          </w:p>
        </w:tc>
      </w:tr>
    </w:tbl>
    <w:p w14:paraId="46D59F19" w14:textId="77777777" w:rsidR="009A4DA0" w:rsidRPr="00514183" w:rsidRDefault="009A4DA0" w:rsidP="00A83E6C">
      <w:pPr>
        <w:pStyle w:val="Heading2Numbered"/>
        <w:rPr>
          <w:szCs w:val="20"/>
        </w:rPr>
      </w:pPr>
      <w:bookmarkStart w:id="137" w:name="_Toc141355274"/>
      <w:r w:rsidRPr="00514183">
        <w:rPr>
          <w:szCs w:val="20"/>
        </w:rPr>
        <w:t>Addressing the lack of suitable land</w:t>
      </w:r>
      <w:bookmarkEnd w:id="137"/>
      <w:r w:rsidRPr="00514183">
        <w:rPr>
          <w:szCs w:val="20"/>
        </w:rPr>
        <w:t xml:space="preserve"> </w:t>
      </w:r>
      <w:bookmarkEnd w:id="131"/>
      <w:bookmarkEnd w:id="132"/>
    </w:p>
    <w:p w14:paraId="0C455E9F" w14:textId="13664565" w:rsidR="009A4DA0" w:rsidRPr="00F0771D" w:rsidRDefault="009A4DA0" w:rsidP="002F28C1">
      <w:r>
        <w:t>F</w:t>
      </w:r>
      <w:r w:rsidRPr="00F0771D">
        <w:t xml:space="preserve">inding land </w:t>
      </w:r>
      <w:r>
        <w:t xml:space="preserve">suitable for the development of projects that are attractive to institutional investors is </w:t>
      </w:r>
      <w:r w:rsidRPr="00F0771D">
        <w:t xml:space="preserve">challenging. </w:t>
      </w:r>
      <w:r>
        <w:t xml:space="preserve">Land is by its nature scarce, and the </w:t>
      </w:r>
      <w:r w:rsidRPr="00F0771D">
        <w:t xml:space="preserve">supply of sites becoming available </w:t>
      </w:r>
      <w:r>
        <w:t>from former</w:t>
      </w:r>
      <w:r w:rsidRPr="00F0771D">
        <w:t xml:space="preserve"> industrial</w:t>
      </w:r>
      <w:r>
        <w:t>, government and other</w:t>
      </w:r>
      <w:r w:rsidRPr="00F0771D">
        <w:t xml:space="preserve"> uses </w:t>
      </w:r>
      <w:r>
        <w:t>continues to diminish. Land</w:t>
      </w:r>
      <w:r w:rsidRPr="00F0771D">
        <w:t xml:space="preserve"> that is otherwise suitable may not be available for </w:t>
      </w:r>
      <w:r>
        <w:t xml:space="preserve">development </w:t>
      </w:r>
      <w:r w:rsidRPr="00F0771D">
        <w:t>due to a range of factors</w:t>
      </w:r>
      <w:r>
        <w:t xml:space="preserve">, including the </w:t>
      </w:r>
      <w:r w:rsidRPr="00F0771D">
        <w:t>fragmentation of holdings</w:t>
      </w:r>
      <w:r>
        <w:t xml:space="preserve"> and a</w:t>
      </w:r>
      <w:r w:rsidRPr="00F0771D">
        <w:t xml:space="preserve"> lack of suitable precinct infrastructure</w:t>
      </w:r>
      <w:r>
        <w:t xml:space="preserve">. </w:t>
      </w:r>
    </w:p>
    <w:p w14:paraId="5C4BB9C0" w14:textId="48AE9F3E" w:rsidR="009A4DA0" w:rsidRPr="00F0771D" w:rsidRDefault="009A4DA0" w:rsidP="002F28C1">
      <w:r w:rsidRPr="00A916AC">
        <w:t>This challenge is likely to warrant greater public sector involvement in the assembly and wholesaling of development</w:t>
      </w:r>
      <w:r w:rsidR="00563A2B">
        <w:noBreakHyphen/>
      </w:r>
      <w:r w:rsidRPr="00A916AC">
        <w:t>ready land</w:t>
      </w:r>
      <w:r w:rsidR="004E5BC4">
        <w:t>. Such arrangements have occurred in the past, for example</w:t>
      </w:r>
      <w:r>
        <w:t xml:space="preserve"> in </w:t>
      </w:r>
      <w:r w:rsidRPr="00A916AC">
        <w:t xml:space="preserve">the 1970s and </w:t>
      </w:r>
      <w:r w:rsidR="004E5BC4">
        <w:t>19</w:t>
      </w:r>
      <w:r w:rsidRPr="00A916AC">
        <w:t>80s government land development corporations were significant players in many housing sub</w:t>
      </w:r>
      <w:r w:rsidR="00563A2B">
        <w:noBreakHyphen/>
      </w:r>
      <w:r w:rsidRPr="00A916AC">
        <w:t>markets.</w:t>
      </w:r>
    </w:p>
    <w:p w14:paraId="6021D93C" w14:textId="39E04513" w:rsidR="009A4DA0" w:rsidRPr="00D33F27" w:rsidRDefault="009A4DA0" w:rsidP="002F28C1">
      <w:r w:rsidRPr="00F0771D">
        <w:t>Most jurisdictions retain development corporations</w:t>
      </w:r>
      <w:r w:rsidR="00265926" w:rsidRPr="00F0771D">
        <w:t xml:space="preserve"> </w:t>
      </w:r>
      <w:r w:rsidRPr="00F0771D">
        <w:t>mandated to deploy surplus government land to meet commercial and planning policy objectives. Several of these corporations are empowered to progress urban renewal at the precinct level, including land assembly, master</w:t>
      </w:r>
      <w:r w:rsidR="00563A2B">
        <w:noBreakHyphen/>
      </w:r>
      <w:r w:rsidRPr="00F0771D">
        <w:t>planning and super</w:t>
      </w:r>
      <w:r w:rsidR="00563A2B">
        <w:noBreakHyphen/>
      </w:r>
      <w:r w:rsidRPr="00F0771D">
        <w:t>lotting; provision or co</w:t>
      </w:r>
      <w:r w:rsidR="00563A2B">
        <w:noBreakHyphen/>
      </w:r>
      <w:r w:rsidRPr="00F0771D">
        <w:t>ordination of key infrastructure to enable development; organising site clean</w:t>
      </w:r>
      <w:r w:rsidR="00563A2B">
        <w:noBreakHyphen/>
      </w:r>
      <w:r w:rsidRPr="00F0771D">
        <w:t>up; and preparation of appropriate planning instruments to facilitate and de</w:t>
      </w:r>
      <w:r w:rsidR="00563A2B">
        <w:noBreakHyphen/>
      </w:r>
      <w:r w:rsidRPr="00D33F27">
        <w:t>risk development.</w:t>
      </w:r>
    </w:p>
    <w:tbl>
      <w:tblPr>
        <w:tblW w:w="5000" w:type="pct"/>
        <w:shd w:val="clear" w:color="auto" w:fill="F2E3C7" w:themeFill="background2"/>
        <w:tblCellMar>
          <w:top w:w="284" w:type="dxa"/>
          <w:left w:w="284" w:type="dxa"/>
          <w:bottom w:w="284" w:type="dxa"/>
          <w:right w:w="284" w:type="dxa"/>
        </w:tblCellMar>
        <w:tblLook w:val="0600" w:firstRow="0" w:lastRow="0" w:firstColumn="0" w:lastColumn="0" w:noHBand="1" w:noVBand="1"/>
      </w:tblPr>
      <w:tblGrid>
        <w:gridCol w:w="9070"/>
      </w:tblGrid>
      <w:tr w:rsidR="009A4DA0" w14:paraId="3DDCC71F" w14:textId="77777777">
        <w:tc>
          <w:tcPr>
            <w:tcW w:w="5000" w:type="pct"/>
            <w:shd w:val="clear" w:color="auto" w:fill="BAD4E8" w:themeFill="accent5"/>
            <w:hideMark/>
          </w:tcPr>
          <w:p w14:paraId="3F1B8BD1" w14:textId="041B7C62" w:rsidR="009E4ADB" w:rsidRPr="00124D91" w:rsidRDefault="009E4ADB" w:rsidP="002F28C1">
            <w:pPr>
              <w:pStyle w:val="BoxHeading"/>
            </w:pPr>
            <w:r w:rsidRPr="00124D91">
              <w:lastRenderedPageBreak/>
              <w:t>Recommendation 3: Improving land availability</w:t>
            </w:r>
          </w:p>
          <w:p w14:paraId="0F0E97A8" w14:textId="440259AD" w:rsidR="009A4DA0" w:rsidRDefault="000D01FA" w:rsidP="00654B23">
            <w:pPr>
              <w:pStyle w:val="BoxText"/>
            </w:pPr>
            <w:r w:rsidRPr="00E304D0">
              <w:t xml:space="preserve">State and </w:t>
            </w:r>
            <w:r>
              <w:t>t</w:t>
            </w:r>
            <w:r w:rsidRPr="00E304D0">
              <w:t>erritory development corporations and their associated precinct planning bodies should accelerate land assembly (including through compulsory acquisition as a last resort), infrastructure provision and development approvals in areas which are suitable for large</w:t>
            </w:r>
            <w:r w:rsidR="00563A2B">
              <w:noBreakHyphen/>
            </w:r>
            <w:r w:rsidRPr="00E304D0">
              <w:t>scale intensive housing development.</w:t>
            </w:r>
          </w:p>
        </w:tc>
      </w:tr>
    </w:tbl>
    <w:p w14:paraId="50FE31C6" w14:textId="77777777" w:rsidR="002C2697" w:rsidRDefault="002C2697">
      <w:pPr>
        <w:spacing w:before="0" w:after="160" w:line="259" w:lineRule="auto"/>
      </w:pPr>
    </w:p>
    <w:p w14:paraId="598CE627" w14:textId="77777777" w:rsidR="002C2697" w:rsidRPr="00B430DA" w:rsidRDefault="002C2697" w:rsidP="00B430DA">
      <w:pPr>
        <w:sectPr w:rsidR="002C2697" w:rsidRPr="00B430DA" w:rsidSect="00B66783">
          <w:pgSz w:w="11906" w:h="16838" w:code="9"/>
          <w:pgMar w:top="1843" w:right="1418" w:bottom="1418" w:left="1418" w:header="709" w:footer="709" w:gutter="0"/>
          <w:cols w:space="708"/>
          <w:docGrid w:linePitch="360"/>
        </w:sectPr>
      </w:pPr>
    </w:p>
    <w:p w14:paraId="68ACF516" w14:textId="4410EAE2" w:rsidR="008E0716" w:rsidRPr="00700C9D" w:rsidRDefault="008E0716" w:rsidP="008E0716">
      <w:pPr>
        <w:pStyle w:val="Heading1Numbered"/>
      </w:pPr>
      <w:bookmarkStart w:id="138" w:name="_Toc141355275"/>
      <w:r>
        <w:lastRenderedPageBreak/>
        <w:t>De</w:t>
      </w:r>
      <w:r w:rsidR="00563A2B">
        <w:noBreakHyphen/>
      </w:r>
      <w:r>
        <w:t>risking the development and ownership of institutional housing assets</w:t>
      </w:r>
      <w:bookmarkEnd w:id="138"/>
    </w:p>
    <w:bookmarkEnd w:id="133"/>
    <w:bookmarkEnd w:id="134"/>
    <w:p w14:paraId="31ED8349" w14:textId="64A81DE9" w:rsidR="009A4DA0" w:rsidRDefault="009A4DA0" w:rsidP="002F28C1">
      <w:r w:rsidRPr="00B06041">
        <w:t xml:space="preserve">A key view of the Council that underpins its recommendations is that </w:t>
      </w:r>
      <w:r>
        <w:t>risks are elevated due to the nascent state of the market</w:t>
      </w:r>
      <w:r w:rsidRPr="00B72342">
        <w:t xml:space="preserve">. </w:t>
      </w:r>
      <w:r>
        <w:t>Once developed, the return</w:t>
      </w:r>
      <w:r w:rsidR="00563A2B">
        <w:noBreakHyphen/>
      </w:r>
      <w:r>
        <w:t>risk characteristics of a market for institutional housing would be such that the market is viable and self</w:t>
      </w:r>
      <w:r w:rsidR="00563A2B">
        <w:noBreakHyphen/>
      </w:r>
      <w:r>
        <w:t>sustaining. Until then</w:t>
      </w:r>
      <w:r w:rsidRPr="00B06041">
        <w:t xml:space="preserve">, investing in housing, and </w:t>
      </w:r>
      <w:r w:rsidRPr="00A4013A">
        <w:t>investing in the capability to invest in housing</w:t>
      </w:r>
      <w:r w:rsidRPr="00B06041">
        <w:t xml:space="preserve">, is unattractive relative to alternative investment opportunities. </w:t>
      </w:r>
    </w:p>
    <w:p w14:paraId="143DCC1E" w14:textId="4B903E74" w:rsidR="0030068E" w:rsidRPr="00514183" w:rsidRDefault="00103119" w:rsidP="002F28C1">
      <w:pPr>
        <w:pStyle w:val="Heading2Numbered"/>
      </w:pPr>
      <w:bookmarkStart w:id="139" w:name="_Toc141355276"/>
      <w:r w:rsidRPr="002F28C1">
        <w:t>Housing</w:t>
      </w:r>
      <w:r>
        <w:t xml:space="preserve"> targets</w:t>
      </w:r>
      <w:r w:rsidR="00D25C39">
        <w:t xml:space="preserve"> to reduce uncertainty</w:t>
      </w:r>
      <w:bookmarkEnd w:id="139"/>
      <w:r w:rsidR="00D25C39">
        <w:t xml:space="preserve"> </w:t>
      </w:r>
    </w:p>
    <w:p w14:paraId="559D1806" w14:textId="77777777" w:rsidR="009A4DA0" w:rsidRPr="00F0771D" w:rsidRDefault="009A4DA0" w:rsidP="002F28C1">
      <w:r w:rsidRPr="00F0771D">
        <w:t xml:space="preserve">A lack of </w:t>
      </w:r>
      <w:r>
        <w:t xml:space="preserve">operating and </w:t>
      </w:r>
      <w:r w:rsidRPr="00F0771D">
        <w:t>policy</w:t>
      </w:r>
      <w:r>
        <w:t xml:space="preserve"> </w:t>
      </w:r>
      <w:r w:rsidRPr="00F0771D">
        <w:t xml:space="preserve">certainty in the Australian housing market is frequently cited in both the literature and by stakeholders as a barrier to institutional investment. </w:t>
      </w:r>
    </w:p>
    <w:p w14:paraId="06AF86DC" w14:textId="0BECF3AE" w:rsidR="009A4DA0" w:rsidRPr="00F0771D" w:rsidRDefault="009A4DA0" w:rsidP="002F28C1">
      <w:r>
        <w:t>C</w:t>
      </w:r>
      <w:r w:rsidRPr="00F0771D">
        <w:t xml:space="preserve">lear and enforceable housing supply targets for the </w:t>
      </w:r>
      <w:r>
        <w:t>states</w:t>
      </w:r>
      <w:r w:rsidRPr="00F0771D">
        <w:t xml:space="preserve"> and </w:t>
      </w:r>
      <w:r>
        <w:t>territories</w:t>
      </w:r>
      <w:r w:rsidRPr="00F0771D">
        <w:t xml:space="preserve"> </w:t>
      </w:r>
      <w:r>
        <w:t>would help</w:t>
      </w:r>
      <w:r w:rsidRPr="00F0771D">
        <w:t xml:space="preserve"> create a more certain operating environment, including for </w:t>
      </w:r>
      <w:r>
        <w:t>institutional</w:t>
      </w:r>
      <w:r w:rsidRPr="00F0771D">
        <w:t xml:space="preserve"> investors. </w:t>
      </w:r>
      <w:r>
        <w:t>Such targets</w:t>
      </w:r>
      <w:r w:rsidRPr="00F0771D">
        <w:t xml:space="preserve"> would send a clear signal to the market on the intention</w:t>
      </w:r>
      <w:r w:rsidR="009A1E7B">
        <w:t>s</w:t>
      </w:r>
      <w:r w:rsidRPr="00F0771D">
        <w:t xml:space="preserve"> of the various government jurisdictions </w:t>
      </w:r>
      <w:r>
        <w:t>to support</w:t>
      </w:r>
      <w:r w:rsidRPr="00F0771D">
        <w:t xml:space="preserve"> housing supply </w:t>
      </w:r>
      <w:r>
        <w:t>and facilitate planning by developers and investors</w:t>
      </w:r>
      <w:r w:rsidRPr="00F0771D">
        <w:t>.</w:t>
      </w:r>
    </w:p>
    <w:p w14:paraId="10666027" w14:textId="12EAFDD8" w:rsidR="009A4DA0" w:rsidRPr="00F0771D" w:rsidRDefault="009A4DA0" w:rsidP="002F28C1">
      <w:r w:rsidRPr="00A21429">
        <w:t xml:space="preserve">The National </w:t>
      </w:r>
      <w:r w:rsidRPr="00F0771D">
        <w:t xml:space="preserve">Housing Accord </w:t>
      </w:r>
      <w:r>
        <w:t>is one mechanism that could help establish targets. The</w:t>
      </w:r>
      <w:r w:rsidRPr="00F0771D">
        <w:t xml:space="preserve"> Accord was </w:t>
      </w:r>
      <w:r>
        <w:t>agreed</w:t>
      </w:r>
      <w:r w:rsidRPr="00F0771D">
        <w:t xml:space="preserve"> by the </w:t>
      </w:r>
      <w:r>
        <w:t>Commonwealth</w:t>
      </w:r>
      <w:r w:rsidRPr="00F0771D">
        <w:t xml:space="preserve">, </w:t>
      </w:r>
      <w:r>
        <w:t>s</w:t>
      </w:r>
      <w:r w:rsidRPr="00F0771D">
        <w:t xml:space="preserve">tate and </w:t>
      </w:r>
      <w:r>
        <w:t>t</w:t>
      </w:r>
      <w:r w:rsidRPr="00F0771D">
        <w:t>erritory governments</w:t>
      </w:r>
      <w:r>
        <w:t>,</w:t>
      </w:r>
      <w:r w:rsidRPr="00F0771D">
        <w:t xml:space="preserve"> the Australian Local Government Association</w:t>
      </w:r>
      <w:r>
        <w:t>, investors and the construction sector</w:t>
      </w:r>
      <w:r w:rsidRPr="00F0771D">
        <w:t xml:space="preserve"> on 25 October 2022. </w:t>
      </w:r>
      <w:r>
        <w:t>It</w:t>
      </w:r>
      <w:r w:rsidRPr="00F0771D">
        <w:t xml:space="preserve"> establishes </w:t>
      </w:r>
      <w:r>
        <w:t>a national</w:t>
      </w:r>
      <w:r w:rsidRPr="00F0771D">
        <w:t xml:space="preserve"> aspirational target to deliver 1 million new homes over the 5 years from 2024. The Council believes that each </w:t>
      </w:r>
      <w:r>
        <w:t>state</w:t>
      </w:r>
      <w:r w:rsidRPr="00F0771D">
        <w:t xml:space="preserve"> and </w:t>
      </w:r>
      <w:r>
        <w:t>territory</w:t>
      </w:r>
      <w:r w:rsidRPr="00F0771D">
        <w:t xml:space="preserve"> should </w:t>
      </w:r>
      <w:r>
        <w:t>move beyond the aspirational</w:t>
      </w:r>
      <w:r w:rsidR="00D01B59">
        <w:t xml:space="preserve"> target</w:t>
      </w:r>
      <w:r>
        <w:t xml:space="preserve"> and</w:t>
      </w:r>
      <w:r w:rsidRPr="00F0771D">
        <w:t xml:space="preserve"> commit to meeting </w:t>
      </w:r>
      <w:r>
        <w:t xml:space="preserve">an appropriate share </w:t>
      </w:r>
      <w:r w:rsidRPr="00F0771D">
        <w:t>of the Housing Accord target</w:t>
      </w:r>
      <w:r>
        <w:t>, with incentives to do so provided by the Commonwealth</w:t>
      </w:r>
      <w:r w:rsidRPr="00F0771D">
        <w:t xml:space="preserve">. </w:t>
      </w:r>
    </w:p>
    <w:p w14:paraId="428383D9" w14:textId="178761EF" w:rsidR="009A4DA0" w:rsidRPr="00F0771D" w:rsidRDefault="009A4DA0" w:rsidP="002F28C1">
      <w:r w:rsidRPr="00F0771D">
        <w:t xml:space="preserve">The former National Competition Policy may provide a suitable model for an appropriate incentive and accountability framework. Under the policy, which ran from 1995 to 2005, </w:t>
      </w:r>
      <w:r>
        <w:t>states</w:t>
      </w:r>
      <w:r w:rsidRPr="00F0771D">
        <w:t xml:space="preserve"> and </w:t>
      </w:r>
      <w:r>
        <w:t>territories</w:t>
      </w:r>
      <w:r w:rsidRPr="00F0771D">
        <w:t xml:space="preserve"> agreed to implement legislative, structural and pricing reforms to promote greater competition in sectors including energy, water, transport, telecommunications and agriculture. The </w:t>
      </w:r>
      <w:r>
        <w:t>states</w:t>
      </w:r>
      <w:r w:rsidRPr="00F0771D">
        <w:t xml:space="preserve"> and </w:t>
      </w:r>
      <w:r>
        <w:t>territories</w:t>
      </w:r>
      <w:r w:rsidRPr="00F0771D">
        <w:t xml:space="preserve"> were incentivised to implement the necessary reforms through competition payments</w:t>
      </w:r>
      <w:r>
        <w:t>. In</w:t>
      </w:r>
      <w:r w:rsidR="00ED4986">
        <w:t> </w:t>
      </w:r>
      <w:r>
        <w:t>addition</w:t>
      </w:r>
      <w:r w:rsidRPr="00F0771D">
        <w:t>, accountability was ensured by linking these payments to satisfying detailed, periodic assessments of performance</w:t>
      </w:r>
      <w:r>
        <w:t xml:space="preserve">. </w:t>
      </w:r>
    </w:p>
    <w:p w14:paraId="4A65E0D7" w14:textId="5B219DE8" w:rsidR="009A4DA0" w:rsidRPr="00F0771D" w:rsidRDefault="009A4DA0" w:rsidP="002F28C1">
      <w:r>
        <w:t>A</w:t>
      </w:r>
      <w:r w:rsidRPr="00F0771D">
        <w:t xml:space="preserve"> similar model could be </w:t>
      </w:r>
      <w:r>
        <w:t>implemented</w:t>
      </w:r>
      <w:r w:rsidRPr="00F0771D">
        <w:t xml:space="preserve"> to support the delivery of housing targets by each state and territory. This would require the </w:t>
      </w:r>
      <w:r w:rsidR="004A67C6">
        <w:t>Australian</w:t>
      </w:r>
      <w:r>
        <w:t xml:space="preserve"> </w:t>
      </w:r>
      <w:r w:rsidRPr="00F0771D">
        <w:t xml:space="preserve">Government </w:t>
      </w:r>
      <w:r>
        <w:t>to consider</w:t>
      </w:r>
      <w:r w:rsidRPr="00F0771D">
        <w:t xml:space="preserve"> providing financial payments to the </w:t>
      </w:r>
      <w:r>
        <w:t>states</w:t>
      </w:r>
      <w:r w:rsidRPr="00F0771D">
        <w:t xml:space="preserve"> and </w:t>
      </w:r>
      <w:r>
        <w:t>territories</w:t>
      </w:r>
      <w:r w:rsidRPr="00F0771D">
        <w:t xml:space="preserve"> to support delivery of the</w:t>
      </w:r>
      <w:r w:rsidR="00EE14CC">
        <w:t>ir</w:t>
      </w:r>
      <w:r w:rsidRPr="00F0771D">
        <w:t xml:space="preserve"> </w:t>
      </w:r>
      <w:r w:rsidR="00EE14CC">
        <w:t xml:space="preserve">housing </w:t>
      </w:r>
      <w:r w:rsidRPr="00F0771D">
        <w:t xml:space="preserve">targets. In exchange, </w:t>
      </w:r>
      <w:r>
        <w:t>states</w:t>
      </w:r>
      <w:r w:rsidRPr="00F0771D">
        <w:t xml:space="preserve"> and </w:t>
      </w:r>
      <w:r>
        <w:t>territories</w:t>
      </w:r>
      <w:r w:rsidRPr="00F0771D">
        <w:t xml:space="preserve"> should accept responsibility for the delivery of the housing targets, as well as the necessary planning reforms and provision of essential infrastructure to both enable and expediate large</w:t>
      </w:r>
      <w:r w:rsidR="00563A2B">
        <w:noBreakHyphen/>
      </w:r>
      <w:r w:rsidRPr="00F0771D">
        <w:t>scale investment in new housing supply.</w:t>
      </w:r>
    </w:p>
    <w:tbl>
      <w:tblPr>
        <w:tblW w:w="5000" w:type="pct"/>
        <w:shd w:val="clear" w:color="auto" w:fill="BAD4E8" w:themeFill="accent5"/>
        <w:tblCellMar>
          <w:top w:w="284" w:type="dxa"/>
          <w:left w:w="284" w:type="dxa"/>
          <w:bottom w:w="284" w:type="dxa"/>
          <w:right w:w="284" w:type="dxa"/>
        </w:tblCellMar>
        <w:tblLook w:val="0600" w:firstRow="0" w:lastRow="0" w:firstColumn="0" w:lastColumn="0" w:noHBand="1" w:noVBand="1"/>
      </w:tblPr>
      <w:tblGrid>
        <w:gridCol w:w="9070"/>
      </w:tblGrid>
      <w:tr w:rsidR="009A4DA0" w14:paraId="69FE4F97" w14:textId="77777777">
        <w:tc>
          <w:tcPr>
            <w:tcW w:w="5000" w:type="pct"/>
            <w:shd w:val="clear" w:color="auto" w:fill="BAD4E8" w:themeFill="accent5"/>
            <w:hideMark/>
          </w:tcPr>
          <w:p w14:paraId="7E9B58B1" w14:textId="527A3E6A" w:rsidR="00D80F16" w:rsidRPr="004733B7" w:rsidRDefault="00D80F16" w:rsidP="002F28C1">
            <w:pPr>
              <w:pStyle w:val="BoxHeading"/>
            </w:pPr>
            <w:bookmarkStart w:id="140" w:name="_Hlk139832987"/>
            <w:r w:rsidRPr="004733B7">
              <w:lastRenderedPageBreak/>
              <w:t>Recommendation 4: Establishing housing targets</w:t>
            </w:r>
          </w:p>
          <w:p w14:paraId="6D1F6F50" w14:textId="6A6804EA" w:rsidR="009A4DA0" w:rsidRPr="00CA3271" w:rsidRDefault="00654B23">
            <w:pPr>
              <w:pStyle w:val="BoxText"/>
              <w:rPr>
                <w:iCs/>
              </w:rPr>
            </w:pPr>
            <w:r w:rsidRPr="00E304D0">
              <w:t xml:space="preserve">Commonwealth, state and territory governments should </w:t>
            </w:r>
            <w:r>
              <w:t xml:space="preserve">expand on the aspirational national target described in the National Housing Accord 2022 </w:t>
            </w:r>
            <w:r w:rsidR="00D80F16">
              <w:t>by agreeing</w:t>
            </w:r>
            <w:r>
              <w:t xml:space="preserve"> to, </w:t>
            </w:r>
            <w:r w:rsidRPr="00E304D0">
              <w:t xml:space="preserve">and </w:t>
            </w:r>
            <w:r w:rsidR="00D80F16" w:rsidRPr="00E304D0">
              <w:t>publish</w:t>
            </w:r>
            <w:r w:rsidR="00D80F16">
              <w:t>ing</w:t>
            </w:r>
            <w:r>
              <w:t>,</w:t>
            </w:r>
            <w:r w:rsidRPr="00E304D0">
              <w:t xml:space="preserve"> </w:t>
            </w:r>
            <w:r>
              <w:t xml:space="preserve">specific </w:t>
            </w:r>
            <w:r w:rsidRPr="00E304D0">
              <w:t>housing targets</w:t>
            </w:r>
            <w:r>
              <w:t xml:space="preserve"> for each state and territory. A</w:t>
            </w:r>
            <w:r w:rsidRPr="00E304D0">
              <w:t xml:space="preserve">ppropriate incentives and penalties </w:t>
            </w:r>
            <w:r>
              <w:t xml:space="preserve">should be attached to the meeting of these targets. This will </w:t>
            </w:r>
            <w:r w:rsidRPr="00E304D0">
              <w:t>ensure a pipeline of suitable housing assets exists to facilitate investor planning and to demonstrate policy commitment to the development of an institutional housing market.</w:t>
            </w:r>
          </w:p>
        </w:tc>
      </w:tr>
    </w:tbl>
    <w:p w14:paraId="6FF73061" w14:textId="28F056A3" w:rsidR="00103119" w:rsidRPr="00514183" w:rsidRDefault="00D25C39" w:rsidP="00A83E6C">
      <w:pPr>
        <w:pStyle w:val="Heading2Numbered"/>
        <w:rPr>
          <w:szCs w:val="20"/>
        </w:rPr>
      </w:pPr>
      <w:bookmarkStart w:id="141" w:name="_Toc141355277"/>
      <w:bookmarkStart w:id="142" w:name="_Toc139618841"/>
      <w:bookmarkStart w:id="143" w:name="_Toc139635568"/>
      <w:bookmarkEnd w:id="140"/>
      <w:r>
        <w:rPr>
          <w:szCs w:val="20"/>
        </w:rPr>
        <w:t>Improving data availability and quality</w:t>
      </w:r>
      <w:bookmarkEnd w:id="141"/>
    </w:p>
    <w:p w14:paraId="5C4033B0" w14:textId="167168D1" w:rsidR="009A4DA0" w:rsidRPr="00EA604F" w:rsidRDefault="009A4DA0" w:rsidP="002F28C1">
      <w:pPr>
        <w:pStyle w:val="Heading3"/>
      </w:pPr>
      <w:r w:rsidRPr="00EA604F">
        <w:t>Government measures to improve the availability and quality of relevant data</w:t>
      </w:r>
      <w:bookmarkEnd w:id="142"/>
      <w:bookmarkEnd w:id="143"/>
    </w:p>
    <w:p w14:paraId="260BCCFE" w14:textId="1C4D0BD1" w:rsidR="009A4DA0" w:rsidRPr="00F0771D" w:rsidRDefault="009A4DA0" w:rsidP="002F28C1">
      <w:r>
        <w:t xml:space="preserve">Institutional investors regularly cite a lack of data with which to conduct the investment analysis </w:t>
      </w:r>
      <w:r w:rsidRPr="00F0771D">
        <w:t xml:space="preserve">needed to support investment decisions. This </w:t>
      </w:r>
      <w:r>
        <w:t xml:space="preserve">lack of data adds to </w:t>
      </w:r>
      <w:r w:rsidRPr="00F0771D">
        <w:t>uncertainty</w:t>
      </w:r>
      <w:r>
        <w:t xml:space="preserve"> for institutional investors, as well as banks and other providers of debt capital, raising the cost of capital and reducing the viability of projects. </w:t>
      </w:r>
    </w:p>
    <w:p w14:paraId="2DC3EEE3" w14:textId="10E801DD" w:rsidR="009A4DA0" w:rsidRPr="00F0771D" w:rsidRDefault="008526EE" w:rsidP="002F28C1">
      <w:r>
        <w:t>N</w:t>
      </w:r>
      <w:r w:rsidR="009A4DA0" w:rsidRPr="00F0771D">
        <w:t xml:space="preserve">o one single entity </w:t>
      </w:r>
      <w:r w:rsidR="009A4DA0">
        <w:t xml:space="preserve">can take </w:t>
      </w:r>
      <w:r w:rsidR="009A4DA0" w:rsidRPr="00F0771D">
        <w:t>responsib</w:t>
      </w:r>
      <w:r w:rsidR="009A4DA0">
        <w:t>ility</w:t>
      </w:r>
      <w:r w:rsidR="009A4DA0" w:rsidRPr="00F0771D">
        <w:t xml:space="preserve"> </w:t>
      </w:r>
      <w:r w:rsidR="009A4DA0">
        <w:t>for</w:t>
      </w:r>
      <w:r w:rsidR="009A4DA0" w:rsidRPr="00F0771D">
        <w:t xml:space="preserve"> </w:t>
      </w:r>
      <w:r w:rsidR="009A4DA0">
        <w:t>addressing this lack of data</w:t>
      </w:r>
      <w:r w:rsidR="009A4DA0" w:rsidRPr="00F0771D">
        <w:t xml:space="preserve">. </w:t>
      </w:r>
      <w:r w:rsidR="009A4DA0">
        <w:t>Relevant</w:t>
      </w:r>
      <w:r w:rsidR="009A4DA0" w:rsidRPr="00F0771D">
        <w:t xml:space="preserve"> </w:t>
      </w:r>
      <w:r w:rsidR="009A4DA0">
        <w:t xml:space="preserve">data is </w:t>
      </w:r>
      <w:r w:rsidR="009A4DA0" w:rsidRPr="00F0771D">
        <w:t xml:space="preserve">spread </w:t>
      </w:r>
      <w:r w:rsidR="009A4DA0">
        <w:t xml:space="preserve">across </w:t>
      </w:r>
      <w:r w:rsidR="009A4DA0" w:rsidRPr="00F0771D">
        <w:t>governments</w:t>
      </w:r>
      <w:r w:rsidR="009A4DA0">
        <w:t xml:space="preserve">, </w:t>
      </w:r>
      <w:r w:rsidR="009A4DA0" w:rsidRPr="00F0771D">
        <w:t>the private and non</w:t>
      </w:r>
      <w:r w:rsidR="00563A2B">
        <w:noBreakHyphen/>
      </w:r>
      <w:r w:rsidR="009A4DA0" w:rsidRPr="00F0771D">
        <w:t xml:space="preserve">government sectors. </w:t>
      </w:r>
      <w:r w:rsidR="009A4DA0">
        <w:t>A</w:t>
      </w:r>
      <w:r w:rsidR="009A4DA0" w:rsidRPr="00F0771D">
        <w:t xml:space="preserve">ll sectors have a role to play in addressing </w:t>
      </w:r>
      <w:r w:rsidR="009A4DA0">
        <w:t xml:space="preserve">data </w:t>
      </w:r>
      <w:r w:rsidR="009A4DA0" w:rsidRPr="00F0771D">
        <w:t xml:space="preserve">gaps to assist in </w:t>
      </w:r>
      <w:r w:rsidR="009A4DA0">
        <w:t xml:space="preserve">accelerating </w:t>
      </w:r>
      <w:r w:rsidR="009A4DA0" w:rsidRPr="00F0771D">
        <w:t xml:space="preserve">the development of the Australian market. </w:t>
      </w:r>
    </w:p>
    <w:p w14:paraId="50B0404C" w14:textId="77777777" w:rsidR="009A4DA0" w:rsidRDefault="009A4DA0" w:rsidP="002F28C1">
      <w:pPr>
        <w:pStyle w:val="Heading3"/>
      </w:pPr>
      <w:r>
        <w:t>Government held data</w:t>
      </w:r>
    </w:p>
    <w:p w14:paraId="149F888A" w14:textId="77777777" w:rsidR="009A4DA0" w:rsidRPr="00F0771D" w:rsidRDefault="009A4DA0" w:rsidP="002719DD">
      <w:pPr>
        <w:spacing w:after="120"/>
      </w:pPr>
      <w:r w:rsidRPr="00F0771D">
        <w:t>Governments across Australia hold a multitude of relevant data. However, there are issues with respect to this information</w:t>
      </w:r>
      <w:r>
        <w:t>,</w:t>
      </w:r>
      <w:r w:rsidRPr="00F0771D">
        <w:t xml:space="preserve"> including:</w:t>
      </w:r>
    </w:p>
    <w:p w14:paraId="4745E34F" w14:textId="77777777" w:rsidR="009A4DA0" w:rsidRPr="002F28C1" w:rsidRDefault="009A4DA0" w:rsidP="002F28C1">
      <w:pPr>
        <w:pStyle w:val="Bullet"/>
      </w:pPr>
      <w:r w:rsidRPr="002F28C1">
        <w:t>Inconsistency in data sources across jurisdictions due to the lack of nationally harmonised data frameworks and measurement approaches. </w:t>
      </w:r>
    </w:p>
    <w:p w14:paraId="5F2E2AFC" w14:textId="52CB0DD7" w:rsidR="009A4DA0" w:rsidRPr="002F28C1" w:rsidRDefault="009A4DA0" w:rsidP="002F28C1">
      <w:pPr>
        <w:pStyle w:val="Bullet"/>
      </w:pPr>
      <w:r w:rsidRPr="002F28C1">
        <w:t xml:space="preserve">Limited data sharing and integration, as data </w:t>
      </w:r>
      <w:r w:rsidR="00856805">
        <w:t>are</w:t>
      </w:r>
      <w:r w:rsidRPr="002F28C1">
        <w:t xml:space="preserve"> held by different agencies in different jurisdictions and there are </w:t>
      </w:r>
      <w:r w:rsidR="00F05BFB" w:rsidRPr="002F28C1">
        <w:t xml:space="preserve">technical and legal barriers (for example, data sharing and privacy agreements) </w:t>
      </w:r>
      <w:r w:rsidRPr="002F28C1">
        <w:t>to integrate data into a national dataset. </w:t>
      </w:r>
    </w:p>
    <w:p w14:paraId="0933E4DC" w14:textId="6BFCAE54" w:rsidR="009A4DA0" w:rsidRPr="00514183" w:rsidRDefault="009A4DA0" w:rsidP="002F28C1">
      <w:pPr>
        <w:pStyle w:val="Bullet"/>
      </w:pPr>
      <w:r w:rsidRPr="002F28C1">
        <w:t>Data quality, which is often low as data are collected from administrative systems rather than properly designed</w:t>
      </w:r>
      <w:r w:rsidRPr="00297853">
        <w:t xml:space="preserve"> statistical processes. Some data collection agencies lack the capability to improve data quality.</w:t>
      </w:r>
      <w:r w:rsidRPr="00297853">
        <w:rPr>
          <w:rFonts w:cstheme="minorHAnsi"/>
        </w:rPr>
        <w:t> </w:t>
      </w:r>
    </w:p>
    <w:p w14:paraId="26DF8133" w14:textId="17BA697F" w:rsidR="009A4DA0" w:rsidRPr="0096002C" w:rsidRDefault="009A4DA0" w:rsidP="002F28C1">
      <w:pPr>
        <w:rPr>
          <w:rFonts w:cstheme="minorHAnsi"/>
        </w:rPr>
      </w:pPr>
      <w:r w:rsidRPr="0096002C">
        <w:t xml:space="preserve">The </w:t>
      </w:r>
      <w:r w:rsidRPr="00F0771D">
        <w:t>Australian</w:t>
      </w:r>
      <w:r w:rsidRPr="0096002C">
        <w:t xml:space="preserve"> Bureau of Statistics is currently involved in a range of initiatives to improve housing data, particularly around land release and zoning. The </w:t>
      </w:r>
      <w:r w:rsidR="0079267E">
        <w:t>Housing and Home</w:t>
      </w:r>
      <w:r w:rsidR="006F5A1A">
        <w:t xml:space="preserve">lessness </w:t>
      </w:r>
      <w:r w:rsidR="000447C8">
        <w:t xml:space="preserve">Ministerial </w:t>
      </w:r>
      <w:r w:rsidR="0079267E">
        <w:t xml:space="preserve">Council </w:t>
      </w:r>
      <w:r w:rsidR="006F5A1A">
        <w:t xml:space="preserve">should </w:t>
      </w:r>
      <w:r w:rsidR="00BD48F8">
        <w:t>continue its work</w:t>
      </w:r>
      <w:r w:rsidR="00472473">
        <w:t xml:space="preserve"> to improve housing and </w:t>
      </w:r>
      <w:r w:rsidR="00B34367">
        <w:t xml:space="preserve">homelessness datasets under the </w:t>
      </w:r>
      <w:r w:rsidRPr="0096002C">
        <w:t xml:space="preserve">new National Housing and Homelessness Agreement </w:t>
      </w:r>
      <w:r w:rsidR="00B34367">
        <w:t xml:space="preserve">to </w:t>
      </w:r>
      <w:r w:rsidRPr="0096002C">
        <w:t>address gaps in the housing evidence base. The Council also notes that it has an important role to play in developing the availability and consistency of housing</w:t>
      </w:r>
      <w:r w:rsidR="00563A2B">
        <w:noBreakHyphen/>
      </w:r>
      <w:r w:rsidRPr="0096002C">
        <w:t>related data as part of its remit.</w:t>
      </w:r>
      <w:r w:rsidRPr="00F0771D">
        <w:t> </w:t>
      </w:r>
    </w:p>
    <w:p w14:paraId="676C3A9F" w14:textId="7625ADFE" w:rsidR="009A4DA0" w:rsidRPr="0096002C" w:rsidRDefault="009A4DA0" w:rsidP="002F28C1">
      <w:r w:rsidRPr="0096002C">
        <w:rPr>
          <w:rFonts w:cstheme="minorHAnsi"/>
        </w:rPr>
        <w:t xml:space="preserve">This work should be appropriately resourced to ensure improvements in the </w:t>
      </w:r>
      <w:r w:rsidR="00A13448">
        <w:rPr>
          <w:rFonts w:cstheme="minorHAnsi"/>
        </w:rPr>
        <w:t>avail</w:t>
      </w:r>
      <w:r w:rsidR="00DC6D3C">
        <w:rPr>
          <w:rFonts w:cstheme="minorHAnsi"/>
        </w:rPr>
        <w:t>a</w:t>
      </w:r>
      <w:r w:rsidR="00A13448">
        <w:rPr>
          <w:rFonts w:cstheme="minorHAnsi"/>
        </w:rPr>
        <w:t>bility</w:t>
      </w:r>
      <w:r w:rsidRPr="0096002C">
        <w:t xml:space="preserve">, consistency and </w:t>
      </w:r>
      <w:r w:rsidR="00A13448" w:rsidRPr="0096002C">
        <w:rPr>
          <w:rFonts w:cstheme="minorHAnsi"/>
        </w:rPr>
        <w:t>quality</w:t>
      </w:r>
      <w:r w:rsidR="00A13448" w:rsidRPr="0096002C" w:rsidDel="00A13448">
        <w:t xml:space="preserve"> </w:t>
      </w:r>
      <w:r w:rsidRPr="0096002C">
        <w:t xml:space="preserve">of housing data. Priority should be given to the renewed funding of the new indicators of </w:t>
      </w:r>
      <w:r w:rsidRPr="0096002C">
        <w:lastRenderedPageBreak/>
        <w:t xml:space="preserve">land and housing supply and the established dwelling stock data developed by the </w:t>
      </w:r>
      <w:r w:rsidRPr="00F0771D">
        <w:t>Australian</w:t>
      </w:r>
      <w:r w:rsidRPr="0096002C">
        <w:t xml:space="preserve"> Bureau of Statistics, which have the potential to be important data sources for developers and institutional investors.</w:t>
      </w:r>
    </w:p>
    <w:p w14:paraId="3E11CF56" w14:textId="77777777" w:rsidR="009A4DA0" w:rsidRDefault="009A4DA0" w:rsidP="002F28C1">
      <w:pPr>
        <w:pStyle w:val="Heading3"/>
      </w:pPr>
      <w:r>
        <w:t>Privately held data</w:t>
      </w:r>
    </w:p>
    <w:p w14:paraId="4C4BED75" w14:textId="52DEE4CB" w:rsidR="009A4DA0" w:rsidRDefault="009A4DA0" w:rsidP="002F28C1">
      <w:r>
        <w:t xml:space="preserve">The private sector and community housing sector have a role to play in contributing to the establishment of a market for institutional housing, given the significant potential benefits to members, unitholders and tenants. </w:t>
      </w:r>
      <w:r w:rsidRPr="00F0771D">
        <w:t>As such, the Council recommends that the private sector should consider the establishment of a group to promote the development of databases that facilitate large</w:t>
      </w:r>
      <w:r w:rsidR="00563A2B">
        <w:noBreakHyphen/>
      </w:r>
      <w:r w:rsidRPr="00F0771D">
        <w:t>scale investment in the residential rental market. This group would seek to improve the availability of data of relevance to institutional investors including rental yields, capital growth, tenancy turnover, vacancy rates, property expenses and the transaction history of large residential assets. </w:t>
      </w:r>
      <w:r>
        <w:t>While d</w:t>
      </w:r>
      <w:r w:rsidRPr="00F0771D">
        <w:t xml:space="preserve">ata held by private sector firms </w:t>
      </w:r>
      <w:r>
        <w:t xml:space="preserve">that is useful in supporting </w:t>
      </w:r>
      <w:r w:rsidRPr="00F0771D">
        <w:t>investment decision</w:t>
      </w:r>
      <w:r>
        <w:t xml:space="preserve">s </w:t>
      </w:r>
      <w:r w:rsidRPr="00F0771D">
        <w:t>is commercially valuable</w:t>
      </w:r>
      <w:r>
        <w:t xml:space="preserve">, the benefits of data sharing to the establishment of a market for institutional housing would be significant. </w:t>
      </w:r>
    </w:p>
    <w:p w14:paraId="17E18BD4" w14:textId="40B926B3" w:rsidR="009A4DA0" w:rsidRPr="00F0771D" w:rsidRDefault="009A4DA0" w:rsidP="002F28C1">
      <w:r>
        <w:t>Similarly, t</w:t>
      </w:r>
      <w:r w:rsidRPr="00F0771D">
        <w:t xml:space="preserve">he lack of published data on the performance of </w:t>
      </w:r>
      <w:r>
        <w:t>community housing providers</w:t>
      </w:r>
      <w:r w:rsidRPr="00F0771D">
        <w:t xml:space="preserve"> </w:t>
      </w:r>
      <w:r>
        <w:t xml:space="preserve">limits </w:t>
      </w:r>
      <w:r w:rsidRPr="00F0771D">
        <w:t>institutional investment in the sector</w:t>
      </w:r>
      <w:r>
        <w:t xml:space="preserve">. Data such as </w:t>
      </w:r>
      <w:r w:rsidRPr="00F0771D">
        <w:t>build costs, operating and maintenance expenditure</w:t>
      </w:r>
      <w:r>
        <w:t xml:space="preserve">, </w:t>
      </w:r>
      <w:r w:rsidRPr="00F0771D">
        <w:t xml:space="preserve">vacancy rates and rates of tenant default </w:t>
      </w:r>
      <w:r>
        <w:t xml:space="preserve">could support </w:t>
      </w:r>
      <w:r w:rsidRPr="00F0771D">
        <w:t>invest</w:t>
      </w:r>
      <w:r>
        <w:t>ment in the sector</w:t>
      </w:r>
      <w:r w:rsidRPr="00F0771D">
        <w:t xml:space="preserve">. </w:t>
      </w:r>
      <w:r>
        <w:t>Bodies</w:t>
      </w:r>
      <w:r w:rsidR="00ED4986">
        <w:t> </w:t>
      </w:r>
      <w:r>
        <w:t>such as</w:t>
      </w:r>
      <w:r w:rsidRPr="00F0771D">
        <w:t xml:space="preserve"> the </w:t>
      </w:r>
      <w:r>
        <w:t>NHFIC</w:t>
      </w:r>
      <w:r w:rsidRPr="00F0771D">
        <w:t>, through its capacity building function, and peak bodies such as the Community Housing Industry Association</w:t>
      </w:r>
      <w:r>
        <w:t>, could</w:t>
      </w:r>
      <w:r w:rsidRPr="00F0771D">
        <w:t xml:space="preserve"> consider making publicly available</w:t>
      </w:r>
      <w:r>
        <w:t xml:space="preserve"> </w:t>
      </w:r>
      <w:r w:rsidRPr="00F0771D">
        <w:t>relevant data to facilitate greater institutional investment in the sector.</w:t>
      </w:r>
    </w:p>
    <w:tbl>
      <w:tblPr>
        <w:tblW w:w="5000" w:type="pct"/>
        <w:shd w:val="clear" w:color="auto" w:fill="F2E3C7" w:themeFill="background2"/>
        <w:tblCellMar>
          <w:top w:w="284" w:type="dxa"/>
          <w:left w:w="284" w:type="dxa"/>
          <w:bottom w:w="284" w:type="dxa"/>
          <w:right w:w="284" w:type="dxa"/>
        </w:tblCellMar>
        <w:tblLook w:val="0600" w:firstRow="0" w:lastRow="0" w:firstColumn="0" w:lastColumn="0" w:noHBand="1" w:noVBand="1"/>
      </w:tblPr>
      <w:tblGrid>
        <w:gridCol w:w="9070"/>
      </w:tblGrid>
      <w:tr w:rsidR="009A4DA0" w14:paraId="61437EB8" w14:textId="77777777">
        <w:tc>
          <w:tcPr>
            <w:tcW w:w="5000" w:type="pct"/>
            <w:shd w:val="clear" w:color="auto" w:fill="BAD4E8" w:themeFill="accent5"/>
            <w:hideMark/>
          </w:tcPr>
          <w:p w14:paraId="0EBC2A8D" w14:textId="7172B3C5" w:rsidR="00262BB5" w:rsidRPr="00262BB5" w:rsidRDefault="00262BB5" w:rsidP="002F28C1">
            <w:pPr>
              <w:pStyle w:val="BoxHeading"/>
            </w:pPr>
            <w:r w:rsidRPr="00262BB5">
              <w:t>Recommendation 5: Improving data availability</w:t>
            </w:r>
          </w:p>
          <w:p w14:paraId="150E50EE" w14:textId="45EEF8E1" w:rsidR="009A4DA0" w:rsidRPr="00832C67" w:rsidRDefault="009941D4" w:rsidP="009941D4">
            <w:pPr>
              <w:pStyle w:val="BoxText"/>
            </w:pPr>
            <w:r w:rsidRPr="00C94F3E">
              <w:t xml:space="preserve">Commonwealth, state and territory governments, and the community housing sector, should work with institutional investors to identify and publish specific data that </w:t>
            </w:r>
            <w:r>
              <w:t>governments and the community sector</w:t>
            </w:r>
            <w:r w:rsidRPr="00C94F3E">
              <w:t xml:space="preserve"> are best placed to collect</w:t>
            </w:r>
            <w:r>
              <w:t xml:space="preserve"> (or already collect)</w:t>
            </w:r>
            <w:r w:rsidRPr="00C94F3E">
              <w:t xml:space="preserve"> </w:t>
            </w:r>
            <w:r>
              <w:t xml:space="preserve">and make these data available </w:t>
            </w:r>
            <w:r w:rsidRPr="00C94F3E">
              <w:t>to assist in de</w:t>
            </w:r>
            <w:r w:rsidR="00563A2B">
              <w:noBreakHyphen/>
            </w:r>
            <w:r w:rsidRPr="00C94F3E">
              <w:t xml:space="preserve">risking the development and management of institutional housing assets. </w:t>
            </w:r>
          </w:p>
        </w:tc>
      </w:tr>
    </w:tbl>
    <w:p w14:paraId="29F80EC9" w14:textId="77777777" w:rsidR="009A4DA0" w:rsidRPr="00514183" w:rsidRDefault="009A4DA0" w:rsidP="00D8587E">
      <w:pPr>
        <w:pStyle w:val="Heading2Numbered"/>
        <w:keepLines/>
        <w:rPr>
          <w:szCs w:val="20"/>
        </w:rPr>
      </w:pPr>
      <w:bookmarkStart w:id="144" w:name="_Toc139618842"/>
      <w:bookmarkStart w:id="145" w:name="_Toc139635569"/>
      <w:bookmarkStart w:id="146" w:name="_Toc141355278"/>
      <w:r w:rsidRPr="00514183">
        <w:rPr>
          <w:szCs w:val="20"/>
        </w:rPr>
        <w:t xml:space="preserve">Addressing disincentives in superannuation </w:t>
      </w:r>
      <w:bookmarkEnd w:id="144"/>
      <w:bookmarkEnd w:id="145"/>
      <w:r w:rsidRPr="00514183">
        <w:rPr>
          <w:szCs w:val="20"/>
        </w:rPr>
        <w:t>regulations</w:t>
      </w:r>
      <w:bookmarkEnd w:id="146"/>
    </w:p>
    <w:p w14:paraId="2C5BF22A" w14:textId="0AA44732" w:rsidR="009A4DA0" w:rsidRPr="00F0771D" w:rsidRDefault="009A4DA0" w:rsidP="002F28C1">
      <w:pPr>
        <w:pStyle w:val="Heading3"/>
      </w:pPr>
      <w:bookmarkStart w:id="147" w:name="_Toc139618843"/>
      <w:bookmarkStart w:id="148" w:name="_Toc139635570"/>
      <w:r>
        <w:t xml:space="preserve">ASIC </w:t>
      </w:r>
      <w:r w:rsidRPr="002B41D8">
        <w:t>Regulatory Guide 97</w:t>
      </w:r>
      <w:bookmarkEnd w:id="147"/>
      <w:bookmarkEnd w:id="148"/>
    </w:p>
    <w:p w14:paraId="5E65F120" w14:textId="1C430B65" w:rsidR="009A4DA0" w:rsidRPr="00E93709" w:rsidRDefault="009A4DA0" w:rsidP="002F28C1">
      <w:pPr>
        <w:rPr>
          <w:rFonts w:eastAsiaTheme="majorEastAsia"/>
          <w:i/>
          <w:color w:val="2C3344" w:themeColor="accent1" w:themeShade="BF"/>
        </w:rPr>
      </w:pPr>
      <w:r w:rsidRPr="00E93709">
        <w:t>ASIC Regulatory Guide 97 requires superannuation funds to disclose transfer duties (stamp duty) within total fees and charges in their reports to members. This is to ensure that fees and costs disclosures by super funds are comparable across funds and fund managers. Stamp duty is recognised as a transaction cost because it is measurable, known and an explicit cost. </w:t>
      </w:r>
    </w:p>
    <w:p w14:paraId="07E0377D" w14:textId="77777777" w:rsidR="009A4DA0" w:rsidRPr="00E93709" w:rsidRDefault="009A4DA0" w:rsidP="002F28C1">
      <w:r w:rsidRPr="00E93709">
        <w:t>How stamp duty costs are disclosed to members does not impact the commerciality of housing projects per se, and superannuation funds have a legal duty to make decisions in the best financial interests of their members, regardless of how fees and costs are reported. </w:t>
      </w:r>
    </w:p>
    <w:p w14:paraId="3FBD683D" w14:textId="77777777" w:rsidR="009A4DA0" w:rsidRPr="00E93709" w:rsidRDefault="009A4DA0" w:rsidP="002F28C1">
      <w:r w:rsidRPr="00E93709">
        <w:lastRenderedPageBreak/>
        <w:t xml:space="preserve">Nevertheless, superannuation funds have indicated that the requirement is a barrier to investment in housing because it can create the perception that a fund that invests in property has a high management expense ratio, which is a deterrent for price sensitive members to invest in that particular fund. This is a competitive issue for superannuation funds and may distort decision making by members to their financial detriment. </w:t>
      </w:r>
    </w:p>
    <w:p w14:paraId="6054BDFB" w14:textId="2CD89E56" w:rsidR="009A4DA0" w:rsidRPr="00E93709" w:rsidRDefault="009A4DA0" w:rsidP="002F28C1">
      <w:r w:rsidRPr="00E93709">
        <w:t xml:space="preserve">The Council </w:t>
      </w:r>
      <w:r w:rsidR="005E2A86">
        <w:t xml:space="preserve">encourages </w:t>
      </w:r>
      <w:r w:rsidR="0047785E">
        <w:t xml:space="preserve">the </w:t>
      </w:r>
      <w:r w:rsidR="00980640">
        <w:t>G</w:t>
      </w:r>
      <w:r w:rsidR="00980640" w:rsidRPr="00E93709">
        <w:t>overnment to</w:t>
      </w:r>
      <w:r w:rsidRPr="00E93709">
        <w:t xml:space="preserve"> consider whether the current regulatory requirements </w:t>
      </w:r>
      <w:r w:rsidR="004B276A">
        <w:t>relating to disclosure</w:t>
      </w:r>
      <w:r w:rsidRPr="00E93709">
        <w:t xml:space="preserve"> are unduly distorting superannuation fund investment decisions in housing.</w:t>
      </w:r>
    </w:p>
    <w:p w14:paraId="2E092D83" w14:textId="77777777" w:rsidR="009A4DA0" w:rsidRPr="00F0771D" w:rsidRDefault="009A4DA0" w:rsidP="002F28C1">
      <w:pPr>
        <w:pStyle w:val="Heading3"/>
      </w:pPr>
      <w:bookmarkStart w:id="149" w:name="_Toc139635571"/>
      <w:bookmarkStart w:id="150" w:name="_Toc139618844"/>
      <w:r>
        <w:t>The APRA</w:t>
      </w:r>
      <w:r w:rsidRPr="00F0771D">
        <w:t xml:space="preserve"> performance test</w:t>
      </w:r>
      <w:r>
        <w:t xml:space="preserve"> </w:t>
      </w:r>
      <w:bookmarkEnd w:id="149"/>
      <w:bookmarkEnd w:id="150"/>
    </w:p>
    <w:p w14:paraId="3123C093" w14:textId="3F633143" w:rsidR="009A4DA0" w:rsidRPr="00AB2A87" w:rsidRDefault="009A4DA0" w:rsidP="002F28C1">
      <w:r w:rsidRPr="00AB2A87">
        <w:t>APRA administers an annual performance test for superannuation products that is designed to hold funds to account for the investment performance they deliver and the fees they charge to members. The lack of a</w:t>
      </w:r>
      <w:r w:rsidR="00157482">
        <w:t xml:space="preserve"> developed</w:t>
      </w:r>
      <w:r w:rsidR="00550828">
        <w:t xml:space="preserve"> </w:t>
      </w:r>
      <w:r w:rsidRPr="00AB2A87">
        <w:t xml:space="preserve">market for </w:t>
      </w:r>
      <w:r w:rsidR="00787DEA">
        <w:t>institutional investment</w:t>
      </w:r>
      <w:r w:rsidR="003B3001">
        <w:t xml:space="preserve"> in</w:t>
      </w:r>
      <w:r w:rsidRPr="00AB2A87">
        <w:t xml:space="preserve"> housing assets means that housing as an investment class is </w:t>
      </w:r>
      <w:r w:rsidR="003C7BE0">
        <w:t>not well represented</w:t>
      </w:r>
      <w:r w:rsidRPr="00AB2A87">
        <w:t xml:space="preserve"> </w:t>
      </w:r>
      <w:r w:rsidR="00E72B01">
        <w:t xml:space="preserve">by </w:t>
      </w:r>
      <w:r w:rsidRPr="00AB2A87">
        <w:t>the benchmarks used to conduct these tests.</w:t>
      </w:r>
    </w:p>
    <w:p w14:paraId="439F93E7" w14:textId="42AD7CFB" w:rsidR="009A4DA0" w:rsidRPr="00AB2A87" w:rsidRDefault="009A4DA0" w:rsidP="002F28C1">
      <w:r w:rsidRPr="00AB2A87">
        <w:t xml:space="preserve">Superannuation funds have an incentive to </w:t>
      </w:r>
      <w:r w:rsidR="00563A2B">
        <w:t>‘</w:t>
      </w:r>
      <w:r w:rsidRPr="00AB2A87">
        <w:t>hug</w:t>
      </w:r>
      <w:r w:rsidR="00563A2B">
        <w:t>’</w:t>
      </w:r>
      <w:r w:rsidRPr="00AB2A87">
        <w:t xml:space="preserve"> the benchmarks to reduce tracking error risk and thus the risk of closure or amalgamation, which disincentiv</w:t>
      </w:r>
      <w:r w:rsidR="00A02EFE">
        <w:t>ise</w:t>
      </w:r>
      <w:r w:rsidRPr="00AB2A87">
        <w:t>s investment in assets that are not well represented in the benchmarks, including residential property.</w:t>
      </w:r>
    </w:p>
    <w:p w14:paraId="5BF9F037" w14:textId="6D4253EA" w:rsidR="009A4DA0" w:rsidRPr="00AB2A87" w:rsidRDefault="009A4DA0" w:rsidP="002F28C1">
      <w:r w:rsidRPr="00AB2A87">
        <w:t xml:space="preserve">The relevant benchmark for an equity investment in housing is </w:t>
      </w:r>
      <w:r w:rsidR="00563A2B">
        <w:t>‘</w:t>
      </w:r>
      <w:r w:rsidRPr="00AB2A87">
        <w:t>Australian unlisted property</w:t>
      </w:r>
      <w:r w:rsidR="00563A2B">
        <w:t>’</w:t>
      </w:r>
      <w:r w:rsidRPr="00AB2A87">
        <w:t xml:space="preserve">, which consists primarily of retail, commercial and industrial property. </w:t>
      </w:r>
    </w:p>
    <w:p w14:paraId="1E814C05" w14:textId="77777777" w:rsidR="009A4DA0" w:rsidRPr="00AB2A87" w:rsidRDefault="009A4DA0" w:rsidP="002F28C1">
      <w:r w:rsidRPr="00AB2A87">
        <w:t>Superannuation funds argue this is too high a benchmark for investment in housing, which is generally considered lower risk due to the stability of its returns.</w:t>
      </w:r>
    </w:p>
    <w:p w14:paraId="614E0DB8" w14:textId="67B54BFE" w:rsidR="009A4DA0" w:rsidRPr="00AB2A87" w:rsidRDefault="009A4DA0" w:rsidP="002719DD">
      <w:pPr>
        <w:spacing w:after="120"/>
      </w:pPr>
      <w:r w:rsidRPr="00AB2A87">
        <w:t>The performance test has not stopped investment in recent housing projects, including:</w:t>
      </w:r>
    </w:p>
    <w:p w14:paraId="0A7124A3" w14:textId="28D07656" w:rsidR="009A4DA0" w:rsidRPr="002F28C1" w:rsidRDefault="009A4DA0" w:rsidP="002F28C1">
      <w:pPr>
        <w:pStyle w:val="Bullet"/>
      </w:pPr>
      <w:r w:rsidRPr="002F28C1">
        <w:t>Australian Retirement Trust has partnered with Queensland Investment Corporation to finance social and affordable housing supply in Queensland.</w:t>
      </w:r>
    </w:p>
    <w:p w14:paraId="31973E0F" w14:textId="334F1D78" w:rsidR="009A4DA0" w:rsidRPr="002F28C1" w:rsidRDefault="009A4DA0" w:rsidP="002F28C1">
      <w:pPr>
        <w:pStyle w:val="Bullet"/>
      </w:pPr>
      <w:r w:rsidRPr="002F28C1">
        <w:t xml:space="preserve">Aware Super </w:t>
      </w:r>
      <w:r w:rsidR="00941743" w:rsidRPr="002F28C1">
        <w:t>committing</w:t>
      </w:r>
      <w:r w:rsidR="000D38B8" w:rsidRPr="002F28C1">
        <w:t xml:space="preserve"> </w:t>
      </w:r>
      <w:r w:rsidRPr="002F28C1">
        <w:t>nearly $900 million to essential worker affordable housing projects nationally.</w:t>
      </w:r>
    </w:p>
    <w:p w14:paraId="092E3BC8" w14:textId="281509B7" w:rsidR="00CB388D" w:rsidRPr="00AB2A87" w:rsidRDefault="00CB388D" w:rsidP="002F28C1">
      <w:pPr>
        <w:pStyle w:val="Bullet"/>
      </w:pPr>
      <w:r w:rsidRPr="002F28C1">
        <w:t xml:space="preserve">CBUS Super committing $500 million </w:t>
      </w:r>
      <w:r w:rsidR="00FB3977" w:rsidRPr="002F28C1">
        <w:t xml:space="preserve">to the construction of </w:t>
      </w:r>
      <w:r w:rsidR="00674CA4" w:rsidRPr="002F28C1">
        <w:t>new social and affordable homes through the</w:t>
      </w:r>
      <w:r w:rsidR="00674CA4" w:rsidRPr="00674CA4">
        <w:t xml:space="preserve"> Housing Australia Future Fund as part of the National Housing Accord</w:t>
      </w:r>
      <w:r w:rsidR="00674CA4">
        <w:t>.</w:t>
      </w:r>
    </w:p>
    <w:p w14:paraId="12348BCF" w14:textId="77777777" w:rsidR="009A4DA0" w:rsidRPr="00AB2A87" w:rsidRDefault="009A4DA0" w:rsidP="002F28C1">
      <w:r w:rsidRPr="00AB2A87">
        <w:rPr>
          <w:color w:val="000000"/>
        </w:rPr>
        <w:t xml:space="preserve">The </w:t>
      </w:r>
      <w:r w:rsidRPr="00AB2A87">
        <w:t>performance</w:t>
      </w:r>
      <w:r w:rsidRPr="00AB2A87">
        <w:rPr>
          <w:color w:val="000000"/>
        </w:rPr>
        <w:t xml:space="preserve"> test has improved </w:t>
      </w:r>
      <w:r w:rsidRPr="00AB2A87">
        <w:t>outcomes for members by encouraging underperforming funds to improve or exit the industry and put pressure on funds to reduce fees.</w:t>
      </w:r>
    </w:p>
    <w:p w14:paraId="04E44D2F" w14:textId="6D36C826" w:rsidR="009A4DA0" w:rsidRPr="00AB2A87" w:rsidRDefault="009A4DA0" w:rsidP="002F28C1">
      <w:r w:rsidRPr="00AB2A87">
        <w:t xml:space="preserve">The Council </w:t>
      </w:r>
      <w:r w:rsidR="001C3F75">
        <w:t>notes</w:t>
      </w:r>
      <w:r w:rsidRPr="00AB2A87">
        <w:t xml:space="preserve"> th</w:t>
      </w:r>
      <w:r w:rsidR="00BE0DAB">
        <w:t>e</w:t>
      </w:r>
      <w:r w:rsidRPr="00AB2A87">
        <w:t xml:space="preserve"> Government </w:t>
      </w:r>
      <w:r w:rsidR="00BE0DAB">
        <w:t>has announced it will continue</w:t>
      </w:r>
      <w:r w:rsidRPr="00AB2A87">
        <w:t xml:space="preserve"> </w:t>
      </w:r>
      <w:r w:rsidR="00F33760">
        <w:t xml:space="preserve">to consult on changes </w:t>
      </w:r>
      <w:r w:rsidR="00C526C8">
        <w:t xml:space="preserve">regarding </w:t>
      </w:r>
      <w:r w:rsidR="00F33760">
        <w:t xml:space="preserve">the </w:t>
      </w:r>
      <w:r w:rsidR="0023295B">
        <w:t>performance test</w:t>
      </w:r>
      <w:r w:rsidR="00A45DD6">
        <w:t>.</w:t>
      </w:r>
      <w:r w:rsidR="002071B1">
        <w:t xml:space="preserve"> The Council encourages the Government</w:t>
      </w:r>
      <w:r w:rsidRPr="00AB2A87">
        <w:t xml:space="preserve"> </w:t>
      </w:r>
      <w:r w:rsidR="000A4911">
        <w:t>to address</w:t>
      </w:r>
      <w:r w:rsidR="000D38B8">
        <w:t xml:space="preserve"> </w:t>
      </w:r>
      <w:r w:rsidRPr="00AB2A87">
        <w:t xml:space="preserve">the </w:t>
      </w:r>
      <w:r w:rsidR="00322CF2">
        <w:t xml:space="preserve">effect of the </w:t>
      </w:r>
      <w:r w:rsidRPr="00AB2A87">
        <w:t xml:space="preserve">performance </w:t>
      </w:r>
      <w:r w:rsidR="002340FD">
        <w:t>test</w:t>
      </w:r>
      <w:r w:rsidRPr="00AB2A87">
        <w:t xml:space="preserve"> on the willingness of investors to invest in emerging asset classes such as housing.</w:t>
      </w:r>
    </w:p>
    <w:tbl>
      <w:tblPr>
        <w:tblW w:w="5000" w:type="pct"/>
        <w:shd w:val="clear" w:color="auto" w:fill="F2E3C7" w:themeFill="background2"/>
        <w:tblCellMar>
          <w:top w:w="284" w:type="dxa"/>
          <w:left w:w="284" w:type="dxa"/>
          <w:bottom w:w="284" w:type="dxa"/>
          <w:right w:w="284" w:type="dxa"/>
        </w:tblCellMar>
        <w:tblLook w:val="0600" w:firstRow="0" w:lastRow="0" w:firstColumn="0" w:lastColumn="0" w:noHBand="1" w:noVBand="1"/>
      </w:tblPr>
      <w:tblGrid>
        <w:gridCol w:w="9070"/>
      </w:tblGrid>
      <w:tr w:rsidR="009A4DA0" w14:paraId="6C46642C" w14:textId="77777777">
        <w:tc>
          <w:tcPr>
            <w:tcW w:w="5000" w:type="pct"/>
            <w:shd w:val="clear" w:color="auto" w:fill="BAD4E8" w:themeFill="accent5"/>
            <w:hideMark/>
          </w:tcPr>
          <w:p w14:paraId="0CADF607" w14:textId="3961EAB9" w:rsidR="003D57FD" w:rsidRPr="003D57FD" w:rsidRDefault="003D57FD" w:rsidP="002F28C1">
            <w:pPr>
              <w:pStyle w:val="BoxHeading"/>
            </w:pPr>
            <w:bookmarkStart w:id="151" w:name="_Hlk141174383"/>
            <w:r w:rsidRPr="003D57FD">
              <w:t>Recommendation 6: Appropriate superannuation regulations</w:t>
            </w:r>
          </w:p>
          <w:p w14:paraId="3622B354" w14:textId="4965C4BB" w:rsidR="009A4DA0" w:rsidRPr="00D40F4F" w:rsidRDefault="006D39C5" w:rsidP="002F28C1">
            <w:pPr>
              <w:pStyle w:val="BoxText"/>
            </w:pPr>
            <w:r>
              <w:t>S</w:t>
            </w:r>
            <w:r w:rsidRPr="00E304D0">
              <w:t xml:space="preserve">uperannuation regulations </w:t>
            </w:r>
            <w:r>
              <w:t xml:space="preserve">should be reviewed </w:t>
            </w:r>
            <w:r w:rsidRPr="00E304D0">
              <w:t xml:space="preserve">to ensure </w:t>
            </w:r>
            <w:r>
              <w:t>that</w:t>
            </w:r>
            <w:r w:rsidRPr="00E304D0">
              <w:t xml:space="preserve"> they do not disincentivise investment in new asset classes</w:t>
            </w:r>
            <w:r>
              <w:t>,</w:t>
            </w:r>
            <w:r w:rsidRPr="00E304D0">
              <w:t xml:space="preserve"> such as housing</w:t>
            </w:r>
            <w:r>
              <w:t>,</w:t>
            </w:r>
            <w:r w:rsidRPr="00E304D0">
              <w:t xml:space="preserve"> while ensuring the integrity of the superannuation system.</w:t>
            </w:r>
          </w:p>
        </w:tc>
      </w:tr>
    </w:tbl>
    <w:p w14:paraId="5597A19C" w14:textId="77777777" w:rsidR="00ED4986" w:rsidRDefault="00ED4986" w:rsidP="00ED4986">
      <w:pPr>
        <w:pStyle w:val="SingleParagraph"/>
      </w:pPr>
      <w:bookmarkStart w:id="152" w:name="_Toc139618849"/>
      <w:bookmarkStart w:id="153" w:name="_Toc139635575"/>
      <w:bookmarkStart w:id="154" w:name="_Toc141355279"/>
      <w:bookmarkEnd w:id="151"/>
    </w:p>
    <w:p w14:paraId="4E8C1A71" w14:textId="1F77E4F7" w:rsidR="00270F94" w:rsidRPr="00514183" w:rsidRDefault="00270F94" w:rsidP="00A83E6C">
      <w:pPr>
        <w:pStyle w:val="Heading2Numbered"/>
      </w:pPr>
      <w:r>
        <w:lastRenderedPageBreak/>
        <w:t>Guarantees or loans to complete the market for long</w:t>
      </w:r>
      <w:r w:rsidR="00563A2B">
        <w:noBreakHyphen/>
      </w:r>
      <w:r>
        <w:t>term financing</w:t>
      </w:r>
      <w:bookmarkEnd w:id="152"/>
      <w:bookmarkEnd w:id="153"/>
      <w:bookmarkEnd w:id="154"/>
    </w:p>
    <w:p w14:paraId="6FDF4035" w14:textId="27E97A01" w:rsidR="00270F94" w:rsidRDefault="00270F94" w:rsidP="002F28C1">
      <w:r>
        <w:t>Most property investment is partly financed by debt, reflecting the fact that stable income streams are available to service loan obligations. For long</w:t>
      </w:r>
      <w:r w:rsidR="00563A2B">
        <w:noBreakHyphen/>
      </w:r>
      <w:r>
        <w:t xml:space="preserve">lived assets like property, owners will prefer </w:t>
      </w:r>
      <w:r w:rsidR="00E208B4">
        <w:t>long</w:t>
      </w:r>
      <w:r w:rsidR="00563A2B">
        <w:noBreakHyphen/>
      </w:r>
      <w:r w:rsidR="00E208B4">
        <w:t>term</w:t>
      </w:r>
      <w:r>
        <w:t xml:space="preserve"> loan arrangements to limit refinancing risk (Commonwealth Government 2016).</w:t>
      </w:r>
    </w:p>
    <w:p w14:paraId="62AF2551" w14:textId="47800E93" w:rsidR="00270F94" w:rsidRDefault="00270F94" w:rsidP="002F28C1">
      <w:r>
        <w:t>Nascent markets typically face constraints regarding the availability of finance. Lenders (in Australia</w:t>
      </w:r>
      <w:r w:rsidR="00563A2B">
        <w:t>’</w:t>
      </w:r>
      <w:r>
        <w:t xml:space="preserve">s case, primarily banks) may not have lending policies in place to assess lending options, there may be issues of security enforcement or disposal risk in the event of default, and lenders may not have sufficient data to conduct credit assessment. </w:t>
      </w:r>
    </w:p>
    <w:p w14:paraId="74377C33" w14:textId="5587CA0C" w:rsidR="00270F94" w:rsidRDefault="00270F94" w:rsidP="002F28C1">
      <w:r>
        <w:t xml:space="preserve">Institutional investors in Australia may have reduced access to finance </w:t>
      </w:r>
      <w:r w:rsidR="00C343DB">
        <w:t xml:space="preserve">for </w:t>
      </w:r>
      <w:r>
        <w:t xml:space="preserve">institutional housing, which is restricting the growth of the sector. Discussions with institutional investors and lenders indicate that loan terms are typically 3 to 5 years, in contrast to more established markets such as the United States, where financing terms of up to 30 years are available. In addition, the </w:t>
      </w:r>
      <w:r w:rsidR="0065757A">
        <w:t>degree of</w:t>
      </w:r>
      <w:r>
        <w:t xml:space="preserve"> leverage permitted by Australian banks is generally lower, at around 40</w:t>
      </w:r>
      <w:r w:rsidR="00563A2B">
        <w:t>–</w:t>
      </w:r>
      <w:r>
        <w:t>50</w:t>
      </w:r>
      <w:r w:rsidR="00E67AFE">
        <w:t> per </w:t>
      </w:r>
      <w:r>
        <w:t>cent (compared to around 65</w:t>
      </w:r>
      <w:r w:rsidR="00E67AFE">
        <w:t> per </w:t>
      </w:r>
      <w:r>
        <w:t xml:space="preserve">cent in the United States). Interest coverage ratios and other loan covenants are also typically more restrictive. And risk premia – the additional return demanded by lenders above risk free rates – are generally higher for institutional housing in Australia than in the United States (Rowley </w:t>
      </w:r>
      <w:r w:rsidR="00771EB9">
        <w:t>and others</w:t>
      </w:r>
      <w:r w:rsidR="00ED4986">
        <w:t> </w:t>
      </w:r>
      <w:r>
        <w:t xml:space="preserve">2014). </w:t>
      </w:r>
    </w:p>
    <w:p w14:paraId="0FA4A053" w14:textId="2409432A" w:rsidR="00270F94" w:rsidRDefault="00270F94" w:rsidP="002F28C1">
      <w:r>
        <w:t xml:space="preserve">These outcomes are consistent with the financing arrangements </w:t>
      </w:r>
      <w:r w:rsidR="00427772">
        <w:t xml:space="preserve">observed </w:t>
      </w:r>
      <w:r w:rsidR="00432E47">
        <w:t>regarding</w:t>
      </w:r>
      <w:r>
        <w:t xml:space="preserve"> the few large</w:t>
      </w:r>
      <w:r w:rsidR="00563A2B">
        <w:noBreakHyphen/>
      </w:r>
      <w:r>
        <w:t>scale projects that have been undertaken in Australia to date</w:t>
      </w:r>
      <w:r w:rsidR="00D76B4F">
        <w:t>.</w:t>
      </w:r>
      <w:r>
        <w:t xml:space="preserve"> That said, gaps in financing are difficult to assess, and many reflect the financing preferences of investors (i.e. demand factors) </w:t>
      </w:r>
      <w:r w:rsidR="00730CD6">
        <w:t>rather than</w:t>
      </w:r>
      <w:r>
        <w:t xml:space="preserve"> an inadequate supply of financing on appropriate terms. </w:t>
      </w:r>
      <w:r w:rsidR="007979B0">
        <w:t xml:space="preserve">Further work is needed to </w:t>
      </w:r>
      <w:r w:rsidR="005625BD">
        <w:t xml:space="preserve">understand the nature of financing gaps </w:t>
      </w:r>
      <w:r w:rsidR="00D445CF">
        <w:t xml:space="preserve">in the Australian context and the extent to which they are a barrier to institutional investment. </w:t>
      </w:r>
    </w:p>
    <w:p w14:paraId="39A743EE" w14:textId="3C220B36" w:rsidR="00270F94" w:rsidRDefault="00270F94" w:rsidP="002F28C1">
      <w:r>
        <w:t>To address a financing gap in its market, t</w:t>
      </w:r>
      <w:r w:rsidRPr="00F0771D">
        <w:t xml:space="preserve">he United Kingdom introduced </w:t>
      </w:r>
      <w:r>
        <w:t>measures</w:t>
      </w:r>
      <w:r w:rsidRPr="00F0771D">
        <w:t xml:space="preserve"> specifically targeted at build</w:t>
      </w:r>
      <w:r w:rsidR="00563A2B">
        <w:noBreakHyphen/>
      </w:r>
      <w:r w:rsidRPr="00F0771D">
        <w:t>to</w:t>
      </w:r>
      <w:r w:rsidR="00563A2B">
        <w:noBreakHyphen/>
      </w:r>
      <w:r w:rsidRPr="00F0771D">
        <w:t xml:space="preserve">rent in the form of loan guarantees </w:t>
      </w:r>
      <w:r w:rsidRPr="000D6018">
        <w:t xml:space="preserve">and </w:t>
      </w:r>
      <w:r w:rsidRPr="0064079D">
        <w:t>concessional</w:t>
      </w:r>
      <w:r w:rsidRPr="000D6018">
        <w:t xml:space="preserve"> loans with terms of up to 30</w:t>
      </w:r>
      <w:r w:rsidR="00234AC5">
        <w:t> </w:t>
      </w:r>
      <w:r w:rsidRPr="000D6018">
        <w:t>years</w:t>
      </w:r>
      <w:r w:rsidRPr="000A4920">
        <w:t xml:space="preserve"> </w:t>
      </w:r>
      <w:r>
        <w:t xml:space="preserve">to </w:t>
      </w:r>
      <w:r w:rsidR="00563A2B">
        <w:t>‘</w:t>
      </w:r>
      <w:r>
        <w:t>kickstart</w:t>
      </w:r>
      <w:r w:rsidR="00563A2B">
        <w:t>’</w:t>
      </w:r>
      <w:r w:rsidR="000C1E5D">
        <w:t xml:space="preserve"> the market</w:t>
      </w:r>
      <w:r>
        <w:t xml:space="preserve"> and enable scale</w:t>
      </w:r>
      <w:r w:rsidRPr="000D6018">
        <w:t xml:space="preserve">. </w:t>
      </w:r>
      <w:r>
        <w:t>The measures</w:t>
      </w:r>
      <w:r w:rsidRPr="000D6018">
        <w:t xml:space="preserve"> </w:t>
      </w:r>
      <w:r>
        <w:t>provided</w:t>
      </w:r>
      <w:r w:rsidRPr="000D6018">
        <w:t xml:space="preserve"> developers </w:t>
      </w:r>
      <w:r>
        <w:t>with</w:t>
      </w:r>
      <w:r w:rsidRPr="000D6018">
        <w:t xml:space="preserve"> financing at a lower cost and for longer tenors than was otherwise obtainable in the market</w:t>
      </w:r>
      <w:r w:rsidRPr="00F0771D">
        <w:t xml:space="preserve"> (</w:t>
      </w:r>
      <w:r>
        <w:t xml:space="preserve">see </w:t>
      </w:r>
      <w:r w:rsidRPr="00F0771D">
        <w:t xml:space="preserve">Box </w:t>
      </w:r>
      <w:r>
        <w:t xml:space="preserve">4). </w:t>
      </w:r>
    </w:p>
    <w:p w14:paraId="17E752D7" w14:textId="54BE9EFD" w:rsidR="0092512B" w:rsidRPr="002C369D" w:rsidRDefault="009B25FD" w:rsidP="00D92DD9">
      <w:pPr>
        <w:keepLines/>
      </w:pPr>
      <w:r>
        <w:t xml:space="preserve">Following these measures, </w:t>
      </w:r>
      <w:r w:rsidR="00DF3993">
        <w:t xml:space="preserve">institutional investment in the UK private rental sector </w:t>
      </w:r>
      <w:r w:rsidR="00943B5E">
        <w:t>increased</w:t>
      </w:r>
      <w:r w:rsidR="00402BE4" w:rsidRPr="00402BE4">
        <w:t xml:space="preserve"> significantly to 5.4</w:t>
      </w:r>
      <w:r w:rsidR="00E67AFE">
        <w:t> per </w:t>
      </w:r>
      <w:r w:rsidR="00402BE4" w:rsidRPr="00402BE4">
        <w:t>cent of the total value of the housing stock</w:t>
      </w:r>
      <w:r w:rsidR="00DF3993">
        <w:t xml:space="preserve"> (see Chapter 3). </w:t>
      </w:r>
      <w:r w:rsidR="002F21CD">
        <w:t>However</w:t>
      </w:r>
      <w:r w:rsidR="00270F94">
        <w:t>, it</w:t>
      </w:r>
      <w:r w:rsidR="00563A2B">
        <w:t>’</w:t>
      </w:r>
      <w:r w:rsidR="00270F94">
        <w:t xml:space="preserve">s not clear that this investment added to supply in the United Kingdom, or merely brought forward supply or displaced other investment in housing (and so simply changed the mix of ownership of the housing stock). It could also be the case that the growth in investment in the sector reflects broader factors, such as strong demand for housing and low interest rates. </w:t>
      </w:r>
      <w:r w:rsidR="00283530">
        <w:t xml:space="preserve">Moreover, the </w:t>
      </w:r>
      <w:r w:rsidR="00060DF2">
        <w:t xml:space="preserve">loan guarantees and concessional loans were introduced alongside a number of other </w:t>
      </w:r>
      <w:r w:rsidR="00573075">
        <w:t xml:space="preserve">policy measures, and it is not clear to what extent these may </w:t>
      </w:r>
      <w:r w:rsidR="00611120">
        <w:t xml:space="preserve">be responsible for the growth in investment. </w:t>
      </w:r>
      <w:r w:rsidR="00270F94">
        <w:t>Further research is needed to disentangle these various effects</w:t>
      </w:r>
      <w:r w:rsidR="00E74F30">
        <w:t xml:space="preserve">. </w:t>
      </w:r>
    </w:p>
    <w:tbl>
      <w:tblPr>
        <w:tblW w:w="5000" w:type="pct"/>
        <w:shd w:val="clear" w:color="auto" w:fill="F2E3C7" w:themeFill="background2"/>
        <w:tblCellMar>
          <w:top w:w="284" w:type="dxa"/>
          <w:left w:w="284" w:type="dxa"/>
          <w:bottom w:w="284" w:type="dxa"/>
          <w:right w:w="284" w:type="dxa"/>
        </w:tblCellMar>
        <w:tblLook w:val="0600" w:firstRow="0" w:lastRow="0" w:firstColumn="0" w:lastColumn="0" w:noHBand="1" w:noVBand="1"/>
      </w:tblPr>
      <w:tblGrid>
        <w:gridCol w:w="9070"/>
      </w:tblGrid>
      <w:tr w:rsidR="0019580B" w14:paraId="3E3DB8A2" w14:textId="77777777">
        <w:tc>
          <w:tcPr>
            <w:tcW w:w="5000" w:type="pct"/>
            <w:shd w:val="clear" w:color="auto" w:fill="BAD4E8" w:themeFill="accent5"/>
            <w:hideMark/>
          </w:tcPr>
          <w:p w14:paraId="6DC433E1" w14:textId="648F4E34" w:rsidR="0019580B" w:rsidRPr="003D57FD" w:rsidRDefault="0019580B" w:rsidP="002F28C1">
            <w:pPr>
              <w:pStyle w:val="BoxHeading"/>
            </w:pPr>
            <w:r w:rsidRPr="003D57FD">
              <w:lastRenderedPageBreak/>
              <w:t xml:space="preserve">Recommendation </w:t>
            </w:r>
            <w:r w:rsidR="00C776F8">
              <w:t>7</w:t>
            </w:r>
            <w:r w:rsidRPr="003D57FD">
              <w:t xml:space="preserve">: </w:t>
            </w:r>
            <w:r w:rsidR="008B016A" w:rsidRPr="00C77A01">
              <w:t>Gaps in financing</w:t>
            </w:r>
            <w:r w:rsidR="008B016A" w:rsidRPr="008B016A" w:rsidDel="00677A89">
              <w:t xml:space="preserve"> </w:t>
            </w:r>
          </w:p>
          <w:p w14:paraId="7F6E1C39" w14:textId="41D6401A" w:rsidR="0019580B" w:rsidRPr="00D40F4F" w:rsidRDefault="00677A89" w:rsidP="00FE1D23">
            <w:pPr>
              <w:pStyle w:val="BoxText"/>
            </w:pPr>
            <w:r>
              <w:t xml:space="preserve">Governments should address </w:t>
            </w:r>
            <w:r w:rsidR="00965BEF">
              <w:t xml:space="preserve">market </w:t>
            </w:r>
            <w:r>
              <w:t xml:space="preserve">gaps in </w:t>
            </w:r>
            <w:r w:rsidR="00F1087F">
              <w:t xml:space="preserve">the availability of </w:t>
            </w:r>
            <w:r>
              <w:t>long</w:t>
            </w:r>
            <w:r w:rsidR="00563A2B">
              <w:noBreakHyphen/>
            </w:r>
            <w:r>
              <w:t xml:space="preserve">term debt financing </w:t>
            </w:r>
            <w:r w:rsidR="00512210">
              <w:t>that limit</w:t>
            </w:r>
            <w:r>
              <w:t xml:space="preserve"> institutional investment in market and affordable housing. </w:t>
            </w:r>
            <w:r w:rsidR="003101AC">
              <w:t xml:space="preserve">Any </w:t>
            </w:r>
            <w:r w:rsidR="002C3005">
              <w:t xml:space="preserve">provision of finance by government </w:t>
            </w:r>
            <w:r w:rsidR="00464CA7">
              <w:t xml:space="preserve">to support market housing </w:t>
            </w:r>
            <w:r w:rsidR="002C3005">
              <w:t xml:space="preserve">should be on commercial </w:t>
            </w:r>
            <w:r w:rsidR="00766573">
              <w:t>terms</w:t>
            </w:r>
            <w:r w:rsidR="000E169C">
              <w:t xml:space="preserve">. Measures should </w:t>
            </w:r>
            <w:r w:rsidR="007C3243">
              <w:t>aim to</w:t>
            </w:r>
            <w:r w:rsidR="000E169C">
              <w:t xml:space="preserve"> clos</w:t>
            </w:r>
            <w:r w:rsidR="007C3243">
              <w:t>e</w:t>
            </w:r>
            <w:r w:rsidR="000E169C">
              <w:t xml:space="preserve"> gaps in the provision of finance over time</w:t>
            </w:r>
            <w:r w:rsidR="00F7456B">
              <w:t xml:space="preserve">. </w:t>
            </w:r>
          </w:p>
        </w:tc>
      </w:tr>
    </w:tbl>
    <w:p w14:paraId="23B6426C" w14:textId="77777777" w:rsidR="002C2697" w:rsidRPr="00B430DA" w:rsidRDefault="002C2697" w:rsidP="00B430DA">
      <w:pPr>
        <w:sectPr w:rsidR="002C2697" w:rsidRPr="00B430DA" w:rsidSect="00B66783">
          <w:pgSz w:w="11906" w:h="16838" w:code="9"/>
          <w:pgMar w:top="1843" w:right="1418" w:bottom="1418" w:left="1418" w:header="709" w:footer="709" w:gutter="0"/>
          <w:cols w:space="708"/>
          <w:docGrid w:linePitch="360"/>
        </w:sectPr>
      </w:pPr>
      <w:bookmarkStart w:id="155" w:name="_Toc139618851"/>
      <w:bookmarkStart w:id="156" w:name="_Toc139635577"/>
    </w:p>
    <w:p w14:paraId="15F992D5" w14:textId="3C5676A1" w:rsidR="009A4DA0" w:rsidRPr="00AA181F" w:rsidRDefault="009A4DA0" w:rsidP="009A4DA0">
      <w:pPr>
        <w:pStyle w:val="Heading1Numbered"/>
      </w:pPr>
      <w:bookmarkStart w:id="157" w:name="_Toc141355280"/>
      <w:r w:rsidRPr="00AA181F">
        <w:lastRenderedPageBreak/>
        <w:t>Supporting institutional investment in social and affordable housing</w:t>
      </w:r>
      <w:bookmarkEnd w:id="155"/>
      <w:bookmarkEnd w:id="156"/>
      <w:bookmarkEnd w:id="157"/>
      <w:r w:rsidR="00106904">
        <w:t xml:space="preserve"> </w:t>
      </w:r>
    </w:p>
    <w:p w14:paraId="2282B991" w14:textId="5365FB3D" w:rsidR="009A4DA0" w:rsidRPr="000E746F" w:rsidRDefault="009A4DA0" w:rsidP="002F28C1">
      <w:r w:rsidRPr="000E746F">
        <w:t xml:space="preserve">Many of the barriers to institutional investment in private </w:t>
      </w:r>
      <w:r>
        <w:t>market</w:t>
      </w:r>
      <w:r w:rsidRPr="000E746F">
        <w:t xml:space="preserve"> housing are </w:t>
      </w:r>
      <w:r>
        <w:t>also</w:t>
      </w:r>
      <w:r w:rsidRPr="000E746F">
        <w:t xml:space="preserve"> relevant to social and affordable housing. </w:t>
      </w:r>
      <w:r w:rsidR="00FE1D23">
        <w:t>T</w:t>
      </w:r>
      <w:r w:rsidRPr="00DF26C0">
        <w:t xml:space="preserve">here are </w:t>
      </w:r>
      <w:r w:rsidRPr="001436EA">
        <w:t xml:space="preserve">also </w:t>
      </w:r>
      <w:r w:rsidRPr="00DF26C0">
        <w:t xml:space="preserve">barriers specific to </w:t>
      </w:r>
      <w:r w:rsidR="00FA0482">
        <w:t>this sector</w:t>
      </w:r>
      <w:r w:rsidR="009C6BE3">
        <w:t>.</w:t>
      </w:r>
      <w:r w:rsidR="009C6BE3" w:rsidDel="009174F7">
        <w:t xml:space="preserve"> </w:t>
      </w:r>
      <w:r w:rsidR="009C6BE3">
        <w:t xml:space="preserve">These barriers relate to </w:t>
      </w:r>
      <w:r w:rsidR="00FA0482">
        <w:t>the</w:t>
      </w:r>
      <w:r w:rsidR="001B48BE">
        <w:t xml:space="preserve"> lack of a</w:t>
      </w:r>
      <w:r w:rsidR="00F21146">
        <w:t xml:space="preserve"> truly</w:t>
      </w:r>
      <w:r w:rsidR="001B48BE">
        <w:t xml:space="preserve"> national regulatory regime</w:t>
      </w:r>
      <w:r w:rsidR="00F21146">
        <w:t xml:space="preserve"> for community housing providers,</w:t>
      </w:r>
      <w:r w:rsidR="001B48BE">
        <w:t xml:space="preserve"> </w:t>
      </w:r>
      <w:r w:rsidR="00F21146">
        <w:t>the ability of the community housing sector to partner with institutional investments</w:t>
      </w:r>
      <w:r w:rsidR="00FA0482">
        <w:t xml:space="preserve">, and inconsistencies around the definitions of the different classes of housing in this sector, particularly the definition of </w:t>
      </w:r>
      <w:r w:rsidR="00563A2B">
        <w:t>‘</w:t>
      </w:r>
      <w:r w:rsidR="00FA0482">
        <w:t>affordable housing</w:t>
      </w:r>
      <w:r w:rsidR="00563A2B">
        <w:t>’</w:t>
      </w:r>
      <w:r w:rsidRPr="00DF26C0">
        <w:t>.</w:t>
      </w:r>
      <w:r w:rsidRPr="000E746F">
        <w:t xml:space="preserve"> </w:t>
      </w:r>
    </w:p>
    <w:p w14:paraId="6A90D49A" w14:textId="0A642C2E" w:rsidR="009A4DA0" w:rsidRPr="00F20FF7" w:rsidRDefault="009A4DA0" w:rsidP="00A83E6C">
      <w:pPr>
        <w:pStyle w:val="Heading2Numbered"/>
      </w:pPr>
      <w:bookmarkStart w:id="158" w:name="_Toc141355281"/>
      <w:r w:rsidRPr="00A425CC">
        <w:rPr>
          <w:rFonts w:eastAsiaTheme="minorHAnsi"/>
        </w:rPr>
        <w:t xml:space="preserve">A truly national </w:t>
      </w:r>
      <w:r w:rsidR="00B83C49">
        <w:rPr>
          <w:rFonts w:eastAsiaTheme="minorHAnsi"/>
        </w:rPr>
        <w:t>regulatory re</w:t>
      </w:r>
      <w:r w:rsidR="00DD103A">
        <w:rPr>
          <w:rFonts w:eastAsiaTheme="minorHAnsi"/>
        </w:rPr>
        <w:t xml:space="preserve">gime for </w:t>
      </w:r>
      <w:r w:rsidRPr="00A425CC">
        <w:rPr>
          <w:rFonts w:eastAsiaTheme="minorHAnsi"/>
        </w:rPr>
        <w:t>community housing provider</w:t>
      </w:r>
      <w:r w:rsidR="00DD103A">
        <w:rPr>
          <w:rFonts w:eastAsiaTheme="minorHAnsi"/>
        </w:rPr>
        <w:t>s</w:t>
      </w:r>
      <w:r w:rsidRPr="00A425CC">
        <w:rPr>
          <w:rFonts w:eastAsiaTheme="minorHAnsi"/>
        </w:rPr>
        <w:t xml:space="preserve"> </w:t>
      </w:r>
      <w:bookmarkEnd w:id="158"/>
    </w:p>
    <w:p w14:paraId="5138FD06" w14:textId="109AF169" w:rsidR="009A4DA0" w:rsidRDefault="009A4DA0" w:rsidP="002F28C1">
      <w:r w:rsidRPr="008A36CB">
        <w:t xml:space="preserve">Many stakeholders during consultation for this </w:t>
      </w:r>
      <w:r w:rsidR="00B45B64">
        <w:t>r</w:t>
      </w:r>
      <w:r w:rsidRPr="008A36CB">
        <w:t xml:space="preserve">eport expressed a desire for greater harmonisation of </w:t>
      </w:r>
      <w:r>
        <w:t xml:space="preserve">the </w:t>
      </w:r>
      <w:r w:rsidRPr="008A36CB">
        <w:t>regulatory frameworks</w:t>
      </w:r>
      <w:r>
        <w:t xml:space="preserve"> for community housing providers. </w:t>
      </w:r>
    </w:p>
    <w:p w14:paraId="124FAA4C" w14:textId="232C0504" w:rsidR="009A4DA0" w:rsidRDefault="009A4DA0" w:rsidP="002F28C1">
      <w:r w:rsidRPr="00054437">
        <w:t xml:space="preserve">Most </w:t>
      </w:r>
      <w:r>
        <w:t>community housing providers</w:t>
      </w:r>
      <w:r w:rsidRPr="00054437">
        <w:t xml:space="preserve"> </w:t>
      </w:r>
      <w:r>
        <w:t xml:space="preserve">in Australia </w:t>
      </w:r>
      <w:r w:rsidRPr="00054437">
        <w:t>are registered under the National Regulatory System for Community Housing</w:t>
      </w:r>
      <w:r>
        <w:t xml:space="preserve">. The vision of the </w:t>
      </w:r>
      <w:r w:rsidRPr="00054437">
        <w:t>National Regulatory System for Community Housing</w:t>
      </w:r>
      <w:r>
        <w:t xml:space="preserve"> is to ensure a well</w:t>
      </w:r>
      <w:r w:rsidR="00563A2B">
        <w:noBreakHyphen/>
      </w:r>
      <w:r>
        <w:t>governed, well</w:t>
      </w:r>
      <w:r w:rsidR="00563A2B">
        <w:noBreakHyphen/>
      </w:r>
      <w:r>
        <w:t>managed and viable community housing sector that meets the housing needs of tenants</w:t>
      </w:r>
      <w:r w:rsidR="00850483">
        <w:t xml:space="preserve"> </w:t>
      </w:r>
      <w:r>
        <w:t>(</w:t>
      </w:r>
      <w:r w:rsidRPr="00214134">
        <w:t xml:space="preserve">National Regulatory System </w:t>
      </w:r>
      <w:r w:rsidR="00842A83">
        <w:t>for</w:t>
      </w:r>
      <w:r w:rsidRPr="00214134">
        <w:t xml:space="preserve"> Community Housing 202</w:t>
      </w:r>
      <w:r w:rsidR="00961695">
        <w:t>2a</w:t>
      </w:r>
      <w:r w:rsidRPr="00214134">
        <w:t xml:space="preserve">; </w:t>
      </w:r>
      <w:r w:rsidR="006768EE">
        <w:t xml:space="preserve">New South Wales Government, Department of Communities and Justice </w:t>
      </w:r>
      <w:r w:rsidR="00621D2E">
        <w:t>2019</w:t>
      </w:r>
      <w:r>
        <w:t xml:space="preserve">). </w:t>
      </w:r>
      <w:r w:rsidR="00D24304">
        <w:t xml:space="preserve">The </w:t>
      </w:r>
      <w:r w:rsidR="00D24304" w:rsidRPr="00054437">
        <w:t>National Regulatory System for Community Housing</w:t>
      </w:r>
      <w:r w:rsidR="00D24304">
        <w:t xml:space="preserve"> </w:t>
      </w:r>
      <w:r w:rsidR="006E6794">
        <w:t>is</w:t>
      </w:r>
      <w:r w:rsidR="00884FE6">
        <w:t xml:space="preserve"> also</w:t>
      </w:r>
      <w:r w:rsidR="006E6794">
        <w:t xml:space="preserve"> </w:t>
      </w:r>
      <w:r w:rsidR="000C1916">
        <w:t>designed to identify, monitor and respond to risks that have serious consequences for tenants, funders and investors, community housing assets and the reputation of the sector</w:t>
      </w:r>
      <w:r w:rsidR="00DB3A5D">
        <w:t xml:space="preserve"> </w:t>
      </w:r>
      <w:r w:rsidR="00101F6B">
        <w:t xml:space="preserve">(National Regulatory System for Community Housing 2022a). </w:t>
      </w:r>
    </w:p>
    <w:p w14:paraId="1544D44B" w14:textId="6EDC7A48" w:rsidR="009A4DA0" w:rsidRDefault="009A4DA0" w:rsidP="002F28C1">
      <w:r>
        <w:t>Western Australia and Victoria did not opt in</w:t>
      </w:r>
      <w:r w:rsidR="001E0436">
        <w:t xml:space="preserve"> </w:t>
      </w:r>
      <w:r>
        <w:t xml:space="preserve">to the </w:t>
      </w:r>
      <w:r w:rsidRPr="00054437">
        <w:t>National Regulatory System for Community Housing</w:t>
      </w:r>
      <w:r>
        <w:t xml:space="preserve"> and </w:t>
      </w:r>
      <w:r w:rsidR="007B3E11">
        <w:t>maintain</w:t>
      </w:r>
      <w:r>
        <w:t xml:space="preserve"> their own regulatory regimes</w:t>
      </w:r>
      <w:r w:rsidRPr="00054437">
        <w:t xml:space="preserve">. </w:t>
      </w:r>
      <w:r>
        <w:t>As such, community housing providers</w:t>
      </w:r>
      <w:r w:rsidDel="00283507">
        <w:t xml:space="preserve"> </w:t>
      </w:r>
      <w:r>
        <w:t xml:space="preserve">operate under different regimes with different reporting </w:t>
      </w:r>
      <w:r w:rsidR="00E4551B">
        <w:t>requirements</w:t>
      </w:r>
      <w:r>
        <w:t xml:space="preserve"> and timings in different jurisdictions. This adds to the administrative burden for providers operating across states, and may be constraining organisations from expanding operations, curtailing the growth of the sector.</w:t>
      </w:r>
      <w:r w:rsidRPr="00283507">
        <w:t xml:space="preserve"> </w:t>
      </w:r>
      <w:r w:rsidR="001926E4">
        <w:t xml:space="preserve">Efforts to </w:t>
      </w:r>
      <w:r w:rsidR="00756F2A">
        <w:t>resolve this within current arrangements ha</w:t>
      </w:r>
      <w:r w:rsidR="00B6185B">
        <w:t>ve</w:t>
      </w:r>
      <w:r w:rsidR="00756F2A">
        <w:t xml:space="preserve"> not been successful.</w:t>
      </w:r>
      <w:r w:rsidR="001926E4">
        <w:t xml:space="preserve"> </w:t>
      </w:r>
      <w:r w:rsidR="004C7514">
        <w:t>For instance, i</w:t>
      </w:r>
      <w:r>
        <w:t xml:space="preserve">n 2021 the Community Housing Industry Association Victoria noted that </w:t>
      </w:r>
      <w:r w:rsidR="00AD0290">
        <w:t>attempts to align</w:t>
      </w:r>
      <w:r>
        <w:t xml:space="preserve"> the Victorian regulatory system </w:t>
      </w:r>
      <w:r w:rsidR="00AD0290">
        <w:t>with</w:t>
      </w:r>
      <w:r>
        <w:t xml:space="preserve"> the </w:t>
      </w:r>
      <w:r w:rsidRPr="00054437">
        <w:t>National Regulatory System for Community Housing</w:t>
      </w:r>
      <w:r>
        <w:t xml:space="preserve"> has not assisted Victorian community housing providers that operate across state boundaries</w:t>
      </w:r>
      <w:r w:rsidR="007266AF">
        <w:t xml:space="preserve"> (</w:t>
      </w:r>
      <w:r w:rsidR="007266AF" w:rsidRPr="008121F0">
        <w:t>Community Housing Industry Association Victoria</w:t>
      </w:r>
      <w:r w:rsidR="007266AF" w:rsidRPr="007B5236">
        <w:t>)</w:t>
      </w:r>
      <w:r w:rsidRPr="007B5236">
        <w:t>.</w:t>
      </w:r>
    </w:p>
    <w:p w14:paraId="0C90FAF2" w14:textId="495C2897" w:rsidR="009A4DA0" w:rsidRDefault="004C7514" w:rsidP="002F28C1">
      <w:r>
        <w:t xml:space="preserve">Even for jurisdictions </w:t>
      </w:r>
      <w:r w:rsidR="00226A90">
        <w:t>within the national system, t</w:t>
      </w:r>
      <w:r w:rsidR="009A4DA0">
        <w:t xml:space="preserve">here are inconsistencies </w:t>
      </w:r>
      <w:r w:rsidR="00226A90">
        <w:t>in</w:t>
      </w:r>
      <w:r w:rsidR="009A4DA0">
        <w:t xml:space="preserve"> the application </w:t>
      </w:r>
      <w:r w:rsidR="00DE54E1">
        <w:t xml:space="preserve">of </w:t>
      </w:r>
      <w:r w:rsidR="006A250B">
        <w:t xml:space="preserve">the </w:t>
      </w:r>
      <w:r w:rsidR="00226A90">
        <w:t>regulations</w:t>
      </w:r>
      <w:r w:rsidR="009A4DA0">
        <w:t xml:space="preserve">, with different timing, format and scope of reporting requirements </w:t>
      </w:r>
      <w:r w:rsidR="00970A0B">
        <w:t>across states</w:t>
      </w:r>
      <w:r w:rsidR="009A4DA0">
        <w:t xml:space="preserve">. </w:t>
      </w:r>
      <w:r w:rsidR="00835483">
        <w:t>This</w:t>
      </w:r>
      <w:r w:rsidR="00ED4986">
        <w:t> </w:t>
      </w:r>
      <w:r w:rsidR="00835483">
        <w:t>reflects the fact that the</w:t>
      </w:r>
      <w:r w:rsidR="009A4DA0">
        <w:t xml:space="preserve"> </w:t>
      </w:r>
      <w:r w:rsidR="009A4DA0" w:rsidRPr="00054437">
        <w:t>National Regulatory System for Community Housing</w:t>
      </w:r>
      <w:r w:rsidR="009A4DA0">
        <w:t xml:space="preserve"> is a decentralised regulatory system, which relies on individual jurisdictions applying a common set of </w:t>
      </w:r>
      <w:r w:rsidR="00835483">
        <w:t>principles</w:t>
      </w:r>
      <w:r w:rsidR="009A4DA0">
        <w:t xml:space="preserve"> (</w:t>
      </w:r>
      <w:r w:rsidR="00F9494C">
        <w:t>New</w:t>
      </w:r>
      <w:r w:rsidR="00ED4986">
        <w:t> </w:t>
      </w:r>
      <w:r w:rsidR="00F9494C">
        <w:t>South Wales Government, Department of Communities and Justice 2019</w:t>
      </w:r>
      <w:r w:rsidR="009A4DA0">
        <w:t xml:space="preserve">). </w:t>
      </w:r>
    </w:p>
    <w:p w14:paraId="3683807B" w14:textId="6AC922F2" w:rsidR="000B4686" w:rsidRPr="006A37A2" w:rsidRDefault="009A4DA0" w:rsidP="00D92DD9">
      <w:pPr>
        <w:keepLines/>
      </w:pPr>
      <w:r w:rsidRPr="008A36CB">
        <w:lastRenderedPageBreak/>
        <w:t xml:space="preserve">The </w:t>
      </w:r>
      <w:r>
        <w:t>National Regulatory System for Community Housing</w:t>
      </w:r>
      <w:r w:rsidRPr="008A36CB">
        <w:t xml:space="preserve"> has not evolved since it </w:t>
      </w:r>
      <w:r>
        <w:t>commenced in 2014.</w:t>
      </w:r>
      <w:r w:rsidRPr="008A36CB">
        <w:t xml:space="preserve"> As such, it </w:t>
      </w:r>
      <w:r>
        <w:t>doesn</w:t>
      </w:r>
      <w:r w:rsidR="00563A2B">
        <w:t>’</w:t>
      </w:r>
      <w:r>
        <w:t xml:space="preserve">t </w:t>
      </w:r>
      <w:r w:rsidRPr="008A36CB">
        <w:t>account for changes in finance, company structures and other business practices that have evolved since then</w:t>
      </w:r>
      <w:r>
        <w:t xml:space="preserve"> as part of the emerging </w:t>
      </w:r>
      <w:r w:rsidR="00563A2B">
        <w:t>‘</w:t>
      </w:r>
      <w:r>
        <w:t>hybridity</w:t>
      </w:r>
      <w:r w:rsidR="00563A2B">
        <w:t>’</w:t>
      </w:r>
      <w:r>
        <w:t xml:space="preserve"> in the sector</w:t>
      </w:r>
      <w:r w:rsidRPr="008A36CB">
        <w:t xml:space="preserve">. </w:t>
      </w:r>
      <w:r w:rsidR="00EA2CDD">
        <w:t>In addition, t</w:t>
      </w:r>
      <w:r w:rsidRPr="004E04A2">
        <w:t>he</w:t>
      </w:r>
      <w:r w:rsidR="00234AC5">
        <w:t> </w:t>
      </w:r>
      <w:r>
        <w:t>current</w:t>
      </w:r>
      <w:r w:rsidRPr="004E04A2">
        <w:t xml:space="preserve"> regulatory regimes are not </w:t>
      </w:r>
      <w:r w:rsidR="00EA2CDD">
        <w:t xml:space="preserve">able to </w:t>
      </w:r>
      <w:r w:rsidRPr="004E04A2">
        <w:t>adequately regulate the growing number of for</w:t>
      </w:r>
      <w:r w:rsidR="00563A2B">
        <w:noBreakHyphen/>
      </w:r>
      <w:r w:rsidRPr="004E04A2">
        <w:t xml:space="preserve">profit affordable housing providers, </w:t>
      </w:r>
      <w:r>
        <w:t xml:space="preserve">as traditional community housing providers change their business models to attract more private capital </w:t>
      </w:r>
      <w:r w:rsidRPr="004E04A2">
        <w:t>(</w:t>
      </w:r>
      <w:r w:rsidR="00F9494C" w:rsidRPr="00214134">
        <w:t>New South Wales Government, Department of Communities and Justice 2021</w:t>
      </w:r>
      <w:r w:rsidRPr="00214134">
        <w:t>).</w:t>
      </w:r>
      <w:r w:rsidRPr="004E04A2">
        <w:t xml:space="preserve"> </w:t>
      </w:r>
    </w:p>
    <w:p w14:paraId="2C2C9C0E" w14:textId="7FD5797D" w:rsidR="009A4DA0" w:rsidRDefault="000B4686" w:rsidP="002F28C1">
      <w:r w:rsidRPr="006A37A2">
        <w:t xml:space="preserve">There are registration categories under the </w:t>
      </w:r>
      <w:r w:rsidR="006A37A2" w:rsidRPr="006A37A2">
        <w:t>National Regulatory System for Community Housing and state</w:t>
      </w:r>
      <w:r w:rsidR="00563A2B">
        <w:noBreakHyphen/>
      </w:r>
      <w:r w:rsidR="006A37A2" w:rsidRPr="006A37A2">
        <w:t>based regimes, known</w:t>
      </w:r>
      <w:r w:rsidRPr="006A37A2">
        <w:t xml:space="preserve"> as </w:t>
      </w:r>
      <w:r w:rsidR="006A37A2" w:rsidRPr="006A37A2">
        <w:t>the</w:t>
      </w:r>
      <w:r w:rsidRPr="006A37A2">
        <w:t xml:space="preserve"> tier</w:t>
      </w:r>
      <w:r w:rsidR="006A37A2" w:rsidRPr="006A37A2">
        <w:t xml:space="preserve"> system</w:t>
      </w:r>
      <w:r w:rsidRPr="006A37A2">
        <w:t xml:space="preserve">, </w:t>
      </w:r>
      <w:r w:rsidR="00EC1D6A">
        <w:t xml:space="preserve">which </w:t>
      </w:r>
      <w:r w:rsidR="006A37A2" w:rsidRPr="006A37A2">
        <w:t xml:space="preserve">determine </w:t>
      </w:r>
      <w:r w:rsidRPr="006A37A2">
        <w:t>an organisation</w:t>
      </w:r>
      <w:r w:rsidR="00563A2B">
        <w:t>’</w:t>
      </w:r>
      <w:r w:rsidRPr="006A37A2">
        <w:t>s level of risk due to the scale and scope of its activities</w:t>
      </w:r>
      <w:r w:rsidR="006A37A2">
        <w:t xml:space="preserve"> (</w:t>
      </w:r>
      <w:r w:rsidR="006A37A2" w:rsidRPr="00842A83">
        <w:t>National Regulatory</w:t>
      </w:r>
      <w:r w:rsidR="006A37A2" w:rsidRPr="00214134">
        <w:t xml:space="preserve"> System </w:t>
      </w:r>
      <w:r w:rsidR="006A37A2">
        <w:t xml:space="preserve">for </w:t>
      </w:r>
      <w:r w:rsidR="006A37A2" w:rsidRPr="00214134">
        <w:t xml:space="preserve">Community Housing </w:t>
      </w:r>
      <w:r w:rsidR="006A37A2">
        <w:t>2022b).</w:t>
      </w:r>
      <w:r w:rsidRPr="006A37A2">
        <w:t> The tier of registration determines the performance requirements and intensity of regulatory engagement.</w:t>
      </w:r>
      <w:r w:rsidR="006A37A2">
        <w:t xml:space="preserve"> </w:t>
      </w:r>
      <w:r w:rsidR="009A4DA0">
        <w:t>The tier system has been criticised and has at times been misinterpreted by third parties, including financiers and investors, as a ranking of performance and creditworthiness rather than a classification of the scale and scope of its operations (</w:t>
      </w:r>
      <w:r w:rsidR="008D291F">
        <w:t>New South Wales Government, Department of Communities and Justice 2019</w:t>
      </w:r>
      <w:r w:rsidR="009A4DA0" w:rsidRPr="00842A83">
        <w:t xml:space="preserve">; </w:t>
      </w:r>
      <w:r w:rsidR="00842A83" w:rsidRPr="00842A83">
        <w:t>National Regulatory</w:t>
      </w:r>
      <w:r w:rsidR="00842A83" w:rsidRPr="00214134">
        <w:t xml:space="preserve"> System </w:t>
      </w:r>
      <w:r w:rsidR="00842A83">
        <w:t xml:space="preserve">for </w:t>
      </w:r>
      <w:r w:rsidR="00842A83" w:rsidRPr="00214134">
        <w:t xml:space="preserve">Community Housing </w:t>
      </w:r>
      <w:r w:rsidR="00842A83">
        <w:t>2022</w:t>
      </w:r>
      <w:r w:rsidR="00961695">
        <w:t>b</w:t>
      </w:r>
      <w:r w:rsidR="009A4DA0">
        <w:t xml:space="preserve">). </w:t>
      </w:r>
    </w:p>
    <w:p w14:paraId="4EA7ED64" w14:textId="078BED5F" w:rsidR="005E0CD8" w:rsidRPr="00214134" w:rsidRDefault="005E0CD8" w:rsidP="002F28C1">
      <w:pPr>
        <w:rPr>
          <w:szCs w:val="22"/>
        </w:rPr>
      </w:pPr>
      <w:r w:rsidRPr="008A36CB">
        <w:rPr>
          <w:szCs w:val="22"/>
        </w:rPr>
        <w:t>A truly national</w:t>
      </w:r>
      <w:r>
        <w:rPr>
          <w:szCs w:val="22"/>
        </w:rPr>
        <w:t xml:space="preserve"> </w:t>
      </w:r>
      <w:r w:rsidRPr="008A36CB">
        <w:rPr>
          <w:szCs w:val="22"/>
        </w:rPr>
        <w:t xml:space="preserve">regulatory system for </w:t>
      </w:r>
      <w:r>
        <w:rPr>
          <w:szCs w:val="22"/>
        </w:rPr>
        <w:t>community housing providers</w:t>
      </w:r>
      <w:r w:rsidRPr="008A36CB">
        <w:rPr>
          <w:szCs w:val="22"/>
        </w:rPr>
        <w:t xml:space="preserve"> </w:t>
      </w:r>
      <w:r>
        <w:rPr>
          <w:szCs w:val="22"/>
        </w:rPr>
        <w:t>c</w:t>
      </w:r>
      <w:r w:rsidRPr="008A36CB">
        <w:rPr>
          <w:szCs w:val="22"/>
        </w:rPr>
        <w:t>ould raise standards to support the development and capability of the sector</w:t>
      </w:r>
      <w:r>
        <w:rPr>
          <w:szCs w:val="22"/>
        </w:rPr>
        <w:t xml:space="preserve">, including by ensuring a greater focus on lifting financial and governance capabilities. This </w:t>
      </w:r>
      <w:r w:rsidRPr="008A36CB">
        <w:rPr>
          <w:szCs w:val="22"/>
        </w:rPr>
        <w:t xml:space="preserve">would be a significant step up for the sector and bolster investor confidence. </w:t>
      </w:r>
      <w:r>
        <w:rPr>
          <w:szCs w:val="22"/>
        </w:rPr>
        <w:t>However, w</w:t>
      </w:r>
      <w:r w:rsidRPr="008A36CB">
        <w:rPr>
          <w:szCs w:val="22"/>
        </w:rPr>
        <w:t xml:space="preserve">ork on reforming the </w:t>
      </w:r>
      <w:r>
        <w:rPr>
          <w:szCs w:val="22"/>
        </w:rPr>
        <w:t>National Regulatory System for Community Housing</w:t>
      </w:r>
      <w:r w:rsidRPr="008A36CB">
        <w:rPr>
          <w:szCs w:val="22"/>
        </w:rPr>
        <w:t xml:space="preserve">, stemming from the </w:t>
      </w:r>
      <w:r>
        <w:rPr>
          <w:szCs w:val="22"/>
        </w:rPr>
        <w:t xml:space="preserve">intergovernmental </w:t>
      </w:r>
      <w:r w:rsidRPr="008A36CB">
        <w:rPr>
          <w:szCs w:val="22"/>
        </w:rPr>
        <w:t xml:space="preserve">2021 Review of the </w:t>
      </w:r>
      <w:r>
        <w:rPr>
          <w:szCs w:val="22"/>
        </w:rPr>
        <w:t>National Regulatory System for Community Housing</w:t>
      </w:r>
      <w:r w:rsidRPr="008A36CB">
        <w:rPr>
          <w:szCs w:val="22"/>
        </w:rPr>
        <w:t>, including the potential adoption by Victoria and Western Australia, has not progressed</w:t>
      </w:r>
      <w:r>
        <w:rPr>
          <w:szCs w:val="22"/>
        </w:rPr>
        <w:t>.</w:t>
      </w:r>
    </w:p>
    <w:p w14:paraId="2BAEFC62" w14:textId="3BA29EB5" w:rsidR="00FD76FE" w:rsidRDefault="003C3848" w:rsidP="002F28C1">
      <w:r w:rsidDel="00FD76FE">
        <w:t>It can be argued that</w:t>
      </w:r>
      <w:r w:rsidR="003C4CBC" w:rsidRPr="001436EA" w:rsidDel="00FD76FE">
        <w:t xml:space="preserve"> NHFIC, through </w:t>
      </w:r>
      <w:r w:rsidR="003447A2">
        <w:t>its</w:t>
      </w:r>
      <w:r w:rsidR="003C4CBC" w:rsidRPr="001436EA" w:rsidDel="00FD76FE">
        <w:t xml:space="preserve"> </w:t>
      </w:r>
      <w:r w:rsidDel="00FD76FE">
        <w:t xml:space="preserve">administration of </w:t>
      </w:r>
      <w:r w:rsidR="003C4CBC" w:rsidRPr="001436EA" w:rsidDel="00FD76FE">
        <w:t xml:space="preserve">its </w:t>
      </w:r>
      <w:r w:rsidDel="00FD76FE">
        <w:t xml:space="preserve">financing </w:t>
      </w:r>
      <w:r w:rsidR="003C4CBC" w:rsidRPr="001436EA" w:rsidDel="00FD76FE">
        <w:t xml:space="preserve">programs, </w:t>
      </w:r>
      <w:r w:rsidDel="00FD76FE">
        <w:t>perform</w:t>
      </w:r>
      <w:r w:rsidR="008D434A" w:rsidDel="00FD76FE">
        <w:t>s</w:t>
      </w:r>
      <w:r w:rsidDel="00FD76FE">
        <w:t xml:space="preserve"> a quasi</w:t>
      </w:r>
      <w:r w:rsidR="00563A2B">
        <w:noBreakHyphen/>
      </w:r>
      <w:r w:rsidR="009635A5">
        <w:t>r</w:t>
      </w:r>
      <w:r w:rsidR="003C4CBC" w:rsidRPr="001436EA" w:rsidDel="00FD76FE">
        <w:t>egulator</w:t>
      </w:r>
      <w:r w:rsidDel="00FD76FE">
        <w:t xml:space="preserve">y role for </w:t>
      </w:r>
      <w:r w:rsidR="003C4CBC" w:rsidRPr="001436EA" w:rsidDel="00FD76FE">
        <w:t xml:space="preserve">the sector. </w:t>
      </w:r>
      <w:r w:rsidR="00182AE9">
        <w:t>For example</w:t>
      </w:r>
      <w:r w:rsidR="003C4CBC" w:rsidRPr="001436EA" w:rsidDel="00FD76FE">
        <w:t xml:space="preserve">, community housing providers must be registered to access </w:t>
      </w:r>
      <w:r w:rsidR="00BD733E" w:rsidDel="00FD76FE">
        <w:t xml:space="preserve">concessional loan </w:t>
      </w:r>
      <w:r w:rsidR="003C4CBC" w:rsidRPr="001436EA" w:rsidDel="00FD76FE">
        <w:t>finance</w:t>
      </w:r>
      <w:r w:rsidR="003C4CBC" w:rsidDel="00FD76FE">
        <w:t xml:space="preserve"> </w:t>
      </w:r>
      <w:r w:rsidR="00BD733E" w:rsidDel="00FD76FE">
        <w:t>from the Affordable Housing Bond Aggregator</w:t>
      </w:r>
      <w:r w:rsidR="007F77B6" w:rsidDel="00FD76FE">
        <w:t xml:space="preserve"> </w:t>
      </w:r>
      <w:r w:rsidR="00F25F63">
        <w:t>and the National Housing Infrastructure Facility</w:t>
      </w:r>
      <w:r w:rsidR="007A2A45" w:rsidDel="00FD76FE">
        <w:t>.</w:t>
      </w:r>
      <w:r w:rsidR="00BD733E" w:rsidDel="00FD76FE">
        <w:t xml:space="preserve"> </w:t>
      </w:r>
      <w:r w:rsidR="008D434A" w:rsidDel="00FD76FE">
        <w:t xml:space="preserve">This provides an incentive for </w:t>
      </w:r>
      <w:r w:rsidR="00290DFF">
        <w:t xml:space="preserve">community </w:t>
      </w:r>
      <w:r w:rsidR="008D434A" w:rsidDel="00FD76FE">
        <w:t xml:space="preserve">housing providers to </w:t>
      </w:r>
      <w:r w:rsidR="004E3651" w:rsidDel="00FD76FE">
        <w:t>be registered under either the national or a state</w:t>
      </w:r>
      <w:r w:rsidR="00563A2B">
        <w:noBreakHyphen/>
      </w:r>
      <w:r w:rsidR="004E3651" w:rsidDel="00FD76FE">
        <w:t xml:space="preserve">based scheme. </w:t>
      </w:r>
      <w:r w:rsidR="00DC4E25">
        <w:t>In addition</w:t>
      </w:r>
      <w:r w:rsidR="00DD4CB6" w:rsidDel="00FD76FE">
        <w:t xml:space="preserve">, </w:t>
      </w:r>
      <w:r w:rsidR="004E3651" w:rsidDel="00FD76FE">
        <w:t xml:space="preserve">through the oversight (and potential enforcement) of its rights as the </w:t>
      </w:r>
      <w:r w:rsidR="00AA09EE" w:rsidDel="00FD76FE">
        <w:t>largest creditor to the sector</w:t>
      </w:r>
      <w:r w:rsidR="00D709E9" w:rsidDel="00FD76FE">
        <w:t>, and the conditions it requires as</w:t>
      </w:r>
      <w:r w:rsidR="00AA09EE" w:rsidDel="00FD76FE">
        <w:t xml:space="preserve"> </w:t>
      </w:r>
      <w:r w:rsidR="00D709E9" w:rsidDel="00FD76FE">
        <w:t xml:space="preserve">part of its </w:t>
      </w:r>
      <w:r w:rsidR="007D4E73" w:rsidDel="00FD76FE">
        <w:t>loan</w:t>
      </w:r>
      <w:r w:rsidR="00A7026E" w:rsidDel="00FD76FE">
        <w:t xml:space="preserve"> agreements, NHFIC </w:t>
      </w:r>
      <w:r w:rsidR="003E0FEF" w:rsidDel="00FD76FE">
        <w:t xml:space="preserve">now </w:t>
      </w:r>
      <w:r w:rsidR="007D4E73" w:rsidDel="00FD76FE">
        <w:t xml:space="preserve">exerts considerable </w:t>
      </w:r>
      <w:r w:rsidR="00656815" w:rsidDel="00FD76FE">
        <w:t>influence</w:t>
      </w:r>
      <w:r w:rsidR="00386A88">
        <w:t>, and has an interest in the development and good governance of</w:t>
      </w:r>
      <w:r w:rsidR="00FD76FE">
        <w:t xml:space="preserve"> the sector. </w:t>
      </w:r>
      <w:r w:rsidR="00A216CC">
        <w:t>In addition</w:t>
      </w:r>
      <w:r w:rsidR="00F44C5F" w:rsidRPr="00F44C5F">
        <w:t xml:space="preserve">, NHFIC has been a sponsor </w:t>
      </w:r>
      <w:r w:rsidR="00372D40">
        <w:t>of</w:t>
      </w:r>
      <w:r w:rsidR="00F44C5F" w:rsidRPr="00F44C5F">
        <w:t xml:space="preserve"> the development of an </w:t>
      </w:r>
      <w:r w:rsidR="001557C6">
        <w:t>E</w:t>
      </w:r>
      <w:r w:rsidR="00470F51">
        <w:t xml:space="preserve">nvironmental, Social and Governance </w:t>
      </w:r>
      <w:r w:rsidR="00F44C5F" w:rsidRPr="00F44C5F">
        <w:t>reporting standard for the community housing sector.</w:t>
      </w:r>
    </w:p>
    <w:p w14:paraId="2C671C54" w14:textId="10627285" w:rsidR="00547AA4" w:rsidRPr="002F28C1" w:rsidRDefault="009A4DA0" w:rsidP="002F28C1">
      <w:r w:rsidRPr="008A36CB">
        <w:t xml:space="preserve">A stronger, national regulatory regime could be an appropriate expectation in return for further </w:t>
      </w:r>
      <w:r w:rsidR="00922B61">
        <w:t xml:space="preserve">and ongoing </w:t>
      </w:r>
      <w:r w:rsidR="00CC4481">
        <w:t>Australian</w:t>
      </w:r>
      <w:r>
        <w:t xml:space="preserve"> </w:t>
      </w:r>
      <w:r w:rsidRPr="008A36CB">
        <w:t xml:space="preserve">Government support </w:t>
      </w:r>
      <w:r>
        <w:t>of</w:t>
      </w:r>
      <w:r w:rsidRPr="008A36CB">
        <w:t xml:space="preserve"> the social and affordable housing sector</w:t>
      </w:r>
      <w:r w:rsidR="00922B61">
        <w:t>, including that provided through NHFIC</w:t>
      </w:r>
      <w:r w:rsidR="00EB496D">
        <w:t xml:space="preserve">. </w:t>
      </w:r>
    </w:p>
    <w:tbl>
      <w:tblPr>
        <w:tblW w:w="5000" w:type="pct"/>
        <w:shd w:val="clear" w:color="auto" w:fill="BAD4E8" w:themeFill="accent5"/>
        <w:tblCellMar>
          <w:top w:w="284" w:type="dxa"/>
          <w:left w:w="284" w:type="dxa"/>
          <w:bottom w:w="284" w:type="dxa"/>
          <w:right w:w="284" w:type="dxa"/>
        </w:tblCellMar>
        <w:tblLook w:val="0600" w:firstRow="0" w:lastRow="0" w:firstColumn="0" w:lastColumn="0" w:noHBand="1" w:noVBand="1"/>
      </w:tblPr>
      <w:tblGrid>
        <w:gridCol w:w="9070"/>
      </w:tblGrid>
      <w:tr w:rsidR="009A4DA0" w14:paraId="052045FF" w14:textId="77777777">
        <w:tc>
          <w:tcPr>
            <w:tcW w:w="5000" w:type="pct"/>
            <w:shd w:val="clear" w:color="auto" w:fill="BAD4E8" w:themeFill="accent5"/>
            <w:hideMark/>
          </w:tcPr>
          <w:p w14:paraId="051634D6" w14:textId="2112599A" w:rsidR="000C1F07" w:rsidRPr="000C1F07" w:rsidRDefault="000C1F07" w:rsidP="002F28C1">
            <w:pPr>
              <w:pStyle w:val="BoxHeading"/>
            </w:pPr>
            <w:r w:rsidRPr="000C1F07">
              <w:t xml:space="preserve">Recommendation </w:t>
            </w:r>
            <w:r w:rsidR="00F03296">
              <w:t>8</w:t>
            </w:r>
            <w:r w:rsidR="00B914E9" w:rsidRPr="00397225">
              <w:t>: A national</w:t>
            </w:r>
            <w:r w:rsidRPr="000C1F07">
              <w:t xml:space="preserve"> regulatory framework for the community housing</w:t>
            </w:r>
            <w:r w:rsidR="00ED4986">
              <w:t> </w:t>
            </w:r>
            <w:r w:rsidRPr="000C1F07">
              <w:t>sector</w:t>
            </w:r>
          </w:p>
          <w:p w14:paraId="70EE6832" w14:textId="55416501" w:rsidR="009A4DA0" w:rsidRPr="00C318E7" w:rsidRDefault="009A4DA0" w:rsidP="00210E5A">
            <w:pPr>
              <w:pStyle w:val="BoxText"/>
            </w:pPr>
            <w:r w:rsidRPr="004E141B">
              <w:t>The</w:t>
            </w:r>
            <w:r>
              <w:t>re should be a</w:t>
            </w:r>
            <w:r w:rsidRPr="004E141B">
              <w:t xml:space="preserve"> joint Commonwealth</w:t>
            </w:r>
            <w:r w:rsidR="00563A2B">
              <w:noBreakHyphen/>
            </w:r>
            <w:r w:rsidR="000C1F07">
              <w:t>s</w:t>
            </w:r>
            <w:r w:rsidR="000C1F07" w:rsidRPr="004E141B">
              <w:t>tate</w:t>
            </w:r>
            <w:r w:rsidRPr="004E141B">
              <w:t xml:space="preserve"> review to develop and implement a </w:t>
            </w:r>
            <w:r w:rsidR="000C1F07" w:rsidRPr="007F679A">
              <w:t>truly</w:t>
            </w:r>
            <w:r w:rsidR="000C1F07" w:rsidRPr="004E141B">
              <w:t xml:space="preserve"> </w:t>
            </w:r>
            <w:r w:rsidRPr="004E141B">
              <w:t>national regulatory framework for the community housing sector. The new framework should</w:t>
            </w:r>
            <w:r>
              <w:t xml:space="preserve"> be designed to support engagement with institutional investors and </w:t>
            </w:r>
            <w:r w:rsidRPr="004E141B">
              <w:t xml:space="preserve">address the increased complexity of funding </w:t>
            </w:r>
            <w:r w:rsidRPr="008013B8">
              <w:t>arrangements in the sector.</w:t>
            </w:r>
          </w:p>
        </w:tc>
      </w:tr>
    </w:tbl>
    <w:p w14:paraId="1C67E0D1" w14:textId="77777777" w:rsidR="002F28C1" w:rsidRDefault="002F28C1" w:rsidP="002F28C1">
      <w:bookmarkStart w:id="159" w:name="_Toc139618852"/>
      <w:bookmarkStart w:id="160" w:name="_Toc139635578"/>
    </w:p>
    <w:p w14:paraId="4229F69E" w14:textId="23375295" w:rsidR="009A4DA0" w:rsidRPr="00514183" w:rsidRDefault="009A4DA0" w:rsidP="00A83E6C">
      <w:pPr>
        <w:pStyle w:val="Heading2Numbered"/>
      </w:pPr>
      <w:bookmarkStart w:id="161" w:name="_Toc141355282"/>
      <w:r>
        <w:lastRenderedPageBreak/>
        <w:t>Supporting community housing providers to partner with institutional capital</w:t>
      </w:r>
      <w:bookmarkEnd w:id="159"/>
      <w:bookmarkEnd w:id="160"/>
      <w:bookmarkEnd w:id="161"/>
      <w:r>
        <w:t xml:space="preserve"> </w:t>
      </w:r>
    </w:p>
    <w:p w14:paraId="53E5E6C7" w14:textId="078BED5F" w:rsidR="00A0761A" w:rsidRDefault="009A4DA0" w:rsidP="002F28C1">
      <w:r>
        <w:t xml:space="preserve">Developing the capability of the community housing sector </w:t>
      </w:r>
      <w:r w:rsidR="00472C6A">
        <w:t>will</w:t>
      </w:r>
      <w:r>
        <w:t xml:space="preserve"> encourag</w:t>
      </w:r>
      <w:r w:rsidR="00472C6A">
        <w:t>e</w:t>
      </w:r>
      <w:r>
        <w:t xml:space="preserve"> more institutional investment in projects led by, or in partnership with, community housing providers.</w:t>
      </w:r>
    </w:p>
    <w:p w14:paraId="5623989C" w14:textId="275B4547" w:rsidR="001B3036" w:rsidRPr="009D2A46" w:rsidRDefault="00415A1C" w:rsidP="002F28C1">
      <w:pPr>
        <w:rPr>
          <w:spacing w:val="-2"/>
          <w:szCs w:val="22"/>
        </w:rPr>
      </w:pPr>
      <w:r w:rsidRPr="009D2A46">
        <w:rPr>
          <w:spacing w:val="-2"/>
        </w:rPr>
        <w:t>Institutional</w:t>
      </w:r>
      <w:r w:rsidR="004A470F" w:rsidRPr="009D2A46">
        <w:rPr>
          <w:spacing w:val="-2"/>
        </w:rPr>
        <w:t xml:space="preserve"> investors </w:t>
      </w:r>
      <w:r w:rsidRPr="009D2A46">
        <w:rPr>
          <w:spacing w:val="-2"/>
        </w:rPr>
        <w:t>have</w:t>
      </w:r>
      <w:r w:rsidR="004A470F" w:rsidRPr="009D2A46">
        <w:rPr>
          <w:spacing w:val="-2"/>
        </w:rPr>
        <w:t xml:space="preserve"> </w:t>
      </w:r>
      <w:r w:rsidR="006A433B">
        <w:rPr>
          <w:spacing w:val="-2"/>
        </w:rPr>
        <w:t>demonstrated a</w:t>
      </w:r>
      <w:r w:rsidR="00AC2732" w:rsidRPr="009D2A46">
        <w:rPr>
          <w:spacing w:val="-2"/>
        </w:rPr>
        <w:t xml:space="preserve"> </w:t>
      </w:r>
      <w:r w:rsidR="00B8412E" w:rsidRPr="009D2A46">
        <w:rPr>
          <w:spacing w:val="-2"/>
        </w:rPr>
        <w:t xml:space="preserve">preference to partner with community housing providers when investing in affordable housing. </w:t>
      </w:r>
      <w:r w:rsidR="00DB478C" w:rsidRPr="009D2A46">
        <w:rPr>
          <w:spacing w:val="-2"/>
        </w:rPr>
        <w:t xml:space="preserve">Community housing providers have </w:t>
      </w:r>
      <w:r w:rsidR="009A0ED7" w:rsidRPr="009D2A46">
        <w:rPr>
          <w:spacing w:val="-2"/>
        </w:rPr>
        <w:t xml:space="preserve">demonstrated </w:t>
      </w:r>
      <w:r w:rsidR="00DB478C" w:rsidRPr="009D2A46">
        <w:rPr>
          <w:spacing w:val="-2"/>
        </w:rPr>
        <w:t>experience and expertise in managing affordable housing</w:t>
      </w:r>
      <w:r w:rsidR="004F0866" w:rsidRPr="009D2A46">
        <w:rPr>
          <w:spacing w:val="-2"/>
        </w:rPr>
        <w:t xml:space="preserve"> tenancies</w:t>
      </w:r>
      <w:r w:rsidR="00B8412E" w:rsidRPr="009D2A46">
        <w:rPr>
          <w:spacing w:val="-2"/>
        </w:rPr>
        <w:t>,</w:t>
      </w:r>
      <w:r w:rsidR="00DB478C" w:rsidRPr="009D2A46">
        <w:rPr>
          <w:spacing w:val="-2"/>
        </w:rPr>
        <w:t xml:space="preserve"> </w:t>
      </w:r>
      <w:r w:rsidR="00F84F73" w:rsidRPr="009D2A46">
        <w:rPr>
          <w:spacing w:val="-2"/>
        </w:rPr>
        <w:t>especially for vulnerable tenants</w:t>
      </w:r>
      <w:r w:rsidR="00B8412E" w:rsidRPr="009D2A46">
        <w:rPr>
          <w:spacing w:val="-2"/>
        </w:rPr>
        <w:t>,</w:t>
      </w:r>
      <w:r w:rsidR="00DB478C" w:rsidRPr="009D2A46">
        <w:rPr>
          <w:spacing w:val="-2"/>
        </w:rPr>
        <w:t xml:space="preserve"> and </w:t>
      </w:r>
      <w:r w:rsidR="00E87623" w:rsidRPr="009D2A46">
        <w:rPr>
          <w:spacing w:val="-2"/>
        </w:rPr>
        <w:t>can</w:t>
      </w:r>
      <w:r w:rsidR="0057395D" w:rsidRPr="009D2A46">
        <w:rPr>
          <w:spacing w:val="-2"/>
        </w:rPr>
        <w:t xml:space="preserve"> manage</w:t>
      </w:r>
      <w:r w:rsidR="00AD2674" w:rsidRPr="009D2A46">
        <w:rPr>
          <w:spacing w:val="-2"/>
        </w:rPr>
        <w:t xml:space="preserve"> compliance </w:t>
      </w:r>
      <w:r w:rsidR="0057395D" w:rsidRPr="009D2A46">
        <w:rPr>
          <w:spacing w:val="-2"/>
        </w:rPr>
        <w:t>associated with</w:t>
      </w:r>
      <w:r w:rsidR="00630B0D" w:rsidRPr="009D2A46">
        <w:rPr>
          <w:spacing w:val="-2"/>
        </w:rPr>
        <w:t xml:space="preserve"> government incentives and concessions for supplying affordable housing. </w:t>
      </w:r>
      <w:r w:rsidR="00C71393" w:rsidRPr="009D2A46">
        <w:rPr>
          <w:spacing w:val="-2"/>
        </w:rPr>
        <w:t xml:space="preserve">Partnering with community housing providers provides governments with more reassurance that </w:t>
      </w:r>
      <w:r w:rsidR="00417F98" w:rsidRPr="009D2A46">
        <w:rPr>
          <w:spacing w:val="-2"/>
        </w:rPr>
        <w:t xml:space="preserve">the value of government expenditure </w:t>
      </w:r>
      <w:r w:rsidR="004D4DFC" w:rsidRPr="009D2A46">
        <w:rPr>
          <w:spacing w:val="-2"/>
        </w:rPr>
        <w:t xml:space="preserve">translates to a </w:t>
      </w:r>
      <w:r w:rsidR="00417F98" w:rsidRPr="009D2A46">
        <w:rPr>
          <w:spacing w:val="-2"/>
        </w:rPr>
        <w:t>benefit</w:t>
      </w:r>
      <w:r w:rsidR="00B30B04">
        <w:rPr>
          <w:spacing w:val="-2"/>
        </w:rPr>
        <w:t xml:space="preserve"> for</w:t>
      </w:r>
      <w:r w:rsidR="00417F98" w:rsidRPr="009D2A46">
        <w:rPr>
          <w:spacing w:val="-2"/>
        </w:rPr>
        <w:t xml:space="preserve"> the community.</w:t>
      </w:r>
      <w:r w:rsidR="00787A3C" w:rsidRPr="009D2A46">
        <w:rPr>
          <w:spacing w:val="-2"/>
          <w:szCs w:val="22"/>
        </w:rPr>
        <w:t xml:space="preserve"> However, partnering with institutional capital creates new risks and requirements for community housing providers to manage.</w:t>
      </w:r>
    </w:p>
    <w:p w14:paraId="2DE12F4C" w14:textId="52A6ACAA" w:rsidR="00173A2B" w:rsidRDefault="00086F70" w:rsidP="002F28C1">
      <w:r>
        <w:t>S</w:t>
      </w:r>
      <w:r w:rsidR="009A4DA0">
        <w:t xml:space="preserve">takeholders report that there </w:t>
      </w:r>
      <w:r w:rsidR="00803B78">
        <w:t>are</w:t>
      </w:r>
      <w:r w:rsidR="00601E0D">
        <w:t xml:space="preserve"> a limited number </w:t>
      </w:r>
      <w:r w:rsidR="009A4DA0">
        <w:t>of community housing providers</w:t>
      </w:r>
      <w:r w:rsidR="009A4DA0" w:rsidRPr="00664F06">
        <w:t xml:space="preserve"> </w:t>
      </w:r>
      <w:r w:rsidR="009A4DA0">
        <w:t xml:space="preserve">of sufficient scale and sophistication to partner with private capital. </w:t>
      </w:r>
      <w:r w:rsidR="00883756" w:rsidRPr="00664F06">
        <w:t>Some of</w:t>
      </w:r>
      <w:r w:rsidR="00883756">
        <w:t xml:space="preserve"> the</w:t>
      </w:r>
      <w:r w:rsidR="00883756" w:rsidRPr="00664F06">
        <w:t xml:space="preserve"> </w:t>
      </w:r>
      <w:r w:rsidR="00883756">
        <w:t xml:space="preserve">larger community housing providers </w:t>
      </w:r>
      <w:r w:rsidR="00883756" w:rsidRPr="00664F06">
        <w:t xml:space="preserve">operate nationally </w:t>
      </w:r>
      <w:r w:rsidR="00BD6B6A">
        <w:t xml:space="preserve">and </w:t>
      </w:r>
      <w:r w:rsidR="00883756">
        <w:t xml:space="preserve">with </w:t>
      </w:r>
      <w:r w:rsidR="00883756" w:rsidRPr="00664F06">
        <w:t>increasing scale and sophistication.</w:t>
      </w:r>
      <w:r w:rsidR="00883756">
        <w:t xml:space="preserve"> However, most are small</w:t>
      </w:r>
      <w:r w:rsidR="00563A2B">
        <w:noBreakHyphen/>
      </w:r>
      <w:r w:rsidR="00883756">
        <w:t>scale providers focussed on tenancy management</w:t>
      </w:r>
      <w:r w:rsidR="00EB496D">
        <w:t xml:space="preserve"> – </w:t>
      </w:r>
      <w:r w:rsidR="00883756">
        <w:t>a</w:t>
      </w:r>
      <w:r w:rsidR="00883756" w:rsidRPr="00CE3BDD">
        <w:t>round 70</w:t>
      </w:r>
      <w:r w:rsidR="00E67AFE">
        <w:t> per </w:t>
      </w:r>
      <w:r w:rsidR="00883756" w:rsidRPr="00CE3BDD">
        <w:t xml:space="preserve">cent of community housing providers manage fewer than 50 dwellings each (AIHW 2023a). </w:t>
      </w:r>
      <w:r w:rsidR="009A4DA0">
        <w:t xml:space="preserve">The diversity in capacity across the sector can be explained by </w:t>
      </w:r>
      <w:r w:rsidR="00782AB8">
        <w:t>its</w:t>
      </w:r>
      <w:r w:rsidR="009A4DA0">
        <w:t xml:space="preserve"> relative youth, particularly compar</w:t>
      </w:r>
      <w:r w:rsidR="00512003">
        <w:t>ed</w:t>
      </w:r>
      <w:r w:rsidR="009A4DA0">
        <w:t xml:space="preserve"> to </w:t>
      </w:r>
      <w:r w:rsidR="00512003">
        <w:t>the United Kingdom</w:t>
      </w:r>
      <w:r w:rsidR="009A4DA0">
        <w:t xml:space="preserve"> and European nations who have well</w:t>
      </w:r>
      <w:r w:rsidR="00563A2B">
        <w:noBreakHyphen/>
      </w:r>
      <w:r w:rsidR="009A4DA0">
        <w:t>established equivalents.</w:t>
      </w:r>
      <w:r w:rsidR="004B160E" w:rsidRPr="479AD369">
        <w:rPr>
          <w:rStyle w:val="FootnoteReference"/>
          <w:vertAlign w:val="superscript"/>
        </w:rPr>
        <w:footnoteReference w:id="3"/>
      </w:r>
      <w:r w:rsidR="00563A2B">
        <w:t xml:space="preserve"> </w:t>
      </w:r>
    </w:p>
    <w:p w14:paraId="56FBE7A0" w14:textId="62B173A3" w:rsidR="00F70B6A" w:rsidRDefault="009A4DA0" w:rsidP="002F28C1">
      <w:r>
        <w:t xml:space="preserve">There are some programs in place to support </w:t>
      </w:r>
      <w:r w:rsidR="007F5458">
        <w:t xml:space="preserve">capability </w:t>
      </w:r>
      <w:r w:rsidR="001B4B9F">
        <w:t>building in</w:t>
      </w:r>
      <w:r>
        <w:t xml:space="preserve"> the sector. For example,</w:t>
      </w:r>
      <w:r w:rsidRPr="008A36CB">
        <w:t xml:space="preserve"> </w:t>
      </w:r>
      <w:r>
        <w:t>NHFIC</w:t>
      </w:r>
      <w:r w:rsidR="00563A2B">
        <w:t>’</w:t>
      </w:r>
      <w:r>
        <w:t>s</w:t>
      </w:r>
      <w:r w:rsidRPr="008A36CB">
        <w:t xml:space="preserve"> Capacity Building </w:t>
      </w:r>
      <w:r w:rsidRPr="00C03404">
        <w:t>Program provid</w:t>
      </w:r>
      <w:r>
        <w:t>es</w:t>
      </w:r>
      <w:r w:rsidRPr="00C03404">
        <w:t xml:space="preserve"> grants of up to $20,000 to registered </w:t>
      </w:r>
      <w:r>
        <w:t>community housing providers</w:t>
      </w:r>
      <w:r w:rsidRPr="00664F06">
        <w:t xml:space="preserve"> </w:t>
      </w:r>
      <w:r w:rsidRPr="00C03404">
        <w:t xml:space="preserve">for tailored assistance from a panel of professional advisory services to help them apply for </w:t>
      </w:r>
      <w:r w:rsidRPr="00E03BA2">
        <w:t xml:space="preserve">NHFIC finance under the Affordable Housing Bond Aggregator or the </w:t>
      </w:r>
      <w:r w:rsidRPr="00E03BA2" w:rsidDel="00C03404">
        <w:t>Nati</w:t>
      </w:r>
      <w:r w:rsidRPr="00E03BA2">
        <w:t>onal Housing Infrastructure Facility.</w:t>
      </w:r>
      <w:r w:rsidR="00F70B6A">
        <w:t xml:space="preserve"> </w:t>
      </w:r>
      <w:r w:rsidR="004E689D">
        <w:t xml:space="preserve">But the program </w:t>
      </w:r>
      <w:r w:rsidR="00AE0888">
        <w:t>is</w:t>
      </w:r>
      <w:r w:rsidR="004E689D">
        <w:t xml:space="preserve"> </w:t>
      </w:r>
      <w:r w:rsidR="00A706DB">
        <w:t xml:space="preserve">limited </w:t>
      </w:r>
      <w:r w:rsidR="004E689D">
        <w:t xml:space="preserve">to </w:t>
      </w:r>
      <w:r w:rsidR="00E45235">
        <w:t xml:space="preserve">supporting </w:t>
      </w:r>
      <w:r w:rsidR="004E689D">
        <w:t xml:space="preserve">community housing providers applying for NHFIC finance. </w:t>
      </w:r>
    </w:p>
    <w:p w14:paraId="2B85D96E" w14:textId="4190FC30" w:rsidR="006A5F35" w:rsidRDefault="00C51C79" w:rsidP="002F28C1">
      <w:r>
        <w:t xml:space="preserve">The </w:t>
      </w:r>
      <w:r w:rsidR="00D43E94">
        <w:t xml:space="preserve">2021 Statutory Review of the </w:t>
      </w:r>
      <w:r w:rsidR="00D43E94" w:rsidRPr="479AD369">
        <w:rPr>
          <w:i/>
        </w:rPr>
        <w:t>National Housing Finance and Investment Corporation Act 2018</w:t>
      </w:r>
      <w:r w:rsidR="00D43E94">
        <w:t xml:space="preserve"> recommended that the value of these grants be increased to $7</w:t>
      </w:r>
      <w:r w:rsidR="001222B9">
        <w:t>5</w:t>
      </w:r>
      <w:r w:rsidR="00D43E94">
        <w:t>,000 to more adequately cover the typical costs of professional advisory services</w:t>
      </w:r>
      <w:r w:rsidR="006A5F35">
        <w:t xml:space="preserve">. This </w:t>
      </w:r>
      <w:r w:rsidR="00D43E94">
        <w:t xml:space="preserve">recommendation has not been </w:t>
      </w:r>
      <w:r w:rsidR="00980640">
        <w:t>implemented</w:t>
      </w:r>
      <w:r w:rsidR="00D43E94">
        <w:t>.</w:t>
      </w:r>
      <w:r w:rsidR="00980640">
        <w:t xml:space="preserve"> </w:t>
      </w:r>
    </w:p>
    <w:p w14:paraId="02ABB218" w14:textId="5F3AC57B" w:rsidR="009A4DA0" w:rsidRDefault="009A4DA0" w:rsidP="009D2A46">
      <w:r>
        <w:t xml:space="preserve">As discussed above, a stronger regulatory regime for all community housing providers could also lift standards in the sector. </w:t>
      </w:r>
      <w:r w:rsidR="000F7782">
        <w:t>Additionally, t</w:t>
      </w:r>
      <w:r w:rsidR="000F7782" w:rsidRPr="008A36CB">
        <w:t>he</w:t>
      </w:r>
      <w:r w:rsidR="000F7782">
        <w:t xml:space="preserve"> community housing sector </w:t>
      </w:r>
      <w:r w:rsidR="000F7782" w:rsidRPr="008A36CB">
        <w:t xml:space="preserve">itself </w:t>
      </w:r>
      <w:r w:rsidR="000F7782">
        <w:t>c</w:t>
      </w:r>
      <w:r w:rsidR="000F7782" w:rsidRPr="008A36CB">
        <w:t xml:space="preserve">ould take </w:t>
      </w:r>
      <w:r w:rsidR="000F7782">
        <w:t xml:space="preserve">more </w:t>
      </w:r>
      <w:r w:rsidR="000F7782" w:rsidRPr="008A36CB">
        <w:t xml:space="preserve">responsibility </w:t>
      </w:r>
      <w:r w:rsidR="000F7782">
        <w:t xml:space="preserve">for lifting standards. The Council suggests </w:t>
      </w:r>
      <w:r w:rsidR="0092045E">
        <w:t>government</w:t>
      </w:r>
      <w:r w:rsidR="00E31C7F">
        <w:t>,</w:t>
      </w:r>
      <w:r w:rsidR="00115902">
        <w:t xml:space="preserve"> the relevant peak bodies</w:t>
      </w:r>
      <w:r w:rsidR="00E31C7F">
        <w:t>, or other bodies or fora</w:t>
      </w:r>
      <w:r w:rsidR="00115902">
        <w:t xml:space="preserve"> for community housing </w:t>
      </w:r>
      <w:r w:rsidR="007B65B8">
        <w:t xml:space="preserve">providers </w:t>
      </w:r>
      <w:r w:rsidR="000F7782">
        <w:t xml:space="preserve">develop </w:t>
      </w:r>
      <w:r w:rsidR="00A066AC">
        <w:t xml:space="preserve">additional </w:t>
      </w:r>
      <w:r w:rsidR="000F7782">
        <w:t>programs to build capability in the sector</w:t>
      </w:r>
      <w:r w:rsidR="006D0382">
        <w:t xml:space="preserve">. For example, these </w:t>
      </w:r>
      <w:r w:rsidR="00C90618">
        <w:t xml:space="preserve">parties </w:t>
      </w:r>
      <w:r w:rsidR="006D0382">
        <w:t xml:space="preserve">could consider leveraging external expertise within the public sector, the private sector and academia through temporary placements </w:t>
      </w:r>
      <w:r w:rsidR="00CF7709">
        <w:t>with</w:t>
      </w:r>
      <w:r w:rsidR="006D0382">
        <w:t xml:space="preserve"> community housing providers. </w:t>
      </w:r>
      <w:r w:rsidR="00CF7709">
        <w:t>This</w:t>
      </w:r>
      <w:r w:rsidR="006D0382">
        <w:t xml:space="preserve"> could build capacity and facilitate knowledge transfer in areas including financial and economic analysis, governance, policy and research, </w:t>
      </w:r>
      <w:r w:rsidR="00206D54">
        <w:t xml:space="preserve">risk management, </w:t>
      </w:r>
      <w:r w:rsidR="006D0382">
        <w:t>procurement and project management.</w:t>
      </w:r>
    </w:p>
    <w:tbl>
      <w:tblPr>
        <w:tblW w:w="5000" w:type="pct"/>
        <w:shd w:val="clear" w:color="auto" w:fill="F2E3C7" w:themeFill="background2"/>
        <w:tblCellMar>
          <w:top w:w="284" w:type="dxa"/>
          <w:left w:w="284" w:type="dxa"/>
          <w:bottom w:w="284" w:type="dxa"/>
          <w:right w:w="284" w:type="dxa"/>
        </w:tblCellMar>
        <w:tblLook w:val="0600" w:firstRow="0" w:lastRow="0" w:firstColumn="0" w:lastColumn="0" w:noHBand="1" w:noVBand="1"/>
      </w:tblPr>
      <w:tblGrid>
        <w:gridCol w:w="9070"/>
      </w:tblGrid>
      <w:tr w:rsidR="009A4DA0" w14:paraId="6BB6C9BC" w14:textId="77777777">
        <w:tc>
          <w:tcPr>
            <w:tcW w:w="5000" w:type="pct"/>
            <w:shd w:val="clear" w:color="auto" w:fill="BAD4E8" w:themeFill="accent5"/>
            <w:hideMark/>
          </w:tcPr>
          <w:p w14:paraId="68113A06" w14:textId="7BF266B9" w:rsidR="00A15722" w:rsidRPr="00A15722" w:rsidRDefault="00A15722" w:rsidP="002F28C1">
            <w:pPr>
              <w:pStyle w:val="BoxHeading"/>
            </w:pPr>
            <w:r w:rsidRPr="002F28C1">
              <w:lastRenderedPageBreak/>
              <w:t>Recommendation</w:t>
            </w:r>
            <w:r w:rsidRPr="00A15722">
              <w:t xml:space="preserve"> </w:t>
            </w:r>
            <w:r w:rsidR="00F03296">
              <w:t>9</w:t>
            </w:r>
            <w:r w:rsidRPr="00A15722">
              <w:t xml:space="preserve">: Supporting </w:t>
            </w:r>
            <w:r w:rsidR="00DA27AC">
              <w:t xml:space="preserve">the </w:t>
            </w:r>
            <w:r w:rsidRPr="00A15722">
              <w:t xml:space="preserve">community housing sector </w:t>
            </w:r>
            <w:r w:rsidR="00150F3E">
              <w:t>to partner</w:t>
            </w:r>
            <w:r w:rsidRPr="00A15722">
              <w:t xml:space="preserve"> with institutional investors</w:t>
            </w:r>
          </w:p>
          <w:p w14:paraId="01F9EAF1" w14:textId="041F5B88" w:rsidR="009A4DA0" w:rsidRDefault="009A4DA0" w:rsidP="00EC29C4">
            <w:pPr>
              <w:pStyle w:val="BoxText"/>
            </w:pPr>
            <w:r>
              <w:t xml:space="preserve">Government support should be provided to the </w:t>
            </w:r>
            <w:r w:rsidRPr="008013B8">
              <w:t>community housing sector, through its peak bodies or other such arrangements</w:t>
            </w:r>
            <w:r>
              <w:t>, to</w:t>
            </w:r>
            <w:r w:rsidRPr="008013B8">
              <w:t xml:space="preserve"> improve the ability of the sector to partner with institutional investors.</w:t>
            </w:r>
            <w:r w:rsidR="00EC29C4" w:rsidRPr="008013B8">
              <w:t xml:space="preserve"> </w:t>
            </w:r>
          </w:p>
        </w:tc>
      </w:tr>
    </w:tbl>
    <w:p w14:paraId="0EEF685B" w14:textId="35794017" w:rsidR="0086013D" w:rsidRPr="00514183" w:rsidRDefault="002A1FF1" w:rsidP="00A83E6C">
      <w:pPr>
        <w:pStyle w:val="Heading2Numbered"/>
      </w:pPr>
      <w:bookmarkStart w:id="162" w:name="_Toc141355283"/>
      <w:r>
        <w:t>Consistent</w:t>
      </w:r>
      <w:r w:rsidR="0086013D">
        <w:t xml:space="preserve"> definitions</w:t>
      </w:r>
      <w:bookmarkEnd w:id="162"/>
      <w:r w:rsidR="00150F3E">
        <w:t xml:space="preserve"> </w:t>
      </w:r>
    </w:p>
    <w:p w14:paraId="6E094182" w14:textId="3F4AA9C3" w:rsidR="0086013D" w:rsidRDefault="0086013D" w:rsidP="002F28C1">
      <w:r w:rsidRPr="479AD369">
        <w:t xml:space="preserve">There is a wide range of types of housing that can be considered </w:t>
      </w:r>
      <w:r w:rsidR="00563A2B">
        <w:t>‘</w:t>
      </w:r>
      <w:r w:rsidRPr="479AD369">
        <w:t>social and affordable housing</w:t>
      </w:r>
      <w:r w:rsidR="00563A2B">
        <w:t>’</w:t>
      </w:r>
      <w:r w:rsidRPr="479AD369">
        <w:t xml:space="preserve"> (see Box 1). The phrase can refer to housing for those on very low incomes and the most vulnerable in our community, such as crisis accommodation and specialist housing, through to below</w:t>
      </w:r>
      <w:r w:rsidR="00E2013B">
        <w:noBreakHyphen/>
      </w:r>
      <w:r w:rsidRPr="479AD369">
        <w:t xml:space="preserve">market rental housing, such as discounted housing for </w:t>
      </w:r>
      <w:r w:rsidR="00563A2B">
        <w:t>‘</w:t>
      </w:r>
      <w:r w:rsidRPr="479AD369">
        <w:t>key workers</w:t>
      </w:r>
      <w:r w:rsidR="00563A2B">
        <w:t>’</w:t>
      </w:r>
      <w:r w:rsidRPr="479AD369">
        <w:t xml:space="preserve">. But governments, policy makers and industry often use the broad term of </w:t>
      </w:r>
      <w:r w:rsidR="00563A2B">
        <w:t>‘</w:t>
      </w:r>
      <w:r w:rsidRPr="479AD369">
        <w:t>social and affordable</w:t>
      </w:r>
      <w:r w:rsidR="00563A2B">
        <w:t>’</w:t>
      </w:r>
      <w:r w:rsidRPr="479AD369">
        <w:t xml:space="preserve"> housing without clarifying the meaning of the term. The term presents the sector as a uniform asset class, and disguises the diversity in the different providers and classes of housing. This lack of </w:t>
      </w:r>
      <w:r w:rsidR="004519DA" w:rsidRPr="479AD369">
        <w:t>consistency and</w:t>
      </w:r>
      <w:r w:rsidRPr="479AD369">
        <w:t xml:space="preserve"> specificity means institutional investors face </w:t>
      </w:r>
      <w:r w:rsidR="004519DA" w:rsidRPr="479AD369">
        <w:t>additional</w:t>
      </w:r>
      <w:r w:rsidRPr="479AD369">
        <w:t xml:space="preserve"> </w:t>
      </w:r>
      <w:r w:rsidR="004519DA" w:rsidRPr="479AD369">
        <w:t>uncertainty and risk</w:t>
      </w:r>
      <w:r w:rsidRPr="479AD369">
        <w:t xml:space="preserve"> when making investment decisions </w:t>
      </w:r>
      <w:r w:rsidR="008C5C65">
        <w:t>on</w:t>
      </w:r>
      <w:r w:rsidRPr="479AD369">
        <w:t xml:space="preserve"> social and affordable housing projects</w:t>
      </w:r>
      <w:r w:rsidR="00AC4A90" w:rsidRPr="479AD369">
        <w:t>, particularly</w:t>
      </w:r>
      <w:r w:rsidR="00A52CC2" w:rsidRPr="479AD369">
        <w:t xml:space="preserve"> given institutional investors often need to secure a patchwork of government subsidies to ensure social and affordable housing developments are financially viable. </w:t>
      </w:r>
    </w:p>
    <w:p w14:paraId="74230D30" w14:textId="7505B08E" w:rsidR="0086013D" w:rsidRPr="00113672" w:rsidRDefault="00563A2B" w:rsidP="002F28C1">
      <w:r>
        <w:t>‘</w:t>
      </w:r>
      <w:r w:rsidR="0086013D" w:rsidRPr="3D9189AA">
        <w:t>Affordability</w:t>
      </w:r>
      <w:r>
        <w:t>’</w:t>
      </w:r>
      <w:r w:rsidR="0086013D" w:rsidRPr="3D9189AA">
        <w:t xml:space="preserve"> </w:t>
      </w:r>
      <w:r w:rsidR="000A403A">
        <w:t>can be</w:t>
      </w:r>
      <w:r w:rsidR="0086013D" w:rsidRPr="3D9189AA">
        <w:t xml:space="preserve"> defined </w:t>
      </w:r>
      <w:r w:rsidR="007503DA">
        <w:t>by</w:t>
      </w:r>
      <w:r w:rsidR="0086013D" w:rsidRPr="3D9189AA">
        <w:t xml:space="preserve"> a household</w:t>
      </w:r>
      <w:r>
        <w:t>’</w:t>
      </w:r>
      <w:r w:rsidR="0086013D" w:rsidRPr="3D9189AA">
        <w:t>s ability to pay (</w:t>
      </w:r>
      <w:r w:rsidR="007503DA">
        <w:t xml:space="preserve">usually with reference to </w:t>
      </w:r>
      <w:r w:rsidR="0086013D" w:rsidRPr="3D9189AA">
        <w:t>the household</w:t>
      </w:r>
      <w:r>
        <w:t>’</w:t>
      </w:r>
      <w:r w:rsidR="0086013D" w:rsidRPr="3D9189AA">
        <w:t xml:space="preserve">s income), or </w:t>
      </w:r>
      <w:r w:rsidR="007503DA">
        <w:t xml:space="preserve">as a discount to </w:t>
      </w:r>
      <w:r w:rsidR="000A403A">
        <w:t>a</w:t>
      </w:r>
      <w:r w:rsidR="0086013D" w:rsidRPr="3D9189AA">
        <w:t xml:space="preserve"> market </w:t>
      </w:r>
      <w:r w:rsidR="000A403A">
        <w:t>price</w:t>
      </w:r>
      <w:r w:rsidR="0086013D" w:rsidRPr="3D9189AA">
        <w:t xml:space="preserve">. </w:t>
      </w:r>
      <w:r>
        <w:t>‘</w:t>
      </w:r>
      <w:r w:rsidR="0086013D" w:rsidRPr="3D9189AA">
        <w:t>Affordable housing</w:t>
      </w:r>
      <w:r>
        <w:t>’</w:t>
      </w:r>
      <w:r w:rsidR="0086013D" w:rsidRPr="3D9189AA">
        <w:t xml:space="preserve"> sometimes only refers to rental housing</w:t>
      </w:r>
      <w:r w:rsidR="00E2013B">
        <w:t>;</w:t>
      </w:r>
      <w:r w:rsidR="0086013D" w:rsidRPr="3D9189AA">
        <w:t xml:space="preserve"> in other contexts it includes pathways to homeownership, such as discounted price points, shared equity and low deposit home loans schemes. It can sometimes also encompass social housing. </w:t>
      </w:r>
    </w:p>
    <w:p w14:paraId="33E6EB1E" w14:textId="10D47A4B" w:rsidR="0086013D" w:rsidRPr="008A36CB" w:rsidRDefault="0086013D" w:rsidP="00ED4986">
      <w:pPr>
        <w:spacing w:after="120"/>
      </w:pPr>
      <w:r w:rsidRPr="479AD369">
        <w:t xml:space="preserve">In the context of affordable rental housing, there are </w:t>
      </w:r>
      <w:r w:rsidR="00FC6985">
        <w:t>2</w:t>
      </w:r>
      <w:r w:rsidRPr="479AD369">
        <w:t xml:space="preserve"> broad approaches to defining </w:t>
      </w:r>
      <w:r w:rsidR="00563A2B">
        <w:t>‘</w:t>
      </w:r>
      <w:r w:rsidRPr="479AD369">
        <w:t>affordability</w:t>
      </w:r>
      <w:r w:rsidR="00563A2B">
        <w:t>’</w:t>
      </w:r>
      <w:r w:rsidRPr="479AD369">
        <w:t>:</w:t>
      </w:r>
    </w:p>
    <w:p w14:paraId="3CD6B856" w14:textId="1CD96402" w:rsidR="0086013D" w:rsidRPr="002F28C1" w:rsidRDefault="0086013D" w:rsidP="00ED4986">
      <w:pPr>
        <w:pStyle w:val="Bullet"/>
      </w:pPr>
      <w:r>
        <w:t>as</w:t>
      </w:r>
      <w:r w:rsidRPr="00F0771D">
        <w:t xml:space="preserve"> a proportion of market rent, </w:t>
      </w:r>
      <w:r w:rsidRPr="00ED4986">
        <w:t>usually</w:t>
      </w:r>
      <w:r w:rsidRPr="002F28C1">
        <w:t xml:space="preserve"> less than 75</w:t>
      </w:r>
      <w:r w:rsidR="00E67AFE">
        <w:t> per </w:t>
      </w:r>
      <w:r w:rsidRPr="002F28C1">
        <w:t>cent</w:t>
      </w:r>
      <w:r w:rsidRPr="00234AC5">
        <w:rPr>
          <w:vertAlign w:val="superscript"/>
        </w:rPr>
        <w:footnoteReference w:id="4"/>
      </w:r>
    </w:p>
    <w:p w14:paraId="146A9E4D" w14:textId="2F477282" w:rsidR="0086013D" w:rsidRPr="00F0771D" w:rsidRDefault="0086013D" w:rsidP="002F28C1">
      <w:pPr>
        <w:pStyle w:val="Bullet"/>
      </w:pPr>
      <w:r w:rsidRPr="002F28C1">
        <w:t>as a proportion of household income</w:t>
      </w:r>
      <w:r w:rsidRPr="00F0771D">
        <w:t>, usually 30</w:t>
      </w:r>
      <w:r w:rsidR="00E67AFE">
        <w:t> per </w:t>
      </w:r>
      <w:r>
        <w:t>cent</w:t>
      </w:r>
      <w:r w:rsidRPr="00F0771D">
        <w:t xml:space="preserve"> or less</w:t>
      </w:r>
      <w:r w:rsidRPr="479AD369">
        <w:rPr>
          <w:vertAlign w:val="superscript"/>
        </w:rPr>
        <w:footnoteReference w:id="5"/>
      </w:r>
      <w:r w:rsidRPr="00F0771D">
        <w:t>.</w:t>
      </w:r>
    </w:p>
    <w:p w14:paraId="2D13FBEA" w14:textId="1DF2E0C5" w:rsidR="0086013D" w:rsidRPr="00885000" w:rsidRDefault="00A508E1" w:rsidP="002F28C1">
      <w:r w:rsidRPr="00885000">
        <w:t>S</w:t>
      </w:r>
      <w:r>
        <w:t>ometimes</w:t>
      </w:r>
      <w:r w:rsidR="00D71CDB">
        <w:t xml:space="preserve">, affordable housing is defined by the entity providing the housing service. For example, to access the </w:t>
      </w:r>
      <w:r>
        <w:t>lower</w:t>
      </w:r>
      <w:r w:rsidR="0086013D">
        <w:t xml:space="preserve"> </w:t>
      </w:r>
      <w:r w:rsidR="0086013D" w:rsidRPr="00885000">
        <w:t>15</w:t>
      </w:r>
      <w:r w:rsidR="00E67AFE">
        <w:t> per </w:t>
      </w:r>
      <w:r w:rsidR="0086013D" w:rsidRPr="00885000">
        <w:t xml:space="preserve">cent Managed Investment Trust withholding tax rate for affordable housing in the </w:t>
      </w:r>
      <w:r w:rsidR="0086013D" w:rsidRPr="003C207E">
        <w:rPr>
          <w:i/>
        </w:rPr>
        <w:t>Income Tax Assessment Act 1997</w:t>
      </w:r>
      <w:r w:rsidR="0086013D" w:rsidRPr="00885000">
        <w:t xml:space="preserve"> (Commonwealth), an </w:t>
      </w:r>
      <w:r w:rsidR="00563A2B">
        <w:t>‘</w:t>
      </w:r>
      <w:r w:rsidR="0086013D" w:rsidRPr="00885000">
        <w:t>affordable dwelling</w:t>
      </w:r>
      <w:r w:rsidR="00563A2B">
        <w:t>’</w:t>
      </w:r>
      <w:r w:rsidR="0086013D" w:rsidRPr="00885000">
        <w:t xml:space="preserve"> is defined as one managed by a registered community housing provider.</w:t>
      </w:r>
    </w:p>
    <w:p w14:paraId="01F23163" w14:textId="35794017" w:rsidR="007A1856" w:rsidRPr="00FE269D" w:rsidRDefault="00490812" w:rsidP="002F28C1">
      <w:r w:rsidRPr="00885000">
        <w:t xml:space="preserve">These differing definitions highlight the fundamental differences </w:t>
      </w:r>
      <w:r w:rsidR="00A355DC" w:rsidRPr="00885000">
        <w:t xml:space="preserve">between the needs of the various </w:t>
      </w:r>
      <w:r w:rsidR="00E810A0" w:rsidRPr="00885000">
        <w:t>ac</w:t>
      </w:r>
      <w:r w:rsidR="00A53D1C" w:rsidRPr="00885000">
        <w:t>tors</w:t>
      </w:r>
      <w:r w:rsidR="00A355DC" w:rsidRPr="00885000">
        <w:t xml:space="preserve"> involved in social and affordable housing</w:t>
      </w:r>
      <w:r w:rsidR="0029676C" w:rsidRPr="00885000">
        <w:t xml:space="preserve">. For </w:t>
      </w:r>
      <w:r w:rsidR="00CA7B2F" w:rsidRPr="00885000">
        <w:t xml:space="preserve">institutional </w:t>
      </w:r>
      <w:r w:rsidR="0029676C" w:rsidRPr="00885000">
        <w:t xml:space="preserve">investors, </w:t>
      </w:r>
      <w:r w:rsidR="005003EC" w:rsidRPr="00885000">
        <w:t>a</w:t>
      </w:r>
      <w:r w:rsidR="0029676C" w:rsidRPr="00885000">
        <w:t xml:space="preserve"> </w:t>
      </w:r>
      <w:r w:rsidR="00CA7B2F" w:rsidRPr="00885000">
        <w:t xml:space="preserve">reference to a market rate </w:t>
      </w:r>
      <w:r w:rsidR="00A53D1C" w:rsidRPr="00885000">
        <w:t>helps meet</w:t>
      </w:r>
      <w:r w:rsidR="00CA7B2F" w:rsidRPr="00885000">
        <w:t xml:space="preserve"> their legal obligations to members and regulators</w:t>
      </w:r>
      <w:r w:rsidR="008C24BB" w:rsidRPr="00885000">
        <w:t xml:space="preserve">; for </w:t>
      </w:r>
      <w:r w:rsidR="00D908F0" w:rsidRPr="00885000">
        <w:t xml:space="preserve">those seeking to achieve </w:t>
      </w:r>
      <w:r w:rsidR="008C24BB" w:rsidRPr="00885000">
        <w:t xml:space="preserve">social </w:t>
      </w:r>
      <w:r w:rsidR="008C24BB" w:rsidRPr="00885000">
        <w:lastRenderedPageBreak/>
        <w:t xml:space="preserve">policy </w:t>
      </w:r>
      <w:r w:rsidR="00D908F0" w:rsidRPr="00885000">
        <w:t xml:space="preserve">aims, </w:t>
      </w:r>
      <w:r w:rsidR="00DC6DAC" w:rsidRPr="00885000">
        <w:t xml:space="preserve">a </w:t>
      </w:r>
      <w:r w:rsidR="00D908F0" w:rsidRPr="00885000">
        <w:t xml:space="preserve">reference to </w:t>
      </w:r>
      <w:r w:rsidR="00DC6DAC" w:rsidRPr="00885000">
        <w:t xml:space="preserve">the </w:t>
      </w:r>
      <w:r w:rsidR="00D908F0" w:rsidRPr="00885000">
        <w:t xml:space="preserve">ability </w:t>
      </w:r>
      <w:r w:rsidR="00DC6DAC" w:rsidRPr="00885000">
        <w:t xml:space="preserve">of households </w:t>
      </w:r>
      <w:r w:rsidR="00D908F0" w:rsidRPr="00885000">
        <w:t xml:space="preserve">to pay </w:t>
      </w:r>
      <w:r w:rsidR="004F1BA4" w:rsidRPr="00885000">
        <w:t xml:space="preserve">helps ensure subsidies are well calibrated; and for governments, references to existing regulatory architecture </w:t>
      </w:r>
      <w:r w:rsidR="00AC010F" w:rsidRPr="00885000">
        <w:t>supports administrative efficiency</w:t>
      </w:r>
      <w:r w:rsidRPr="008A36CB">
        <w:t>.</w:t>
      </w:r>
      <w:r w:rsidR="00FE269D" w:rsidRPr="00885000">
        <w:t xml:space="preserve"> </w:t>
      </w:r>
      <w:r w:rsidR="007A1856" w:rsidRPr="00885000">
        <w:t>While agreeing on</w:t>
      </w:r>
      <w:r w:rsidR="00321634" w:rsidRPr="00885000">
        <w:t>, and implementing,</w:t>
      </w:r>
      <w:r w:rsidR="007A1856" w:rsidRPr="00885000">
        <w:t xml:space="preserve"> common definitions </w:t>
      </w:r>
      <w:r w:rsidR="00321634" w:rsidRPr="00885000">
        <w:t xml:space="preserve">will be difficult, there are considerable benefits to be had, not just for institutional investors, but for the sector more generally. </w:t>
      </w:r>
    </w:p>
    <w:tbl>
      <w:tblPr>
        <w:tblW w:w="5000" w:type="pct"/>
        <w:shd w:val="clear" w:color="auto" w:fill="BAD4E8" w:themeFill="accent5"/>
        <w:tblCellMar>
          <w:top w:w="284" w:type="dxa"/>
          <w:left w:w="284" w:type="dxa"/>
          <w:bottom w:w="284" w:type="dxa"/>
          <w:right w:w="284" w:type="dxa"/>
        </w:tblCellMar>
        <w:tblLook w:val="0600" w:firstRow="0" w:lastRow="0" w:firstColumn="0" w:lastColumn="0" w:noHBand="1" w:noVBand="1"/>
      </w:tblPr>
      <w:tblGrid>
        <w:gridCol w:w="9070"/>
      </w:tblGrid>
      <w:tr w:rsidR="0086013D" w14:paraId="3F44E388" w14:textId="77777777">
        <w:tc>
          <w:tcPr>
            <w:tcW w:w="5000" w:type="pct"/>
            <w:shd w:val="clear" w:color="auto" w:fill="BAD4E8" w:themeFill="accent5"/>
            <w:hideMark/>
          </w:tcPr>
          <w:p w14:paraId="7BEB8B16" w14:textId="3095803A" w:rsidR="0086013D" w:rsidRPr="00851457" w:rsidRDefault="0086013D" w:rsidP="002F28C1">
            <w:pPr>
              <w:pStyle w:val="BoxHeading"/>
            </w:pPr>
            <w:r w:rsidRPr="00851457">
              <w:t xml:space="preserve">Recommendation </w:t>
            </w:r>
            <w:r w:rsidR="00F03296">
              <w:t>10</w:t>
            </w:r>
            <w:r w:rsidRPr="002A429B">
              <w:t>: Standardising definitions</w:t>
            </w:r>
            <w:r w:rsidRPr="00851457">
              <w:t xml:space="preserve"> in the social and affordable housing sector</w:t>
            </w:r>
          </w:p>
          <w:p w14:paraId="1643BA0B" w14:textId="234DA6C6" w:rsidR="0086013D" w:rsidRPr="00C318E7" w:rsidRDefault="0086013D" w:rsidP="002F28C1">
            <w:pPr>
              <w:pStyle w:val="BoxText"/>
            </w:pPr>
            <w:r w:rsidRPr="00644324">
              <w:t xml:space="preserve">Commonwealth, state and territory governments, with input from the </w:t>
            </w:r>
            <w:r>
              <w:t>c</w:t>
            </w:r>
            <w:r w:rsidRPr="00644324">
              <w:rPr>
                <w:iCs/>
              </w:rPr>
              <w:t xml:space="preserve">ommunity </w:t>
            </w:r>
            <w:r>
              <w:rPr>
                <w:iCs/>
              </w:rPr>
              <w:t>h</w:t>
            </w:r>
            <w:r w:rsidRPr="00644324">
              <w:rPr>
                <w:iCs/>
              </w:rPr>
              <w:t xml:space="preserve">ousing </w:t>
            </w:r>
            <w:r w:rsidRPr="00644324">
              <w:t xml:space="preserve">sector, </w:t>
            </w:r>
            <w:r>
              <w:t xml:space="preserve">should </w:t>
            </w:r>
            <w:r w:rsidRPr="00644324">
              <w:t xml:space="preserve">develop and adopt common definitions </w:t>
            </w:r>
            <w:r>
              <w:t xml:space="preserve">of matters related to social and </w:t>
            </w:r>
            <w:r w:rsidRPr="00644324">
              <w:t>affordable housing</w:t>
            </w:r>
            <w:r>
              <w:t xml:space="preserve">, including consistent definitions of </w:t>
            </w:r>
            <w:r w:rsidR="00563A2B">
              <w:t>‘</w:t>
            </w:r>
            <w:r>
              <w:t>affordable</w:t>
            </w:r>
            <w:r w:rsidR="00563A2B">
              <w:t>’</w:t>
            </w:r>
            <w:r>
              <w:t xml:space="preserve">. These definitions should </w:t>
            </w:r>
            <w:r w:rsidRPr="00644324">
              <w:t xml:space="preserve">be progressively </w:t>
            </w:r>
            <w:r w:rsidRPr="00644324">
              <w:rPr>
                <w:rFonts w:cstheme="minorHAnsi"/>
              </w:rPr>
              <w:t xml:space="preserve">applied </w:t>
            </w:r>
            <w:r w:rsidR="00135B85">
              <w:rPr>
                <w:rFonts w:cstheme="minorHAnsi"/>
              </w:rPr>
              <w:t>to</w:t>
            </w:r>
            <w:r w:rsidRPr="00644324">
              <w:rPr>
                <w:rFonts w:cstheme="minorHAnsi"/>
              </w:rPr>
              <w:t xml:space="preserve"> regulatory systems, planning schemes, funding agreements and government policies</w:t>
            </w:r>
            <w:r w:rsidRPr="00644324">
              <w:t>.</w:t>
            </w:r>
          </w:p>
        </w:tc>
      </w:tr>
    </w:tbl>
    <w:p w14:paraId="73DE6DCA" w14:textId="6AD3CC15" w:rsidR="00D05C10" w:rsidRPr="00D05C10" w:rsidRDefault="002928CF" w:rsidP="00A83E6C">
      <w:pPr>
        <w:pStyle w:val="Heading2Numbered"/>
      </w:pPr>
      <w:bookmarkStart w:id="163" w:name="_Toc139618850"/>
      <w:bookmarkStart w:id="164" w:name="_Toc139635576"/>
      <w:bookmarkStart w:id="165" w:name="_Toc141355284"/>
      <w:r>
        <w:t>Supporting</w:t>
      </w:r>
      <w:r w:rsidR="00D05C10">
        <w:t xml:space="preserve"> aggregators to facilitate scale</w:t>
      </w:r>
      <w:bookmarkEnd w:id="163"/>
      <w:bookmarkEnd w:id="164"/>
      <w:bookmarkEnd w:id="165"/>
    </w:p>
    <w:p w14:paraId="3726DDD6" w14:textId="35794017" w:rsidR="00D05C10" w:rsidRPr="007F7E5C" w:rsidRDefault="00D05C10" w:rsidP="002F28C1">
      <w:r w:rsidRPr="479AD369">
        <w:t>Institutional investors require large projects to achieve sufficient scale to spread the fixed costs associated with developing and/or acquiring a</w:t>
      </w:r>
      <w:r w:rsidR="000879D9" w:rsidRPr="479AD369">
        <w:t>n</w:t>
      </w:r>
      <w:r w:rsidRPr="479AD369">
        <w:t xml:space="preserve"> asset. Scale also helps investors spread out ongoing management costs. More generally, institutional investors need to invest in several projects of sufficient scale to warrant investing in their capacity to invest in institutional housing. </w:t>
      </w:r>
    </w:p>
    <w:p w14:paraId="69193388" w14:textId="6FB5C78A" w:rsidR="00D05C10" w:rsidRPr="007F7E5C" w:rsidRDefault="00D05C10" w:rsidP="007E3CC6">
      <w:pPr>
        <w:keepLines/>
      </w:pPr>
      <w:r w:rsidRPr="479AD369">
        <w:t xml:space="preserve">Some academic studies suggest the </w:t>
      </w:r>
      <w:r w:rsidR="00563A2B">
        <w:t>‘</w:t>
      </w:r>
      <w:r w:rsidRPr="479AD369">
        <w:t>package scale</w:t>
      </w:r>
      <w:r w:rsidR="00563A2B">
        <w:t>’</w:t>
      </w:r>
      <w:r w:rsidRPr="479AD369">
        <w:t xml:space="preserve"> needed for a single large </w:t>
      </w:r>
      <w:r w:rsidR="0077636F">
        <w:t>institutional investor</w:t>
      </w:r>
      <w:r w:rsidRPr="479AD369">
        <w:t xml:space="preserve"> to invest in rental housing projects is between $50 million and $200 million</w:t>
      </w:r>
      <w:r w:rsidRPr="479AD369" w:rsidDel="00C54C6E">
        <w:t xml:space="preserve"> </w:t>
      </w:r>
      <w:r w:rsidRPr="479AD369">
        <w:t xml:space="preserve">(Milligan </w:t>
      </w:r>
      <w:r w:rsidR="005F7DBF">
        <w:t>and others</w:t>
      </w:r>
      <w:r w:rsidRPr="479AD369">
        <w:t xml:space="preserve"> 2013).</w:t>
      </w:r>
      <w:r w:rsidRPr="479AD369" w:rsidDel="00C54C6E">
        <w:t xml:space="preserve"> </w:t>
      </w:r>
      <w:r w:rsidRPr="479AD369">
        <w:t xml:space="preserve">Discussions with stakeholders for this </w:t>
      </w:r>
      <w:r w:rsidR="00B12023">
        <w:t>r</w:t>
      </w:r>
      <w:r w:rsidRPr="479AD369">
        <w:t xml:space="preserve">eport indicate that a project needs to be at least $300 million to warrant investment. Tables 5 and 6 </w:t>
      </w:r>
      <w:r w:rsidR="00097310">
        <w:t>(Chapter 4)</w:t>
      </w:r>
      <w:r w:rsidRPr="479AD369">
        <w:t xml:space="preserve"> show that most projects that have occurred in Australia are between $50 million and $500 million. </w:t>
      </w:r>
    </w:p>
    <w:p w14:paraId="06DACB9D" w14:textId="594124D1" w:rsidR="00D05C10" w:rsidRDefault="00D05C10" w:rsidP="002F28C1">
      <w:r w:rsidRPr="479AD369">
        <w:t>There are limited opportunities for institutional investors to acquire residential housing assets on such scale. This largely reflects the lack of a pipeline of appropriate projects reaching market (see Chapter </w:t>
      </w:r>
      <w:r w:rsidR="00D01B59">
        <w:t>6</w:t>
      </w:r>
      <w:r w:rsidRPr="479AD369">
        <w:t xml:space="preserve">). In </w:t>
      </w:r>
      <w:r w:rsidR="00167CAA" w:rsidRPr="479AD369">
        <w:t>addition, for</w:t>
      </w:r>
      <w:r w:rsidRPr="479AD369">
        <w:t xml:space="preserve"> social and affordable housing the limited size and financial capability of some community housing provider partners and the relatively small project sizes may limit institutional appetite to invest (see </w:t>
      </w:r>
      <w:r w:rsidR="00445498" w:rsidRPr="479AD369">
        <w:t xml:space="preserve">section </w:t>
      </w:r>
      <w:r w:rsidR="00995A2D" w:rsidRPr="479AD369">
        <w:t>8.2</w:t>
      </w:r>
      <w:r w:rsidRPr="479AD369">
        <w:t>)</w:t>
      </w:r>
      <w:r w:rsidR="00EB496D">
        <w:t xml:space="preserve">. </w:t>
      </w:r>
    </w:p>
    <w:p w14:paraId="12C20C65" w14:textId="3E3B067E" w:rsidR="00D05C10" w:rsidRPr="007F7E5C" w:rsidRDefault="00D05C10" w:rsidP="002F28C1">
      <w:r w:rsidRPr="479AD369">
        <w:t>Governments could facilitate scale in the sector by supporting the use of aggregators, particularly for social and affordable housing (where a private sector aggregator is less likely to emerge). Aggregation vehicles have demonstrated that pooling assets into a single vehicle is an effective way of achieving scale (and of sharing risk and costs). These vehicles can involve the aggregation of housing assets (i.e.</w:t>
      </w:r>
      <w:r w:rsidR="009D2A46">
        <w:t> </w:t>
      </w:r>
      <w:r w:rsidRPr="479AD369">
        <w:t>buildings),</w:t>
      </w:r>
      <w:r w:rsidR="00FA71B6">
        <w:t xml:space="preserve"> equity stakes,</w:t>
      </w:r>
      <w:r w:rsidRPr="479AD369">
        <w:t xml:space="preserve"> or of debt issued by developers or owners. Investment in the aggregator can be by one or many investors. They are familiar to institutional investors, who invest widely in such vehicles (e.g. into REITS), and who themselves are a type of aggregator (they pool capital from investors and invest in a range of assets). </w:t>
      </w:r>
    </w:p>
    <w:p w14:paraId="396247AC" w14:textId="11936EE0" w:rsidR="00D05C10" w:rsidRDefault="00D05C10" w:rsidP="002F28C1">
      <w:r w:rsidRPr="479AD369">
        <w:t xml:space="preserve">At present, the largest aggregation vehicle in the residential housing sector is the Affordable Housing Bond Aggregator, administered by NHFIC. </w:t>
      </w:r>
      <w:r w:rsidR="0052211E">
        <w:t>T</w:t>
      </w:r>
      <w:r w:rsidRPr="479AD369">
        <w:t xml:space="preserve">he Affordable Housing Bond Aggregator aggregates loans made to community housing providers by NHFIC and in turn issues affordable housing bonds to investors to fund those loans. These bonds are </w:t>
      </w:r>
      <w:r w:rsidR="003D0036" w:rsidRPr="479AD369">
        <w:t xml:space="preserve">currently </w:t>
      </w:r>
      <w:r w:rsidRPr="479AD369">
        <w:t>supported by a Commonwealth guarantee, meaning that institutional investors are not taking a direct exposure to the underlying housing assets</w:t>
      </w:r>
      <w:r w:rsidRPr="479AD369" w:rsidDel="00BB0C97">
        <w:t>.</w:t>
      </w:r>
    </w:p>
    <w:p w14:paraId="7EF9EE6A" w14:textId="6F64A0E8" w:rsidR="00402261" w:rsidRPr="007F7E5C" w:rsidRDefault="00D05C10" w:rsidP="002F28C1">
      <w:r w:rsidRPr="479AD369">
        <w:lastRenderedPageBreak/>
        <w:t>Some stakeholders observed</w:t>
      </w:r>
      <w:r w:rsidR="003F0B6F">
        <w:t xml:space="preserve"> that </w:t>
      </w:r>
      <w:r w:rsidRPr="479AD369">
        <w:t>the Affordable Housing Bond Aggregator has created a market for Commonwealth</w:t>
      </w:r>
      <w:r w:rsidR="00563A2B">
        <w:noBreakHyphen/>
      </w:r>
      <w:r w:rsidRPr="479AD369">
        <w:t>guaranteed debt that pays a yield premium over equivalent Australian Government Bonds (on average around 40 basis points)</w:t>
      </w:r>
      <w:r w:rsidR="00ED37F9">
        <w:t xml:space="preserve">, but </w:t>
      </w:r>
      <w:r w:rsidR="0044707E">
        <w:t xml:space="preserve">this has </w:t>
      </w:r>
      <w:r w:rsidR="00ED37F9">
        <w:t xml:space="preserve">not as yet </w:t>
      </w:r>
      <w:r w:rsidR="0044707E">
        <w:t>translated into</w:t>
      </w:r>
      <w:r w:rsidR="005A370C">
        <w:t xml:space="preserve"> the formation of</w:t>
      </w:r>
      <w:r w:rsidR="0044707E">
        <w:t xml:space="preserve"> </w:t>
      </w:r>
      <w:r w:rsidRPr="479AD369">
        <w:t xml:space="preserve">a market for </w:t>
      </w:r>
      <w:r w:rsidR="003A71C9">
        <w:t xml:space="preserve">debt issued by </w:t>
      </w:r>
      <w:r w:rsidR="00BC6AF1">
        <w:t xml:space="preserve">affordable housing providers </w:t>
      </w:r>
      <w:r w:rsidR="001178A6">
        <w:t xml:space="preserve">that is </w:t>
      </w:r>
      <w:r w:rsidR="00BC6AF1">
        <w:t>purchased directly by providers of private capital</w:t>
      </w:r>
      <w:r w:rsidR="00335136">
        <w:t xml:space="preserve"> (</w:t>
      </w:r>
      <w:r w:rsidR="00C44005">
        <w:t>Treasury</w:t>
      </w:r>
      <w:r w:rsidR="00335136" w:rsidRPr="00335136">
        <w:t xml:space="preserve"> </w:t>
      </w:r>
      <w:r w:rsidR="00335136">
        <w:t>2021)</w:t>
      </w:r>
      <w:r w:rsidR="00BC6AF1">
        <w:t xml:space="preserve">. </w:t>
      </w:r>
      <w:r w:rsidR="00BF3B2D">
        <w:t xml:space="preserve">That said, the </w:t>
      </w:r>
      <w:r w:rsidR="00DC62B0" w:rsidRPr="479AD369">
        <w:t>Affordable Housing Bond Aggregator</w:t>
      </w:r>
      <w:r w:rsidR="00DC62B0">
        <w:t xml:space="preserve"> </w:t>
      </w:r>
      <w:r w:rsidR="00A36AB4">
        <w:t xml:space="preserve">has </w:t>
      </w:r>
      <w:r w:rsidR="00895839">
        <w:t xml:space="preserve">significantly expanded access </w:t>
      </w:r>
      <w:r w:rsidR="00547022">
        <w:t>to</w:t>
      </w:r>
      <w:r w:rsidR="00E07B9E">
        <w:t>, and reduced the cost of,</w:t>
      </w:r>
      <w:r w:rsidR="00547022">
        <w:t xml:space="preserve"> finance </w:t>
      </w:r>
      <w:r w:rsidR="00AD536F">
        <w:t>for</w:t>
      </w:r>
      <w:r w:rsidR="00A215B9">
        <w:t xml:space="preserve"> </w:t>
      </w:r>
      <w:r w:rsidR="00A36AB4">
        <w:t>affordable housing providers</w:t>
      </w:r>
      <w:r w:rsidR="00CB0FA0">
        <w:t xml:space="preserve">, which has supported the creation and </w:t>
      </w:r>
      <w:r w:rsidR="0024388A">
        <w:t>ongoing</w:t>
      </w:r>
      <w:r w:rsidR="00CB0FA0">
        <w:t xml:space="preserve"> provision of affordable housing dwellings. </w:t>
      </w:r>
    </w:p>
    <w:tbl>
      <w:tblPr>
        <w:tblW w:w="5000" w:type="pct"/>
        <w:shd w:val="clear" w:color="auto" w:fill="BAD4E8" w:themeFill="accent5"/>
        <w:tblCellMar>
          <w:top w:w="284" w:type="dxa"/>
          <w:left w:w="284" w:type="dxa"/>
          <w:bottom w:w="284" w:type="dxa"/>
          <w:right w:w="284" w:type="dxa"/>
        </w:tblCellMar>
        <w:tblLook w:val="0600" w:firstRow="0" w:lastRow="0" w:firstColumn="0" w:lastColumn="0" w:noHBand="1" w:noVBand="1"/>
      </w:tblPr>
      <w:tblGrid>
        <w:gridCol w:w="9070"/>
      </w:tblGrid>
      <w:tr w:rsidR="00D05C10" w14:paraId="48FAFCF6" w14:textId="77777777">
        <w:tc>
          <w:tcPr>
            <w:tcW w:w="5000" w:type="pct"/>
            <w:shd w:val="clear" w:color="auto" w:fill="BAD4E8" w:themeFill="accent5"/>
            <w:hideMark/>
          </w:tcPr>
          <w:p w14:paraId="3C48B8A2" w14:textId="38FA6DE1" w:rsidR="00D05C10" w:rsidRPr="009A7747" w:rsidRDefault="00D05C10" w:rsidP="002F28C1">
            <w:pPr>
              <w:pStyle w:val="BoxHeading"/>
            </w:pPr>
            <w:r w:rsidRPr="009A7747">
              <w:t xml:space="preserve">Recommendation </w:t>
            </w:r>
            <w:r w:rsidR="002A1FF1">
              <w:t>1</w:t>
            </w:r>
            <w:r w:rsidR="00F03296">
              <w:t>1</w:t>
            </w:r>
            <w:r w:rsidRPr="009A7747">
              <w:t xml:space="preserve">: Establishing </w:t>
            </w:r>
            <w:r w:rsidR="00DD0F11">
              <w:t>a</w:t>
            </w:r>
            <w:r w:rsidR="00E07719">
              <w:t xml:space="preserve"> social and</w:t>
            </w:r>
            <w:r w:rsidR="00DD0F11">
              <w:t xml:space="preserve"> affordable </w:t>
            </w:r>
            <w:r>
              <w:t xml:space="preserve">housing </w:t>
            </w:r>
            <w:r w:rsidR="00E07719">
              <w:t>asset</w:t>
            </w:r>
            <w:r w:rsidR="00DD0F11">
              <w:t xml:space="preserve"> aggregator</w:t>
            </w:r>
          </w:p>
          <w:p w14:paraId="4CE003B4" w14:textId="7B8E220C" w:rsidR="00D05C10" w:rsidRDefault="00D05C10" w:rsidP="002C2697">
            <w:pPr>
              <w:pStyle w:val="BoxText"/>
            </w:pPr>
            <w:r w:rsidRPr="00E304D0">
              <w:t xml:space="preserve">The Commonwealth should </w:t>
            </w:r>
            <w:r>
              <w:t>support the establishment of</w:t>
            </w:r>
            <w:r w:rsidRPr="00E304D0">
              <w:t xml:space="preserve"> </w:t>
            </w:r>
            <w:r w:rsidR="00F7616B">
              <w:t xml:space="preserve">an </w:t>
            </w:r>
            <w:r w:rsidRPr="00851790">
              <w:t xml:space="preserve">aggregator </w:t>
            </w:r>
            <w:r>
              <w:t xml:space="preserve">of </w:t>
            </w:r>
            <w:r w:rsidRPr="00851790">
              <w:t>social and affordable housing</w:t>
            </w:r>
            <w:r>
              <w:t xml:space="preserve"> assets (or equity </w:t>
            </w:r>
            <w:r w:rsidR="003A1E4A">
              <w:t>or subordinated debt</w:t>
            </w:r>
            <w:r>
              <w:t>)</w:t>
            </w:r>
            <w:r w:rsidR="001C4000">
              <w:t>, for example</w:t>
            </w:r>
            <w:r>
              <w:t xml:space="preserve"> by subsidising </w:t>
            </w:r>
            <w:r w:rsidR="0002108F">
              <w:t xml:space="preserve">the </w:t>
            </w:r>
            <w:r>
              <w:t xml:space="preserve">establishment </w:t>
            </w:r>
            <w:r w:rsidR="00841956">
              <w:t xml:space="preserve">costs </w:t>
            </w:r>
            <w:r>
              <w:t xml:space="preserve">and ongoing administrative </w:t>
            </w:r>
            <w:r w:rsidRPr="00851790">
              <w:t>costs</w:t>
            </w:r>
            <w:r>
              <w:t xml:space="preserve"> of such a vehicle</w:t>
            </w:r>
            <w:r w:rsidRPr="00851790">
              <w:t xml:space="preserve">. </w:t>
            </w:r>
            <w:r w:rsidR="00CD1FBC">
              <w:t xml:space="preserve">Over time, the </w:t>
            </w:r>
            <w:r>
              <w:t xml:space="preserve">government </w:t>
            </w:r>
            <w:r w:rsidRPr="00851790">
              <w:t xml:space="preserve">should </w:t>
            </w:r>
            <w:r>
              <w:t>consider</w:t>
            </w:r>
            <w:r w:rsidRPr="00851790">
              <w:t xml:space="preserve"> </w:t>
            </w:r>
            <w:r>
              <w:t>encourag</w:t>
            </w:r>
            <w:r w:rsidR="0009413D">
              <w:t>ing</w:t>
            </w:r>
            <w:r w:rsidRPr="00851790">
              <w:t xml:space="preserve"> competition in the provision of aggregation services</w:t>
            </w:r>
            <w:r w:rsidR="00FF1007">
              <w:t xml:space="preserve"> by </w:t>
            </w:r>
            <w:r w:rsidR="00FF1007" w:rsidRPr="002C2697">
              <w:t>supporting</w:t>
            </w:r>
            <w:r w:rsidR="00FF1007">
              <w:t xml:space="preserve"> the </w:t>
            </w:r>
            <w:r w:rsidR="006B0631">
              <w:t>establishment of new aggregators, including by the private sector</w:t>
            </w:r>
            <w:r>
              <w:t xml:space="preserve">. </w:t>
            </w:r>
          </w:p>
        </w:tc>
      </w:tr>
    </w:tbl>
    <w:p w14:paraId="3C2BAC21" w14:textId="77777777" w:rsidR="002C2697" w:rsidRDefault="002C2697" w:rsidP="002C2697"/>
    <w:p w14:paraId="5D453D2B" w14:textId="77777777" w:rsidR="002C2697" w:rsidRPr="002719DD" w:rsidRDefault="002C2697" w:rsidP="002719DD">
      <w:pPr>
        <w:sectPr w:rsidR="002C2697" w:rsidRPr="002719DD" w:rsidSect="00B66783">
          <w:pgSz w:w="11906" w:h="16838" w:code="9"/>
          <w:pgMar w:top="1843" w:right="1418" w:bottom="1418" w:left="1418" w:header="709" w:footer="709" w:gutter="0"/>
          <w:cols w:space="708"/>
          <w:docGrid w:linePitch="360"/>
        </w:sectPr>
      </w:pPr>
    </w:p>
    <w:p w14:paraId="72E051C2" w14:textId="321E8A8C" w:rsidR="009A4DA0" w:rsidRPr="002C2697" w:rsidRDefault="009A4DA0" w:rsidP="002C2697">
      <w:pPr>
        <w:pStyle w:val="Heading1Numbered"/>
        <w:numPr>
          <w:ilvl w:val="0"/>
          <w:numId w:val="0"/>
        </w:numPr>
        <w:ind w:left="360" w:hanging="360"/>
      </w:pPr>
      <w:bookmarkStart w:id="166" w:name="_Toc141355285"/>
      <w:r>
        <w:lastRenderedPageBreak/>
        <w:t xml:space="preserve">Appendix A – </w:t>
      </w:r>
      <w:r w:rsidRPr="00B13F48">
        <w:t>Reference</w:t>
      </w:r>
      <w:r>
        <w:t xml:space="preserve"> List</w:t>
      </w:r>
      <w:bookmarkEnd w:id="166"/>
    </w:p>
    <w:p w14:paraId="22AD7CFC" w14:textId="4203B33F" w:rsidR="009A4DA0" w:rsidRPr="00504091" w:rsidRDefault="009A4DA0" w:rsidP="002F28C1">
      <w:pPr>
        <w:rPr>
          <w:rFonts w:cstheme="minorHAnsi"/>
          <w:i/>
          <w:iCs/>
          <w:color w:val="333333"/>
          <w:shd w:val="clear" w:color="auto" w:fill="FFFFFF"/>
        </w:rPr>
      </w:pPr>
      <w:r w:rsidRPr="00514183">
        <w:rPr>
          <w:shd w:val="clear" w:color="auto" w:fill="FFFFFF"/>
        </w:rPr>
        <w:t xml:space="preserve">ABS (Australian Bureau of Statistics) (2022a), </w:t>
      </w:r>
      <w:r w:rsidRPr="00514183">
        <w:rPr>
          <w:i/>
          <w:shd w:val="clear" w:color="auto" w:fill="FFFFFF"/>
        </w:rPr>
        <w:t>Census 2021</w:t>
      </w:r>
      <w:r w:rsidRPr="00514183">
        <w:rPr>
          <w:shd w:val="clear" w:color="auto" w:fill="FFFFFF"/>
        </w:rPr>
        <w:t xml:space="preserve">, </w:t>
      </w:r>
      <w:r w:rsidRPr="00514183">
        <w:rPr>
          <w:i/>
          <w:shd w:val="clear" w:color="auto" w:fill="FFFFFF"/>
        </w:rPr>
        <w:t>Australia</w:t>
      </w:r>
      <w:r w:rsidRPr="00504091">
        <w:rPr>
          <w:rFonts w:cstheme="minorHAnsi"/>
          <w:i/>
          <w:iCs/>
          <w:color w:val="333333"/>
          <w:shd w:val="clear" w:color="auto" w:fill="FFFFFF"/>
        </w:rPr>
        <w:t xml:space="preserve">, </w:t>
      </w:r>
      <w:hyperlink r:id="rId40" w:history="1">
        <w:r>
          <w:rPr>
            <w:rStyle w:val="Hyperlink"/>
          </w:rPr>
          <w:t>https://www.abs.gov.au/census/find</w:t>
        </w:r>
        <w:r w:rsidR="00563A2B">
          <w:rPr>
            <w:rStyle w:val="Hyperlink"/>
          </w:rPr>
          <w:noBreakHyphen/>
        </w:r>
        <w:r>
          <w:rPr>
            <w:rStyle w:val="Hyperlink"/>
          </w:rPr>
          <w:t>census</w:t>
        </w:r>
        <w:r w:rsidR="00563A2B">
          <w:rPr>
            <w:rStyle w:val="Hyperlink"/>
          </w:rPr>
          <w:noBreakHyphen/>
        </w:r>
        <w:r>
          <w:rPr>
            <w:rStyle w:val="Hyperlink"/>
          </w:rPr>
          <w:t>data/quickstats/2021/AUS</w:t>
        </w:r>
      </w:hyperlink>
      <w:r w:rsidR="00F479CC">
        <w:rPr>
          <w:rStyle w:val="Hyperlink"/>
        </w:rPr>
        <w:t xml:space="preserve"> </w:t>
      </w:r>
      <w:r w:rsidR="00F479CC" w:rsidRPr="00F479CC">
        <w:rPr>
          <w:rStyle w:val="Hyperlink"/>
          <w:color w:val="auto"/>
        </w:rPr>
        <w:t>accessed July 2023.</w:t>
      </w:r>
    </w:p>
    <w:p w14:paraId="74A08C9C" w14:textId="19019D00" w:rsidR="009A4DA0" w:rsidRPr="00504091" w:rsidRDefault="009A4DA0" w:rsidP="002F28C1">
      <w:pPr>
        <w:rPr>
          <w:rFonts w:cstheme="minorHAnsi"/>
          <w:color w:val="333333"/>
          <w:shd w:val="clear" w:color="auto" w:fill="FFFFFF"/>
        </w:rPr>
      </w:pPr>
      <w:r w:rsidRPr="00514183">
        <w:rPr>
          <w:color w:val="auto"/>
        </w:rPr>
        <w:t xml:space="preserve">ABS (Australian Bureau of Statistics) (2022b), </w:t>
      </w:r>
      <w:r w:rsidRPr="00514183">
        <w:rPr>
          <w:i/>
          <w:color w:val="auto"/>
        </w:rPr>
        <w:t xml:space="preserve">Housing Occupancy and Costs, Australia, </w:t>
      </w:r>
      <w:hyperlink r:id="rId41" w:history="1">
        <w:r w:rsidRPr="00504091">
          <w:rPr>
            <w:rStyle w:val="Hyperlink"/>
          </w:rPr>
          <w:t>https://www.abs.gov.au/statistics/people/housing/housing</w:t>
        </w:r>
        <w:r w:rsidR="00563A2B">
          <w:rPr>
            <w:rStyle w:val="Hyperlink"/>
          </w:rPr>
          <w:noBreakHyphen/>
        </w:r>
        <w:r w:rsidRPr="00504091">
          <w:rPr>
            <w:rStyle w:val="Hyperlink"/>
          </w:rPr>
          <w:t>occupancy</w:t>
        </w:r>
        <w:r w:rsidR="00563A2B">
          <w:rPr>
            <w:rStyle w:val="Hyperlink"/>
          </w:rPr>
          <w:noBreakHyphen/>
        </w:r>
        <w:r w:rsidRPr="00504091">
          <w:rPr>
            <w:rStyle w:val="Hyperlink"/>
          </w:rPr>
          <w:t>and</w:t>
        </w:r>
        <w:r w:rsidR="00563A2B">
          <w:rPr>
            <w:rStyle w:val="Hyperlink"/>
          </w:rPr>
          <w:noBreakHyphen/>
        </w:r>
        <w:r w:rsidRPr="00504091">
          <w:rPr>
            <w:rStyle w:val="Hyperlink"/>
          </w:rPr>
          <w:t>costs/latest</w:t>
        </w:r>
        <w:r w:rsidR="00563A2B">
          <w:rPr>
            <w:rStyle w:val="Hyperlink"/>
          </w:rPr>
          <w:noBreakHyphen/>
        </w:r>
        <w:r w:rsidRPr="00504091">
          <w:rPr>
            <w:rStyle w:val="Hyperlink"/>
          </w:rPr>
          <w:t>release</w:t>
        </w:r>
      </w:hyperlink>
      <w:r w:rsidR="00F479CC">
        <w:rPr>
          <w:rStyle w:val="Hyperlink"/>
        </w:rPr>
        <w:t xml:space="preserve"> </w:t>
      </w:r>
      <w:r w:rsidR="00F479CC" w:rsidRPr="00F479CC">
        <w:rPr>
          <w:rStyle w:val="Hyperlink"/>
          <w:color w:val="auto"/>
        </w:rPr>
        <w:t>accessed July 2023.</w:t>
      </w:r>
    </w:p>
    <w:p w14:paraId="4E3F3E4C" w14:textId="64CF9356" w:rsidR="009A4DA0" w:rsidRPr="00AB6E68" w:rsidRDefault="009A4DA0" w:rsidP="002F28C1">
      <w:pPr>
        <w:rPr>
          <w:rFonts w:cstheme="minorHAnsi"/>
          <w:color w:val="333333"/>
          <w:u w:val="single"/>
          <w:shd w:val="clear" w:color="auto" w:fill="FFFFFF"/>
        </w:rPr>
      </w:pPr>
      <w:r w:rsidRPr="00514183">
        <w:rPr>
          <w:color w:val="auto"/>
          <w:shd w:val="clear" w:color="auto" w:fill="FFFFFF"/>
        </w:rPr>
        <w:t xml:space="preserve">ABS (Australian Bureau of Statistics) (2023a), </w:t>
      </w:r>
      <w:r w:rsidRPr="00514183">
        <w:rPr>
          <w:i/>
          <w:color w:val="auto"/>
          <w:shd w:val="clear" w:color="auto" w:fill="FFFFFF"/>
        </w:rPr>
        <w:t xml:space="preserve">Estimating Homelessness: Census 2021, Australia, </w:t>
      </w:r>
      <w:hyperlink r:id="rId42" w:history="1">
        <w:r>
          <w:rPr>
            <w:rStyle w:val="Hyperlink"/>
          </w:rPr>
          <w:t>https://www.abs.gov.au/statistics/people/housing/estimating</w:t>
        </w:r>
        <w:r w:rsidR="00563A2B">
          <w:rPr>
            <w:rStyle w:val="Hyperlink"/>
          </w:rPr>
          <w:noBreakHyphen/>
        </w:r>
        <w:r>
          <w:rPr>
            <w:rStyle w:val="Hyperlink"/>
          </w:rPr>
          <w:t>homelessness</w:t>
        </w:r>
        <w:r w:rsidR="00563A2B">
          <w:rPr>
            <w:rStyle w:val="Hyperlink"/>
          </w:rPr>
          <w:noBreakHyphen/>
        </w:r>
        <w:r>
          <w:rPr>
            <w:rStyle w:val="Hyperlink"/>
          </w:rPr>
          <w:t>census/latest</w:t>
        </w:r>
        <w:r w:rsidR="00563A2B">
          <w:rPr>
            <w:rStyle w:val="Hyperlink"/>
          </w:rPr>
          <w:noBreakHyphen/>
        </w:r>
        <w:r>
          <w:rPr>
            <w:rStyle w:val="Hyperlink"/>
          </w:rPr>
          <w:t>release</w:t>
        </w:r>
      </w:hyperlink>
      <w:r w:rsidR="00F479CC" w:rsidRPr="00F479CC">
        <w:t xml:space="preserve"> </w:t>
      </w:r>
      <w:r w:rsidR="00F479CC" w:rsidRPr="00F479CC">
        <w:rPr>
          <w:rStyle w:val="Hyperlink"/>
          <w:color w:val="auto"/>
        </w:rPr>
        <w:t>accessed July 2023.</w:t>
      </w:r>
    </w:p>
    <w:p w14:paraId="6B45CCBD" w14:textId="4452C77F" w:rsidR="009A4DA0" w:rsidRDefault="009A4DA0" w:rsidP="002F28C1">
      <w:pPr>
        <w:rPr>
          <w:rStyle w:val="Hyperlink"/>
        </w:rPr>
      </w:pPr>
      <w:r w:rsidRPr="00514183">
        <w:rPr>
          <w:color w:val="auto"/>
          <w:shd w:val="clear" w:color="auto" w:fill="FFFFFF"/>
        </w:rPr>
        <w:t xml:space="preserve">ABS (Australian Bureau of Statistics) (2023b), </w:t>
      </w:r>
      <w:r w:rsidRPr="00514183">
        <w:rPr>
          <w:i/>
          <w:color w:val="auto"/>
          <w:shd w:val="clear" w:color="auto" w:fill="FFFFFF"/>
        </w:rPr>
        <w:t>Building Activity</w:t>
      </w:r>
      <w:r w:rsidRPr="00514183">
        <w:rPr>
          <w:color w:val="auto"/>
          <w:shd w:val="clear" w:color="auto" w:fill="FFFFFF"/>
        </w:rPr>
        <w:t xml:space="preserve">, </w:t>
      </w:r>
      <w:r w:rsidRPr="00514183">
        <w:rPr>
          <w:i/>
          <w:color w:val="auto"/>
          <w:shd w:val="clear" w:color="auto" w:fill="FFFFFF"/>
        </w:rPr>
        <w:t>March Quarter 2023, Australia,</w:t>
      </w:r>
      <w:r w:rsidRPr="00AB6E68">
        <w:rPr>
          <w:rFonts w:cstheme="minorHAnsi"/>
          <w:i/>
          <w:iCs/>
          <w:color w:val="333333"/>
          <w:shd w:val="clear" w:color="auto" w:fill="FFFFFF"/>
        </w:rPr>
        <w:t xml:space="preserve"> </w:t>
      </w:r>
      <w:hyperlink r:id="rId43" w:history="1">
        <w:r w:rsidRPr="00AB6E68">
          <w:rPr>
            <w:rStyle w:val="Hyperlink"/>
          </w:rPr>
          <w:t>Building Activity, Australia, March 2022 | Australian Bureau of Statistics (abs.gov.au)</w:t>
        </w:r>
      </w:hyperlink>
      <w:r w:rsidR="00F479CC" w:rsidRPr="00F479CC">
        <w:t xml:space="preserve"> </w:t>
      </w:r>
      <w:r w:rsidR="00F479CC" w:rsidRPr="00F479CC">
        <w:rPr>
          <w:rStyle w:val="Hyperlink"/>
          <w:color w:val="auto"/>
        </w:rPr>
        <w:t>accessed July 2023.</w:t>
      </w:r>
    </w:p>
    <w:p w14:paraId="6FCC5469" w14:textId="676B860A" w:rsidR="009A4DA0" w:rsidRPr="006C1821" w:rsidRDefault="009A4DA0" w:rsidP="002F28C1">
      <w:pPr>
        <w:rPr>
          <w:rFonts w:cstheme="minorHAnsi"/>
          <w:i/>
          <w:color w:val="333333"/>
          <w:shd w:val="clear" w:color="auto" w:fill="FFFFFF"/>
        </w:rPr>
      </w:pPr>
      <w:r w:rsidRPr="00514183">
        <w:rPr>
          <w:color w:val="auto"/>
          <w:shd w:val="clear" w:color="auto" w:fill="FFFFFF"/>
        </w:rPr>
        <w:t xml:space="preserve">ABS (Australian Bureau of Statistics) (2023c), </w:t>
      </w:r>
      <w:r w:rsidRPr="00514183">
        <w:rPr>
          <w:i/>
          <w:color w:val="auto"/>
          <w:shd w:val="clear" w:color="auto" w:fill="FFFFFF"/>
        </w:rPr>
        <w:t xml:space="preserve">Total Value of Dwellings, March Quarter 2023, Australia, </w:t>
      </w:r>
      <w:hyperlink r:id="rId44" w:anchor=":~:text=The%20preliminary%20estimate%20of%20the,in%20the%20December%20quarter%202022." w:history="1">
        <w:r w:rsidRPr="00AB6E68">
          <w:rPr>
            <w:rStyle w:val="Hyperlink"/>
          </w:rPr>
          <w:t>https://www.abs.gov.au/statistics/economy/price</w:t>
        </w:r>
        <w:r w:rsidR="00563A2B">
          <w:rPr>
            <w:rStyle w:val="Hyperlink"/>
          </w:rPr>
          <w:noBreakHyphen/>
        </w:r>
        <w:r w:rsidRPr="00AB6E68">
          <w:rPr>
            <w:rStyle w:val="Hyperlink"/>
          </w:rPr>
          <w:t>indexes</w:t>
        </w:r>
        <w:r w:rsidR="00563A2B">
          <w:rPr>
            <w:rStyle w:val="Hyperlink"/>
          </w:rPr>
          <w:noBreakHyphen/>
        </w:r>
        <w:r w:rsidRPr="00AB6E68">
          <w:rPr>
            <w:rStyle w:val="Hyperlink"/>
          </w:rPr>
          <w:t>and</w:t>
        </w:r>
        <w:r w:rsidR="00563A2B">
          <w:rPr>
            <w:rStyle w:val="Hyperlink"/>
          </w:rPr>
          <w:noBreakHyphen/>
        </w:r>
        <w:r w:rsidRPr="00AB6E68">
          <w:rPr>
            <w:rStyle w:val="Hyperlink"/>
          </w:rPr>
          <w:t>inflation/total</w:t>
        </w:r>
        <w:r w:rsidR="00563A2B">
          <w:rPr>
            <w:rStyle w:val="Hyperlink"/>
          </w:rPr>
          <w:noBreakHyphen/>
        </w:r>
        <w:r w:rsidRPr="00AB6E68">
          <w:rPr>
            <w:rStyle w:val="Hyperlink"/>
          </w:rPr>
          <w:t>value</w:t>
        </w:r>
        <w:r w:rsidR="00563A2B">
          <w:rPr>
            <w:rStyle w:val="Hyperlink"/>
          </w:rPr>
          <w:noBreakHyphen/>
        </w:r>
        <w:r w:rsidRPr="00AB6E68">
          <w:rPr>
            <w:rStyle w:val="Hyperlink"/>
          </w:rPr>
          <w:t>dwellings/latest</w:t>
        </w:r>
        <w:r w:rsidR="00563A2B">
          <w:rPr>
            <w:rStyle w:val="Hyperlink"/>
          </w:rPr>
          <w:noBreakHyphen/>
        </w:r>
        <w:r w:rsidRPr="00AB6E68">
          <w:rPr>
            <w:rStyle w:val="Hyperlink"/>
          </w:rPr>
          <w:t>release</w:t>
        </w:r>
      </w:hyperlink>
      <w:r w:rsidR="00F479CC">
        <w:rPr>
          <w:rStyle w:val="Hyperlink"/>
        </w:rPr>
        <w:t xml:space="preserve"> </w:t>
      </w:r>
      <w:r w:rsidR="00F479CC" w:rsidRPr="00F479CC">
        <w:rPr>
          <w:rStyle w:val="Hyperlink"/>
          <w:color w:val="auto"/>
        </w:rPr>
        <w:t>accessed July 2023.</w:t>
      </w:r>
    </w:p>
    <w:p w14:paraId="0CCF33C3" w14:textId="6C8A8A70" w:rsidR="009A4DA0" w:rsidRPr="00AA2DCF" w:rsidRDefault="009A4DA0" w:rsidP="002F28C1">
      <w:pPr>
        <w:rPr>
          <w:color w:val="3A6FAF"/>
        </w:rPr>
      </w:pPr>
      <w:r w:rsidRPr="00BB4430">
        <w:t xml:space="preserve">ABS </w:t>
      </w:r>
      <w:r>
        <w:t>(</w:t>
      </w:r>
      <w:r w:rsidRPr="00BB4430">
        <w:t>Australian Bureau of Statistics</w:t>
      </w:r>
      <w:r>
        <w:t>)</w:t>
      </w:r>
      <w:r w:rsidRPr="00BB4430">
        <w:t xml:space="preserve"> </w:t>
      </w:r>
      <w:r>
        <w:t>(2023d)</w:t>
      </w:r>
      <w:r w:rsidRPr="00BB4430">
        <w:t xml:space="preserve">, </w:t>
      </w:r>
      <w:r w:rsidRPr="00934183">
        <w:rPr>
          <w:i/>
          <w:iCs/>
        </w:rPr>
        <w:t>6555.0 Managed Funds, Australia</w:t>
      </w:r>
      <w:r>
        <w:t xml:space="preserve">, </w:t>
      </w:r>
      <w:hyperlink r:id="rId45" w:history="1">
        <w:r>
          <w:rPr>
            <w:rStyle w:val="Hyperlink"/>
          </w:rPr>
          <w:t>https://www.abs.gov.au/statistics/economy/finance/managed</w:t>
        </w:r>
        <w:r w:rsidR="00563A2B">
          <w:rPr>
            <w:rStyle w:val="Hyperlink"/>
          </w:rPr>
          <w:noBreakHyphen/>
        </w:r>
        <w:r>
          <w:rPr>
            <w:rStyle w:val="Hyperlink"/>
          </w:rPr>
          <w:t>funds</w:t>
        </w:r>
        <w:r w:rsidR="00563A2B">
          <w:rPr>
            <w:rStyle w:val="Hyperlink"/>
          </w:rPr>
          <w:noBreakHyphen/>
        </w:r>
        <w:r>
          <w:rPr>
            <w:rStyle w:val="Hyperlink"/>
          </w:rPr>
          <w:t>australia/latest</w:t>
        </w:r>
        <w:r w:rsidR="00563A2B">
          <w:rPr>
            <w:rStyle w:val="Hyperlink"/>
          </w:rPr>
          <w:noBreakHyphen/>
        </w:r>
        <w:r>
          <w:rPr>
            <w:rStyle w:val="Hyperlink"/>
          </w:rPr>
          <w:t>release</w:t>
        </w:r>
      </w:hyperlink>
      <w:r w:rsidR="00F479CC">
        <w:rPr>
          <w:rStyle w:val="Hyperlink"/>
        </w:rPr>
        <w:t xml:space="preserve"> </w:t>
      </w:r>
      <w:r w:rsidR="00F479CC" w:rsidRPr="00F479CC">
        <w:rPr>
          <w:rStyle w:val="Hyperlink"/>
          <w:color w:val="auto"/>
        </w:rPr>
        <w:t>accessed July 2023.</w:t>
      </w:r>
    </w:p>
    <w:p w14:paraId="04017DCF" w14:textId="50A8D21F" w:rsidR="009A4DA0" w:rsidRPr="00514183" w:rsidDel="004A1926" w:rsidRDefault="009A4DA0" w:rsidP="009A4DA0">
      <w:pPr>
        <w:rPr>
          <w:rStyle w:val="Hyperlink"/>
        </w:rPr>
      </w:pPr>
      <w:proofErr w:type="spellStart"/>
      <w:r w:rsidRPr="00514183">
        <w:rPr>
          <w:color w:val="auto"/>
          <w:shd w:val="clear" w:color="auto" w:fill="FFFFFF"/>
        </w:rPr>
        <w:t>Acolin</w:t>
      </w:r>
      <w:proofErr w:type="spellEnd"/>
      <w:r w:rsidRPr="00514183">
        <w:rPr>
          <w:color w:val="auto"/>
          <w:shd w:val="clear" w:color="auto" w:fill="FFFFFF"/>
        </w:rPr>
        <w:t xml:space="preserve">, A (2021) </w:t>
      </w:r>
      <w:r w:rsidRPr="00514183">
        <w:rPr>
          <w:i/>
          <w:color w:val="auto"/>
          <w:shd w:val="clear" w:color="auto" w:fill="FFFFFF"/>
        </w:rPr>
        <w:t>The public sector plays an important role in supporting French renters</w:t>
      </w:r>
      <w:r w:rsidRPr="00514183">
        <w:rPr>
          <w:color w:val="auto"/>
          <w:shd w:val="clear" w:color="auto" w:fill="FFFFFF"/>
        </w:rPr>
        <w:t xml:space="preserve">, Brookings Institute, </w:t>
      </w:r>
      <w:hyperlink r:id="rId46" w:history="1">
        <w:r w:rsidRPr="00514183">
          <w:rPr>
            <w:rStyle w:val="Hyperlink"/>
          </w:rPr>
          <w:t>https://www</w:t>
        </w:r>
        <w:bookmarkStart w:id="167" w:name="_Hlt140851267"/>
        <w:bookmarkStart w:id="168" w:name="_Hlt140851268"/>
        <w:r w:rsidRPr="00514183">
          <w:rPr>
            <w:rStyle w:val="Hyperlink"/>
          </w:rPr>
          <w:t>.</w:t>
        </w:r>
        <w:bookmarkEnd w:id="167"/>
        <w:bookmarkEnd w:id="168"/>
        <w:r w:rsidRPr="00514183">
          <w:rPr>
            <w:rStyle w:val="Hyperlink"/>
          </w:rPr>
          <w:t>brookings.edu/articles/france</w:t>
        </w:r>
        <w:r w:rsidR="00563A2B">
          <w:rPr>
            <w:rStyle w:val="Hyperlink"/>
          </w:rPr>
          <w:noBreakHyphen/>
        </w:r>
        <w:r w:rsidRPr="00514183">
          <w:rPr>
            <w:rStyle w:val="Hyperlink"/>
          </w:rPr>
          <w:t>rental</w:t>
        </w:r>
        <w:r w:rsidR="00563A2B">
          <w:rPr>
            <w:rStyle w:val="Hyperlink"/>
          </w:rPr>
          <w:noBreakHyphen/>
        </w:r>
        <w:r w:rsidRPr="00514183">
          <w:rPr>
            <w:rStyle w:val="Hyperlink"/>
          </w:rPr>
          <w:t>housing</w:t>
        </w:r>
        <w:r w:rsidR="00563A2B">
          <w:rPr>
            <w:rStyle w:val="Hyperlink"/>
          </w:rPr>
          <w:noBreakHyphen/>
        </w:r>
        <w:r w:rsidRPr="00514183">
          <w:rPr>
            <w:rStyle w:val="Hyperlink"/>
          </w:rPr>
          <w:t>markets/</w:t>
        </w:r>
      </w:hyperlink>
    </w:p>
    <w:p w14:paraId="484429FE" w14:textId="15797B39" w:rsidR="009A4DA0" w:rsidRPr="00514183" w:rsidRDefault="009A4DA0" w:rsidP="009A4DA0">
      <w:pPr>
        <w:spacing w:after="160" w:line="259" w:lineRule="auto"/>
      </w:pPr>
      <w:r w:rsidRPr="009D2A46">
        <w:rPr>
          <w:rFonts w:eastAsia="Arial Unicode MS"/>
          <w:spacing w:val="-2"/>
        </w:rPr>
        <w:t xml:space="preserve">Affordable Housing Working Group (2016), </w:t>
      </w:r>
      <w:r w:rsidRPr="009D2A46">
        <w:rPr>
          <w:rFonts w:eastAsia="Arial Unicode MS" w:cstheme="minorHAnsi"/>
          <w:i/>
          <w:spacing w:val="-2"/>
          <w:szCs w:val="22"/>
        </w:rPr>
        <w:t>Innovative Financing Models to Improve the Supply of Affordable Housing</w:t>
      </w:r>
      <w:r w:rsidRPr="009D2A46">
        <w:rPr>
          <w:rFonts w:eastAsia="Arial Unicode MS" w:cstheme="minorHAnsi"/>
          <w:spacing w:val="-2"/>
          <w:szCs w:val="22"/>
        </w:rPr>
        <w:t>,</w:t>
      </w:r>
      <w:r w:rsidRPr="009D2A46">
        <w:rPr>
          <w:rFonts w:eastAsia="Arial Unicode MS"/>
          <w:spacing w:val="-2"/>
        </w:rPr>
        <w:t xml:space="preserve"> report prepared for the Heads of Treasuries, </w:t>
      </w:r>
      <w:r w:rsidRPr="009D2A46">
        <w:rPr>
          <w:rFonts w:eastAsia="Arial Unicode MS" w:cstheme="minorHAnsi"/>
          <w:spacing w:val="-2"/>
          <w:szCs w:val="22"/>
        </w:rPr>
        <w:t>the Australian Government</w:t>
      </w:r>
      <w:r w:rsidRPr="009D2A46">
        <w:rPr>
          <w:rFonts w:eastAsia="Arial Unicode MS"/>
          <w:spacing w:val="-2"/>
        </w:rPr>
        <w:t>, Canberra</w:t>
      </w:r>
      <w:r w:rsidRPr="009D2A46">
        <w:rPr>
          <w:rFonts w:eastAsia="Arial Unicode MS" w:cstheme="minorHAnsi"/>
          <w:spacing w:val="-2"/>
          <w:szCs w:val="22"/>
        </w:rPr>
        <w:t>,</w:t>
      </w:r>
      <w:r w:rsidRPr="00DB4824">
        <w:rPr>
          <w:rFonts w:eastAsia="Arial Unicode MS" w:cstheme="minorHAnsi"/>
          <w:szCs w:val="22"/>
        </w:rPr>
        <w:t xml:space="preserve"> </w:t>
      </w:r>
      <w:hyperlink r:id="rId47" w:history="1">
        <w:r w:rsidRPr="007C10B7">
          <w:rPr>
            <w:rStyle w:val="Hyperlink"/>
          </w:rPr>
          <w:t>https://treasury.gov.au/consultation/council</w:t>
        </w:r>
        <w:r w:rsidR="00563A2B">
          <w:rPr>
            <w:rStyle w:val="Hyperlink"/>
          </w:rPr>
          <w:noBreakHyphen/>
        </w:r>
        <w:r w:rsidRPr="007C10B7">
          <w:rPr>
            <w:rStyle w:val="Hyperlink"/>
          </w:rPr>
          <w:t>on</w:t>
        </w:r>
        <w:r w:rsidR="00563A2B">
          <w:rPr>
            <w:rStyle w:val="Hyperlink"/>
          </w:rPr>
          <w:noBreakHyphen/>
        </w:r>
        <w:r w:rsidRPr="007C10B7">
          <w:rPr>
            <w:rStyle w:val="Hyperlink"/>
          </w:rPr>
          <w:t>federal</w:t>
        </w:r>
        <w:r w:rsidR="00563A2B">
          <w:rPr>
            <w:rStyle w:val="Hyperlink"/>
          </w:rPr>
          <w:noBreakHyphen/>
        </w:r>
        <w:r w:rsidRPr="007C10B7">
          <w:rPr>
            <w:rStyle w:val="Hyperlink"/>
          </w:rPr>
          <w:t>financial</w:t>
        </w:r>
        <w:r w:rsidR="00563A2B">
          <w:rPr>
            <w:rStyle w:val="Hyperlink"/>
          </w:rPr>
          <w:noBreakHyphen/>
        </w:r>
        <w:r w:rsidRPr="007C10B7">
          <w:rPr>
            <w:rStyle w:val="Hyperlink"/>
          </w:rPr>
          <w:t>relations</w:t>
        </w:r>
        <w:r w:rsidR="00563A2B">
          <w:rPr>
            <w:rStyle w:val="Hyperlink"/>
          </w:rPr>
          <w:noBreakHyphen/>
        </w:r>
        <w:r w:rsidRPr="007C10B7">
          <w:rPr>
            <w:rStyle w:val="Hyperlink"/>
          </w:rPr>
          <w:t>affordable</w:t>
        </w:r>
        <w:r w:rsidR="00563A2B">
          <w:rPr>
            <w:rStyle w:val="Hyperlink"/>
          </w:rPr>
          <w:noBreakHyphen/>
        </w:r>
        <w:r w:rsidRPr="007C10B7">
          <w:rPr>
            <w:rStyle w:val="Hyperlink"/>
          </w:rPr>
          <w:t>housing</w:t>
        </w:r>
        <w:r w:rsidR="00563A2B">
          <w:rPr>
            <w:rStyle w:val="Hyperlink"/>
          </w:rPr>
          <w:noBreakHyphen/>
        </w:r>
        <w:r w:rsidRPr="007C10B7">
          <w:rPr>
            <w:rStyle w:val="Hyperlink"/>
          </w:rPr>
          <w:t>working</w:t>
        </w:r>
        <w:r w:rsidR="00563A2B">
          <w:rPr>
            <w:rStyle w:val="Hyperlink"/>
          </w:rPr>
          <w:noBreakHyphen/>
        </w:r>
        <w:r w:rsidRPr="007C10B7">
          <w:rPr>
            <w:rStyle w:val="Hyperlink"/>
          </w:rPr>
          <w:t>group</w:t>
        </w:r>
        <w:r w:rsidR="00563A2B">
          <w:rPr>
            <w:rStyle w:val="Hyperlink"/>
          </w:rPr>
          <w:noBreakHyphen/>
        </w:r>
        <w:r w:rsidRPr="007C10B7">
          <w:rPr>
            <w:rStyle w:val="Hyperlink"/>
          </w:rPr>
          <w:t>innovative</w:t>
        </w:r>
        <w:r w:rsidR="00563A2B">
          <w:rPr>
            <w:rStyle w:val="Hyperlink"/>
          </w:rPr>
          <w:noBreakHyphen/>
        </w:r>
        <w:r w:rsidRPr="007C10B7">
          <w:rPr>
            <w:rStyle w:val="Hyperlink"/>
          </w:rPr>
          <w:t>financing</w:t>
        </w:r>
        <w:r w:rsidR="00563A2B">
          <w:rPr>
            <w:rStyle w:val="Hyperlink"/>
          </w:rPr>
          <w:noBreakHyphen/>
        </w:r>
        <w:r w:rsidRPr="007C10B7">
          <w:rPr>
            <w:rStyle w:val="Hyperlink"/>
          </w:rPr>
          <w:t>models</w:t>
        </w:r>
      </w:hyperlink>
    </w:p>
    <w:p w14:paraId="7A0BCD29" w14:textId="73AF48B1" w:rsidR="009A4DA0" w:rsidRPr="00514183" w:rsidRDefault="009A4DA0" w:rsidP="009A4DA0">
      <w:pPr>
        <w:spacing w:after="160" w:line="259" w:lineRule="auto"/>
        <w:rPr>
          <w:rFonts w:eastAsia="Arial Unicode MS"/>
        </w:rPr>
      </w:pPr>
      <w:r w:rsidRPr="00514183">
        <w:rPr>
          <w:rFonts w:eastAsia="Arial Unicode MS"/>
        </w:rPr>
        <w:t>AHURI (</w:t>
      </w:r>
      <w:r w:rsidRPr="00514183">
        <w:t>Australian Housing and Urban Research Institute),</w:t>
      </w:r>
      <w:r w:rsidRPr="00514183">
        <w:rPr>
          <w:rFonts w:eastAsia="Arial Unicode MS"/>
        </w:rPr>
        <w:t xml:space="preserve"> </w:t>
      </w:r>
      <w:r w:rsidRPr="00DB4824">
        <w:rPr>
          <w:rFonts w:eastAsia="Arial Unicode MS" w:cstheme="minorHAnsi"/>
          <w:i/>
          <w:szCs w:val="22"/>
        </w:rPr>
        <w:t>What is the difference between social housing and affordable housing</w:t>
      </w:r>
      <w:r w:rsidR="00EB496D">
        <w:rPr>
          <w:rFonts w:eastAsia="Arial Unicode MS" w:cstheme="minorHAnsi"/>
          <w:i/>
          <w:szCs w:val="22"/>
        </w:rPr>
        <w:t xml:space="preserve"> – </w:t>
      </w:r>
      <w:r w:rsidRPr="00DB4824">
        <w:rPr>
          <w:rFonts w:eastAsia="Arial Unicode MS" w:cstheme="minorHAnsi"/>
          <w:i/>
          <w:szCs w:val="22"/>
        </w:rPr>
        <w:t>and why do they matter?</w:t>
      </w:r>
      <w:r w:rsidRPr="00DB4824">
        <w:rPr>
          <w:rFonts w:eastAsia="Arial Unicode MS" w:cstheme="minorHAnsi"/>
          <w:szCs w:val="22"/>
        </w:rPr>
        <w:t xml:space="preserve">, </w:t>
      </w:r>
      <w:r w:rsidRPr="00514183">
        <w:rPr>
          <w:rFonts w:eastAsia="Arial Unicode MS"/>
        </w:rPr>
        <w:t xml:space="preserve">AHURI website, </w:t>
      </w:r>
      <w:r w:rsidRPr="00DB4824">
        <w:rPr>
          <w:rFonts w:eastAsia="Arial Unicode MS" w:cstheme="minorHAnsi"/>
          <w:szCs w:val="22"/>
        </w:rPr>
        <w:t xml:space="preserve">blog, </w:t>
      </w:r>
      <w:r w:rsidRPr="00514183">
        <w:rPr>
          <w:rFonts w:eastAsia="Arial Unicode MS"/>
        </w:rPr>
        <w:t>20 February 2023, accessed 28 February 2023</w:t>
      </w:r>
      <w:r w:rsidRPr="00DB4824">
        <w:rPr>
          <w:rFonts w:eastAsia="Arial Unicode MS" w:cstheme="minorHAnsi"/>
          <w:szCs w:val="22"/>
        </w:rPr>
        <w:t>,</w:t>
      </w:r>
      <w:r w:rsidRPr="00514183">
        <w:rPr>
          <w:rFonts w:eastAsia="Arial Unicode MS"/>
        </w:rPr>
        <w:t xml:space="preserve"> </w:t>
      </w:r>
      <w:hyperlink r:id="rId48" w:history="1">
        <w:r w:rsidRPr="00DB4824">
          <w:rPr>
            <w:rStyle w:val="Hyperlink"/>
            <w:rFonts w:eastAsia="Arial Unicode MS" w:cstheme="minorHAnsi"/>
            <w:szCs w:val="22"/>
          </w:rPr>
          <w:t>https://www.ahuri.edu.au/research/brief/what</w:t>
        </w:r>
        <w:r w:rsidR="00563A2B">
          <w:rPr>
            <w:rStyle w:val="Hyperlink"/>
            <w:rFonts w:eastAsia="Arial Unicode MS" w:cstheme="minorHAnsi"/>
            <w:szCs w:val="22"/>
          </w:rPr>
          <w:noBreakHyphen/>
        </w:r>
        <w:r w:rsidRPr="00DB4824">
          <w:rPr>
            <w:rStyle w:val="Hyperlink"/>
            <w:rFonts w:eastAsia="Arial Unicode MS" w:cstheme="minorHAnsi"/>
            <w:szCs w:val="22"/>
          </w:rPr>
          <w:t>difference</w:t>
        </w:r>
        <w:r w:rsidR="00563A2B">
          <w:rPr>
            <w:rStyle w:val="Hyperlink"/>
            <w:rFonts w:eastAsia="Arial Unicode MS" w:cstheme="minorHAnsi"/>
            <w:szCs w:val="22"/>
          </w:rPr>
          <w:noBreakHyphen/>
        </w:r>
        <w:r w:rsidRPr="00DB4824">
          <w:rPr>
            <w:rStyle w:val="Hyperlink"/>
            <w:rFonts w:eastAsia="Arial Unicode MS" w:cstheme="minorHAnsi"/>
            <w:szCs w:val="22"/>
          </w:rPr>
          <w:t>between</w:t>
        </w:r>
        <w:r w:rsidR="00563A2B">
          <w:rPr>
            <w:rStyle w:val="Hyperlink"/>
            <w:rFonts w:eastAsia="Arial Unicode MS" w:cstheme="minorHAnsi"/>
            <w:szCs w:val="22"/>
          </w:rPr>
          <w:noBreakHyphen/>
        </w:r>
        <w:r w:rsidRPr="00DB4824">
          <w:rPr>
            <w:rStyle w:val="Hyperlink"/>
            <w:rFonts w:eastAsia="Arial Unicode MS" w:cstheme="minorHAnsi"/>
            <w:szCs w:val="22"/>
          </w:rPr>
          <w:t>social</w:t>
        </w:r>
        <w:r w:rsidR="00563A2B">
          <w:rPr>
            <w:rStyle w:val="Hyperlink"/>
            <w:rFonts w:eastAsia="Arial Unicode MS" w:cstheme="minorHAnsi"/>
            <w:szCs w:val="22"/>
          </w:rPr>
          <w:noBreakHyphen/>
        </w:r>
        <w:r w:rsidRPr="00DB4824">
          <w:rPr>
            <w:rStyle w:val="Hyperlink"/>
            <w:rFonts w:eastAsia="Arial Unicode MS" w:cstheme="minorHAnsi"/>
            <w:szCs w:val="22"/>
          </w:rPr>
          <w:t>housing</w:t>
        </w:r>
        <w:r w:rsidR="00563A2B">
          <w:rPr>
            <w:rStyle w:val="Hyperlink"/>
            <w:rFonts w:eastAsia="Arial Unicode MS" w:cstheme="minorHAnsi"/>
            <w:szCs w:val="22"/>
          </w:rPr>
          <w:noBreakHyphen/>
        </w:r>
        <w:r w:rsidRPr="00DB4824">
          <w:rPr>
            <w:rStyle w:val="Hyperlink"/>
            <w:rFonts w:eastAsia="Arial Unicode MS" w:cstheme="minorHAnsi"/>
            <w:szCs w:val="22"/>
          </w:rPr>
          <w:t>and</w:t>
        </w:r>
        <w:r w:rsidR="00563A2B">
          <w:rPr>
            <w:rStyle w:val="Hyperlink"/>
            <w:rFonts w:eastAsia="Arial Unicode MS" w:cstheme="minorHAnsi"/>
            <w:szCs w:val="22"/>
          </w:rPr>
          <w:noBreakHyphen/>
        </w:r>
        <w:r w:rsidRPr="00DB4824">
          <w:rPr>
            <w:rStyle w:val="Hyperlink"/>
            <w:rFonts w:eastAsia="Arial Unicode MS" w:cstheme="minorHAnsi"/>
            <w:szCs w:val="22"/>
          </w:rPr>
          <w:t>affordable</w:t>
        </w:r>
        <w:r w:rsidR="00563A2B">
          <w:rPr>
            <w:rStyle w:val="Hyperlink"/>
            <w:rFonts w:eastAsia="Arial Unicode MS" w:cstheme="minorHAnsi"/>
            <w:szCs w:val="22"/>
          </w:rPr>
          <w:noBreakHyphen/>
        </w:r>
        <w:r w:rsidRPr="00DB4824">
          <w:rPr>
            <w:rStyle w:val="Hyperlink"/>
            <w:rFonts w:eastAsia="Arial Unicode MS" w:cstheme="minorHAnsi"/>
            <w:szCs w:val="22"/>
          </w:rPr>
          <w:t>housing</w:t>
        </w:r>
        <w:r w:rsidR="00563A2B">
          <w:rPr>
            <w:rStyle w:val="Hyperlink"/>
            <w:rFonts w:eastAsia="Arial Unicode MS" w:cstheme="minorHAnsi"/>
            <w:szCs w:val="22"/>
          </w:rPr>
          <w:noBreakHyphen/>
        </w:r>
        <w:r w:rsidRPr="00DB4824">
          <w:rPr>
            <w:rStyle w:val="Hyperlink"/>
            <w:rFonts w:eastAsia="Arial Unicode MS" w:cstheme="minorHAnsi"/>
            <w:szCs w:val="22"/>
          </w:rPr>
          <w:t>and</w:t>
        </w:r>
        <w:r w:rsidR="00563A2B">
          <w:rPr>
            <w:rStyle w:val="Hyperlink"/>
            <w:rFonts w:eastAsia="Arial Unicode MS" w:cstheme="minorHAnsi"/>
            <w:szCs w:val="22"/>
          </w:rPr>
          <w:noBreakHyphen/>
        </w:r>
        <w:r w:rsidRPr="00DB4824">
          <w:rPr>
            <w:rStyle w:val="Hyperlink"/>
            <w:rFonts w:eastAsia="Arial Unicode MS" w:cstheme="minorHAnsi"/>
            <w:szCs w:val="22"/>
          </w:rPr>
          <w:t>why</w:t>
        </w:r>
        <w:r w:rsidR="00563A2B">
          <w:rPr>
            <w:rStyle w:val="Hyperlink"/>
            <w:rFonts w:eastAsia="Arial Unicode MS" w:cstheme="minorHAnsi"/>
            <w:szCs w:val="22"/>
          </w:rPr>
          <w:noBreakHyphen/>
        </w:r>
        <w:r w:rsidRPr="00DB4824">
          <w:rPr>
            <w:rStyle w:val="Hyperlink"/>
            <w:rFonts w:eastAsia="Arial Unicode MS" w:cstheme="minorHAnsi"/>
            <w:szCs w:val="22"/>
          </w:rPr>
          <w:t>do</w:t>
        </w:r>
        <w:r w:rsidR="00563A2B">
          <w:rPr>
            <w:rStyle w:val="Hyperlink"/>
            <w:rFonts w:eastAsia="Arial Unicode MS" w:cstheme="minorHAnsi"/>
            <w:szCs w:val="22"/>
          </w:rPr>
          <w:noBreakHyphen/>
        </w:r>
        <w:r w:rsidRPr="00DB4824">
          <w:rPr>
            <w:rStyle w:val="Hyperlink"/>
            <w:rFonts w:eastAsia="Arial Unicode MS" w:cstheme="minorHAnsi"/>
            <w:szCs w:val="22"/>
          </w:rPr>
          <w:t>they</w:t>
        </w:r>
        <w:r w:rsidR="00563A2B">
          <w:rPr>
            <w:rStyle w:val="Hyperlink"/>
            <w:rFonts w:eastAsia="Arial Unicode MS" w:cstheme="minorHAnsi"/>
            <w:szCs w:val="22"/>
          </w:rPr>
          <w:noBreakHyphen/>
        </w:r>
        <w:r w:rsidRPr="00DB4824">
          <w:rPr>
            <w:rStyle w:val="Hyperlink"/>
            <w:rFonts w:eastAsia="Arial Unicode MS" w:cstheme="minorHAnsi"/>
            <w:szCs w:val="22"/>
          </w:rPr>
          <w:t>matter</w:t>
        </w:r>
      </w:hyperlink>
      <w:r w:rsidRPr="00514183">
        <w:rPr>
          <w:rFonts w:eastAsia="Arial Unicode MS"/>
        </w:rPr>
        <w:t xml:space="preserve"> </w:t>
      </w:r>
    </w:p>
    <w:p w14:paraId="31CAA092" w14:textId="3395BB5B" w:rsidR="009A4DA0" w:rsidRDefault="009A4DA0" w:rsidP="009A4DA0">
      <w:pPr>
        <w:rPr>
          <w:rStyle w:val="Hyperlink"/>
          <w:rFonts w:eastAsia="Arial Unicode MS" w:cstheme="minorHAnsi"/>
        </w:rPr>
      </w:pPr>
      <w:r w:rsidRPr="00514183">
        <w:rPr>
          <w:rFonts w:eastAsia="Arial Unicode MS"/>
        </w:rPr>
        <w:t>AIHW (Australian Institute of Health and Welfare) (</w:t>
      </w:r>
      <w:r w:rsidRPr="00197758">
        <w:rPr>
          <w:rFonts w:eastAsia="Arial Unicode MS" w:cstheme="minorHAnsi"/>
        </w:rPr>
        <w:t>202</w:t>
      </w:r>
      <w:r>
        <w:rPr>
          <w:rFonts w:eastAsia="Arial Unicode MS" w:cstheme="minorHAnsi"/>
        </w:rPr>
        <w:t>3a</w:t>
      </w:r>
      <w:r w:rsidRPr="00197758">
        <w:rPr>
          <w:rFonts w:eastAsia="Arial Unicode MS" w:cstheme="minorHAnsi"/>
        </w:rPr>
        <w:t xml:space="preserve">), </w:t>
      </w:r>
      <w:r w:rsidRPr="00514183">
        <w:rPr>
          <w:rFonts w:eastAsia="Arial Unicode MS"/>
          <w:i/>
        </w:rPr>
        <w:t xml:space="preserve">Housing </w:t>
      </w:r>
      <w:r w:rsidRPr="009F55E8">
        <w:rPr>
          <w:rFonts w:eastAsia="Arial Unicode MS" w:cstheme="minorHAnsi"/>
          <w:i/>
          <w:iCs/>
        </w:rPr>
        <w:t>Assistance</w:t>
      </w:r>
      <w:r w:rsidRPr="00514183">
        <w:rPr>
          <w:rFonts w:eastAsia="Arial Unicode MS"/>
          <w:i/>
        </w:rPr>
        <w:t xml:space="preserve"> in </w:t>
      </w:r>
      <w:r w:rsidRPr="009F55E8">
        <w:rPr>
          <w:rFonts w:eastAsia="Arial Unicode MS" w:cstheme="minorHAnsi"/>
          <w:i/>
          <w:iCs/>
        </w:rPr>
        <w:t>Australia 2023: Social housing dwellings</w:t>
      </w:r>
      <w:r w:rsidRPr="00514183">
        <w:rPr>
          <w:rFonts w:eastAsia="Arial Unicode MS"/>
        </w:rPr>
        <w:t>, AIHW</w:t>
      </w:r>
      <w:r>
        <w:rPr>
          <w:rFonts w:eastAsia="Arial Unicode MS" w:cstheme="minorHAnsi"/>
        </w:rPr>
        <w:t>, c</w:t>
      </w:r>
      <w:r w:rsidRPr="00197758">
        <w:rPr>
          <w:rFonts w:eastAsia="Arial Unicode MS" w:cstheme="minorHAnsi"/>
        </w:rPr>
        <w:t>at. no: HOU 334</w:t>
      </w:r>
      <w:r>
        <w:rPr>
          <w:rFonts w:eastAsia="Arial Unicode MS" w:cstheme="minorHAnsi"/>
        </w:rPr>
        <w:t>, Canberra</w:t>
      </w:r>
      <w:r w:rsidRPr="00514183">
        <w:rPr>
          <w:rFonts w:eastAsia="Arial Unicode MS"/>
        </w:rPr>
        <w:t xml:space="preserve">, </w:t>
      </w:r>
      <w:hyperlink r:id="rId49" w:history="1">
        <w:r w:rsidRPr="007C10B7">
          <w:rPr>
            <w:rStyle w:val="Hyperlink"/>
            <w:rFonts w:eastAsia="Arial Unicode MS" w:cstheme="minorHAnsi"/>
          </w:rPr>
          <w:t>https://www.aihw.gov.au/reports/housing</w:t>
        </w:r>
        <w:r w:rsidR="00563A2B">
          <w:rPr>
            <w:rStyle w:val="Hyperlink"/>
            <w:rFonts w:eastAsia="Arial Unicode MS" w:cstheme="minorHAnsi"/>
          </w:rPr>
          <w:noBreakHyphen/>
        </w:r>
        <w:r w:rsidRPr="007C10B7">
          <w:rPr>
            <w:rStyle w:val="Hyperlink"/>
            <w:rFonts w:eastAsia="Arial Unicode MS" w:cstheme="minorHAnsi"/>
          </w:rPr>
          <w:t>assistance/housing</w:t>
        </w:r>
        <w:r w:rsidR="00563A2B">
          <w:rPr>
            <w:rStyle w:val="Hyperlink"/>
            <w:rFonts w:eastAsia="Arial Unicode MS" w:cstheme="minorHAnsi"/>
          </w:rPr>
          <w:noBreakHyphen/>
        </w:r>
        <w:r w:rsidRPr="007C10B7">
          <w:rPr>
            <w:rStyle w:val="Hyperlink"/>
            <w:rFonts w:eastAsia="Arial Unicode MS" w:cstheme="minorHAnsi"/>
          </w:rPr>
          <w:t>assistance</w:t>
        </w:r>
        <w:r w:rsidR="00563A2B">
          <w:rPr>
            <w:rStyle w:val="Hyperlink"/>
            <w:rFonts w:eastAsia="Arial Unicode MS" w:cstheme="minorHAnsi"/>
          </w:rPr>
          <w:noBreakHyphen/>
        </w:r>
        <w:r w:rsidRPr="007C10B7">
          <w:rPr>
            <w:rStyle w:val="Hyperlink"/>
            <w:rFonts w:eastAsia="Arial Unicode MS" w:cstheme="minorHAnsi"/>
          </w:rPr>
          <w:t>in</w:t>
        </w:r>
        <w:r w:rsidR="00563A2B">
          <w:rPr>
            <w:rStyle w:val="Hyperlink"/>
            <w:rFonts w:eastAsia="Arial Unicode MS" w:cstheme="minorHAnsi"/>
          </w:rPr>
          <w:noBreakHyphen/>
        </w:r>
        <w:r w:rsidRPr="007C10B7">
          <w:rPr>
            <w:rStyle w:val="Hyperlink"/>
            <w:rFonts w:eastAsia="Arial Unicode MS" w:cstheme="minorHAnsi"/>
          </w:rPr>
          <w:t>australia/contents/social</w:t>
        </w:r>
        <w:r w:rsidR="00563A2B">
          <w:rPr>
            <w:rStyle w:val="Hyperlink"/>
            <w:rFonts w:eastAsia="Arial Unicode MS" w:cstheme="minorHAnsi"/>
          </w:rPr>
          <w:noBreakHyphen/>
        </w:r>
        <w:r w:rsidRPr="007C10B7">
          <w:rPr>
            <w:rStyle w:val="Hyperlink"/>
            <w:rFonts w:eastAsia="Arial Unicode MS" w:cstheme="minorHAnsi"/>
          </w:rPr>
          <w:t>housing</w:t>
        </w:r>
        <w:r w:rsidR="00563A2B">
          <w:rPr>
            <w:rStyle w:val="Hyperlink"/>
            <w:rFonts w:eastAsia="Arial Unicode MS" w:cstheme="minorHAnsi"/>
          </w:rPr>
          <w:noBreakHyphen/>
        </w:r>
        <w:r w:rsidRPr="007C10B7">
          <w:rPr>
            <w:rStyle w:val="Hyperlink"/>
            <w:rFonts w:eastAsia="Arial Unicode MS" w:cstheme="minorHAnsi"/>
          </w:rPr>
          <w:t>dwellings</w:t>
        </w:r>
      </w:hyperlink>
      <w:r w:rsidR="00D808C4">
        <w:rPr>
          <w:rStyle w:val="Hyperlink"/>
          <w:rFonts w:eastAsia="Arial Unicode MS" w:cstheme="minorHAnsi"/>
        </w:rPr>
        <w:t xml:space="preserve"> </w:t>
      </w:r>
      <w:r w:rsidR="00D808C4" w:rsidRPr="00D808C4">
        <w:rPr>
          <w:rStyle w:val="Hyperlink"/>
          <w:rFonts w:eastAsia="Arial Unicode MS" w:cstheme="minorHAnsi"/>
          <w:color w:val="auto"/>
        </w:rPr>
        <w:t>accessed July 2023.</w:t>
      </w:r>
    </w:p>
    <w:p w14:paraId="457ED27C" w14:textId="0363A84E" w:rsidR="009A4DA0" w:rsidRDefault="009A4DA0" w:rsidP="009A4DA0">
      <w:pPr>
        <w:rPr>
          <w:rStyle w:val="Hyperlink"/>
          <w:rFonts w:eastAsia="Arial Unicode MS" w:cstheme="minorHAnsi"/>
        </w:rPr>
      </w:pPr>
      <w:r w:rsidRPr="00197758">
        <w:rPr>
          <w:rFonts w:eastAsia="Arial Unicode MS" w:cstheme="minorHAnsi"/>
        </w:rPr>
        <w:t>AIHW (Australian Institute of Health and Welfare</w:t>
      </w:r>
      <w:r>
        <w:rPr>
          <w:rFonts w:eastAsia="Arial Unicode MS" w:cstheme="minorHAnsi"/>
        </w:rPr>
        <w:t>)</w:t>
      </w:r>
      <w:r w:rsidRPr="00197758">
        <w:rPr>
          <w:rFonts w:eastAsia="Arial Unicode MS" w:cstheme="minorHAnsi"/>
        </w:rPr>
        <w:t xml:space="preserve"> (202</w:t>
      </w:r>
      <w:r>
        <w:rPr>
          <w:rFonts w:eastAsia="Arial Unicode MS" w:cstheme="minorHAnsi"/>
        </w:rPr>
        <w:t>3b</w:t>
      </w:r>
      <w:r w:rsidRPr="00197758">
        <w:rPr>
          <w:rFonts w:eastAsia="Arial Unicode MS" w:cstheme="minorHAnsi"/>
        </w:rPr>
        <w:t xml:space="preserve">), </w:t>
      </w:r>
      <w:r w:rsidRPr="00C946F8">
        <w:rPr>
          <w:rFonts w:eastAsia="Arial Unicode MS" w:cstheme="minorHAnsi"/>
          <w:i/>
          <w:iCs/>
        </w:rPr>
        <w:t>Housing Assistance in Australia 2023: Social households and waiting lists</w:t>
      </w:r>
      <w:r w:rsidRPr="00197758">
        <w:rPr>
          <w:rFonts w:eastAsia="Arial Unicode MS" w:cstheme="minorHAnsi"/>
        </w:rPr>
        <w:t xml:space="preserve">, </w:t>
      </w:r>
      <w:r>
        <w:rPr>
          <w:rFonts w:eastAsia="Arial Unicode MS" w:cstheme="minorHAnsi"/>
        </w:rPr>
        <w:t>AIHW, c</w:t>
      </w:r>
      <w:r w:rsidRPr="00197758">
        <w:rPr>
          <w:rFonts w:eastAsia="Arial Unicode MS" w:cstheme="minorHAnsi"/>
        </w:rPr>
        <w:t>at. no: HOU 334</w:t>
      </w:r>
      <w:r>
        <w:rPr>
          <w:rFonts w:eastAsia="Arial Unicode MS" w:cstheme="minorHAnsi"/>
        </w:rPr>
        <w:t xml:space="preserve">, Canberra, </w:t>
      </w:r>
      <w:hyperlink r:id="rId50" w:history="1">
        <w:r w:rsidRPr="007C10B7">
          <w:rPr>
            <w:rStyle w:val="Hyperlink"/>
            <w:rFonts w:eastAsia="Arial Unicode MS" w:cstheme="minorHAnsi"/>
          </w:rPr>
          <w:t>https://www.aihw.gov.au/reports/housing</w:t>
        </w:r>
        <w:r w:rsidR="00563A2B">
          <w:rPr>
            <w:rStyle w:val="Hyperlink"/>
            <w:rFonts w:eastAsia="Arial Unicode MS" w:cstheme="minorHAnsi"/>
          </w:rPr>
          <w:noBreakHyphen/>
        </w:r>
        <w:r w:rsidRPr="007C10B7">
          <w:rPr>
            <w:rStyle w:val="Hyperlink"/>
            <w:rFonts w:eastAsia="Arial Unicode MS" w:cstheme="minorHAnsi"/>
          </w:rPr>
          <w:t>assistance/housing</w:t>
        </w:r>
        <w:r w:rsidR="00563A2B">
          <w:rPr>
            <w:rStyle w:val="Hyperlink"/>
            <w:rFonts w:eastAsia="Arial Unicode MS" w:cstheme="minorHAnsi"/>
          </w:rPr>
          <w:noBreakHyphen/>
        </w:r>
        <w:r w:rsidRPr="007C10B7">
          <w:rPr>
            <w:rStyle w:val="Hyperlink"/>
            <w:rFonts w:eastAsia="Arial Unicode MS" w:cstheme="minorHAnsi"/>
          </w:rPr>
          <w:t>assistance</w:t>
        </w:r>
        <w:r w:rsidR="00563A2B">
          <w:rPr>
            <w:rStyle w:val="Hyperlink"/>
            <w:rFonts w:eastAsia="Arial Unicode MS" w:cstheme="minorHAnsi"/>
          </w:rPr>
          <w:noBreakHyphen/>
        </w:r>
        <w:r w:rsidRPr="007C10B7">
          <w:rPr>
            <w:rStyle w:val="Hyperlink"/>
            <w:rFonts w:eastAsia="Arial Unicode MS" w:cstheme="minorHAnsi"/>
          </w:rPr>
          <w:t>in</w:t>
        </w:r>
        <w:r w:rsidR="00563A2B">
          <w:rPr>
            <w:rStyle w:val="Hyperlink"/>
            <w:rFonts w:eastAsia="Arial Unicode MS" w:cstheme="minorHAnsi"/>
          </w:rPr>
          <w:noBreakHyphen/>
        </w:r>
        <w:r w:rsidRPr="007C10B7">
          <w:rPr>
            <w:rStyle w:val="Hyperlink"/>
            <w:rFonts w:eastAsia="Arial Unicode MS" w:cstheme="minorHAnsi"/>
          </w:rPr>
          <w:t>australia/contents/households</w:t>
        </w:r>
        <w:r w:rsidR="00563A2B">
          <w:rPr>
            <w:rStyle w:val="Hyperlink"/>
            <w:rFonts w:eastAsia="Arial Unicode MS" w:cstheme="minorHAnsi"/>
          </w:rPr>
          <w:noBreakHyphen/>
        </w:r>
        <w:r w:rsidRPr="007C10B7">
          <w:rPr>
            <w:rStyle w:val="Hyperlink"/>
            <w:rFonts w:eastAsia="Arial Unicode MS" w:cstheme="minorHAnsi"/>
          </w:rPr>
          <w:t>and</w:t>
        </w:r>
        <w:r w:rsidR="00563A2B">
          <w:rPr>
            <w:rStyle w:val="Hyperlink"/>
            <w:rFonts w:eastAsia="Arial Unicode MS" w:cstheme="minorHAnsi"/>
          </w:rPr>
          <w:noBreakHyphen/>
        </w:r>
        <w:r w:rsidRPr="007C10B7">
          <w:rPr>
            <w:rStyle w:val="Hyperlink"/>
            <w:rFonts w:eastAsia="Arial Unicode MS" w:cstheme="minorHAnsi"/>
          </w:rPr>
          <w:t>waiting</w:t>
        </w:r>
        <w:r w:rsidR="00563A2B">
          <w:rPr>
            <w:rStyle w:val="Hyperlink"/>
            <w:rFonts w:eastAsia="Arial Unicode MS" w:cstheme="minorHAnsi"/>
          </w:rPr>
          <w:noBreakHyphen/>
        </w:r>
        <w:r w:rsidRPr="007C10B7">
          <w:rPr>
            <w:rStyle w:val="Hyperlink"/>
            <w:rFonts w:eastAsia="Arial Unicode MS" w:cstheme="minorHAnsi"/>
          </w:rPr>
          <w:t>lists</w:t>
        </w:r>
      </w:hyperlink>
      <w:r w:rsidR="00D808C4">
        <w:rPr>
          <w:rStyle w:val="Hyperlink"/>
          <w:rFonts w:eastAsia="Arial Unicode MS" w:cstheme="minorHAnsi"/>
        </w:rPr>
        <w:t xml:space="preserve"> </w:t>
      </w:r>
      <w:r w:rsidR="00D808C4" w:rsidRPr="00D808C4">
        <w:rPr>
          <w:rStyle w:val="Hyperlink"/>
          <w:rFonts w:eastAsia="Arial Unicode MS" w:cstheme="minorHAnsi"/>
          <w:color w:val="auto"/>
        </w:rPr>
        <w:t>accessed July 2023.</w:t>
      </w:r>
    </w:p>
    <w:p w14:paraId="2D5DC9E5" w14:textId="620796DB" w:rsidR="009A4DA0" w:rsidRPr="001B552A" w:rsidRDefault="009A4DA0" w:rsidP="009A4DA0">
      <w:pPr>
        <w:rPr>
          <w:rStyle w:val="Hyperlink"/>
          <w:color w:val="000000" w:themeColor="text1"/>
        </w:rPr>
      </w:pPr>
      <w:r w:rsidRPr="004D08E0">
        <w:rPr>
          <w:rStyle w:val="Hyperlink"/>
          <w:rFonts w:eastAsia="Arial Unicode MS" w:cstheme="minorHAnsi"/>
          <w:color w:val="auto"/>
        </w:rPr>
        <w:lastRenderedPageBreak/>
        <w:t xml:space="preserve">AIHW (2023c), </w:t>
      </w:r>
      <w:r w:rsidRPr="004D08E0">
        <w:rPr>
          <w:rStyle w:val="Hyperlink"/>
          <w:rFonts w:eastAsia="Arial Unicode MS" w:cstheme="minorHAnsi"/>
          <w:i/>
          <w:iCs/>
          <w:color w:val="auto"/>
        </w:rPr>
        <w:t>Home ownership and housing tenure</w:t>
      </w:r>
      <w:r w:rsidRPr="004D08E0">
        <w:rPr>
          <w:rStyle w:val="Hyperlink"/>
          <w:rFonts w:eastAsia="Arial Unicode MS" w:cstheme="minorHAnsi"/>
          <w:color w:val="auto"/>
        </w:rPr>
        <w:t xml:space="preserve">, </w:t>
      </w:r>
      <w:hyperlink r:id="rId51" w:history="1">
        <w:r>
          <w:rPr>
            <w:rStyle w:val="Hyperlink"/>
          </w:rPr>
          <w:t>https://www.aihw.gov.au/reports/australias</w:t>
        </w:r>
        <w:r w:rsidR="00563A2B">
          <w:rPr>
            <w:rStyle w:val="Hyperlink"/>
          </w:rPr>
          <w:noBreakHyphen/>
        </w:r>
        <w:r>
          <w:rPr>
            <w:rStyle w:val="Hyperlink"/>
          </w:rPr>
          <w:t>welfare/home</w:t>
        </w:r>
        <w:r w:rsidR="00563A2B">
          <w:rPr>
            <w:rStyle w:val="Hyperlink"/>
          </w:rPr>
          <w:noBreakHyphen/>
        </w:r>
        <w:r>
          <w:rPr>
            <w:rStyle w:val="Hyperlink"/>
          </w:rPr>
          <w:t>ownership</w:t>
        </w:r>
        <w:r w:rsidR="00563A2B">
          <w:rPr>
            <w:rStyle w:val="Hyperlink"/>
          </w:rPr>
          <w:noBreakHyphen/>
        </w:r>
        <w:r>
          <w:rPr>
            <w:rStyle w:val="Hyperlink"/>
          </w:rPr>
          <w:t>and</w:t>
        </w:r>
        <w:r w:rsidR="00563A2B">
          <w:rPr>
            <w:rStyle w:val="Hyperlink"/>
          </w:rPr>
          <w:noBreakHyphen/>
        </w:r>
        <w:r>
          <w:rPr>
            <w:rStyle w:val="Hyperlink"/>
          </w:rPr>
          <w:t>housing</w:t>
        </w:r>
        <w:r w:rsidR="00563A2B">
          <w:rPr>
            <w:rStyle w:val="Hyperlink"/>
          </w:rPr>
          <w:noBreakHyphen/>
        </w:r>
        <w:r>
          <w:rPr>
            <w:rStyle w:val="Hyperlink"/>
          </w:rPr>
          <w:t>tenure</w:t>
        </w:r>
      </w:hyperlink>
      <w:r w:rsidR="00D808C4">
        <w:rPr>
          <w:rStyle w:val="Hyperlink"/>
        </w:rPr>
        <w:t xml:space="preserve"> </w:t>
      </w:r>
      <w:r w:rsidR="00D808C4" w:rsidRPr="00D808C4">
        <w:rPr>
          <w:rStyle w:val="Hyperlink"/>
          <w:color w:val="auto"/>
        </w:rPr>
        <w:t>accessed July 2023.</w:t>
      </w:r>
    </w:p>
    <w:p w14:paraId="4EB73349" w14:textId="1376FE0E" w:rsidR="009A4DA0" w:rsidRPr="00013BE9" w:rsidRDefault="009A4DA0" w:rsidP="009A4DA0">
      <w:pPr>
        <w:spacing w:before="0" w:after="160" w:line="259" w:lineRule="auto"/>
        <w:rPr>
          <w:color w:val="auto"/>
        </w:rPr>
      </w:pPr>
      <w:r>
        <w:rPr>
          <w:color w:val="auto"/>
        </w:rPr>
        <w:t xml:space="preserve">Allianz Real Estate (2022), </w:t>
      </w:r>
      <w:r w:rsidRPr="004A0DFE">
        <w:rPr>
          <w:i/>
          <w:iCs/>
          <w:color w:val="auto"/>
        </w:rPr>
        <w:t>The enduring appeal and resilience of Japan multifamily investments</w:t>
      </w:r>
      <w:r>
        <w:rPr>
          <w:color w:val="auto"/>
        </w:rPr>
        <w:t xml:space="preserve">, </w:t>
      </w:r>
      <w:hyperlink r:id="rId52" w:history="1">
        <w:r w:rsidRPr="00022B0C">
          <w:rPr>
            <w:rStyle w:val="Hyperlink"/>
          </w:rPr>
          <w:t>https://pimcoprimerealestate.com/_Resources/Persistent/4a88cfc939bbdf2bacaf415c5cc74389113767eb/Japan%20multifamily%20investments.pdf</w:t>
        </w:r>
      </w:hyperlink>
      <w:r>
        <w:rPr>
          <w:color w:val="auto"/>
        </w:rPr>
        <w:t xml:space="preserve"> </w:t>
      </w:r>
    </w:p>
    <w:p w14:paraId="65374E10" w14:textId="16C7BBB7" w:rsidR="009A4DA0" w:rsidRPr="00514183" w:rsidRDefault="009A4DA0" w:rsidP="009A4DA0">
      <w:pPr>
        <w:spacing w:before="0" w:after="160" w:line="259" w:lineRule="auto"/>
        <w:rPr>
          <w:rStyle w:val="Hyperlink"/>
        </w:rPr>
      </w:pPr>
      <w:r w:rsidRPr="00685506">
        <w:t xml:space="preserve">ANZ – CoreLogic (2023), </w:t>
      </w:r>
      <w:r w:rsidRPr="00685506">
        <w:rPr>
          <w:i/>
          <w:iCs/>
        </w:rPr>
        <w:t>Housing Affordability Report – May 2023</w:t>
      </w:r>
      <w:r w:rsidRPr="00685506">
        <w:t xml:space="preserve">, </w:t>
      </w:r>
      <w:hyperlink r:id="rId53" w:history="1">
        <w:r w:rsidRPr="00022B0C">
          <w:rPr>
            <w:rStyle w:val="Hyperlink"/>
          </w:rPr>
          <w:t>https://news.anz.com/content/dam/news/articles/2023/May/PDF</w:t>
        </w:r>
        <w:r w:rsidR="00563A2B">
          <w:rPr>
            <w:rStyle w:val="Hyperlink"/>
          </w:rPr>
          <w:noBreakHyphen/>
        </w:r>
        <w:r w:rsidRPr="00022B0C">
          <w:rPr>
            <w:rStyle w:val="Hyperlink"/>
          </w:rPr>
          <w:t>housing</w:t>
        </w:r>
        <w:r w:rsidR="00563A2B">
          <w:rPr>
            <w:rStyle w:val="Hyperlink"/>
          </w:rPr>
          <w:noBreakHyphen/>
        </w:r>
        <w:r w:rsidRPr="00022B0C">
          <w:rPr>
            <w:rStyle w:val="Hyperlink"/>
          </w:rPr>
          <w:t>affordability</w:t>
        </w:r>
        <w:r w:rsidR="00563A2B">
          <w:rPr>
            <w:rStyle w:val="Hyperlink"/>
          </w:rPr>
          <w:noBreakHyphen/>
        </w:r>
        <w:r w:rsidRPr="00022B0C">
          <w:rPr>
            <w:rStyle w:val="Hyperlink"/>
          </w:rPr>
          <w:t>23/AU24823_Housing%20Affordability%20Report%2022_Digi_FA02B.pdf</w:t>
        </w:r>
      </w:hyperlink>
      <w:r>
        <w:t xml:space="preserve"> </w:t>
      </w:r>
    </w:p>
    <w:p w14:paraId="6E690DBF" w14:textId="1AFD343E" w:rsidR="003863BA" w:rsidRDefault="003863BA" w:rsidP="009A4DA0">
      <w:pPr>
        <w:spacing w:before="0" w:after="160" w:line="259" w:lineRule="auto"/>
        <w:rPr>
          <w:rStyle w:val="Hyperlink"/>
          <w:color w:val="auto"/>
        </w:rPr>
      </w:pPr>
      <w:r>
        <w:rPr>
          <w:rStyle w:val="Hyperlink"/>
          <w:color w:val="auto"/>
        </w:rPr>
        <w:t>ASX</w:t>
      </w:r>
      <w:r w:rsidR="008D0AA9">
        <w:rPr>
          <w:rStyle w:val="Hyperlink"/>
          <w:color w:val="auto"/>
        </w:rPr>
        <w:t xml:space="preserve"> </w:t>
      </w:r>
      <w:r w:rsidR="00E741C8">
        <w:rPr>
          <w:rStyle w:val="Hyperlink"/>
          <w:color w:val="auto"/>
        </w:rPr>
        <w:t xml:space="preserve">(Australian Securities Exchange) </w:t>
      </w:r>
      <w:r w:rsidR="008D0AA9">
        <w:rPr>
          <w:rStyle w:val="Hyperlink"/>
          <w:color w:val="auto"/>
        </w:rPr>
        <w:t xml:space="preserve">(2023), </w:t>
      </w:r>
      <w:r w:rsidR="008D0AA9">
        <w:rPr>
          <w:rStyle w:val="Hyperlink"/>
          <w:i/>
          <w:iCs/>
          <w:color w:val="auto"/>
        </w:rPr>
        <w:t>Historical market statistics</w:t>
      </w:r>
      <w:r w:rsidR="008D0AA9">
        <w:rPr>
          <w:rStyle w:val="Hyperlink"/>
          <w:color w:val="auto"/>
        </w:rPr>
        <w:t xml:space="preserve">, </w:t>
      </w:r>
      <w:hyperlink r:id="rId54" w:history="1">
        <w:r w:rsidR="00E741C8" w:rsidRPr="00CE4561">
          <w:rPr>
            <w:rStyle w:val="Hyperlink"/>
          </w:rPr>
          <w:t>https://www.asx.com.au/about/market</w:t>
        </w:r>
        <w:r w:rsidR="00563A2B">
          <w:rPr>
            <w:rStyle w:val="Hyperlink"/>
          </w:rPr>
          <w:noBreakHyphen/>
        </w:r>
        <w:r w:rsidR="00E741C8" w:rsidRPr="00CE4561">
          <w:rPr>
            <w:rStyle w:val="Hyperlink"/>
          </w:rPr>
          <w:t>statistics/historical</w:t>
        </w:r>
        <w:r w:rsidR="00563A2B">
          <w:rPr>
            <w:rStyle w:val="Hyperlink"/>
          </w:rPr>
          <w:noBreakHyphen/>
        </w:r>
        <w:r w:rsidR="00E741C8" w:rsidRPr="00CE4561">
          <w:rPr>
            <w:rStyle w:val="Hyperlink"/>
          </w:rPr>
          <w:t>market</w:t>
        </w:r>
        <w:r w:rsidR="00563A2B">
          <w:rPr>
            <w:rStyle w:val="Hyperlink"/>
          </w:rPr>
          <w:noBreakHyphen/>
        </w:r>
        <w:r w:rsidR="00E741C8" w:rsidRPr="00CE4561">
          <w:rPr>
            <w:rStyle w:val="Hyperlink"/>
          </w:rPr>
          <w:t>statistics.html</w:t>
        </w:r>
      </w:hyperlink>
      <w:r w:rsidR="00E741C8">
        <w:rPr>
          <w:rStyle w:val="Hyperlink"/>
          <w:color w:val="auto"/>
        </w:rPr>
        <w:t xml:space="preserve"> </w:t>
      </w:r>
    </w:p>
    <w:p w14:paraId="45AC5CDC" w14:textId="44B7E9A9" w:rsidR="007271CE" w:rsidRDefault="007271CE" w:rsidP="009A4DA0">
      <w:pPr>
        <w:spacing w:before="0" w:after="160" w:line="259" w:lineRule="auto"/>
        <w:rPr>
          <w:rStyle w:val="Hyperlink"/>
          <w:color w:val="auto"/>
        </w:rPr>
      </w:pPr>
      <w:r>
        <w:rPr>
          <w:rStyle w:val="Hyperlink"/>
          <w:color w:val="auto"/>
        </w:rPr>
        <w:t>August</w:t>
      </w:r>
      <w:r w:rsidR="006D5D08">
        <w:rPr>
          <w:rStyle w:val="Hyperlink"/>
          <w:color w:val="auto"/>
        </w:rPr>
        <w:t xml:space="preserve"> M. (2022), The financialization of multi</w:t>
      </w:r>
      <w:r w:rsidR="00563A2B">
        <w:rPr>
          <w:rStyle w:val="Hyperlink"/>
          <w:color w:val="auto"/>
        </w:rPr>
        <w:noBreakHyphen/>
      </w:r>
      <w:r w:rsidR="006D5D08">
        <w:rPr>
          <w:rStyle w:val="Hyperlink"/>
          <w:color w:val="auto"/>
        </w:rPr>
        <w:t>family rental housing in Canada</w:t>
      </w:r>
      <w:r w:rsidR="00144F4C">
        <w:rPr>
          <w:rStyle w:val="Hyperlink"/>
          <w:color w:val="auto"/>
        </w:rPr>
        <w:t xml:space="preserve">, </w:t>
      </w:r>
      <w:r w:rsidR="00144F4C" w:rsidRPr="00B13F48">
        <w:rPr>
          <w:rStyle w:val="Hyperlink"/>
          <w:i/>
          <w:color w:val="auto"/>
        </w:rPr>
        <w:t>Canadian Human Rights Commission</w:t>
      </w:r>
      <w:r w:rsidR="00144F4C">
        <w:rPr>
          <w:rStyle w:val="Hyperlink"/>
          <w:color w:val="auto"/>
        </w:rPr>
        <w:t xml:space="preserve">, </w:t>
      </w:r>
      <w:hyperlink r:id="rId55" w:history="1">
        <w:r w:rsidR="00144F4C" w:rsidRPr="00CE4561">
          <w:rPr>
            <w:rStyle w:val="Hyperlink"/>
          </w:rPr>
          <w:t>https://www.homelesshub.ca/sites/default/files/attachments/august</w:t>
        </w:r>
        <w:r w:rsidR="00563A2B">
          <w:rPr>
            <w:rStyle w:val="Hyperlink"/>
          </w:rPr>
          <w:noBreakHyphen/>
        </w:r>
        <w:r w:rsidR="00144F4C" w:rsidRPr="00CE4561">
          <w:rPr>
            <w:rStyle w:val="Hyperlink"/>
          </w:rPr>
          <w:t>financialization</w:t>
        </w:r>
        <w:r w:rsidR="00563A2B">
          <w:rPr>
            <w:rStyle w:val="Hyperlink"/>
          </w:rPr>
          <w:noBreakHyphen/>
        </w:r>
        <w:r w:rsidR="00144F4C" w:rsidRPr="00CE4561">
          <w:rPr>
            <w:rStyle w:val="Hyperlink"/>
          </w:rPr>
          <w:t>rental</w:t>
        </w:r>
        <w:r w:rsidR="00563A2B">
          <w:rPr>
            <w:rStyle w:val="Hyperlink"/>
          </w:rPr>
          <w:noBreakHyphen/>
        </w:r>
        <w:r w:rsidR="00144F4C" w:rsidRPr="00CE4561">
          <w:rPr>
            <w:rStyle w:val="Hyperlink"/>
          </w:rPr>
          <w:t>housing</w:t>
        </w:r>
        <w:r w:rsidR="00563A2B">
          <w:rPr>
            <w:rStyle w:val="Hyperlink"/>
          </w:rPr>
          <w:noBreakHyphen/>
        </w:r>
        <w:r w:rsidR="00144F4C" w:rsidRPr="00CE4561">
          <w:rPr>
            <w:rStyle w:val="Hyperlink"/>
          </w:rPr>
          <w:t>ofha</w:t>
        </w:r>
        <w:r w:rsidR="00563A2B">
          <w:rPr>
            <w:rStyle w:val="Hyperlink"/>
          </w:rPr>
          <w:noBreakHyphen/>
        </w:r>
        <w:r w:rsidR="00144F4C" w:rsidRPr="00CE4561">
          <w:rPr>
            <w:rStyle w:val="Hyperlink"/>
          </w:rPr>
          <w:t>en.pdf</w:t>
        </w:r>
      </w:hyperlink>
      <w:r w:rsidR="00144F4C">
        <w:rPr>
          <w:rStyle w:val="Hyperlink"/>
          <w:color w:val="auto"/>
        </w:rPr>
        <w:t xml:space="preserve"> </w:t>
      </w:r>
    </w:p>
    <w:p w14:paraId="15BAA4CA" w14:textId="5D0BB0A0" w:rsidR="009A4DA0" w:rsidRPr="004D08E0" w:rsidRDefault="009A4DA0" w:rsidP="009A4DA0">
      <w:pPr>
        <w:spacing w:before="0" w:after="160" w:line="259" w:lineRule="auto"/>
        <w:rPr>
          <w:color w:val="auto"/>
        </w:rPr>
      </w:pPr>
      <w:r w:rsidRPr="004D08E0">
        <w:rPr>
          <w:rStyle w:val="Hyperlink"/>
          <w:color w:val="auto"/>
        </w:rPr>
        <w:t>Australian Property Journal (2021)</w:t>
      </w:r>
      <w:r>
        <w:rPr>
          <w:rStyle w:val="Hyperlink"/>
          <w:color w:val="auto"/>
        </w:rPr>
        <w:t xml:space="preserve">, </w:t>
      </w:r>
      <w:r w:rsidR="00563A2B">
        <w:rPr>
          <w:rStyle w:val="Hyperlink"/>
          <w:color w:val="auto"/>
        </w:rPr>
        <w:t>‘</w:t>
      </w:r>
      <w:proofErr w:type="spellStart"/>
      <w:r w:rsidRPr="005F0ABC">
        <w:rPr>
          <w:rStyle w:val="Hyperlink"/>
          <w:color w:val="auto"/>
        </w:rPr>
        <w:t>Arklife</w:t>
      </w:r>
      <w:proofErr w:type="spellEnd"/>
      <w:r w:rsidRPr="005F0ABC">
        <w:rPr>
          <w:rStyle w:val="Hyperlink"/>
          <w:color w:val="auto"/>
        </w:rPr>
        <w:t xml:space="preserve"> sets sail for Brisbane build to rent</w:t>
      </w:r>
      <w:r w:rsidR="00563A2B">
        <w:rPr>
          <w:rStyle w:val="Hyperlink"/>
          <w:color w:val="auto"/>
        </w:rPr>
        <w:t>’</w:t>
      </w:r>
      <w:r>
        <w:rPr>
          <w:rStyle w:val="Hyperlink"/>
          <w:color w:val="auto"/>
        </w:rPr>
        <w:t xml:space="preserve">, </w:t>
      </w:r>
      <w:r>
        <w:rPr>
          <w:rStyle w:val="Hyperlink"/>
          <w:i/>
          <w:iCs/>
          <w:color w:val="auto"/>
        </w:rPr>
        <w:t xml:space="preserve">Australian Property Journal, </w:t>
      </w:r>
      <w:hyperlink r:id="rId56" w:anchor=":~:text=BUILD%2Dto%2Drent%20operator%20Arklife,a%20%241%20billion%20Qualitas%20fund." w:history="1">
        <w:r>
          <w:rPr>
            <w:rStyle w:val="Hyperlink"/>
          </w:rPr>
          <w:t>https://www.australianpropertyjournal.com.au/2021/07/08/arklife</w:t>
        </w:r>
        <w:r w:rsidR="00563A2B">
          <w:rPr>
            <w:rStyle w:val="Hyperlink"/>
          </w:rPr>
          <w:noBreakHyphen/>
        </w:r>
        <w:r>
          <w:rPr>
            <w:rStyle w:val="Hyperlink"/>
          </w:rPr>
          <w:t>sets</w:t>
        </w:r>
        <w:r w:rsidR="00563A2B">
          <w:rPr>
            <w:rStyle w:val="Hyperlink"/>
          </w:rPr>
          <w:noBreakHyphen/>
        </w:r>
        <w:r>
          <w:rPr>
            <w:rStyle w:val="Hyperlink"/>
          </w:rPr>
          <w:t>sail</w:t>
        </w:r>
        <w:r w:rsidR="00563A2B">
          <w:rPr>
            <w:rStyle w:val="Hyperlink"/>
          </w:rPr>
          <w:noBreakHyphen/>
        </w:r>
        <w:r>
          <w:rPr>
            <w:rStyle w:val="Hyperlink"/>
          </w:rPr>
          <w:t>for</w:t>
        </w:r>
        <w:r w:rsidR="00563A2B">
          <w:rPr>
            <w:rStyle w:val="Hyperlink"/>
          </w:rPr>
          <w:noBreakHyphen/>
        </w:r>
        <w:r>
          <w:rPr>
            <w:rStyle w:val="Hyperlink"/>
          </w:rPr>
          <w:t>brisbane</w:t>
        </w:r>
        <w:r w:rsidR="00563A2B">
          <w:rPr>
            <w:rStyle w:val="Hyperlink"/>
          </w:rPr>
          <w:noBreakHyphen/>
        </w:r>
        <w:r>
          <w:rPr>
            <w:rStyle w:val="Hyperlink"/>
          </w:rPr>
          <w:t>build</w:t>
        </w:r>
        <w:r w:rsidR="00563A2B">
          <w:rPr>
            <w:rStyle w:val="Hyperlink"/>
          </w:rPr>
          <w:noBreakHyphen/>
        </w:r>
        <w:r>
          <w:rPr>
            <w:rStyle w:val="Hyperlink"/>
          </w:rPr>
          <w:t>to</w:t>
        </w:r>
        <w:r w:rsidR="00563A2B">
          <w:rPr>
            <w:rStyle w:val="Hyperlink"/>
          </w:rPr>
          <w:noBreakHyphen/>
        </w:r>
        <w:r>
          <w:rPr>
            <w:rStyle w:val="Hyperlink"/>
          </w:rPr>
          <w:t>rent/</w:t>
        </w:r>
      </w:hyperlink>
      <w:r w:rsidR="00667B7A" w:rsidRPr="00667B7A">
        <w:rPr>
          <w:color w:val="auto"/>
        </w:rPr>
        <w:t xml:space="preserve"> </w:t>
      </w:r>
      <w:r w:rsidR="00667B7A">
        <w:rPr>
          <w:color w:val="auto"/>
        </w:rPr>
        <w:t>accessed July 2023.</w:t>
      </w:r>
    </w:p>
    <w:p w14:paraId="34509F38" w14:textId="6EAF0C66" w:rsidR="009A4DA0" w:rsidRDefault="009A4DA0" w:rsidP="009A4DA0">
      <w:pPr>
        <w:spacing w:before="0" w:after="160" w:line="259" w:lineRule="auto"/>
      </w:pPr>
      <w:r>
        <w:t xml:space="preserve">APRA (Australian Prudential Regulation Authority) (2023), </w:t>
      </w:r>
      <w:r w:rsidR="00563A2B">
        <w:t>‘</w:t>
      </w:r>
      <w:r>
        <w:t>Quarterly superannuation statistics</w:t>
      </w:r>
      <w:r w:rsidR="00563A2B">
        <w:t>’</w:t>
      </w:r>
      <w:r>
        <w:t xml:space="preserve">, APRA, Canberra: </w:t>
      </w:r>
      <w:hyperlink r:id="rId57" w:history="1">
        <w:r>
          <w:rPr>
            <w:rStyle w:val="Hyperlink"/>
          </w:rPr>
          <w:t>https://www.apra.gov.au/quarterly</w:t>
        </w:r>
        <w:r w:rsidR="00563A2B">
          <w:rPr>
            <w:rStyle w:val="Hyperlink"/>
          </w:rPr>
          <w:noBreakHyphen/>
        </w:r>
        <w:r>
          <w:rPr>
            <w:rStyle w:val="Hyperlink"/>
          </w:rPr>
          <w:t>superannuation</w:t>
        </w:r>
        <w:r w:rsidR="00563A2B">
          <w:rPr>
            <w:rStyle w:val="Hyperlink"/>
          </w:rPr>
          <w:noBreakHyphen/>
        </w:r>
        <w:r>
          <w:rPr>
            <w:rStyle w:val="Hyperlink"/>
          </w:rPr>
          <w:t>statistics</w:t>
        </w:r>
      </w:hyperlink>
    </w:p>
    <w:p w14:paraId="13F8E5E9" w14:textId="102D807E" w:rsidR="009A4DA0" w:rsidRDefault="009A4DA0" w:rsidP="009A4DA0">
      <w:pPr>
        <w:rPr>
          <w:color w:val="0070C0"/>
          <w:u w:val="single"/>
        </w:rPr>
      </w:pPr>
      <w:r>
        <w:rPr>
          <w:rStyle w:val="Hyperlink"/>
          <w:color w:val="000000" w:themeColor="text1"/>
        </w:rPr>
        <w:t xml:space="preserve">Ansell Strategic (2014), </w:t>
      </w:r>
      <w:r w:rsidRPr="000954BE">
        <w:rPr>
          <w:rStyle w:val="Hyperlink"/>
          <w:i/>
          <w:iCs/>
          <w:color w:val="000000" w:themeColor="text1"/>
        </w:rPr>
        <w:t>Investing in Aged Care – The Second Wave</w:t>
      </w:r>
      <w:r>
        <w:rPr>
          <w:rStyle w:val="Hyperlink"/>
          <w:color w:val="000000" w:themeColor="text1"/>
        </w:rPr>
        <w:t xml:space="preserve">, </w:t>
      </w:r>
      <w:hyperlink r:id="rId58" w:history="1">
        <w:r w:rsidRPr="00022B0C">
          <w:rPr>
            <w:rStyle w:val="Hyperlink"/>
          </w:rPr>
          <w:t>https://s3.ap</w:t>
        </w:r>
        <w:r w:rsidR="00563A2B">
          <w:rPr>
            <w:rStyle w:val="Hyperlink"/>
          </w:rPr>
          <w:noBreakHyphen/>
        </w:r>
        <w:r w:rsidRPr="00022B0C">
          <w:rPr>
            <w:rStyle w:val="Hyperlink"/>
          </w:rPr>
          <w:t>southeast</w:t>
        </w:r>
        <w:r w:rsidR="00563A2B">
          <w:rPr>
            <w:rStyle w:val="Hyperlink"/>
          </w:rPr>
          <w:noBreakHyphen/>
        </w:r>
        <w:r w:rsidRPr="00022B0C">
          <w:rPr>
            <w:rStyle w:val="Hyperlink"/>
          </w:rPr>
          <w:t>2.amazonaws.com/assets.ansellstrategic.com.au/app/uploads/2014/04/14084616/</w:t>
        </w:r>
        <w:r w:rsidRPr="00514183">
          <w:rPr>
            <w:rStyle w:val="Hyperlink"/>
          </w:rPr>
          <w:t>Ansell</w:t>
        </w:r>
        <w:r w:rsidR="00563A2B">
          <w:rPr>
            <w:rStyle w:val="Hyperlink"/>
          </w:rPr>
          <w:noBreakHyphen/>
        </w:r>
        <w:r w:rsidRPr="00514183">
          <w:rPr>
            <w:rStyle w:val="Hyperlink"/>
          </w:rPr>
          <w:t>Strategic</w:t>
        </w:r>
        <w:r w:rsidR="00563A2B">
          <w:rPr>
            <w:rStyle w:val="Hyperlink"/>
          </w:rPr>
          <w:noBreakHyphen/>
        </w:r>
        <w:r w:rsidRPr="00514183">
          <w:rPr>
            <w:rStyle w:val="Hyperlink"/>
          </w:rPr>
          <w:t>Investing</w:t>
        </w:r>
        <w:r w:rsidR="00563A2B">
          <w:rPr>
            <w:rStyle w:val="Hyperlink"/>
          </w:rPr>
          <w:noBreakHyphen/>
        </w:r>
        <w:r w:rsidRPr="00514183">
          <w:rPr>
            <w:rStyle w:val="Hyperlink"/>
          </w:rPr>
          <w:t>in</w:t>
        </w:r>
        <w:r w:rsidR="00563A2B">
          <w:rPr>
            <w:rStyle w:val="Hyperlink"/>
          </w:rPr>
          <w:noBreakHyphen/>
        </w:r>
        <w:r w:rsidRPr="00514183">
          <w:rPr>
            <w:rStyle w:val="Hyperlink"/>
          </w:rPr>
          <w:t>Aged</w:t>
        </w:r>
        <w:r w:rsidR="00563A2B">
          <w:rPr>
            <w:rStyle w:val="Hyperlink"/>
          </w:rPr>
          <w:noBreakHyphen/>
        </w:r>
        <w:r w:rsidRPr="00514183">
          <w:rPr>
            <w:rStyle w:val="Hyperlink"/>
          </w:rPr>
          <w:t>Care</w:t>
        </w:r>
        <w:r w:rsidR="00563A2B">
          <w:rPr>
            <w:rStyle w:val="Hyperlink"/>
          </w:rPr>
          <w:noBreakHyphen/>
        </w:r>
        <w:r w:rsidRPr="00514183">
          <w:rPr>
            <w:rStyle w:val="Hyperlink"/>
          </w:rPr>
          <w:t>The</w:t>
        </w:r>
        <w:r w:rsidR="00563A2B">
          <w:rPr>
            <w:rStyle w:val="Hyperlink"/>
          </w:rPr>
          <w:noBreakHyphen/>
        </w:r>
        <w:r w:rsidRPr="00514183">
          <w:rPr>
            <w:rStyle w:val="Hyperlink"/>
          </w:rPr>
          <w:t>Second</w:t>
        </w:r>
        <w:r w:rsidR="00563A2B">
          <w:rPr>
            <w:rStyle w:val="Hyperlink"/>
          </w:rPr>
          <w:noBreakHyphen/>
        </w:r>
        <w:r w:rsidRPr="00514183">
          <w:rPr>
            <w:rStyle w:val="Hyperlink"/>
          </w:rPr>
          <w:t>Wave.pdf</w:t>
        </w:r>
      </w:hyperlink>
      <w:r>
        <w:rPr>
          <w:rStyle w:val="Hyperlink"/>
          <w:color w:val="000000" w:themeColor="text1"/>
        </w:rPr>
        <w:t xml:space="preserve"> </w:t>
      </w:r>
    </w:p>
    <w:p w14:paraId="311BAF16" w14:textId="4D0B14D2" w:rsidR="000B2783" w:rsidRPr="00667B7A" w:rsidRDefault="000B2783" w:rsidP="009A4DA0">
      <w:pPr>
        <w:rPr>
          <w:color w:val="auto"/>
        </w:rPr>
      </w:pPr>
      <w:r>
        <w:rPr>
          <w:color w:val="auto"/>
        </w:rPr>
        <w:t>Assemble</w:t>
      </w:r>
      <w:r w:rsidR="00667B7A">
        <w:rPr>
          <w:color w:val="auto"/>
        </w:rPr>
        <w:t xml:space="preserve"> (2020)</w:t>
      </w:r>
      <w:r>
        <w:rPr>
          <w:color w:val="auto"/>
        </w:rPr>
        <w:t xml:space="preserve">, </w:t>
      </w:r>
      <w:r w:rsidR="00563A2B">
        <w:rPr>
          <w:color w:val="auto"/>
        </w:rPr>
        <w:t>‘</w:t>
      </w:r>
      <w:proofErr w:type="spellStart"/>
      <w:r w:rsidR="00667B7A" w:rsidRPr="00667B7A">
        <w:rPr>
          <w:color w:val="auto"/>
        </w:rPr>
        <w:t>AustralianSuper</w:t>
      </w:r>
      <w:proofErr w:type="spellEnd"/>
      <w:r w:rsidR="00667B7A" w:rsidRPr="00667B7A">
        <w:rPr>
          <w:color w:val="auto"/>
        </w:rPr>
        <w:t xml:space="preserve"> makes cornerstone investment in Assemble Communities</w:t>
      </w:r>
      <w:r w:rsidR="00563A2B">
        <w:rPr>
          <w:color w:val="auto"/>
        </w:rPr>
        <w:t>’</w:t>
      </w:r>
      <w:r w:rsidR="00667B7A">
        <w:rPr>
          <w:color w:val="auto"/>
        </w:rPr>
        <w:t xml:space="preserve">, </w:t>
      </w:r>
      <w:r w:rsidR="00667B7A">
        <w:rPr>
          <w:i/>
          <w:iCs/>
          <w:color w:val="auto"/>
        </w:rPr>
        <w:t>media release</w:t>
      </w:r>
      <w:r w:rsidR="00667B7A">
        <w:rPr>
          <w:color w:val="auto"/>
        </w:rPr>
        <w:t xml:space="preserve">, </w:t>
      </w:r>
      <w:hyperlink r:id="rId59" w:history="1">
        <w:r w:rsidR="00667B7A" w:rsidRPr="003D33DE">
          <w:rPr>
            <w:rStyle w:val="Hyperlink"/>
          </w:rPr>
          <w:t>https://assemblecommunities.com/australiansuper</w:t>
        </w:r>
        <w:r w:rsidR="00563A2B">
          <w:rPr>
            <w:rStyle w:val="Hyperlink"/>
          </w:rPr>
          <w:noBreakHyphen/>
        </w:r>
        <w:r w:rsidR="00667B7A" w:rsidRPr="003D33DE">
          <w:rPr>
            <w:rStyle w:val="Hyperlink"/>
          </w:rPr>
          <w:t>makes</w:t>
        </w:r>
        <w:r w:rsidR="00563A2B">
          <w:rPr>
            <w:rStyle w:val="Hyperlink"/>
          </w:rPr>
          <w:noBreakHyphen/>
        </w:r>
        <w:r w:rsidR="00667B7A" w:rsidRPr="003D33DE">
          <w:rPr>
            <w:rStyle w:val="Hyperlink"/>
          </w:rPr>
          <w:t>cornerstone</w:t>
        </w:r>
        <w:r w:rsidR="00563A2B">
          <w:rPr>
            <w:rStyle w:val="Hyperlink"/>
          </w:rPr>
          <w:noBreakHyphen/>
        </w:r>
        <w:r w:rsidR="00667B7A" w:rsidRPr="003D33DE">
          <w:rPr>
            <w:rStyle w:val="Hyperlink"/>
          </w:rPr>
          <w:t>investment</w:t>
        </w:r>
        <w:r w:rsidR="00563A2B">
          <w:rPr>
            <w:rStyle w:val="Hyperlink"/>
          </w:rPr>
          <w:noBreakHyphen/>
        </w:r>
        <w:r w:rsidR="00667B7A" w:rsidRPr="003D33DE">
          <w:rPr>
            <w:rStyle w:val="Hyperlink"/>
          </w:rPr>
          <w:t>in</w:t>
        </w:r>
        <w:r w:rsidR="00563A2B">
          <w:rPr>
            <w:rStyle w:val="Hyperlink"/>
          </w:rPr>
          <w:noBreakHyphen/>
        </w:r>
        <w:r w:rsidR="00667B7A" w:rsidRPr="003D33DE">
          <w:rPr>
            <w:rStyle w:val="Hyperlink"/>
          </w:rPr>
          <w:t>assemble</w:t>
        </w:r>
        <w:r w:rsidR="00563A2B">
          <w:rPr>
            <w:rStyle w:val="Hyperlink"/>
          </w:rPr>
          <w:noBreakHyphen/>
        </w:r>
        <w:r w:rsidR="00667B7A" w:rsidRPr="003D33DE">
          <w:rPr>
            <w:rStyle w:val="Hyperlink"/>
          </w:rPr>
          <w:t>communities/</w:t>
        </w:r>
      </w:hyperlink>
      <w:r w:rsidR="00667B7A">
        <w:rPr>
          <w:color w:val="auto"/>
        </w:rPr>
        <w:t xml:space="preserve"> accessed July 2023.</w:t>
      </w:r>
    </w:p>
    <w:p w14:paraId="4E98E8D2" w14:textId="4D974A99" w:rsidR="009A4DA0" w:rsidRPr="004D08E0" w:rsidRDefault="009A4DA0" w:rsidP="009A4DA0">
      <w:pPr>
        <w:rPr>
          <w:color w:val="auto"/>
        </w:rPr>
      </w:pPr>
      <w:r w:rsidRPr="004D08E0">
        <w:rPr>
          <w:color w:val="auto"/>
        </w:rPr>
        <w:t>ASIC (Australian Securities and Investment Commission)</w:t>
      </w:r>
      <w:r>
        <w:rPr>
          <w:color w:val="auto"/>
        </w:rPr>
        <w:t xml:space="preserve"> (2020), </w:t>
      </w:r>
      <w:r>
        <w:rPr>
          <w:i/>
          <w:iCs/>
          <w:color w:val="auto"/>
        </w:rPr>
        <w:t>Regulatory Guide 97: Disclosing fees and costs in PDSs and periodic statements</w:t>
      </w:r>
      <w:r>
        <w:rPr>
          <w:color w:val="auto"/>
        </w:rPr>
        <w:t xml:space="preserve">, </w:t>
      </w:r>
      <w:hyperlink r:id="rId60" w:history="1">
        <w:r w:rsidRPr="00022B0C">
          <w:rPr>
            <w:rStyle w:val="Hyperlink"/>
          </w:rPr>
          <w:t>https://download.asic.gov.au/media/5801438/rg97</w:t>
        </w:r>
        <w:r w:rsidR="00563A2B">
          <w:rPr>
            <w:rStyle w:val="Hyperlink"/>
          </w:rPr>
          <w:noBreakHyphen/>
        </w:r>
        <w:r w:rsidRPr="00022B0C">
          <w:rPr>
            <w:rStyle w:val="Hyperlink"/>
          </w:rPr>
          <w:t>published</w:t>
        </w:r>
        <w:r w:rsidR="00563A2B">
          <w:rPr>
            <w:rStyle w:val="Hyperlink"/>
          </w:rPr>
          <w:noBreakHyphen/>
        </w:r>
        <w:r w:rsidRPr="00022B0C">
          <w:rPr>
            <w:rStyle w:val="Hyperlink"/>
          </w:rPr>
          <w:t>28</w:t>
        </w:r>
        <w:r w:rsidR="00563A2B">
          <w:rPr>
            <w:rStyle w:val="Hyperlink"/>
          </w:rPr>
          <w:noBreakHyphen/>
        </w:r>
        <w:r w:rsidRPr="00022B0C">
          <w:rPr>
            <w:rStyle w:val="Hyperlink"/>
          </w:rPr>
          <w:t>september</w:t>
        </w:r>
        <w:r w:rsidR="00563A2B">
          <w:rPr>
            <w:rStyle w:val="Hyperlink"/>
          </w:rPr>
          <w:noBreakHyphen/>
        </w:r>
        <w:r w:rsidRPr="00022B0C">
          <w:rPr>
            <w:rStyle w:val="Hyperlink"/>
          </w:rPr>
          <w:t>2020.pdf</w:t>
        </w:r>
      </w:hyperlink>
      <w:r>
        <w:rPr>
          <w:color w:val="auto"/>
        </w:rPr>
        <w:t xml:space="preserve"> </w:t>
      </w:r>
    </w:p>
    <w:p w14:paraId="5B289D93" w14:textId="2217C605" w:rsidR="009A4DA0" w:rsidRDefault="009A4DA0" w:rsidP="009A4DA0">
      <w:pPr>
        <w:spacing w:after="160" w:line="259" w:lineRule="auto"/>
        <w:rPr>
          <w:rFonts w:eastAsia="Arial Unicode MS"/>
          <w:color w:val="auto"/>
        </w:rPr>
      </w:pPr>
      <w:r>
        <w:t xml:space="preserve">Benedict R, Gurran N, Gilbert C, Hamilton C, Rowley S and Liu S. (2022) Private sector involvement in social and affordable housing, AHURI Final Report 388, Australian Housing and Urban Research Institute Limited, Melbourne, </w:t>
      </w:r>
      <w:hyperlink r:id="rId61" w:history="1">
        <w:r w:rsidRPr="007C10B7">
          <w:rPr>
            <w:rStyle w:val="Hyperlink"/>
          </w:rPr>
          <w:t>https://www.ahuri.edu.au/research/final</w:t>
        </w:r>
        <w:r w:rsidR="00563A2B">
          <w:rPr>
            <w:rStyle w:val="Hyperlink"/>
          </w:rPr>
          <w:noBreakHyphen/>
        </w:r>
        <w:r w:rsidRPr="007C10B7">
          <w:rPr>
            <w:rStyle w:val="Hyperlink"/>
          </w:rPr>
          <w:t>reports/388</w:t>
        </w:r>
      </w:hyperlink>
      <w:r>
        <w:t xml:space="preserve">, </w:t>
      </w:r>
      <w:proofErr w:type="spellStart"/>
      <w:r w:rsidRPr="00691620">
        <w:rPr>
          <w:color w:val="auto"/>
        </w:rPr>
        <w:t>doi</w:t>
      </w:r>
      <w:proofErr w:type="spellEnd"/>
      <w:r w:rsidRPr="00691620">
        <w:rPr>
          <w:color w:val="auto"/>
        </w:rPr>
        <w:t>:</w:t>
      </w:r>
      <w:r w:rsidR="005836C7">
        <w:rPr>
          <w:color w:val="auto"/>
        </w:rPr>
        <w:t> </w:t>
      </w:r>
      <w:r w:rsidRPr="00691620">
        <w:rPr>
          <w:color w:val="auto"/>
        </w:rPr>
        <w:t>10.18408/ahuri7326901</w:t>
      </w:r>
    </w:p>
    <w:p w14:paraId="4031EFB6" w14:textId="3B0079FD" w:rsidR="009A4DA0" w:rsidRPr="004D08E0" w:rsidRDefault="009A4DA0" w:rsidP="009A4DA0">
      <w:pPr>
        <w:rPr>
          <w:rFonts w:eastAsia="Arial Unicode MS"/>
          <w:color w:val="auto"/>
        </w:rPr>
      </w:pPr>
      <w:r w:rsidRPr="003434EE">
        <w:rPr>
          <w:rFonts w:eastAsia="Arial Unicode MS"/>
          <w:color w:val="auto"/>
        </w:rPr>
        <w:t>Berry</w:t>
      </w:r>
      <w:r>
        <w:rPr>
          <w:rFonts w:eastAsia="Arial Unicode MS"/>
          <w:color w:val="auto"/>
        </w:rPr>
        <w:t xml:space="preserve"> M</w:t>
      </w:r>
      <w:r w:rsidRPr="003434EE">
        <w:rPr>
          <w:rFonts w:eastAsia="Arial Unicode MS"/>
          <w:color w:val="auto"/>
        </w:rPr>
        <w:t xml:space="preserve"> and Hall</w:t>
      </w:r>
      <w:r>
        <w:rPr>
          <w:rFonts w:eastAsia="Arial Unicode MS"/>
          <w:color w:val="auto"/>
        </w:rPr>
        <w:t xml:space="preserve"> J</w:t>
      </w:r>
      <w:r w:rsidR="00F479CC">
        <w:rPr>
          <w:rFonts w:eastAsia="Arial Unicode MS"/>
          <w:color w:val="auto"/>
        </w:rPr>
        <w:t>.</w:t>
      </w:r>
      <w:r w:rsidRPr="003434EE">
        <w:rPr>
          <w:rFonts w:eastAsia="Arial Unicode MS"/>
          <w:color w:val="auto"/>
        </w:rPr>
        <w:t xml:space="preserve"> (2002), </w:t>
      </w:r>
      <w:r w:rsidRPr="003434EE">
        <w:rPr>
          <w:rFonts w:eastAsia="Arial Unicode MS"/>
          <w:i/>
          <w:iCs/>
          <w:color w:val="auto"/>
        </w:rPr>
        <w:t>New approaches to expanding the supply of affordable housing in Australia: An increasing role for the private sector</w:t>
      </w:r>
      <w:r w:rsidRPr="003434EE">
        <w:rPr>
          <w:rFonts w:eastAsia="Arial Unicode MS"/>
          <w:color w:val="auto"/>
        </w:rPr>
        <w:t xml:space="preserve">, </w:t>
      </w:r>
      <w:proofErr w:type="spellStart"/>
      <w:r>
        <w:rPr>
          <w:rFonts w:eastAsia="Arial Unicode MS"/>
          <w:color w:val="auto"/>
        </w:rPr>
        <w:t>AHURi</w:t>
      </w:r>
      <w:proofErr w:type="spellEnd"/>
      <w:r>
        <w:rPr>
          <w:rFonts w:eastAsia="Arial Unicode MS"/>
          <w:color w:val="auto"/>
        </w:rPr>
        <w:t xml:space="preserve"> F</w:t>
      </w:r>
      <w:r w:rsidRPr="003434EE">
        <w:rPr>
          <w:rFonts w:eastAsia="Arial Unicode MS"/>
          <w:color w:val="auto"/>
        </w:rPr>
        <w:t xml:space="preserve">inal </w:t>
      </w:r>
      <w:r>
        <w:rPr>
          <w:rFonts w:eastAsia="Arial Unicode MS"/>
          <w:color w:val="auto"/>
        </w:rPr>
        <w:t>R</w:t>
      </w:r>
      <w:r w:rsidRPr="003434EE">
        <w:rPr>
          <w:rFonts w:eastAsia="Arial Unicode MS"/>
          <w:color w:val="auto"/>
        </w:rPr>
        <w:t>eport 14, Australian Housing and Urban Research Institute Limited, Melbourne</w:t>
      </w:r>
      <w:r>
        <w:rPr>
          <w:rFonts w:eastAsia="Arial Unicode MS"/>
          <w:color w:val="auto"/>
        </w:rPr>
        <w:t xml:space="preserve">, </w:t>
      </w:r>
      <w:hyperlink r:id="rId62" w:history="1">
        <w:r w:rsidRPr="00022B0C">
          <w:rPr>
            <w:rStyle w:val="Hyperlink"/>
            <w:rFonts w:eastAsia="Arial Unicode MS"/>
          </w:rPr>
          <w:t>https://www.ahuri.edu.au/sites/default/files/migration/documents/AHURI_Final_Report_No14_New_approaches_to_expanding_the_supply_of_affordable_housing_in_Australia.pdf</w:t>
        </w:r>
      </w:hyperlink>
      <w:r>
        <w:rPr>
          <w:rFonts w:eastAsia="Arial Unicode MS"/>
          <w:color w:val="auto"/>
        </w:rPr>
        <w:t xml:space="preserve"> </w:t>
      </w:r>
    </w:p>
    <w:p w14:paraId="49421392" w14:textId="79652E02" w:rsidR="006B2069" w:rsidRPr="00514183" w:rsidRDefault="00027B75" w:rsidP="00514183">
      <w:pPr>
        <w:rPr>
          <w:rFonts w:eastAsia="Arial Unicode MS"/>
          <w:color w:val="auto"/>
        </w:rPr>
      </w:pPr>
      <w:r w:rsidRPr="004974B0">
        <w:rPr>
          <w:rFonts w:eastAsia="Arial Unicode MS"/>
          <w:color w:val="auto"/>
        </w:rPr>
        <w:lastRenderedPageBreak/>
        <w:t>Berry M, Whitehead C, Williams P, and Yates J. (2004)</w:t>
      </w:r>
      <w:r w:rsidR="004974B0" w:rsidRPr="004974B0">
        <w:rPr>
          <w:rFonts w:eastAsia="Arial Unicode MS"/>
          <w:color w:val="auto"/>
        </w:rPr>
        <w:t xml:space="preserve"> </w:t>
      </w:r>
      <w:r w:rsidRPr="004974B0">
        <w:rPr>
          <w:rFonts w:eastAsia="Arial Unicode MS"/>
          <w:color w:val="auto"/>
        </w:rPr>
        <w:t xml:space="preserve">Financing affordable housing: a critical comparative review of the United Kingdom and Australia, AHURI Final Report No. </w:t>
      </w:r>
      <w:r w:rsidR="004974B0" w:rsidRPr="004974B0">
        <w:rPr>
          <w:rFonts w:eastAsia="Arial Unicode MS"/>
          <w:color w:val="auto"/>
        </w:rPr>
        <w:t xml:space="preserve">72, Australian Housing and Urban Research Institute Limited, Melbourne, </w:t>
      </w:r>
      <w:hyperlink r:id="rId63" w:history="1">
        <w:r w:rsidR="004974B0" w:rsidRPr="001D55A7">
          <w:rPr>
            <w:rStyle w:val="Hyperlink"/>
            <w:rFonts w:eastAsia="Arial Unicode MS"/>
          </w:rPr>
          <w:t>https://www.ahuri.edu.au/research/final</w:t>
        </w:r>
        <w:r w:rsidR="00563A2B">
          <w:rPr>
            <w:rStyle w:val="Hyperlink"/>
            <w:rFonts w:eastAsia="Arial Unicode MS"/>
          </w:rPr>
          <w:noBreakHyphen/>
        </w:r>
        <w:r w:rsidR="004974B0" w:rsidRPr="001D55A7">
          <w:rPr>
            <w:rStyle w:val="Hyperlink"/>
            <w:rFonts w:eastAsia="Arial Unicode MS"/>
          </w:rPr>
          <w:t>reports/72</w:t>
        </w:r>
      </w:hyperlink>
      <w:r w:rsidR="004974B0">
        <w:rPr>
          <w:rFonts w:eastAsia="Arial Unicode MS"/>
          <w:color w:val="auto"/>
        </w:rPr>
        <w:t xml:space="preserve"> </w:t>
      </w:r>
    </w:p>
    <w:p w14:paraId="56C5F4C1" w14:textId="5B51F24B" w:rsidR="009A4DA0" w:rsidRPr="00DB4824" w:rsidRDefault="009A4DA0" w:rsidP="009A4DA0">
      <w:pPr>
        <w:rPr>
          <w:rFonts w:eastAsia="Wingdings" w:cstheme="minorHAnsi"/>
          <w:szCs w:val="22"/>
        </w:rPr>
      </w:pPr>
      <w:proofErr w:type="spellStart"/>
      <w:r w:rsidRPr="00D969E9">
        <w:rPr>
          <w:rFonts w:eastAsia="Wingdings" w:cs="Wingdings"/>
          <w:szCs w:val="22"/>
        </w:rPr>
        <w:t>Boffey</w:t>
      </w:r>
      <w:proofErr w:type="spellEnd"/>
      <w:r w:rsidRPr="00D969E9">
        <w:rPr>
          <w:rFonts w:eastAsia="Wingdings" w:cs="Wingdings"/>
          <w:szCs w:val="22"/>
        </w:rPr>
        <w:t xml:space="preserve"> D. (2022) </w:t>
      </w:r>
      <w:r w:rsidR="00563A2B">
        <w:rPr>
          <w:rFonts w:eastAsia="Wingdings" w:cs="Wingdings"/>
          <w:szCs w:val="22"/>
        </w:rPr>
        <w:t>‘</w:t>
      </w:r>
      <w:r w:rsidRPr="00D969E9">
        <w:rPr>
          <w:rFonts w:eastAsia="Wingdings" w:cs="Wingdings"/>
          <w:szCs w:val="22"/>
        </w:rPr>
        <w:t>Large investors drive up house prices in Europe</w:t>
      </w:r>
      <w:r w:rsidR="00563A2B">
        <w:rPr>
          <w:rFonts w:eastAsia="Wingdings" w:cs="Wingdings"/>
          <w:szCs w:val="22"/>
        </w:rPr>
        <w:t>’</w:t>
      </w:r>
      <w:r w:rsidRPr="00D969E9">
        <w:rPr>
          <w:rFonts w:eastAsia="Wingdings" w:cs="Wingdings"/>
          <w:szCs w:val="22"/>
        </w:rPr>
        <w:t>s cities, study finds</w:t>
      </w:r>
      <w:r w:rsidR="00563A2B">
        <w:rPr>
          <w:rFonts w:eastAsia="Wingdings" w:cs="Wingdings"/>
          <w:szCs w:val="22"/>
        </w:rPr>
        <w:t>’</w:t>
      </w:r>
      <w:r w:rsidRPr="00D969E9">
        <w:rPr>
          <w:rFonts w:eastAsia="Wingdings" w:cs="Wingdings"/>
          <w:szCs w:val="22"/>
        </w:rPr>
        <w:t xml:space="preserve">, </w:t>
      </w:r>
      <w:r w:rsidRPr="00D969E9">
        <w:rPr>
          <w:rFonts w:eastAsia="Wingdings" w:cs="Wingdings"/>
          <w:i/>
          <w:iCs/>
          <w:szCs w:val="22"/>
        </w:rPr>
        <w:t>The Guardian</w:t>
      </w:r>
      <w:r>
        <w:rPr>
          <w:rFonts w:eastAsia="Wingdings" w:cs="Wingdings"/>
          <w:szCs w:val="22"/>
        </w:rPr>
        <w:t xml:space="preserve">, 28 January, </w:t>
      </w:r>
      <w:hyperlink r:id="rId64" w:history="1">
        <w:r w:rsidRPr="00B620FB">
          <w:rPr>
            <w:rStyle w:val="Hyperlink"/>
            <w:szCs w:val="22"/>
          </w:rPr>
          <w:t>https://www.theguardian.com/world/2022/jan/27/large</w:t>
        </w:r>
        <w:r w:rsidR="00563A2B">
          <w:rPr>
            <w:rStyle w:val="Hyperlink"/>
            <w:szCs w:val="22"/>
          </w:rPr>
          <w:noBreakHyphen/>
        </w:r>
        <w:r w:rsidRPr="00B620FB">
          <w:rPr>
            <w:rStyle w:val="Hyperlink"/>
            <w:szCs w:val="22"/>
          </w:rPr>
          <w:t>investors</w:t>
        </w:r>
        <w:r w:rsidR="00563A2B">
          <w:rPr>
            <w:rStyle w:val="Hyperlink"/>
            <w:szCs w:val="22"/>
          </w:rPr>
          <w:noBreakHyphen/>
        </w:r>
        <w:r w:rsidRPr="00B620FB">
          <w:rPr>
            <w:rStyle w:val="Hyperlink"/>
            <w:szCs w:val="22"/>
          </w:rPr>
          <w:t>drive</w:t>
        </w:r>
        <w:r w:rsidR="00563A2B">
          <w:rPr>
            <w:rStyle w:val="Hyperlink"/>
            <w:szCs w:val="22"/>
          </w:rPr>
          <w:noBreakHyphen/>
        </w:r>
        <w:r w:rsidRPr="00B620FB">
          <w:rPr>
            <w:rStyle w:val="Hyperlink"/>
            <w:szCs w:val="22"/>
          </w:rPr>
          <w:t>up</w:t>
        </w:r>
        <w:r w:rsidR="00563A2B">
          <w:rPr>
            <w:rStyle w:val="Hyperlink"/>
            <w:szCs w:val="22"/>
          </w:rPr>
          <w:noBreakHyphen/>
        </w:r>
        <w:r w:rsidRPr="00B620FB">
          <w:rPr>
            <w:rStyle w:val="Hyperlink"/>
            <w:szCs w:val="22"/>
          </w:rPr>
          <w:t>house</w:t>
        </w:r>
        <w:r w:rsidR="00563A2B">
          <w:rPr>
            <w:rStyle w:val="Hyperlink"/>
            <w:szCs w:val="22"/>
          </w:rPr>
          <w:noBreakHyphen/>
        </w:r>
        <w:r w:rsidRPr="00B620FB">
          <w:rPr>
            <w:rStyle w:val="Hyperlink"/>
            <w:szCs w:val="22"/>
          </w:rPr>
          <w:t>prices</w:t>
        </w:r>
        <w:r w:rsidR="00563A2B">
          <w:rPr>
            <w:rStyle w:val="Hyperlink"/>
            <w:szCs w:val="22"/>
          </w:rPr>
          <w:noBreakHyphen/>
        </w:r>
        <w:r w:rsidRPr="00B620FB">
          <w:rPr>
            <w:rStyle w:val="Hyperlink"/>
            <w:szCs w:val="22"/>
          </w:rPr>
          <w:t>in</w:t>
        </w:r>
        <w:r w:rsidR="00563A2B">
          <w:rPr>
            <w:rStyle w:val="Hyperlink"/>
            <w:szCs w:val="22"/>
          </w:rPr>
          <w:noBreakHyphen/>
        </w:r>
        <w:r w:rsidRPr="00B620FB">
          <w:rPr>
            <w:rStyle w:val="Hyperlink"/>
            <w:szCs w:val="22"/>
          </w:rPr>
          <w:t>europes</w:t>
        </w:r>
        <w:r w:rsidR="00563A2B">
          <w:rPr>
            <w:rStyle w:val="Hyperlink"/>
            <w:szCs w:val="22"/>
          </w:rPr>
          <w:noBreakHyphen/>
        </w:r>
        <w:r w:rsidRPr="00B620FB">
          <w:rPr>
            <w:rStyle w:val="Hyperlink"/>
            <w:szCs w:val="22"/>
          </w:rPr>
          <w:t>cities</w:t>
        </w:r>
        <w:r w:rsidR="00563A2B">
          <w:rPr>
            <w:rStyle w:val="Hyperlink"/>
            <w:szCs w:val="22"/>
          </w:rPr>
          <w:noBreakHyphen/>
        </w:r>
        <w:r w:rsidRPr="00B620FB">
          <w:rPr>
            <w:rStyle w:val="Hyperlink"/>
            <w:szCs w:val="22"/>
          </w:rPr>
          <w:t>study</w:t>
        </w:r>
        <w:r w:rsidR="00563A2B">
          <w:rPr>
            <w:rStyle w:val="Hyperlink"/>
            <w:szCs w:val="22"/>
          </w:rPr>
          <w:noBreakHyphen/>
        </w:r>
        <w:r w:rsidRPr="00B620FB">
          <w:rPr>
            <w:rStyle w:val="Hyperlink"/>
            <w:szCs w:val="22"/>
          </w:rPr>
          <w:t>finds</w:t>
        </w:r>
      </w:hyperlink>
      <w:r w:rsidRPr="00D969E9">
        <w:rPr>
          <w:rFonts w:eastAsia="Wingdings" w:cs="Wingdings"/>
          <w:szCs w:val="22"/>
        </w:rPr>
        <w:t xml:space="preserve"> </w:t>
      </w:r>
      <w:r w:rsidR="00F479CC" w:rsidRPr="00F479CC">
        <w:rPr>
          <w:rFonts w:eastAsia="Wingdings" w:cs="Wingdings"/>
          <w:szCs w:val="22"/>
        </w:rPr>
        <w:t>accessed July 2023.</w:t>
      </w:r>
    </w:p>
    <w:p w14:paraId="034B6F93" w14:textId="47D6B3AE" w:rsidR="009A4DA0" w:rsidRDefault="009A4DA0" w:rsidP="009A4DA0">
      <w:pPr>
        <w:rPr>
          <w:rStyle w:val="Hyperlink"/>
          <w:rFonts w:cstheme="minorHAnsi"/>
          <w:color w:val="006ACC"/>
          <w:shd w:val="clear" w:color="auto" w:fill="FFFFFF"/>
        </w:rPr>
      </w:pPr>
      <w:r w:rsidRPr="00514183">
        <w:rPr>
          <w:color w:val="auto"/>
          <w:shd w:val="clear" w:color="auto" w:fill="FFFFFF"/>
        </w:rPr>
        <w:t>Christophers B</w:t>
      </w:r>
      <w:r w:rsidR="00F479CC">
        <w:rPr>
          <w:color w:val="auto"/>
          <w:shd w:val="clear" w:color="auto" w:fill="FFFFFF"/>
        </w:rPr>
        <w:t>.</w:t>
      </w:r>
      <w:r w:rsidRPr="00514183">
        <w:rPr>
          <w:color w:val="auto"/>
          <w:shd w:val="clear" w:color="auto" w:fill="FFFFFF"/>
        </w:rPr>
        <w:t xml:space="preserve"> (2022), Mind the rent gap: Blackstone, housing investment and the reordering of urban rent surfaces</w:t>
      </w:r>
      <w:r w:rsidR="00563A2B">
        <w:rPr>
          <w:color w:val="auto"/>
          <w:shd w:val="clear" w:color="auto" w:fill="FFFFFF"/>
        </w:rPr>
        <w:t>’</w:t>
      </w:r>
      <w:r w:rsidRPr="00514183">
        <w:rPr>
          <w:color w:val="auto"/>
          <w:shd w:val="clear" w:color="auto" w:fill="FFFFFF"/>
        </w:rPr>
        <w:t>, </w:t>
      </w:r>
      <w:r w:rsidRPr="00514183">
        <w:rPr>
          <w:i/>
          <w:color w:val="auto"/>
          <w:shd w:val="clear" w:color="auto" w:fill="FFFFFF"/>
        </w:rPr>
        <w:t>Urban Studies</w:t>
      </w:r>
      <w:r w:rsidRPr="00514183">
        <w:rPr>
          <w:color w:val="auto"/>
          <w:shd w:val="clear" w:color="auto" w:fill="FFFFFF"/>
        </w:rPr>
        <w:t>, </w:t>
      </w:r>
      <w:r w:rsidRPr="00514183">
        <w:rPr>
          <w:i/>
          <w:color w:val="auto"/>
          <w:shd w:val="clear" w:color="auto" w:fill="FFFFFF"/>
        </w:rPr>
        <w:t>59</w:t>
      </w:r>
      <w:r w:rsidRPr="00514183">
        <w:rPr>
          <w:color w:val="auto"/>
          <w:shd w:val="clear" w:color="auto" w:fill="FFFFFF"/>
        </w:rPr>
        <w:t>(4), 698–716</w:t>
      </w:r>
      <w:r w:rsidRPr="00B242D2">
        <w:rPr>
          <w:rFonts w:cstheme="minorHAnsi"/>
          <w:color w:val="333333"/>
          <w:shd w:val="clear" w:color="auto" w:fill="FFFFFF"/>
        </w:rPr>
        <w:t>. </w:t>
      </w:r>
      <w:hyperlink r:id="rId65" w:history="1">
        <w:r w:rsidRPr="00514183">
          <w:rPr>
            <w:rStyle w:val="Hyperlink"/>
          </w:rPr>
          <w:t>https://doi.org/10.1177/00420980211026466</w:t>
        </w:r>
      </w:hyperlink>
    </w:p>
    <w:p w14:paraId="00041D9E" w14:textId="043DD863" w:rsidR="009A4DA0" w:rsidRDefault="009A4DA0" w:rsidP="009A4DA0">
      <w:pPr>
        <w:rPr>
          <w:rStyle w:val="Hyperlink"/>
          <w:rFonts w:cstheme="minorHAnsi"/>
          <w:color w:val="auto"/>
          <w:shd w:val="clear" w:color="auto" w:fill="FFFFFF"/>
        </w:rPr>
      </w:pPr>
      <w:r>
        <w:rPr>
          <w:rStyle w:val="Hyperlink"/>
          <w:rFonts w:cstheme="minorHAnsi"/>
          <w:color w:val="auto"/>
          <w:shd w:val="clear" w:color="auto" w:fill="FFFFFF"/>
        </w:rPr>
        <w:t xml:space="preserve">Clayton Utz (2023), </w:t>
      </w:r>
      <w:r w:rsidRPr="00D73EA6">
        <w:rPr>
          <w:rStyle w:val="Hyperlink"/>
          <w:rFonts w:cstheme="minorHAnsi"/>
          <w:i/>
          <w:iCs/>
          <w:color w:val="auto"/>
          <w:shd w:val="clear" w:color="auto" w:fill="FFFFFF"/>
        </w:rPr>
        <w:t>The current state of play: State and Territory land tax relief for Build</w:t>
      </w:r>
      <w:r w:rsidR="00563A2B">
        <w:rPr>
          <w:rStyle w:val="Hyperlink"/>
          <w:rFonts w:cstheme="minorHAnsi"/>
          <w:i/>
          <w:iCs/>
          <w:color w:val="auto"/>
          <w:shd w:val="clear" w:color="auto" w:fill="FFFFFF"/>
        </w:rPr>
        <w:noBreakHyphen/>
      </w:r>
      <w:r w:rsidRPr="00D73EA6">
        <w:rPr>
          <w:rStyle w:val="Hyperlink"/>
          <w:rFonts w:cstheme="minorHAnsi"/>
          <w:i/>
          <w:iCs/>
          <w:color w:val="auto"/>
          <w:shd w:val="clear" w:color="auto" w:fill="FFFFFF"/>
        </w:rPr>
        <w:t>to</w:t>
      </w:r>
      <w:r w:rsidR="00563A2B">
        <w:rPr>
          <w:rStyle w:val="Hyperlink"/>
          <w:rFonts w:cstheme="minorHAnsi"/>
          <w:i/>
          <w:iCs/>
          <w:color w:val="auto"/>
          <w:shd w:val="clear" w:color="auto" w:fill="FFFFFF"/>
        </w:rPr>
        <w:noBreakHyphen/>
      </w:r>
      <w:r w:rsidRPr="00D73EA6">
        <w:rPr>
          <w:rStyle w:val="Hyperlink"/>
          <w:rFonts w:cstheme="minorHAnsi"/>
          <w:i/>
          <w:iCs/>
          <w:color w:val="auto"/>
          <w:shd w:val="clear" w:color="auto" w:fill="FFFFFF"/>
        </w:rPr>
        <w:t>Rent (BTR) projects</w:t>
      </w:r>
      <w:r>
        <w:rPr>
          <w:rStyle w:val="Hyperlink"/>
          <w:rFonts w:cstheme="minorHAnsi"/>
          <w:color w:val="auto"/>
          <w:shd w:val="clear" w:color="auto" w:fill="FFFFFF"/>
        </w:rPr>
        <w:t>,</w:t>
      </w:r>
      <w:r w:rsidRPr="003054A4">
        <w:t xml:space="preserve"> </w:t>
      </w:r>
      <w:hyperlink r:id="rId66" w:history="1">
        <w:r w:rsidRPr="00022B0C">
          <w:rPr>
            <w:rStyle w:val="Hyperlink"/>
          </w:rPr>
          <w:t>https://www.claytonutz.com/knowledge/2023/june/the</w:t>
        </w:r>
        <w:r w:rsidR="00563A2B">
          <w:rPr>
            <w:rStyle w:val="Hyperlink"/>
          </w:rPr>
          <w:noBreakHyphen/>
        </w:r>
        <w:r w:rsidRPr="00022B0C">
          <w:rPr>
            <w:rStyle w:val="Hyperlink"/>
          </w:rPr>
          <w:t>current</w:t>
        </w:r>
        <w:r w:rsidR="00563A2B">
          <w:rPr>
            <w:rStyle w:val="Hyperlink"/>
          </w:rPr>
          <w:noBreakHyphen/>
        </w:r>
        <w:r w:rsidRPr="00022B0C">
          <w:rPr>
            <w:rStyle w:val="Hyperlink"/>
          </w:rPr>
          <w:t>state</w:t>
        </w:r>
        <w:r w:rsidR="00563A2B">
          <w:rPr>
            <w:rStyle w:val="Hyperlink"/>
          </w:rPr>
          <w:noBreakHyphen/>
        </w:r>
        <w:r w:rsidRPr="00022B0C">
          <w:rPr>
            <w:rStyle w:val="Hyperlink"/>
          </w:rPr>
          <w:t>of</w:t>
        </w:r>
        <w:r w:rsidR="00563A2B">
          <w:rPr>
            <w:rStyle w:val="Hyperlink"/>
          </w:rPr>
          <w:noBreakHyphen/>
        </w:r>
        <w:r w:rsidRPr="00022B0C">
          <w:rPr>
            <w:rStyle w:val="Hyperlink"/>
          </w:rPr>
          <w:t>play</w:t>
        </w:r>
        <w:r w:rsidR="00563A2B">
          <w:rPr>
            <w:rStyle w:val="Hyperlink"/>
          </w:rPr>
          <w:noBreakHyphen/>
        </w:r>
        <w:r w:rsidRPr="00022B0C">
          <w:rPr>
            <w:rStyle w:val="Hyperlink"/>
          </w:rPr>
          <w:t>state</w:t>
        </w:r>
        <w:r w:rsidR="00563A2B">
          <w:rPr>
            <w:rStyle w:val="Hyperlink"/>
          </w:rPr>
          <w:noBreakHyphen/>
        </w:r>
        <w:r w:rsidRPr="00022B0C">
          <w:rPr>
            <w:rStyle w:val="Hyperlink"/>
          </w:rPr>
          <w:t>and</w:t>
        </w:r>
        <w:r w:rsidR="00563A2B">
          <w:rPr>
            <w:rStyle w:val="Hyperlink"/>
          </w:rPr>
          <w:noBreakHyphen/>
        </w:r>
        <w:r w:rsidRPr="00022B0C">
          <w:rPr>
            <w:rStyle w:val="Hyperlink"/>
          </w:rPr>
          <w:t>territory</w:t>
        </w:r>
        <w:r w:rsidR="00563A2B">
          <w:rPr>
            <w:rStyle w:val="Hyperlink"/>
          </w:rPr>
          <w:noBreakHyphen/>
        </w:r>
        <w:r w:rsidRPr="00022B0C">
          <w:rPr>
            <w:rStyle w:val="Hyperlink"/>
          </w:rPr>
          <w:t>land</w:t>
        </w:r>
        <w:r w:rsidR="00563A2B">
          <w:rPr>
            <w:rStyle w:val="Hyperlink"/>
          </w:rPr>
          <w:noBreakHyphen/>
        </w:r>
        <w:r w:rsidRPr="00022B0C">
          <w:rPr>
            <w:rStyle w:val="Hyperlink"/>
          </w:rPr>
          <w:t>tax</w:t>
        </w:r>
        <w:r w:rsidR="00563A2B">
          <w:rPr>
            <w:rStyle w:val="Hyperlink"/>
          </w:rPr>
          <w:noBreakHyphen/>
        </w:r>
        <w:r w:rsidRPr="00022B0C">
          <w:rPr>
            <w:rStyle w:val="Hyperlink"/>
          </w:rPr>
          <w:t>relief</w:t>
        </w:r>
        <w:r w:rsidR="00563A2B">
          <w:rPr>
            <w:rStyle w:val="Hyperlink"/>
          </w:rPr>
          <w:noBreakHyphen/>
        </w:r>
        <w:r w:rsidRPr="00022B0C">
          <w:rPr>
            <w:rStyle w:val="Hyperlink"/>
          </w:rPr>
          <w:t>for</w:t>
        </w:r>
        <w:r w:rsidR="00563A2B">
          <w:rPr>
            <w:rStyle w:val="Hyperlink"/>
          </w:rPr>
          <w:noBreakHyphen/>
        </w:r>
        <w:r w:rsidRPr="00022B0C">
          <w:rPr>
            <w:rStyle w:val="Hyperlink"/>
          </w:rPr>
          <w:t>build</w:t>
        </w:r>
        <w:r w:rsidR="00563A2B">
          <w:rPr>
            <w:rStyle w:val="Hyperlink"/>
          </w:rPr>
          <w:noBreakHyphen/>
        </w:r>
        <w:r w:rsidRPr="00022B0C">
          <w:rPr>
            <w:rStyle w:val="Hyperlink"/>
          </w:rPr>
          <w:t>to</w:t>
        </w:r>
        <w:r w:rsidR="00563A2B">
          <w:rPr>
            <w:rStyle w:val="Hyperlink"/>
          </w:rPr>
          <w:noBreakHyphen/>
        </w:r>
        <w:r w:rsidRPr="00022B0C">
          <w:rPr>
            <w:rStyle w:val="Hyperlink"/>
          </w:rPr>
          <w:t>rent</w:t>
        </w:r>
        <w:r w:rsidR="00563A2B">
          <w:rPr>
            <w:rStyle w:val="Hyperlink"/>
          </w:rPr>
          <w:noBreakHyphen/>
        </w:r>
        <w:r w:rsidRPr="00022B0C">
          <w:rPr>
            <w:rStyle w:val="Hyperlink"/>
          </w:rPr>
          <w:t>btr</w:t>
        </w:r>
        <w:r w:rsidR="00563A2B">
          <w:rPr>
            <w:rStyle w:val="Hyperlink"/>
          </w:rPr>
          <w:noBreakHyphen/>
        </w:r>
        <w:r w:rsidRPr="00022B0C">
          <w:rPr>
            <w:rStyle w:val="Hyperlink"/>
          </w:rPr>
          <w:t>projects</w:t>
        </w:r>
      </w:hyperlink>
      <w:r>
        <w:t xml:space="preserve"> </w:t>
      </w:r>
    </w:p>
    <w:p w14:paraId="38F0E741" w14:textId="04E56DB0" w:rsidR="009A4DA0" w:rsidRDefault="009A4DA0" w:rsidP="009A4DA0">
      <w:pPr>
        <w:rPr>
          <w:rStyle w:val="Hyperlink"/>
        </w:rPr>
      </w:pPr>
      <w:r>
        <w:t xml:space="preserve">Commonwealth Government (2016), Council on Federal Financial Relations, </w:t>
      </w:r>
      <w:r w:rsidRPr="005626E4">
        <w:rPr>
          <w:i/>
          <w:iCs/>
        </w:rPr>
        <w:t>Innovative</w:t>
      </w:r>
      <w:r w:rsidRPr="005626E4">
        <w:rPr>
          <w:i/>
        </w:rPr>
        <w:t xml:space="preserve"> Financing Models to Improve the Supply of Affordable </w:t>
      </w:r>
      <w:r w:rsidRPr="005626E4">
        <w:rPr>
          <w:i/>
          <w:iCs/>
        </w:rPr>
        <w:t>Housing</w:t>
      </w:r>
      <w:r>
        <w:t xml:space="preserve">, </w:t>
      </w:r>
      <w:hyperlink r:id="rId67" w:history="1">
        <w:r w:rsidRPr="00022B0C">
          <w:rPr>
            <w:rStyle w:val="Hyperlink"/>
          </w:rPr>
          <w:t>https://treasury.gov.au/sites/default/files/2019</w:t>
        </w:r>
        <w:r w:rsidR="00563A2B">
          <w:rPr>
            <w:rStyle w:val="Hyperlink"/>
          </w:rPr>
          <w:noBreakHyphen/>
        </w:r>
        <w:r w:rsidRPr="00022B0C">
          <w:rPr>
            <w:rStyle w:val="Hyperlink"/>
          </w:rPr>
          <w:t>03/C2016</w:t>
        </w:r>
        <w:r w:rsidR="00563A2B">
          <w:rPr>
            <w:rStyle w:val="Hyperlink"/>
          </w:rPr>
          <w:noBreakHyphen/>
        </w:r>
        <w:r w:rsidRPr="00022B0C">
          <w:rPr>
            <w:rStyle w:val="Hyperlink"/>
          </w:rPr>
          <w:t>050_Final_report.pdf</w:t>
        </w:r>
      </w:hyperlink>
      <w:r>
        <w:t xml:space="preserve"> </w:t>
      </w:r>
    </w:p>
    <w:p w14:paraId="0CE48393" w14:textId="3BF7E061" w:rsidR="009A4DA0" w:rsidRPr="00BF455B" w:rsidRDefault="009A4DA0" w:rsidP="009A4DA0">
      <w:pPr>
        <w:rPr>
          <w:rFonts w:cstheme="minorBidi"/>
        </w:rPr>
      </w:pPr>
      <w:r w:rsidRPr="479AD369">
        <w:rPr>
          <w:rStyle w:val="Hyperlink"/>
          <w:rFonts w:cstheme="minorBidi"/>
          <w:color w:val="auto"/>
          <w:shd w:val="clear" w:color="auto" w:fill="FFFFFF"/>
        </w:rPr>
        <w:t>Community Housing Industry Association Victoria</w:t>
      </w:r>
      <w:r w:rsidR="002144F0" w:rsidRPr="479AD369">
        <w:rPr>
          <w:rStyle w:val="Hyperlink"/>
          <w:rFonts w:cstheme="minorBidi"/>
          <w:color w:val="auto"/>
          <w:shd w:val="clear" w:color="auto" w:fill="FFFFFF"/>
        </w:rPr>
        <w:t xml:space="preserve"> (undated)</w:t>
      </w:r>
      <w:r w:rsidRPr="479AD369">
        <w:rPr>
          <w:rStyle w:val="Hyperlink"/>
          <w:rFonts w:cstheme="minorBidi"/>
          <w:color w:val="auto"/>
          <w:shd w:val="clear" w:color="auto" w:fill="FFFFFF"/>
        </w:rPr>
        <w:t xml:space="preserve">, </w:t>
      </w:r>
      <w:r w:rsidRPr="479AD369">
        <w:rPr>
          <w:rStyle w:val="Hyperlink"/>
          <w:rFonts w:cstheme="minorBidi"/>
          <w:i/>
          <w:color w:val="auto"/>
          <w:shd w:val="clear" w:color="auto" w:fill="FFFFFF"/>
        </w:rPr>
        <w:t>Review of the National Regulatory System for Community Housing – CHIA Vic Submission on the Discussion Paper</w:t>
      </w:r>
      <w:r w:rsidRPr="479AD369">
        <w:rPr>
          <w:rStyle w:val="Hyperlink"/>
          <w:rFonts w:cstheme="minorBidi"/>
          <w:color w:val="auto"/>
          <w:shd w:val="clear" w:color="auto" w:fill="FFFFFF"/>
        </w:rPr>
        <w:t>,</w:t>
      </w:r>
      <w:r w:rsidR="002013B1" w:rsidRPr="479AD369">
        <w:rPr>
          <w:rStyle w:val="Hyperlink"/>
          <w:rFonts w:cstheme="minorBidi"/>
          <w:color w:val="auto"/>
          <w:shd w:val="clear" w:color="auto" w:fill="FFFFFF"/>
        </w:rPr>
        <w:t xml:space="preserve"> submission to the Review of the National Regulatory System for Community Housing,</w:t>
      </w:r>
      <w:r w:rsidRPr="479AD369">
        <w:rPr>
          <w:rStyle w:val="Hyperlink"/>
          <w:rFonts w:cstheme="minorBidi"/>
          <w:color w:val="auto"/>
          <w:shd w:val="clear" w:color="auto" w:fill="FFFFFF"/>
        </w:rPr>
        <w:t xml:space="preserve"> </w:t>
      </w:r>
      <w:hyperlink r:id="rId68" w:history="1">
        <w:r w:rsidR="002013B1" w:rsidRPr="002013B1">
          <w:rPr>
            <w:rStyle w:val="Hyperlink"/>
          </w:rPr>
          <w:t>https://www.facs.nsw.gov.au/download?file=672883</w:t>
        </w:r>
      </w:hyperlink>
    </w:p>
    <w:p w14:paraId="43FE3276" w14:textId="4519F45B" w:rsidR="00836355" w:rsidRDefault="00836355" w:rsidP="009A4DA0">
      <w:pPr>
        <w:spacing w:before="0" w:after="160" w:line="259" w:lineRule="auto"/>
        <w:rPr>
          <w:color w:val="auto"/>
        </w:rPr>
      </w:pPr>
      <w:r w:rsidRPr="479AD369">
        <w:rPr>
          <w:color w:val="auto"/>
        </w:rPr>
        <w:t xml:space="preserve">CoreLogic (2023a), </w:t>
      </w:r>
      <w:r w:rsidRPr="479AD369">
        <w:rPr>
          <w:i/>
          <w:iCs/>
          <w:color w:val="auto"/>
        </w:rPr>
        <w:t>Research Indices – March 2023,</w:t>
      </w:r>
      <w:r w:rsidR="000C09FF" w:rsidRPr="479AD369">
        <w:rPr>
          <w:color w:val="auto"/>
        </w:rPr>
        <w:t xml:space="preserve"> </w:t>
      </w:r>
      <w:hyperlink r:id="rId69">
        <w:r w:rsidR="000C09FF" w:rsidRPr="479AD369">
          <w:rPr>
            <w:rStyle w:val="Hyperlink"/>
          </w:rPr>
          <w:t>https://www.corelogic.com.au/news</w:t>
        </w:r>
        <w:r w:rsidR="00563A2B">
          <w:rPr>
            <w:rStyle w:val="Hyperlink"/>
          </w:rPr>
          <w:noBreakHyphen/>
        </w:r>
        <w:r w:rsidR="000C09FF" w:rsidRPr="479AD369">
          <w:rPr>
            <w:rStyle w:val="Hyperlink"/>
          </w:rPr>
          <w:t>research/news/2023/chronic</w:t>
        </w:r>
        <w:r w:rsidR="00563A2B">
          <w:rPr>
            <w:rStyle w:val="Hyperlink"/>
          </w:rPr>
          <w:noBreakHyphen/>
        </w:r>
        <w:r w:rsidR="000C09FF" w:rsidRPr="479AD369">
          <w:rPr>
            <w:rStyle w:val="Hyperlink"/>
          </w:rPr>
          <w:t>supply</w:t>
        </w:r>
        <w:r w:rsidR="00563A2B">
          <w:rPr>
            <w:rStyle w:val="Hyperlink"/>
          </w:rPr>
          <w:noBreakHyphen/>
        </w:r>
        <w:r w:rsidR="000C09FF" w:rsidRPr="479AD369">
          <w:rPr>
            <w:rStyle w:val="Hyperlink"/>
          </w:rPr>
          <w:t>shortage</w:t>
        </w:r>
        <w:r w:rsidR="00563A2B">
          <w:rPr>
            <w:rStyle w:val="Hyperlink"/>
          </w:rPr>
          <w:noBreakHyphen/>
        </w:r>
        <w:r w:rsidR="000C09FF" w:rsidRPr="479AD369">
          <w:rPr>
            <w:rStyle w:val="Hyperlink"/>
          </w:rPr>
          <w:t>causes</w:t>
        </w:r>
        <w:r w:rsidR="00563A2B">
          <w:rPr>
            <w:rStyle w:val="Hyperlink"/>
          </w:rPr>
          <w:noBreakHyphen/>
        </w:r>
        <w:r w:rsidR="000C09FF" w:rsidRPr="479AD369">
          <w:rPr>
            <w:rStyle w:val="Hyperlink"/>
          </w:rPr>
          <w:t>reacceleration</w:t>
        </w:r>
        <w:r w:rsidR="00563A2B">
          <w:rPr>
            <w:rStyle w:val="Hyperlink"/>
          </w:rPr>
          <w:noBreakHyphen/>
        </w:r>
        <w:r w:rsidR="000C09FF" w:rsidRPr="479AD369">
          <w:rPr>
            <w:rStyle w:val="Hyperlink"/>
          </w:rPr>
          <w:t>of</w:t>
        </w:r>
        <w:r w:rsidR="00563A2B">
          <w:rPr>
            <w:rStyle w:val="Hyperlink"/>
          </w:rPr>
          <w:noBreakHyphen/>
        </w:r>
        <w:r w:rsidR="000C09FF" w:rsidRPr="479AD369">
          <w:rPr>
            <w:rStyle w:val="Hyperlink"/>
          </w:rPr>
          <w:t>australian</w:t>
        </w:r>
        <w:r w:rsidR="00563A2B">
          <w:rPr>
            <w:rStyle w:val="Hyperlink"/>
          </w:rPr>
          <w:noBreakHyphen/>
        </w:r>
        <w:r w:rsidR="000C09FF" w:rsidRPr="479AD369">
          <w:rPr>
            <w:rStyle w:val="Hyperlink"/>
          </w:rPr>
          <w:t>rental</w:t>
        </w:r>
        <w:r w:rsidR="00563A2B">
          <w:rPr>
            <w:rStyle w:val="Hyperlink"/>
          </w:rPr>
          <w:noBreakHyphen/>
        </w:r>
        <w:r w:rsidR="000C09FF" w:rsidRPr="479AD369">
          <w:rPr>
            <w:rStyle w:val="Hyperlink"/>
          </w:rPr>
          <w:t>market</w:t>
        </w:r>
      </w:hyperlink>
      <w:r w:rsidR="000C09FF" w:rsidRPr="479AD369">
        <w:rPr>
          <w:color w:val="auto"/>
        </w:rPr>
        <w:t xml:space="preserve"> </w:t>
      </w:r>
    </w:p>
    <w:p w14:paraId="359854BA" w14:textId="0AD48FD0" w:rsidR="009A4DA0" w:rsidRDefault="009A4DA0" w:rsidP="009A4DA0">
      <w:pPr>
        <w:spacing w:before="0" w:after="160" w:line="259" w:lineRule="auto"/>
        <w:rPr>
          <w:i/>
          <w:iCs/>
          <w:color w:val="auto"/>
        </w:rPr>
      </w:pPr>
      <w:r w:rsidRPr="00C93A63">
        <w:rPr>
          <w:color w:val="auto"/>
        </w:rPr>
        <w:t>CoreLogic (2023</w:t>
      </w:r>
      <w:r>
        <w:rPr>
          <w:color w:val="auto"/>
        </w:rPr>
        <w:t>a</w:t>
      </w:r>
      <w:r w:rsidRPr="00C93A63">
        <w:rPr>
          <w:color w:val="auto"/>
        </w:rPr>
        <w:t xml:space="preserve">), </w:t>
      </w:r>
      <w:r w:rsidRPr="00C93A63">
        <w:rPr>
          <w:i/>
          <w:color w:val="auto"/>
        </w:rPr>
        <w:t>Research Indices – June 2023,</w:t>
      </w:r>
      <w:r>
        <w:rPr>
          <w:i/>
          <w:iCs/>
          <w:color w:val="auto"/>
        </w:rPr>
        <w:t xml:space="preserve"> </w:t>
      </w:r>
      <w:hyperlink r:id="rId70" w:history="1">
        <w:r w:rsidRPr="00DB4824">
          <w:rPr>
            <w:rStyle w:val="Hyperlink"/>
            <w:rFonts w:cstheme="minorHAnsi"/>
            <w:szCs w:val="22"/>
          </w:rPr>
          <w:t>https://www.corelogic.com.au/__data/assets/pdf_file/0016/15910/CoreLogic</w:t>
        </w:r>
        <w:r w:rsidR="00563A2B">
          <w:rPr>
            <w:rStyle w:val="Hyperlink"/>
            <w:rFonts w:cstheme="minorHAnsi"/>
            <w:szCs w:val="22"/>
          </w:rPr>
          <w:noBreakHyphen/>
        </w:r>
        <w:r w:rsidRPr="00DB4824">
          <w:rPr>
            <w:rStyle w:val="Hyperlink"/>
            <w:rFonts w:cstheme="minorHAnsi"/>
            <w:szCs w:val="22"/>
          </w:rPr>
          <w:t>HVI</w:t>
        </w:r>
        <w:r w:rsidR="00563A2B">
          <w:rPr>
            <w:rStyle w:val="Hyperlink"/>
            <w:rFonts w:cstheme="minorHAnsi"/>
            <w:szCs w:val="22"/>
          </w:rPr>
          <w:noBreakHyphen/>
        </w:r>
        <w:r w:rsidRPr="00DB4824">
          <w:rPr>
            <w:rStyle w:val="Hyperlink"/>
            <w:rFonts w:cstheme="minorHAnsi"/>
            <w:szCs w:val="22"/>
          </w:rPr>
          <w:t>Jul</w:t>
        </w:r>
        <w:r w:rsidR="00563A2B">
          <w:rPr>
            <w:rStyle w:val="Hyperlink"/>
            <w:rFonts w:cstheme="minorHAnsi"/>
            <w:szCs w:val="22"/>
          </w:rPr>
          <w:noBreakHyphen/>
        </w:r>
        <w:r w:rsidRPr="00DB4824">
          <w:rPr>
            <w:rStyle w:val="Hyperlink"/>
            <w:rFonts w:cstheme="minorHAnsi"/>
            <w:szCs w:val="22"/>
          </w:rPr>
          <w:t>2023</w:t>
        </w:r>
        <w:r w:rsidR="00563A2B">
          <w:rPr>
            <w:rStyle w:val="Hyperlink"/>
            <w:rFonts w:cstheme="minorHAnsi"/>
            <w:szCs w:val="22"/>
          </w:rPr>
          <w:noBreakHyphen/>
        </w:r>
        <w:r w:rsidRPr="00DB4824">
          <w:rPr>
            <w:rStyle w:val="Hyperlink"/>
            <w:rFonts w:cstheme="minorHAnsi"/>
            <w:szCs w:val="22"/>
          </w:rPr>
          <w:t>FINAL.pdf</w:t>
        </w:r>
      </w:hyperlink>
    </w:p>
    <w:p w14:paraId="2FF7317F" w14:textId="4E917CA8" w:rsidR="009A4DA0" w:rsidRDefault="009A4DA0" w:rsidP="009A4DA0">
      <w:pPr>
        <w:spacing w:before="0" w:after="160" w:line="259" w:lineRule="auto"/>
        <w:rPr>
          <w:rStyle w:val="Hyperlink"/>
        </w:rPr>
      </w:pPr>
      <w:r w:rsidRPr="4AE49C6C">
        <w:rPr>
          <w:color w:val="auto"/>
        </w:rPr>
        <w:t xml:space="preserve">CoreLogic (2023b), </w:t>
      </w:r>
      <w:r w:rsidRPr="4AE49C6C">
        <w:rPr>
          <w:i/>
          <w:iCs/>
          <w:color w:val="auto"/>
        </w:rPr>
        <w:t>Quarterly Rental Review – July 2023</w:t>
      </w:r>
      <w:r w:rsidRPr="4AE49C6C">
        <w:rPr>
          <w:color w:val="auto"/>
        </w:rPr>
        <w:t xml:space="preserve">, </w:t>
      </w:r>
      <w:hyperlink r:id="rId71">
        <w:r w:rsidRPr="4AE49C6C">
          <w:rPr>
            <w:rStyle w:val="Hyperlink"/>
          </w:rPr>
          <w:t>https://www.corelogic.com.au/news</w:t>
        </w:r>
        <w:r w:rsidR="00563A2B">
          <w:rPr>
            <w:rStyle w:val="Hyperlink"/>
          </w:rPr>
          <w:noBreakHyphen/>
        </w:r>
        <w:r w:rsidRPr="4AE49C6C">
          <w:rPr>
            <w:rStyle w:val="Hyperlink"/>
          </w:rPr>
          <w:t>research/reports/quarterly</w:t>
        </w:r>
        <w:r w:rsidR="00563A2B">
          <w:rPr>
            <w:rStyle w:val="Hyperlink"/>
          </w:rPr>
          <w:noBreakHyphen/>
        </w:r>
        <w:r w:rsidRPr="4AE49C6C">
          <w:rPr>
            <w:rStyle w:val="Hyperlink"/>
          </w:rPr>
          <w:t>rental</w:t>
        </w:r>
        <w:r w:rsidR="00563A2B">
          <w:rPr>
            <w:rStyle w:val="Hyperlink"/>
          </w:rPr>
          <w:noBreakHyphen/>
        </w:r>
        <w:r w:rsidRPr="4AE49C6C">
          <w:rPr>
            <w:rStyle w:val="Hyperlink"/>
          </w:rPr>
          <w:t>review</w:t>
        </w:r>
      </w:hyperlink>
    </w:p>
    <w:p w14:paraId="6EAB411B" w14:textId="69C43B51" w:rsidR="00B97C67" w:rsidRDefault="00B97C67" w:rsidP="009A4DA0">
      <w:pPr>
        <w:spacing w:before="0" w:after="160" w:line="259" w:lineRule="auto"/>
        <w:rPr>
          <w:i/>
          <w:color w:val="auto"/>
        </w:rPr>
      </w:pPr>
      <w:r w:rsidRPr="00D605CD">
        <w:rPr>
          <w:rStyle w:val="Hyperlink"/>
          <w:color w:val="auto"/>
        </w:rPr>
        <w:t>Deem</w:t>
      </w:r>
      <w:r w:rsidR="00E72526" w:rsidRPr="00D605CD">
        <w:rPr>
          <w:rStyle w:val="Hyperlink"/>
          <w:color w:val="auto"/>
        </w:rPr>
        <w:t>, J (2</w:t>
      </w:r>
      <w:r w:rsidR="00C12BEB" w:rsidRPr="00D605CD">
        <w:rPr>
          <w:rStyle w:val="Hyperlink"/>
          <w:color w:val="auto"/>
        </w:rPr>
        <w:t>021),</w:t>
      </w:r>
      <w:r w:rsidR="00563A2B">
        <w:rPr>
          <w:rStyle w:val="Hyperlink"/>
          <w:color w:val="auto"/>
        </w:rPr>
        <w:t>’</w:t>
      </w:r>
      <w:r w:rsidR="00F3196B" w:rsidRPr="00D605CD">
        <w:rPr>
          <w:rStyle w:val="Hyperlink"/>
          <w:color w:val="auto"/>
        </w:rPr>
        <w:t xml:space="preserve">Federal Reform: The Case for Supportive </w:t>
      </w:r>
      <w:r w:rsidR="00DD1167" w:rsidRPr="00D605CD">
        <w:rPr>
          <w:rStyle w:val="Hyperlink"/>
          <w:color w:val="auto"/>
        </w:rPr>
        <w:t>Subsidiarity in Australia</w:t>
      </w:r>
      <w:r w:rsidR="00563A2B">
        <w:rPr>
          <w:rStyle w:val="Hyperlink"/>
          <w:color w:val="auto"/>
        </w:rPr>
        <w:t>’</w:t>
      </w:r>
      <w:r w:rsidR="00CB3EE1" w:rsidRPr="00D605CD">
        <w:rPr>
          <w:rStyle w:val="Hyperlink"/>
          <w:color w:val="auto"/>
        </w:rPr>
        <w:t>, UNSW Law Journal 613,</w:t>
      </w:r>
      <w:r w:rsidR="00BB7833" w:rsidRPr="00BB7833">
        <w:t xml:space="preserve"> </w:t>
      </w:r>
      <w:hyperlink r:id="rId72" w:history="1">
        <w:r w:rsidR="00BB7833" w:rsidRPr="00BF2BFA">
          <w:rPr>
            <w:rStyle w:val="Hyperlink"/>
          </w:rPr>
          <w:t>http://classic.austlii.edu.au/au/journals/UNSWLawJl/2021/22.html</w:t>
        </w:r>
      </w:hyperlink>
    </w:p>
    <w:p w14:paraId="3932AB61" w14:textId="2CFD2459" w:rsidR="009A4DA0" w:rsidRDefault="009A4DA0" w:rsidP="009A4DA0">
      <w:pPr>
        <w:spacing w:before="0" w:after="160" w:line="259" w:lineRule="auto"/>
        <w:rPr>
          <w:rStyle w:val="Hyperlink"/>
        </w:rPr>
      </w:pPr>
      <w:r>
        <w:rPr>
          <w:color w:val="auto"/>
        </w:rPr>
        <w:t xml:space="preserve">Department for Communities and Local Government and Homes and Communities Agency (2013), </w:t>
      </w:r>
      <w:r>
        <w:rPr>
          <w:i/>
          <w:iCs/>
          <w:color w:val="auto"/>
        </w:rPr>
        <w:t>2013</w:t>
      </w:r>
      <w:r w:rsidR="00815E0F">
        <w:rPr>
          <w:i/>
          <w:iCs/>
          <w:color w:val="auto"/>
        </w:rPr>
        <w:t>–</w:t>
      </w:r>
      <w:r>
        <w:rPr>
          <w:i/>
          <w:iCs/>
          <w:color w:val="auto"/>
        </w:rPr>
        <w:t>15 Affordable Homes Guarantees Programme Framework</w:t>
      </w:r>
      <w:r>
        <w:rPr>
          <w:color w:val="auto"/>
        </w:rPr>
        <w:t xml:space="preserve">, </w:t>
      </w:r>
      <w:hyperlink r:id="rId73" w:history="1">
        <w:r w:rsidRPr="00022B0C">
          <w:rPr>
            <w:rStyle w:val="Hyperlink"/>
          </w:rPr>
          <w:t>https://assets.publishing.service.gov.uk/government/uploads/system/uploads/attachment_data/file/344495/ahgp.pdf</w:t>
        </w:r>
      </w:hyperlink>
      <w:r>
        <w:rPr>
          <w:color w:val="auto"/>
        </w:rPr>
        <w:t xml:space="preserve"> </w:t>
      </w:r>
    </w:p>
    <w:p w14:paraId="67E584B3" w14:textId="68B80E17" w:rsidR="009A4DA0" w:rsidRDefault="009A4DA0" w:rsidP="009A4DA0">
      <w:pPr>
        <w:spacing w:before="0" w:after="160" w:line="259" w:lineRule="auto"/>
        <w:rPr>
          <w:rStyle w:val="Hyperlink"/>
        </w:rPr>
      </w:pPr>
      <w:r w:rsidRPr="479AD369">
        <w:rPr>
          <w:rStyle w:val="Hyperlink"/>
          <w:rFonts w:cstheme="minorBidi"/>
          <w:color w:val="auto"/>
        </w:rPr>
        <w:t>Department for Levelling Up, Housing &amp; Communities (2022),</w:t>
      </w:r>
      <w:r w:rsidR="00563A2B">
        <w:rPr>
          <w:rStyle w:val="Hyperlink"/>
          <w:rFonts w:cstheme="minorBidi"/>
          <w:color w:val="auto"/>
        </w:rPr>
        <w:t>’</w:t>
      </w:r>
      <w:r w:rsidRPr="479AD369">
        <w:rPr>
          <w:rStyle w:val="Hyperlink"/>
          <w:rFonts w:cstheme="minorBidi"/>
          <w:color w:val="auto"/>
        </w:rPr>
        <w:t>National statistics – Affordable housing supply in England: 2021 to 2022</w:t>
      </w:r>
      <w:r w:rsidR="00563A2B">
        <w:rPr>
          <w:rStyle w:val="Hyperlink"/>
          <w:rFonts w:cstheme="minorBidi"/>
          <w:color w:val="auto"/>
        </w:rPr>
        <w:t>’</w:t>
      </w:r>
      <w:r w:rsidRPr="479AD369">
        <w:rPr>
          <w:rStyle w:val="Hyperlink"/>
          <w:rFonts w:cstheme="minorBidi"/>
          <w:color w:val="auto"/>
        </w:rPr>
        <w:t>,</w:t>
      </w:r>
      <w:r w:rsidRPr="479AD369">
        <w:rPr>
          <w:rFonts w:cstheme="minorBidi"/>
          <w:color w:val="auto"/>
        </w:rPr>
        <w:t xml:space="preserve"> </w:t>
      </w:r>
      <w:hyperlink r:id="rId74">
        <w:r w:rsidRPr="479AD369">
          <w:rPr>
            <w:rStyle w:val="Hyperlink"/>
          </w:rPr>
          <w:t>https://www.gov.uk/government/statistics/affordable</w:t>
        </w:r>
        <w:r w:rsidR="00563A2B">
          <w:rPr>
            <w:rStyle w:val="Hyperlink"/>
          </w:rPr>
          <w:noBreakHyphen/>
        </w:r>
        <w:r w:rsidRPr="479AD369">
          <w:rPr>
            <w:rStyle w:val="Hyperlink"/>
          </w:rPr>
          <w:t>housing</w:t>
        </w:r>
        <w:r w:rsidR="00563A2B">
          <w:rPr>
            <w:rStyle w:val="Hyperlink"/>
          </w:rPr>
          <w:noBreakHyphen/>
        </w:r>
        <w:r w:rsidRPr="479AD369">
          <w:rPr>
            <w:rStyle w:val="Hyperlink"/>
          </w:rPr>
          <w:t>supply</w:t>
        </w:r>
        <w:r w:rsidR="00563A2B">
          <w:rPr>
            <w:rStyle w:val="Hyperlink"/>
          </w:rPr>
          <w:noBreakHyphen/>
        </w:r>
        <w:r w:rsidRPr="479AD369">
          <w:rPr>
            <w:rStyle w:val="Hyperlink"/>
          </w:rPr>
          <w:t>in</w:t>
        </w:r>
        <w:r w:rsidR="00563A2B">
          <w:rPr>
            <w:rStyle w:val="Hyperlink"/>
          </w:rPr>
          <w:noBreakHyphen/>
        </w:r>
        <w:r w:rsidRPr="479AD369">
          <w:rPr>
            <w:rStyle w:val="Hyperlink"/>
          </w:rPr>
          <w:t>england</w:t>
        </w:r>
        <w:r w:rsidR="00563A2B">
          <w:rPr>
            <w:rStyle w:val="Hyperlink"/>
          </w:rPr>
          <w:noBreakHyphen/>
        </w:r>
        <w:r w:rsidRPr="479AD369">
          <w:rPr>
            <w:rStyle w:val="Hyperlink"/>
          </w:rPr>
          <w:t>2021</w:t>
        </w:r>
        <w:r w:rsidR="00563A2B">
          <w:rPr>
            <w:rStyle w:val="Hyperlink"/>
          </w:rPr>
          <w:noBreakHyphen/>
        </w:r>
        <w:r w:rsidRPr="479AD369">
          <w:rPr>
            <w:rStyle w:val="Hyperlink"/>
          </w:rPr>
          <w:t>to</w:t>
        </w:r>
        <w:r w:rsidR="00563A2B">
          <w:rPr>
            <w:rStyle w:val="Hyperlink"/>
          </w:rPr>
          <w:noBreakHyphen/>
        </w:r>
        <w:r w:rsidRPr="479AD369">
          <w:rPr>
            <w:rStyle w:val="Hyperlink"/>
          </w:rPr>
          <w:t>2022/affordable</w:t>
        </w:r>
        <w:r w:rsidR="00563A2B">
          <w:rPr>
            <w:rStyle w:val="Hyperlink"/>
          </w:rPr>
          <w:noBreakHyphen/>
        </w:r>
        <w:r w:rsidRPr="479AD369">
          <w:rPr>
            <w:rStyle w:val="Hyperlink"/>
          </w:rPr>
          <w:t>housing</w:t>
        </w:r>
        <w:r w:rsidR="00563A2B">
          <w:rPr>
            <w:rStyle w:val="Hyperlink"/>
          </w:rPr>
          <w:noBreakHyphen/>
        </w:r>
        <w:r w:rsidRPr="479AD369">
          <w:rPr>
            <w:rStyle w:val="Hyperlink"/>
          </w:rPr>
          <w:t>supply</w:t>
        </w:r>
        <w:r w:rsidR="00563A2B">
          <w:rPr>
            <w:rStyle w:val="Hyperlink"/>
          </w:rPr>
          <w:noBreakHyphen/>
        </w:r>
        <w:r w:rsidRPr="479AD369">
          <w:rPr>
            <w:rStyle w:val="Hyperlink"/>
          </w:rPr>
          <w:t>in</w:t>
        </w:r>
        <w:r w:rsidR="00563A2B">
          <w:rPr>
            <w:rStyle w:val="Hyperlink"/>
          </w:rPr>
          <w:noBreakHyphen/>
        </w:r>
        <w:r w:rsidRPr="479AD369">
          <w:rPr>
            <w:rStyle w:val="Hyperlink"/>
          </w:rPr>
          <w:t>england</w:t>
        </w:r>
        <w:r w:rsidR="00563A2B">
          <w:rPr>
            <w:rStyle w:val="Hyperlink"/>
          </w:rPr>
          <w:noBreakHyphen/>
        </w:r>
        <w:r w:rsidRPr="479AD369">
          <w:rPr>
            <w:rStyle w:val="Hyperlink"/>
          </w:rPr>
          <w:t>2021</w:t>
        </w:r>
        <w:r w:rsidR="00563A2B">
          <w:rPr>
            <w:rStyle w:val="Hyperlink"/>
          </w:rPr>
          <w:noBreakHyphen/>
        </w:r>
        <w:r w:rsidRPr="479AD369">
          <w:rPr>
            <w:rStyle w:val="Hyperlink"/>
          </w:rPr>
          <w:t>to</w:t>
        </w:r>
        <w:r w:rsidR="00563A2B">
          <w:rPr>
            <w:rStyle w:val="Hyperlink"/>
          </w:rPr>
          <w:noBreakHyphen/>
        </w:r>
        <w:r w:rsidRPr="479AD369">
          <w:rPr>
            <w:rStyle w:val="Hyperlink"/>
          </w:rPr>
          <w:t>2022</w:t>
        </w:r>
      </w:hyperlink>
      <w:r w:rsidR="00F479CC" w:rsidRPr="00F479CC">
        <w:rPr>
          <w:rStyle w:val="Hyperlink"/>
          <w:color w:val="auto"/>
        </w:rPr>
        <w:t xml:space="preserve"> accessed July 2023.</w:t>
      </w:r>
    </w:p>
    <w:p w14:paraId="7BEF373E" w14:textId="77777777" w:rsidR="009A4DA0" w:rsidRDefault="009A4DA0" w:rsidP="009A4DA0">
      <w:pPr>
        <w:rPr>
          <w:rStyle w:val="Hyperlink"/>
          <w:rFonts w:cstheme="minorHAnsi"/>
          <w:color w:val="0070C0"/>
          <w:szCs w:val="22"/>
          <w:shd w:val="clear" w:color="auto" w:fill="FFFFFF"/>
        </w:rPr>
      </w:pPr>
      <w:r w:rsidRPr="005626E4">
        <w:rPr>
          <w:rFonts w:cstheme="minorHAnsi"/>
          <w:szCs w:val="22"/>
          <w:shd w:val="clear" w:color="auto" w:fill="FFFFFF"/>
        </w:rPr>
        <w:lastRenderedPageBreak/>
        <w:t xml:space="preserve">European Commission (2020), Joint Research Centre, </w:t>
      </w:r>
      <w:r w:rsidRPr="005626E4">
        <w:rPr>
          <w:rFonts w:cstheme="minorHAnsi"/>
          <w:i/>
          <w:szCs w:val="22"/>
          <w:shd w:val="clear" w:color="auto" w:fill="FFFFFF"/>
        </w:rPr>
        <w:t xml:space="preserve">Who owns the city? : exploratory research activity on the </w:t>
      </w:r>
      <w:proofErr w:type="spellStart"/>
      <w:r w:rsidRPr="005626E4">
        <w:rPr>
          <w:rFonts w:cstheme="minorHAnsi"/>
          <w:i/>
          <w:szCs w:val="22"/>
          <w:shd w:val="clear" w:color="auto" w:fill="FFFFFF"/>
        </w:rPr>
        <w:t>financialisation</w:t>
      </w:r>
      <w:proofErr w:type="spellEnd"/>
      <w:r w:rsidRPr="005626E4">
        <w:rPr>
          <w:rFonts w:cstheme="minorHAnsi"/>
          <w:i/>
          <w:szCs w:val="22"/>
          <w:shd w:val="clear" w:color="auto" w:fill="FFFFFF"/>
        </w:rPr>
        <w:t xml:space="preserve"> of housing in EU cities</w:t>
      </w:r>
      <w:r w:rsidRPr="005626E4">
        <w:rPr>
          <w:rFonts w:cstheme="minorHAnsi"/>
          <w:szCs w:val="22"/>
          <w:shd w:val="clear" w:color="auto" w:fill="FFFFFF"/>
        </w:rPr>
        <w:t xml:space="preserve">, report prepared by C </w:t>
      </w:r>
      <w:proofErr w:type="spellStart"/>
      <w:r w:rsidRPr="005626E4">
        <w:rPr>
          <w:rFonts w:cstheme="minorHAnsi"/>
          <w:szCs w:val="22"/>
          <w:shd w:val="clear" w:color="auto" w:fill="FFFFFF"/>
        </w:rPr>
        <w:t>Lavalle</w:t>
      </w:r>
      <w:proofErr w:type="spellEnd"/>
      <w:r w:rsidRPr="005626E4">
        <w:rPr>
          <w:rFonts w:cstheme="minorHAnsi"/>
          <w:szCs w:val="22"/>
          <w:shd w:val="clear" w:color="auto" w:fill="FFFFFF"/>
        </w:rPr>
        <w:t>, S Van Heerden, R Barranco, </w:t>
      </w:r>
      <w:hyperlink r:id="rId75" w:tgtFrame="_blank" w:history="1">
        <w:r w:rsidRPr="003E1294">
          <w:rPr>
            <w:rStyle w:val="Hyperlink"/>
          </w:rPr>
          <w:t>https://data.europa.eu/doi/10.2760/07168</w:t>
        </w:r>
      </w:hyperlink>
    </w:p>
    <w:p w14:paraId="2327419B" w14:textId="3ACF7FBF" w:rsidR="009A4DA0" w:rsidRDefault="009A4DA0" w:rsidP="009A4DA0">
      <w:pPr>
        <w:rPr>
          <w:rStyle w:val="Hyperlink"/>
        </w:rPr>
      </w:pPr>
      <w:r>
        <w:rPr>
          <w:rFonts w:cstheme="minorHAnsi"/>
        </w:rPr>
        <w:t xml:space="preserve">Expatica (2023), </w:t>
      </w:r>
      <w:r w:rsidRPr="00D90F76">
        <w:rPr>
          <w:rFonts w:cstheme="minorHAnsi"/>
          <w:i/>
          <w:iCs/>
        </w:rPr>
        <w:t>Housing</w:t>
      </w:r>
      <w:r w:rsidRPr="00D90F76">
        <w:rPr>
          <w:rFonts w:cstheme="minorHAnsi"/>
          <w:i/>
        </w:rPr>
        <w:t xml:space="preserve"> in </w:t>
      </w:r>
      <w:r w:rsidRPr="00D90F76">
        <w:rPr>
          <w:rFonts w:cstheme="minorHAnsi"/>
          <w:i/>
          <w:iCs/>
        </w:rPr>
        <w:t>France</w:t>
      </w:r>
      <w:r>
        <w:rPr>
          <w:rFonts w:cstheme="minorHAnsi"/>
        </w:rPr>
        <w:t xml:space="preserve">, </w:t>
      </w:r>
      <w:hyperlink r:id="rId76" w:history="1">
        <w:r w:rsidRPr="00834E32">
          <w:rPr>
            <w:rStyle w:val="Hyperlink"/>
          </w:rPr>
          <w:t>https://www.expatica.com/fr/housing/housing</w:t>
        </w:r>
        <w:r w:rsidR="00563A2B">
          <w:rPr>
            <w:rStyle w:val="Hyperlink"/>
          </w:rPr>
          <w:noBreakHyphen/>
        </w:r>
        <w:r w:rsidRPr="00834E32">
          <w:rPr>
            <w:rStyle w:val="Hyperlink"/>
          </w:rPr>
          <w:t>basics/housing</w:t>
        </w:r>
        <w:r w:rsidR="00563A2B">
          <w:rPr>
            <w:rStyle w:val="Hyperlink"/>
          </w:rPr>
          <w:noBreakHyphen/>
        </w:r>
        <w:r w:rsidRPr="00834E32">
          <w:rPr>
            <w:rStyle w:val="Hyperlink"/>
          </w:rPr>
          <w:t>in</w:t>
        </w:r>
        <w:r w:rsidR="00563A2B">
          <w:rPr>
            <w:rStyle w:val="Hyperlink"/>
          </w:rPr>
          <w:noBreakHyphen/>
        </w:r>
        <w:r w:rsidRPr="00834E32">
          <w:rPr>
            <w:rStyle w:val="Hyperlink"/>
          </w:rPr>
          <w:t>france</w:t>
        </w:r>
        <w:r w:rsidR="00563A2B">
          <w:rPr>
            <w:rStyle w:val="Hyperlink"/>
          </w:rPr>
          <w:noBreakHyphen/>
        </w:r>
        <w:r w:rsidRPr="00834E32">
          <w:rPr>
            <w:rStyle w:val="Hyperlink"/>
          </w:rPr>
          <w:t>103857/</w:t>
        </w:r>
      </w:hyperlink>
      <w:r w:rsidR="00F479CC">
        <w:rPr>
          <w:rStyle w:val="Hyperlink"/>
        </w:rPr>
        <w:t xml:space="preserve"> </w:t>
      </w:r>
      <w:r w:rsidR="00F479CC" w:rsidRPr="00F479CC">
        <w:rPr>
          <w:rStyle w:val="Hyperlink"/>
          <w:color w:val="auto"/>
        </w:rPr>
        <w:t>accessed July 2023.</w:t>
      </w:r>
    </w:p>
    <w:p w14:paraId="340CA95B" w14:textId="7529BE68" w:rsidR="009A4DA0" w:rsidRDefault="009A4DA0" w:rsidP="009A4DA0">
      <w:pPr>
        <w:spacing w:before="0" w:after="160" w:line="259" w:lineRule="auto"/>
      </w:pPr>
      <w:r w:rsidRPr="00490FA1">
        <w:t>EY</w:t>
      </w:r>
      <w:r>
        <w:t xml:space="preserve"> (Ernst and Young) (2023)</w:t>
      </w:r>
      <w:r w:rsidRPr="00490FA1">
        <w:t xml:space="preserve">, </w:t>
      </w:r>
      <w:r w:rsidRPr="004D08E0">
        <w:t>A new form of housing for Australia: Built to rent housing</w:t>
      </w:r>
      <w:r w:rsidRPr="00490FA1">
        <w:t>, Property Council of Australia</w:t>
      </w:r>
      <w:r>
        <w:t xml:space="preserve">, </w:t>
      </w:r>
      <w:r w:rsidRPr="00490FA1">
        <w:t>Sydney</w:t>
      </w:r>
      <w:r>
        <w:t xml:space="preserve">, </w:t>
      </w:r>
      <w:hyperlink r:id="rId77" w:history="1">
        <w:r w:rsidRPr="00B94BD0">
          <w:rPr>
            <w:rStyle w:val="Hyperlink"/>
          </w:rPr>
          <w:t>https://www.propertycouncil.com.au/submissions/a</w:t>
        </w:r>
        <w:r w:rsidR="00563A2B">
          <w:rPr>
            <w:rStyle w:val="Hyperlink"/>
          </w:rPr>
          <w:noBreakHyphen/>
        </w:r>
        <w:r w:rsidRPr="00B94BD0">
          <w:rPr>
            <w:rStyle w:val="Hyperlink"/>
          </w:rPr>
          <w:t>new</w:t>
        </w:r>
        <w:r w:rsidR="00563A2B">
          <w:rPr>
            <w:rStyle w:val="Hyperlink"/>
          </w:rPr>
          <w:noBreakHyphen/>
        </w:r>
        <w:r w:rsidRPr="00B94BD0">
          <w:rPr>
            <w:rStyle w:val="Hyperlink"/>
          </w:rPr>
          <w:t>form</w:t>
        </w:r>
        <w:r w:rsidR="00563A2B">
          <w:rPr>
            <w:rStyle w:val="Hyperlink"/>
          </w:rPr>
          <w:noBreakHyphen/>
        </w:r>
        <w:r w:rsidRPr="00B94BD0">
          <w:rPr>
            <w:rStyle w:val="Hyperlink"/>
          </w:rPr>
          <w:t>of</w:t>
        </w:r>
        <w:r w:rsidR="00563A2B">
          <w:rPr>
            <w:rStyle w:val="Hyperlink"/>
          </w:rPr>
          <w:noBreakHyphen/>
        </w:r>
        <w:r w:rsidRPr="00B94BD0">
          <w:rPr>
            <w:rStyle w:val="Hyperlink"/>
          </w:rPr>
          <w:t>housing</w:t>
        </w:r>
        <w:r w:rsidR="00563A2B">
          <w:rPr>
            <w:rStyle w:val="Hyperlink"/>
          </w:rPr>
          <w:noBreakHyphen/>
        </w:r>
        <w:r w:rsidRPr="00B94BD0">
          <w:rPr>
            <w:rStyle w:val="Hyperlink"/>
          </w:rPr>
          <w:t>supply</w:t>
        </w:r>
        <w:r w:rsidR="00563A2B">
          <w:rPr>
            <w:rStyle w:val="Hyperlink"/>
          </w:rPr>
          <w:noBreakHyphen/>
        </w:r>
        <w:r w:rsidRPr="00B94BD0">
          <w:rPr>
            <w:rStyle w:val="Hyperlink"/>
          </w:rPr>
          <w:t>for</w:t>
        </w:r>
        <w:r w:rsidR="00563A2B">
          <w:rPr>
            <w:rStyle w:val="Hyperlink"/>
          </w:rPr>
          <w:noBreakHyphen/>
        </w:r>
        <w:r w:rsidRPr="00B94BD0">
          <w:rPr>
            <w:rStyle w:val="Hyperlink"/>
          </w:rPr>
          <w:t>australia</w:t>
        </w:r>
        <w:r w:rsidR="00563A2B">
          <w:rPr>
            <w:rStyle w:val="Hyperlink"/>
          </w:rPr>
          <w:noBreakHyphen/>
        </w:r>
        <w:r w:rsidRPr="00B94BD0">
          <w:rPr>
            <w:rStyle w:val="Hyperlink"/>
          </w:rPr>
          <w:t>build</w:t>
        </w:r>
        <w:r w:rsidR="00563A2B">
          <w:rPr>
            <w:rStyle w:val="Hyperlink"/>
          </w:rPr>
          <w:noBreakHyphen/>
        </w:r>
        <w:r w:rsidRPr="00B94BD0">
          <w:rPr>
            <w:rStyle w:val="Hyperlink"/>
          </w:rPr>
          <w:t>to</w:t>
        </w:r>
        <w:r w:rsidR="00563A2B">
          <w:rPr>
            <w:rStyle w:val="Hyperlink"/>
          </w:rPr>
          <w:noBreakHyphen/>
        </w:r>
        <w:r w:rsidRPr="00B94BD0">
          <w:rPr>
            <w:rStyle w:val="Hyperlink"/>
          </w:rPr>
          <w:t>rent</w:t>
        </w:r>
        <w:r w:rsidR="00563A2B">
          <w:rPr>
            <w:rStyle w:val="Hyperlink"/>
          </w:rPr>
          <w:noBreakHyphen/>
        </w:r>
        <w:r w:rsidRPr="00B94BD0">
          <w:rPr>
            <w:rStyle w:val="Hyperlink"/>
          </w:rPr>
          <w:t>housing</w:t>
        </w:r>
      </w:hyperlink>
      <w:r>
        <w:t xml:space="preserve"> </w:t>
      </w:r>
    </w:p>
    <w:p w14:paraId="64C9DDED" w14:textId="0E137E6F" w:rsidR="009A4DA0" w:rsidRDefault="009A4DA0" w:rsidP="009A4DA0">
      <w:pPr>
        <w:spacing w:before="0" w:after="160" w:line="259" w:lineRule="auto"/>
      </w:pPr>
      <w:r>
        <w:t xml:space="preserve">Freddie Mac (2022), </w:t>
      </w:r>
      <w:r w:rsidR="00563A2B">
        <w:t>‘</w:t>
      </w:r>
      <w:r>
        <w:t>2023 Multifamily Outlook</w:t>
      </w:r>
      <w:r w:rsidR="00563A2B">
        <w:t>’</w:t>
      </w:r>
      <w:r>
        <w:t xml:space="preserve">, </w:t>
      </w:r>
      <w:hyperlink r:id="rId78" w:history="1">
        <w:r w:rsidRPr="00FB0E90">
          <w:rPr>
            <w:rStyle w:val="Hyperlink"/>
          </w:rPr>
          <w:t>https://mf.freddiemac.com/docs/2023_multifamily_outlook.pdf</w:t>
        </w:r>
      </w:hyperlink>
      <w:r>
        <w:t xml:space="preserve"> </w:t>
      </w:r>
    </w:p>
    <w:p w14:paraId="568516C4" w14:textId="059A3440" w:rsidR="00613DE5" w:rsidRPr="00B45381" w:rsidRDefault="00613DE5" w:rsidP="009A4DA0">
      <w:proofErr w:type="spellStart"/>
      <w:r>
        <w:t>Fukami</w:t>
      </w:r>
      <w:proofErr w:type="spellEnd"/>
      <w:r>
        <w:t xml:space="preserve"> K, Blume D and </w:t>
      </w:r>
      <w:proofErr w:type="spellStart"/>
      <w:r>
        <w:t>Mangnusson</w:t>
      </w:r>
      <w:proofErr w:type="spellEnd"/>
      <w:r>
        <w:t xml:space="preserve"> CM</w:t>
      </w:r>
      <w:r w:rsidR="00D808C4">
        <w:t>.</w:t>
      </w:r>
      <w:r>
        <w:t xml:space="preserve"> (2022), </w:t>
      </w:r>
      <w:r w:rsidR="00563A2B">
        <w:t>‘</w:t>
      </w:r>
      <w:r>
        <w:t>Institutional investors and stewardship</w:t>
      </w:r>
      <w:r w:rsidR="00563A2B">
        <w:t>’</w:t>
      </w:r>
      <w:r>
        <w:t xml:space="preserve">, </w:t>
      </w:r>
      <w:r>
        <w:rPr>
          <w:i/>
          <w:iCs/>
        </w:rPr>
        <w:t>OECD</w:t>
      </w:r>
      <w:r w:rsidR="00B45381">
        <w:rPr>
          <w:i/>
          <w:iCs/>
        </w:rPr>
        <w:t xml:space="preserve"> Corporate Governance Working Papers</w:t>
      </w:r>
      <w:r w:rsidR="00B45381">
        <w:t xml:space="preserve">, 25, </w:t>
      </w:r>
      <w:hyperlink r:id="rId79" w:history="1">
        <w:r w:rsidR="00B45381" w:rsidRPr="00F65238">
          <w:rPr>
            <w:rStyle w:val="Hyperlink"/>
          </w:rPr>
          <w:t>https://www.oecd</w:t>
        </w:r>
        <w:r w:rsidR="00563A2B">
          <w:rPr>
            <w:rStyle w:val="Hyperlink"/>
          </w:rPr>
          <w:noBreakHyphen/>
        </w:r>
        <w:r w:rsidR="00B45381" w:rsidRPr="00F65238">
          <w:rPr>
            <w:rStyle w:val="Hyperlink"/>
          </w:rPr>
          <w:t>ilibrary.org/docserver/1ce75d38</w:t>
        </w:r>
        <w:r w:rsidR="00563A2B">
          <w:rPr>
            <w:rStyle w:val="Hyperlink"/>
          </w:rPr>
          <w:noBreakHyphen/>
        </w:r>
        <w:r w:rsidR="00B45381" w:rsidRPr="00F65238">
          <w:rPr>
            <w:rStyle w:val="Hyperlink"/>
          </w:rPr>
          <w:t>en.pdf?expires=1689746267&amp;id=id&amp;accname=guest&amp;checksum=B6F18FBBD52B4ED7F05F69A027A7F8EE</w:t>
        </w:r>
      </w:hyperlink>
    </w:p>
    <w:p w14:paraId="2F53AD15" w14:textId="7BB1E920" w:rsidR="009A4DA0" w:rsidRDefault="009A4DA0" w:rsidP="009A4DA0">
      <w:pPr>
        <w:rPr>
          <w:rStyle w:val="Hyperlink"/>
        </w:rPr>
      </w:pPr>
      <w:r w:rsidRPr="00B242D2">
        <w:t xml:space="preserve">Gabor, D and Kohl, S (2022) </w:t>
      </w:r>
      <w:r w:rsidRPr="00D90F76">
        <w:rPr>
          <w:i/>
        </w:rPr>
        <w:t>My home is an asset class: Study about the financialization of housing in Europe</w:t>
      </w:r>
      <w:r w:rsidRPr="00B242D2">
        <w:t xml:space="preserve">, </w:t>
      </w:r>
      <w:hyperlink r:id="rId80" w:history="1">
        <w:r w:rsidRPr="00834E32">
          <w:rPr>
            <w:rStyle w:val="Hyperlink"/>
          </w:rPr>
          <w:t>https://www.greens</w:t>
        </w:r>
        <w:r w:rsidR="00563A2B">
          <w:rPr>
            <w:rStyle w:val="Hyperlink"/>
          </w:rPr>
          <w:noBreakHyphen/>
        </w:r>
        <w:r w:rsidRPr="00834E32">
          <w:rPr>
            <w:rStyle w:val="Hyperlink"/>
          </w:rPr>
          <w:t>efa.eu/en/article/document/my</w:t>
        </w:r>
        <w:r w:rsidR="00563A2B">
          <w:rPr>
            <w:rStyle w:val="Hyperlink"/>
          </w:rPr>
          <w:noBreakHyphen/>
        </w:r>
        <w:r w:rsidRPr="00834E32">
          <w:rPr>
            <w:rStyle w:val="Hyperlink"/>
          </w:rPr>
          <w:t>home</w:t>
        </w:r>
        <w:r w:rsidR="00563A2B">
          <w:rPr>
            <w:rStyle w:val="Hyperlink"/>
          </w:rPr>
          <w:noBreakHyphen/>
        </w:r>
        <w:r w:rsidRPr="00834E32">
          <w:rPr>
            <w:rStyle w:val="Hyperlink"/>
          </w:rPr>
          <w:t>is</w:t>
        </w:r>
        <w:r w:rsidR="00563A2B">
          <w:rPr>
            <w:rStyle w:val="Hyperlink"/>
          </w:rPr>
          <w:noBreakHyphen/>
        </w:r>
        <w:r w:rsidRPr="00834E32">
          <w:rPr>
            <w:rStyle w:val="Hyperlink"/>
          </w:rPr>
          <w:t>an</w:t>
        </w:r>
        <w:r w:rsidR="00563A2B">
          <w:rPr>
            <w:rStyle w:val="Hyperlink"/>
          </w:rPr>
          <w:noBreakHyphen/>
        </w:r>
        <w:r w:rsidRPr="00834E32">
          <w:rPr>
            <w:rStyle w:val="Hyperlink"/>
          </w:rPr>
          <w:t>asset</w:t>
        </w:r>
        <w:r w:rsidR="00563A2B">
          <w:rPr>
            <w:rStyle w:val="Hyperlink"/>
          </w:rPr>
          <w:noBreakHyphen/>
        </w:r>
        <w:r w:rsidRPr="00834E32">
          <w:rPr>
            <w:rStyle w:val="Hyperlink"/>
          </w:rPr>
          <w:t>class</w:t>
        </w:r>
      </w:hyperlink>
    </w:p>
    <w:p w14:paraId="3823CC41" w14:textId="613880D5" w:rsidR="009A4DA0" w:rsidRPr="001C7A32" w:rsidRDefault="009A4DA0" w:rsidP="009A4DA0">
      <w:pPr>
        <w:rPr>
          <w:rFonts w:eastAsia="Wingdings" w:cs="Wingdings"/>
        </w:rPr>
      </w:pPr>
      <w:r w:rsidRPr="00332825">
        <w:rPr>
          <w:rFonts w:eastAsia="Wingdings" w:cs="Wingdings"/>
        </w:rPr>
        <w:t xml:space="preserve">Global Property Guide (2023). Germany Residential Real Estate Market Analysis 2023. Global Property Guide. [online] Available at: </w:t>
      </w:r>
      <w:hyperlink r:id="rId81" w:history="1">
        <w:r w:rsidRPr="00002B41">
          <w:rPr>
            <w:rStyle w:val="Hyperlink"/>
            <w:rFonts w:eastAsia="Wingdings" w:cs="Wingdings"/>
          </w:rPr>
          <w:t>https://www.globalpropertyguide.com/Europe/Germany/Price</w:t>
        </w:r>
        <w:r w:rsidR="00563A2B">
          <w:rPr>
            <w:rStyle w:val="Hyperlink"/>
            <w:rFonts w:eastAsia="Wingdings" w:cs="Wingdings"/>
          </w:rPr>
          <w:noBreakHyphen/>
        </w:r>
        <w:r w:rsidRPr="00002B41">
          <w:rPr>
            <w:rStyle w:val="Hyperlink"/>
            <w:rFonts w:eastAsia="Wingdings" w:cs="Wingdings"/>
          </w:rPr>
          <w:t>History</w:t>
        </w:r>
      </w:hyperlink>
      <w:r w:rsidRPr="00332825">
        <w:rPr>
          <w:rFonts w:eastAsia="Wingdings" w:cs="Wingdings"/>
        </w:rPr>
        <w:t>.</w:t>
      </w:r>
    </w:p>
    <w:p w14:paraId="505FBA58" w14:textId="3F89BC69" w:rsidR="009A4DA0" w:rsidRPr="007978C8" w:rsidRDefault="009A4DA0" w:rsidP="009A4DA0">
      <w:pPr>
        <w:spacing w:before="0" w:after="160" w:line="259" w:lineRule="auto"/>
        <w:rPr>
          <w:color w:val="auto"/>
        </w:rPr>
      </w:pPr>
      <w:proofErr w:type="spellStart"/>
      <w:r>
        <w:rPr>
          <w:color w:val="auto"/>
        </w:rPr>
        <w:t>Hanmer</w:t>
      </w:r>
      <w:proofErr w:type="spellEnd"/>
      <w:r>
        <w:rPr>
          <w:color w:val="auto"/>
        </w:rPr>
        <w:t xml:space="preserve"> F and Marquardt M (2023), </w:t>
      </w:r>
      <w:r w:rsidR="00563A2B">
        <w:rPr>
          <w:color w:val="auto"/>
        </w:rPr>
        <w:t>‘</w:t>
      </w:r>
      <w:r w:rsidRPr="00A45034">
        <w:rPr>
          <w:color w:val="auto"/>
        </w:rPr>
        <w:t>New Insights into the Rental Market</w:t>
      </w:r>
      <w:r w:rsidR="00563A2B">
        <w:rPr>
          <w:color w:val="auto"/>
        </w:rPr>
        <w:t>’</w:t>
      </w:r>
      <w:r>
        <w:rPr>
          <w:i/>
          <w:iCs/>
          <w:color w:val="auto"/>
        </w:rPr>
        <w:t>, RBA Bulletin</w:t>
      </w:r>
      <w:r>
        <w:rPr>
          <w:color w:val="auto"/>
        </w:rPr>
        <w:t>, June 2023</w:t>
      </w:r>
      <w:r w:rsidR="00563A2B">
        <w:rPr>
          <w:color w:val="auto"/>
        </w:rPr>
        <w:t xml:space="preserve"> </w:t>
      </w:r>
      <w:hyperlink r:id="rId82" w:history="1">
        <w:r>
          <w:rPr>
            <w:rStyle w:val="Hyperlink"/>
          </w:rPr>
          <w:t>https://www.rba.gov.au/publications/bulletin/2023/jun/new</w:t>
        </w:r>
        <w:r w:rsidR="00563A2B">
          <w:rPr>
            <w:rStyle w:val="Hyperlink"/>
          </w:rPr>
          <w:noBreakHyphen/>
        </w:r>
        <w:r>
          <w:rPr>
            <w:rStyle w:val="Hyperlink"/>
          </w:rPr>
          <w:t>insights</w:t>
        </w:r>
        <w:r w:rsidR="00563A2B">
          <w:rPr>
            <w:rStyle w:val="Hyperlink"/>
          </w:rPr>
          <w:noBreakHyphen/>
        </w:r>
        <w:r>
          <w:rPr>
            <w:rStyle w:val="Hyperlink"/>
          </w:rPr>
          <w:t>into</w:t>
        </w:r>
        <w:r w:rsidR="00563A2B">
          <w:rPr>
            <w:rStyle w:val="Hyperlink"/>
          </w:rPr>
          <w:noBreakHyphen/>
        </w:r>
        <w:r>
          <w:rPr>
            <w:rStyle w:val="Hyperlink"/>
          </w:rPr>
          <w:t>the</w:t>
        </w:r>
        <w:r w:rsidR="00563A2B">
          <w:rPr>
            <w:rStyle w:val="Hyperlink"/>
          </w:rPr>
          <w:noBreakHyphen/>
        </w:r>
        <w:r>
          <w:rPr>
            <w:rStyle w:val="Hyperlink"/>
          </w:rPr>
          <w:t>rental</w:t>
        </w:r>
        <w:r w:rsidR="00563A2B">
          <w:rPr>
            <w:rStyle w:val="Hyperlink"/>
          </w:rPr>
          <w:noBreakHyphen/>
        </w:r>
        <w:r>
          <w:rPr>
            <w:rStyle w:val="Hyperlink"/>
          </w:rPr>
          <w:t>market.html</w:t>
        </w:r>
      </w:hyperlink>
    </w:p>
    <w:p w14:paraId="037CAEEB" w14:textId="42DD43F5" w:rsidR="009A4DA0" w:rsidRPr="00E630B5" w:rsidRDefault="009A4DA0" w:rsidP="009A4DA0">
      <w:pPr>
        <w:rPr>
          <w:rFonts w:eastAsia="Wingdings" w:cs="Wingdings"/>
        </w:rPr>
      </w:pPr>
      <w:r w:rsidRPr="008C10FE">
        <w:rPr>
          <w:rFonts w:eastAsia="Wingdings" w:cs="Wingdings"/>
        </w:rPr>
        <w:t>Hirayama</w:t>
      </w:r>
      <w:r>
        <w:rPr>
          <w:rFonts w:eastAsia="Wingdings" w:cs="Wingdings"/>
        </w:rPr>
        <w:t xml:space="preserve"> Y</w:t>
      </w:r>
      <w:r w:rsidRPr="008C10FE">
        <w:rPr>
          <w:rFonts w:eastAsia="Wingdings" w:cs="Wingdings"/>
        </w:rPr>
        <w:t xml:space="preserve"> (2014), </w:t>
      </w:r>
      <w:r w:rsidR="00563A2B">
        <w:rPr>
          <w:rFonts w:eastAsia="Wingdings" w:cs="Wingdings"/>
        </w:rPr>
        <w:t>‘</w:t>
      </w:r>
      <w:r w:rsidRPr="008C10FE">
        <w:rPr>
          <w:rFonts w:eastAsia="Wingdings" w:cs="Wingdings"/>
        </w:rPr>
        <w:t>Housing and the rise and fall of Japan</w:t>
      </w:r>
      <w:r w:rsidR="00563A2B">
        <w:rPr>
          <w:rFonts w:eastAsia="Wingdings" w:cs="Wingdings"/>
        </w:rPr>
        <w:t>’</w:t>
      </w:r>
      <w:r w:rsidRPr="008C10FE">
        <w:rPr>
          <w:rFonts w:eastAsia="Wingdings" w:cs="Wingdings"/>
        </w:rPr>
        <w:t>s social mainstream</w:t>
      </w:r>
      <w:r w:rsidR="00563A2B">
        <w:rPr>
          <w:rFonts w:eastAsia="Wingdings" w:cs="Wingdings"/>
        </w:rPr>
        <w:t>’</w:t>
      </w:r>
      <w:r w:rsidRPr="008C10FE">
        <w:rPr>
          <w:rFonts w:eastAsia="Wingdings" w:cs="Wingdings"/>
        </w:rPr>
        <w:t xml:space="preserve">, in John Doling and Richard Ronald (eds.) </w:t>
      </w:r>
      <w:r w:rsidRPr="008C10FE">
        <w:rPr>
          <w:rFonts w:eastAsia="Wingdings" w:cs="Wingdings"/>
          <w:i/>
        </w:rPr>
        <w:t>Housing East Asia: Socioeconomic and demographic challenges</w:t>
      </w:r>
      <w:r w:rsidRPr="008C10FE">
        <w:rPr>
          <w:rFonts w:eastAsia="Wingdings" w:cs="Wingdings"/>
        </w:rPr>
        <w:t>, Palgrave Macmillan</w:t>
      </w:r>
      <w:r>
        <w:rPr>
          <w:rFonts w:eastAsia="Wingdings" w:cs="Wingdings"/>
        </w:rPr>
        <w:t>, Basingstoke.</w:t>
      </w:r>
    </w:p>
    <w:p w14:paraId="614F24E4" w14:textId="66ED5760" w:rsidR="009A4DA0" w:rsidRDefault="009A4DA0" w:rsidP="009A4DA0">
      <w:pPr>
        <w:rPr>
          <w:rStyle w:val="Hyperlink"/>
        </w:rPr>
      </w:pPr>
      <w:r>
        <w:t xml:space="preserve">HM Treasury (2023), </w:t>
      </w:r>
      <w:r w:rsidRPr="00D6525E">
        <w:rPr>
          <w:i/>
          <w:iCs/>
        </w:rPr>
        <w:t>Central</w:t>
      </w:r>
      <w:r w:rsidRPr="00D6525E">
        <w:rPr>
          <w:i/>
        </w:rPr>
        <w:t xml:space="preserve"> Government Supply Estimates 2023</w:t>
      </w:r>
      <w:r w:rsidR="00815E0F">
        <w:rPr>
          <w:i/>
        </w:rPr>
        <w:t>–</w:t>
      </w:r>
      <w:r w:rsidRPr="00D6525E">
        <w:rPr>
          <w:i/>
        </w:rPr>
        <w:t>24, Main Supply Estimates</w:t>
      </w:r>
      <w:r>
        <w:t>,</w:t>
      </w:r>
      <w:r w:rsidR="003F708B" w:rsidRPr="003F708B">
        <w:t xml:space="preserve"> </w:t>
      </w:r>
      <w:hyperlink r:id="rId83" w:history="1">
        <w:r w:rsidR="003F708B" w:rsidRPr="00F65238">
          <w:rPr>
            <w:rStyle w:val="Hyperlink"/>
          </w:rPr>
          <w:t>https://assets.publishing.service.gov.uk/government/uploads/system/uploads/attachment_data/file/1157608/E02903086_HMT_Main_Supply_Estimates_23</w:t>
        </w:r>
        <w:r w:rsidR="00563A2B">
          <w:rPr>
            <w:rStyle w:val="Hyperlink"/>
          </w:rPr>
          <w:noBreakHyphen/>
        </w:r>
        <w:r w:rsidR="003F708B" w:rsidRPr="00F65238">
          <w:rPr>
            <w:rStyle w:val="Hyperlink"/>
          </w:rPr>
          <w:t>24_Web_Accessible.pdf</w:t>
        </w:r>
      </w:hyperlink>
      <w:r w:rsidR="003F708B">
        <w:t xml:space="preserve"> </w:t>
      </w:r>
    </w:p>
    <w:p w14:paraId="34472F85" w14:textId="0D6B440E" w:rsidR="009A4DA0" w:rsidRPr="008C10FE" w:rsidRDefault="009A4DA0" w:rsidP="009A4DA0">
      <w:pPr>
        <w:rPr>
          <w:rFonts w:eastAsia="Wingdings" w:cs="Wingdings"/>
        </w:rPr>
      </w:pPr>
      <w:r w:rsidRPr="008C10FE">
        <w:rPr>
          <w:rFonts w:eastAsia="Wingdings" w:cs="Wingdings"/>
        </w:rPr>
        <w:t>Hirayama</w:t>
      </w:r>
      <w:r>
        <w:rPr>
          <w:rFonts w:eastAsia="Wingdings" w:cs="Wingdings"/>
        </w:rPr>
        <w:t xml:space="preserve"> Y</w:t>
      </w:r>
      <w:r w:rsidRPr="008C10FE">
        <w:rPr>
          <w:rFonts w:eastAsia="Wingdings" w:cs="Wingdings"/>
        </w:rPr>
        <w:t xml:space="preserve"> (2014), </w:t>
      </w:r>
      <w:r w:rsidR="00563A2B">
        <w:rPr>
          <w:rFonts w:eastAsia="Wingdings" w:cs="Wingdings"/>
        </w:rPr>
        <w:t>‘</w:t>
      </w:r>
      <w:r w:rsidRPr="008C10FE">
        <w:rPr>
          <w:rFonts w:eastAsia="Wingdings" w:cs="Wingdings"/>
        </w:rPr>
        <w:t>Housing and the rise and fall of Japan</w:t>
      </w:r>
      <w:r w:rsidR="00563A2B">
        <w:rPr>
          <w:rFonts w:eastAsia="Wingdings" w:cs="Wingdings"/>
        </w:rPr>
        <w:t>’</w:t>
      </w:r>
      <w:r w:rsidRPr="008C10FE">
        <w:rPr>
          <w:rFonts w:eastAsia="Wingdings" w:cs="Wingdings"/>
        </w:rPr>
        <w:t>s social mainstream</w:t>
      </w:r>
      <w:r w:rsidR="00563A2B">
        <w:rPr>
          <w:rFonts w:eastAsia="Wingdings" w:cs="Wingdings"/>
        </w:rPr>
        <w:t>’</w:t>
      </w:r>
      <w:r w:rsidRPr="008C10FE">
        <w:rPr>
          <w:rFonts w:eastAsia="Wingdings" w:cs="Wingdings"/>
        </w:rPr>
        <w:t xml:space="preserve">, in John Doling and Richard Ronald (eds.) </w:t>
      </w:r>
      <w:r w:rsidRPr="008C10FE">
        <w:rPr>
          <w:rFonts w:eastAsia="Wingdings" w:cs="Wingdings"/>
          <w:i/>
        </w:rPr>
        <w:t>Housing East Asia: Socioeconomic and demographic challenges</w:t>
      </w:r>
      <w:r w:rsidRPr="008C10FE">
        <w:rPr>
          <w:rFonts w:eastAsia="Wingdings" w:cs="Wingdings"/>
        </w:rPr>
        <w:t>, Palgrave Macmillan</w:t>
      </w:r>
    </w:p>
    <w:p w14:paraId="29F6E25A" w14:textId="4B11E53A" w:rsidR="009A4DA0" w:rsidRPr="00045DE1" w:rsidRDefault="009A4DA0" w:rsidP="009A4DA0">
      <w:pPr>
        <w:spacing w:before="0" w:after="160" w:line="259" w:lineRule="auto"/>
        <w:rPr>
          <w:color w:val="auto"/>
        </w:rPr>
      </w:pPr>
      <w:proofErr w:type="spellStart"/>
      <w:r>
        <w:rPr>
          <w:color w:val="auto"/>
        </w:rPr>
        <w:t>Hogen</w:t>
      </w:r>
      <w:proofErr w:type="spellEnd"/>
      <w:r>
        <w:rPr>
          <w:color w:val="auto"/>
        </w:rPr>
        <w:t xml:space="preserve"> Y and Koide Y</w:t>
      </w:r>
      <w:r w:rsidR="00D808C4">
        <w:rPr>
          <w:color w:val="auto"/>
        </w:rPr>
        <w:t>.</w:t>
      </w:r>
      <w:r>
        <w:rPr>
          <w:color w:val="auto"/>
        </w:rPr>
        <w:t xml:space="preserve"> (2022), </w:t>
      </w:r>
      <w:r w:rsidRPr="000C7917">
        <w:rPr>
          <w:i/>
          <w:color w:val="auto"/>
        </w:rPr>
        <w:t>Flows of Overseas Funds in the Real Estate Market</w:t>
      </w:r>
      <w:r>
        <w:rPr>
          <w:color w:val="auto"/>
        </w:rPr>
        <w:t>, Bank of Japan Review,</w:t>
      </w:r>
      <w:r w:rsidRPr="00514183">
        <w:t xml:space="preserve"> </w:t>
      </w:r>
      <w:hyperlink r:id="rId84" w:history="1">
        <w:r w:rsidRPr="00022B0C">
          <w:rPr>
            <w:rStyle w:val="Hyperlink"/>
          </w:rPr>
          <w:t>https://www.boj.or.jp/en/research/wps_rev/rev_2022/data/rev22e07.pdf</w:t>
        </w:r>
      </w:hyperlink>
      <w:r>
        <w:rPr>
          <w:color w:val="auto"/>
        </w:rPr>
        <w:t xml:space="preserve"> </w:t>
      </w:r>
    </w:p>
    <w:p w14:paraId="7F5652C9" w14:textId="730E0F91" w:rsidR="009A4DA0" w:rsidRPr="006F3B50" w:rsidRDefault="009A4DA0" w:rsidP="009A4DA0">
      <w:pPr>
        <w:spacing w:before="0" w:after="160" w:line="259" w:lineRule="auto"/>
      </w:pPr>
      <w:r w:rsidRPr="006F3B50">
        <w:t>Homes and Communities Agency</w:t>
      </w:r>
      <w:r>
        <w:t xml:space="preserve"> (2014)</w:t>
      </w:r>
      <w:r w:rsidRPr="006F3B50">
        <w:t xml:space="preserve">, </w:t>
      </w:r>
      <w:r w:rsidRPr="006F3B50">
        <w:rPr>
          <w:i/>
          <w:iCs/>
        </w:rPr>
        <w:t>Affordable Homes Guarantee Programme</w:t>
      </w:r>
      <w:r>
        <w:t xml:space="preserve">, </w:t>
      </w:r>
      <w:r w:rsidRPr="00DB4824">
        <w:rPr>
          <w:rFonts w:cstheme="minorHAnsi"/>
          <w:szCs w:val="22"/>
        </w:rPr>
        <w:t>retrieved</w:t>
      </w:r>
      <w:r>
        <w:t xml:space="preserve"> from web archive </w:t>
      </w:r>
      <w:proofErr w:type="spellStart"/>
      <w:r>
        <w:t>Wayback</w:t>
      </w:r>
      <w:proofErr w:type="spellEnd"/>
      <w:r>
        <w:t xml:space="preserve"> Machine, </w:t>
      </w:r>
      <w:hyperlink r:id="rId85" w:history="1">
        <w:r>
          <w:rPr>
            <w:rStyle w:val="Hyperlink"/>
          </w:rPr>
          <w:t>https://web.archive.org/web/20140227074623/http:/www.homesandcommunities.co.uk/ourwork/affordable</w:t>
        </w:r>
        <w:r w:rsidR="00563A2B">
          <w:rPr>
            <w:rStyle w:val="Hyperlink"/>
          </w:rPr>
          <w:noBreakHyphen/>
        </w:r>
        <w:r>
          <w:rPr>
            <w:rStyle w:val="Hyperlink"/>
          </w:rPr>
          <w:t>homes</w:t>
        </w:r>
        <w:r w:rsidR="00563A2B">
          <w:rPr>
            <w:rStyle w:val="Hyperlink"/>
          </w:rPr>
          <w:noBreakHyphen/>
        </w:r>
        <w:r>
          <w:rPr>
            <w:rStyle w:val="Hyperlink"/>
          </w:rPr>
          <w:t>guarantees</w:t>
        </w:r>
        <w:r w:rsidR="00563A2B">
          <w:rPr>
            <w:rStyle w:val="Hyperlink"/>
          </w:rPr>
          <w:noBreakHyphen/>
        </w:r>
        <w:r>
          <w:rPr>
            <w:rStyle w:val="Hyperlink"/>
          </w:rPr>
          <w:t>programme</w:t>
        </w:r>
      </w:hyperlink>
    </w:p>
    <w:p w14:paraId="01A87F94" w14:textId="07AA154C" w:rsidR="00DF06F3" w:rsidRPr="00DF06F3" w:rsidRDefault="00DF06F3" w:rsidP="007E3CC6">
      <w:pPr>
        <w:keepLines/>
      </w:pPr>
      <w:r>
        <w:lastRenderedPageBreak/>
        <w:t xml:space="preserve">Homes and Community Agency (2015), </w:t>
      </w:r>
      <w:r>
        <w:rPr>
          <w:i/>
          <w:iCs/>
        </w:rPr>
        <w:t>Build to rent Fund – Continuous market engagement: Prospectus</w:t>
      </w:r>
      <w:r>
        <w:t xml:space="preserve">, </w:t>
      </w:r>
      <w:r w:rsidR="003B480A" w:rsidRPr="00DB4824">
        <w:rPr>
          <w:rFonts w:cstheme="minorHAnsi"/>
          <w:szCs w:val="22"/>
        </w:rPr>
        <w:t>retrieved</w:t>
      </w:r>
      <w:r w:rsidR="003B480A">
        <w:t xml:space="preserve"> from web archive </w:t>
      </w:r>
      <w:proofErr w:type="spellStart"/>
      <w:r w:rsidR="003B480A">
        <w:t>Wayback</w:t>
      </w:r>
      <w:proofErr w:type="spellEnd"/>
      <w:r w:rsidR="003B480A">
        <w:t xml:space="preserve"> Machine, </w:t>
      </w:r>
      <w:hyperlink r:id="rId86" w:history="1">
        <w:r w:rsidR="003B480A">
          <w:rPr>
            <w:rStyle w:val="Hyperlink"/>
          </w:rPr>
          <w:t>https://web.archive.org/web/20190725155446/https://assets.publishing.service.gov.uk/government/uploads/system/uploads/attachment_data/file/559586/Build_to_Rent_Fund_Prospectus_</w:t>
        </w:r>
        <w:r w:rsidR="00563A2B">
          <w:rPr>
            <w:rStyle w:val="Hyperlink"/>
          </w:rPr>
          <w:noBreakHyphen/>
        </w:r>
        <w:r w:rsidR="003B480A">
          <w:rPr>
            <w:rStyle w:val="Hyperlink"/>
          </w:rPr>
          <w:t>_archived.pdf</w:t>
        </w:r>
      </w:hyperlink>
    </w:p>
    <w:p w14:paraId="41CCD6EC" w14:textId="48822770" w:rsidR="009A4DA0" w:rsidRPr="008E4480" w:rsidRDefault="009A4DA0" w:rsidP="00607BF4">
      <w:r>
        <w:t xml:space="preserve">Hulse K, Martin C, James A and Stone W. (2018) </w:t>
      </w:r>
      <w:r>
        <w:rPr>
          <w:i/>
          <w:iCs/>
        </w:rPr>
        <w:t xml:space="preserve">Private rental in transition: institutional change, technology and innovation in Australia, </w:t>
      </w:r>
      <w:r>
        <w:t xml:space="preserve">AHURI Final Report 296, AHURI, Melbourne, </w:t>
      </w:r>
      <w:hyperlink r:id="rId87" w:history="1">
        <w:r w:rsidRPr="00CE4561">
          <w:rPr>
            <w:rStyle w:val="Hyperlink"/>
          </w:rPr>
          <w:t>https://www.ahuri.edu.au/research/final</w:t>
        </w:r>
        <w:r w:rsidR="00563A2B">
          <w:rPr>
            <w:rStyle w:val="Hyperlink"/>
          </w:rPr>
          <w:noBreakHyphen/>
        </w:r>
        <w:r w:rsidRPr="00CE4561">
          <w:rPr>
            <w:rStyle w:val="Hyperlink"/>
          </w:rPr>
          <w:t>reports/296</w:t>
        </w:r>
      </w:hyperlink>
      <w:r>
        <w:t xml:space="preserve"> </w:t>
      </w:r>
    </w:p>
    <w:p w14:paraId="140CEBFF" w14:textId="79E97A55" w:rsidR="005332BA" w:rsidRPr="008E4480" w:rsidRDefault="005332BA" w:rsidP="00607BF4">
      <w:r>
        <w:t xml:space="preserve">Industry Commission, </w:t>
      </w:r>
      <w:r w:rsidR="00BB433D">
        <w:rPr>
          <w:i/>
          <w:iCs/>
        </w:rPr>
        <w:t>Public Housing – Volume 1: Report</w:t>
      </w:r>
      <w:r w:rsidR="00BB433D">
        <w:t xml:space="preserve">, report no 34, signed 11 November 1993, </w:t>
      </w:r>
      <w:hyperlink r:id="rId88" w:history="1">
        <w:r w:rsidR="00817C2D">
          <w:rPr>
            <w:rStyle w:val="Hyperlink"/>
          </w:rPr>
          <w:t>https://www.pc.gov.au/inquiries/completed/public</w:t>
        </w:r>
        <w:r w:rsidR="00563A2B">
          <w:rPr>
            <w:rStyle w:val="Hyperlink"/>
          </w:rPr>
          <w:noBreakHyphen/>
        </w:r>
        <w:r w:rsidR="00817C2D">
          <w:rPr>
            <w:rStyle w:val="Hyperlink"/>
          </w:rPr>
          <w:t>housing</w:t>
        </w:r>
      </w:hyperlink>
    </w:p>
    <w:p w14:paraId="6A5DF5A5" w14:textId="21A5EB99" w:rsidR="009A4DA0" w:rsidRDefault="009A4DA0" w:rsidP="00607BF4">
      <w:pPr>
        <w:rPr>
          <w:rStyle w:val="Hyperlink"/>
        </w:rPr>
      </w:pPr>
      <w:r>
        <w:t xml:space="preserve">Investment Property Forum (2022), </w:t>
      </w:r>
      <w:r w:rsidRPr="479AD369">
        <w:rPr>
          <w:i/>
          <w:iCs/>
        </w:rPr>
        <w:t>The Size &amp; Structure of the UK Property Market Year</w:t>
      </w:r>
      <w:r w:rsidR="00563A2B">
        <w:rPr>
          <w:i/>
          <w:iCs/>
        </w:rPr>
        <w:noBreakHyphen/>
      </w:r>
      <w:r w:rsidRPr="479AD369">
        <w:rPr>
          <w:i/>
          <w:iCs/>
        </w:rPr>
        <w:t>End 2020</w:t>
      </w:r>
      <w:r>
        <w:t xml:space="preserve">, </w:t>
      </w:r>
      <w:hyperlink r:id="rId89">
        <w:r w:rsidRPr="479AD369">
          <w:rPr>
            <w:rStyle w:val="Hyperlink"/>
          </w:rPr>
          <w:t>https://www.ipf.org.uk/resourceLibrary/the</w:t>
        </w:r>
        <w:r w:rsidR="00563A2B">
          <w:rPr>
            <w:rStyle w:val="Hyperlink"/>
          </w:rPr>
          <w:noBreakHyphen/>
        </w:r>
        <w:r w:rsidRPr="479AD369">
          <w:rPr>
            <w:rStyle w:val="Hyperlink"/>
          </w:rPr>
          <w:t>size</w:t>
        </w:r>
        <w:r w:rsidR="00563A2B">
          <w:rPr>
            <w:rStyle w:val="Hyperlink"/>
          </w:rPr>
          <w:noBreakHyphen/>
        </w:r>
        <w:r w:rsidR="00563A2B">
          <w:rPr>
            <w:rStyle w:val="Hyperlink"/>
          </w:rPr>
          <w:noBreakHyphen/>
        </w:r>
        <w:r w:rsidR="00563A2B">
          <w:rPr>
            <w:rStyle w:val="Hyperlink"/>
          </w:rPr>
          <w:noBreakHyphen/>
        </w:r>
        <w:r w:rsidRPr="479AD369">
          <w:rPr>
            <w:rStyle w:val="Hyperlink"/>
          </w:rPr>
          <w:t>structure</w:t>
        </w:r>
        <w:r w:rsidR="00563A2B">
          <w:rPr>
            <w:rStyle w:val="Hyperlink"/>
          </w:rPr>
          <w:noBreakHyphen/>
        </w:r>
        <w:r w:rsidRPr="479AD369">
          <w:rPr>
            <w:rStyle w:val="Hyperlink"/>
          </w:rPr>
          <w:t>of</w:t>
        </w:r>
        <w:r w:rsidR="00563A2B">
          <w:rPr>
            <w:rStyle w:val="Hyperlink"/>
          </w:rPr>
          <w:noBreakHyphen/>
        </w:r>
        <w:r w:rsidRPr="479AD369">
          <w:rPr>
            <w:rStyle w:val="Hyperlink"/>
          </w:rPr>
          <w:t>the</w:t>
        </w:r>
        <w:r w:rsidR="00563A2B">
          <w:rPr>
            <w:rStyle w:val="Hyperlink"/>
          </w:rPr>
          <w:noBreakHyphen/>
        </w:r>
        <w:r w:rsidRPr="479AD369">
          <w:rPr>
            <w:rStyle w:val="Hyperlink"/>
          </w:rPr>
          <w:t>uk</w:t>
        </w:r>
        <w:r w:rsidR="00563A2B">
          <w:rPr>
            <w:rStyle w:val="Hyperlink"/>
          </w:rPr>
          <w:noBreakHyphen/>
        </w:r>
        <w:r w:rsidRPr="479AD369">
          <w:rPr>
            <w:rStyle w:val="Hyperlink"/>
          </w:rPr>
          <w:t>property</w:t>
        </w:r>
        <w:r w:rsidR="00563A2B">
          <w:rPr>
            <w:rStyle w:val="Hyperlink"/>
          </w:rPr>
          <w:noBreakHyphen/>
        </w:r>
        <w:r w:rsidRPr="479AD369">
          <w:rPr>
            <w:rStyle w:val="Hyperlink"/>
          </w:rPr>
          <w:t>market</w:t>
        </w:r>
        <w:r w:rsidR="00563A2B">
          <w:rPr>
            <w:rStyle w:val="Hyperlink"/>
          </w:rPr>
          <w:noBreakHyphen/>
        </w:r>
        <w:r w:rsidRPr="479AD369">
          <w:rPr>
            <w:rStyle w:val="Hyperlink"/>
          </w:rPr>
          <w:t>year</w:t>
        </w:r>
        <w:r w:rsidR="00563A2B">
          <w:rPr>
            <w:rStyle w:val="Hyperlink"/>
          </w:rPr>
          <w:noBreakHyphen/>
        </w:r>
        <w:r w:rsidRPr="479AD369">
          <w:rPr>
            <w:rStyle w:val="Hyperlink"/>
          </w:rPr>
          <w:t>end</w:t>
        </w:r>
        <w:r w:rsidR="00563A2B">
          <w:rPr>
            <w:rStyle w:val="Hyperlink"/>
          </w:rPr>
          <w:noBreakHyphen/>
        </w:r>
        <w:r w:rsidRPr="479AD369">
          <w:rPr>
            <w:rStyle w:val="Hyperlink"/>
          </w:rPr>
          <w:t>2020</w:t>
        </w:r>
        <w:r w:rsidR="00563A2B">
          <w:rPr>
            <w:rStyle w:val="Hyperlink"/>
          </w:rPr>
          <w:noBreakHyphen/>
        </w:r>
        <w:r w:rsidR="00563A2B">
          <w:rPr>
            <w:rStyle w:val="Hyperlink"/>
          </w:rPr>
          <w:noBreakHyphen/>
        </w:r>
        <w:r w:rsidRPr="479AD369">
          <w:rPr>
            <w:rStyle w:val="Hyperlink"/>
          </w:rPr>
          <w:t>january</w:t>
        </w:r>
        <w:r w:rsidR="00563A2B">
          <w:rPr>
            <w:rStyle w:val="Hyperlink"/>
          </w:rPr>
          <w:noBreakHyphen/>
        </w:r>
        <w:r w:rsidRPr="479AD369">
          <w:rPr>
            <w:rStyle w:val="Hyperlink"/>
          </w:rPr>
          <w:t>2022</w:t>
        </w:r>
        <w:r w:rsidR="00563A2B">
          <w:rPr>
            <w:rStyle w:val="Hyperlink"/>
          </w:rPr>
          <w:noBreakHyphen/>
        </w:r>
        <w:r w:rsidR="00563A2B">
          <w:rPr>
            <w:rStyle w:val="Hyperlink"/>
          </w:rPr>
          <w:noBreakHyphen/>
        </w:r>
        <w:r w:rsidRPr="479AD369">
          <w:rPr>
            <w:rStyle w:val="Hyperlink"/>
          </w:rPr>
          <w:t>report.html</w:t>
        </w:r>
      </w:hyperlink>
    </w:p>
    <w:p w14:paraId="4F5063C5" w14:textId="35794017" w:rsidR="00270BD7" w:rsidRDefault="00270BD7" w:rsidP="00693390">
      <w:r>
        <w:t>ISPT (2022)</w:t>
      </w:r>
      <w:r w:rsidR="009C635C">
        <w:t xml:space="preserve">, </w:t>
      </w:r>
      <w:r w:rsidR="006016CA" w:rsidRPr="479AD369">
        <w:rPr>
          <w:i/>
          <w:iCs/>
        </w:rPr>
        <w:t xml:space="preserve">Partnering for Success – FY2022 Annual Review, </w:t>
      </w:r>
      <w:hyperlink r:id="rId90">
        <w:r w:rsidR="006016CA" w:rsidRPr="479AD369">
          <w:rPr>
            <w:rStyle w:val="Hyperlink"/>
            <w:i/>
            <w:iCs/>
          </w:rPr>
          <w:t>http://ispt.net.au/pdf/2022_Annual_Review/docs/ISPT_2022_Annual_Review.pdf</w:t>
        </w:r>
      </w:hyperlink>
      <w:r w:rsidR="006016CA" w:rsidRPr="479AD369">
        <w:rPr>
          <w:i/>
          <w:iCs/>
        </w:rPr>
        <w:t xml:space="preserve"> </w:t>
      </w:r>
    </w:p>
    <w:p w14:paraId="587903A8" w14:textId="6D5CF56B" w:rsidR="00693390" w:rsidRPr="00693390" w:rsidRDefault="00693390" w:rsidP="00607BF4">
      <w:r>
        <w:t>JLL (Jones Lang LaSalle) (2023</w:t>
      </w:r>
      <w:r w:rsidR="008D0171">
        <w:t>a</w:t>
      </w:r>
      <w:r>
        <w:t xml:space="preserve">), </w:t>
      </w:r>
      <w:r w:rsidRPr="479AD369">
        <w:rPr>
          <w:i/>
          <w:iCs/>
        </w:rPr>
        <w:t>Australian Logistics &amp; Industrial Market Overview Q1 2023</w:t>
      </w:r>
      <w:r>
        <w:t xml:space="preserve">, </w:t>
      </w:r>
      <w:hyperlink r:id="rId91">
        <w:r w:rsidRPr="479AD369">
          <w:rPr>
            <w:rStyle w:val="Hyperlink"/>
          </w:rPr>
          <w:t>https://www.jll.com.au/en/trends</w:t>
        </w:r>
        <w:r w:rsidR="00563A2B">
          <w:rPr>
            <w:rStyle w:val="Hyperlink"/>
          </w:rPr>
          <w:noBreakHyphen/>
        </w:r>
        <w:r w:rsidRPr="479AD369">
          <w:rPr>
            <w:rStyle w:val="Hyperlink"/>
          </w:rPr>
          <w:t>and</w:t>
        </w:r>
        <w:r w:rsidR="00563A2B">
          <w:rPr>
            <w:rStyle w:val="Hyperlink"/>
          </w:rPr>
          <w:noBreakHyphen/>
        </w:r>
        <w:r w:rsidRPr="479AD369">
          <w:rPr>
            <w:rStyle w:val="Hyperlink"/>
          </w:rPr>
          <w:t>insights/research/australian</w:t>
        </w:r>
        <w:r w:rsidR="00563A2B">
          <w:rPr>
            <w:rStyle w:val="Hyperlink"/>
          </w:rPr>
          <w:noBreakHyphen/>
        </w:r>
        <w:r w:rsidRPr="479AD369">
          <w:rPr>
            <w:rStyle w:val="Hyperlink"/>
          </w:rPr>
          <w:t>industrial</w:t>
        </w:r>
        <w:r w:rsidR="00563A2B">
          <w:rPr>
            <w:rStyle w:val="Hyperlink"/>
          </w:rPr>
          <w:noBreakHyphen/>
        </w:r>
        <w:r w:rsidRPr="479AD369">
          <w:rPr>
            <w:rStyle w:val="Hyperlink"/>
          </w:rPr>
          <w:t>market</w:t>
        </w:r>
        <w:r w:rsidR="00563A2B">
          <w:rPr>
            <w:rStyle w:val="Hyperlink"/>
          </w:rPr>
          <w:noBreakHyphen/>
        </w:r>
        <w:r w:rsidRPr="479AD369">
          <w:rPr>
            <w:rStyle w:val="Hyperlink"/>
          </w:rPr>
          <w:t>overview</w:t>
        </w:r>
        <w:r w:rsidR="00563A2B">
          <w:rPr>
            <w:rStyle w:val="Hyperlink"/>
          </w:rPr>
          <w:noBreakHyphen/>
        </w:r>
        <w:r w:rsidRPr="479AD369">
          <w:rPr>
            <w:rStyle w:val="Hyperlink"/>
          </w:rPr>
          <w:t>q1</w:t>
        </w:r>
        <w:r w:rsidR="00563A2B">
          <w:rPr>
            <w:rStyle w:val="Hyperlink"/>
          </w:rPr>
          <w:noBreakHyphen/>
        </w:r>
        <w:r w:rsidRPr="479AD369">
          <w:rPr>
            <w:rStyle w:val="Hyperlink"/>
          </w:rPr>
          <w:t>2023</w:t>
        </w:r>
      </w:hyperlink>
      <w:r>
        <w:t xml:space="preserve"> </w:t>
      </w:r>
    </w:p>
    <w:p w14:paraId="2700D005" w14:textId="67E6A436" w:rsidR="00305E17" w:rsidRPr="00305E17" w:rsidRDefault="00305E17" w:rsidP="00607BF4">
      <w:r>
        <w:t>JLL (Jones Lang LaSalle) (2023</w:t>
      </w:r>
      <w:r w:rsidR="008D0171">
        <w:t>b</w:t>
      </w:r>
      <w:r>
        <w:t xml:space="preserve">), </w:t>
      </w:r>
      <w:r w:rsidRPr="479AD369">
        <w:rPr>
          <w:i/>
          <w:iCs/>
        </w:rPr>
        <w:t>Australian Retail Market Overview Q1 2023</w:t>
      </w:r>
      <w:r>
        <w:t xml:space="preserve">, </w:t>
      </w:r>
      <w:hyperlink r:id="rId92">
        <w:r w:rsidRPr="479AD369">
          <w:rPr>
            <w:rStyle w:val="Hyperlink"/>
          </w:rPr>
          <w:t>https://www.jll.com.au/en/trends</w:t>
        </w:r>
        <w:r w:rsidR="00563A2B">
          <w:rPr>
            <w:rStyle w:val="Hyperlink"/>
          </w:rPr>
          <w:noBreakHyphen/>
        </w:r>
        <w:r w:rsidRPr="479AD369">
          <w:rPr>
            <w:rStyle w:val="Hyperlink"/>
          </w:rPr>
          <w:t>and</w:t>
        </w:r>
        <w:r w:rsidR="00563A2B">
          <w:rPr>
            <w:rStyle w:val="Hyperlink"/>
          </w:rPr>
          <w:noBreakHyphen/>
        </w:r>
        <w:r w:rsidRPr="479AD369">
          <w:rPr>
            <w:rStyle w:val="Hyperlink"/>
          </w:rPr>
          <w:t>insights/research/australian</w:t>
        </w:r>
        <w:r w:rsidR="00563A2B">
          <w:rPr>
            <w:rStyle w:val="Hyperlink"/>
          </w:rPr>
          <w:noBreakHyphen/>
        </w:r>
        <w:r w:rsidRPr="479AD369">
          <w:rPr>
            <w:rStyle w:val="Hyperlink"/>
          </w:rPr>
          <w:t>retail</w:t>
        </w:r>
        <w:r w:rsidR="00563A2B">
          <w:rPr>
            <w:rStyle w:val="Hyperlink"/>
          </w:rPr>
          <w:noBreakHyphen/>
        </w:r>
        <w:r w:rsidRPr="479AD369">
          <w:rPr>
            <w:rStyle w:val="Hyperlink"/>
          </w:rPr>
          <w:t>market</w:t>
        </w:r>
        <w:r w:rsidR="00563A2B">
          <w:rPr>
            <w:rStyle w:val="Hyperlink"/>
          </w:rPr>
          <w:noBreakHyphen/>
        </w:r>
        <w:r w:rsidRPr="479AD369">
          <w:rPr>
            <w:rStyle w:val="Hyperlink"/>
          </w:rPr>
          <w:t>overview</w:t>
        </w:r>
        <w:r w:rsidR="00563A2B">
          <w:rPr>
            <w:rStyle w:val="Hyperlink"/>
          </w:rPr>
          <w:noBreakHyphen/>
        </w:r>
        <w:r w:rsidRPr="479AD369">
          <w:rPr>
            <w:rStyle w:val="Hyperlink"/>
          </w:rPr>
          <w:t>q1</w:t>
        </w:r>
        <w:r w:rsidR="00563A2B">
          <w:rPr>
            <w:rStyle w:val="Hyperlink"/>
          </w:rPr>
          <w:noBreakHyphen/>
        </w:r>
        <w:r w:rsidRPr="479AD369">
          <w:rPr>
            <w:rStyle w:val="Hyperlink"/>
          </w:rPr>
          <w:t>2023</w:t>
        </w:r>
      </w:hyperlink>
      <w:r>
        <w:t xml:space="preserve"> </w:t>
      </w:r>
    </w:p>
    <w:p w14:paraId="631914A3" w14:textId="1EC93143" w:rsidR="00693390" w:rsidRDefault="00E575BE" w:rsidP="009A4DA0">
      <w:r>
        <w:t>JLL (Jones Lang LaSalle) (2023</w:t>
      </w:r>
      <w:r w:rsidR="008D0171">
        <w:t>c</w:t>
      </w:r>
      <w:r>
        <w:t xml:space="preserve">), </w:t>
      </w:r>
      <w:r w:rsidRPr="479AD369">
        <w:rPr>
          <w:i/>
          <w:iCs/>
        </w:rPr>
        <w:t>Australian Office Market Overview Q1 2023</w:t>
      </w:r>
      <w:r>
        <w:t xml:space="preserve">, </w:t>
      </w:r>
      <w:hyperlink r:id="rId93">
        <w:r w:rsidRPr="479AD369">
          <w:rPr>
            <w:rStyle w:val="Hyperlink"/>
          </w:rPr>
          <w:t>https://www.jll.com.au/en/trends</w:t>
        </w:r>
        <w:r w:rsidR="00563A2B">
          <w:rPr>
            <w:rStyle w:val="Hyperlink"/>
          </w:rPr>
          <w:noBreakHyphen/>
        </w:r>
        <w:r w:rsidRPr="479AD369">
          <w:rPr>
            <w:rStyle w:val="Hyperlink"/>
          </w:rPr>
          <w:t>and</w:t>
        </w:r>
        <w:r w:rsidR="00563A2B">
          <w:rPr>
            <w:rStyle w:val="Hyperlink"/>
          </w:rPr>
          <w:noBreakHyphen/>
        </w:r>
        <w:r w:rsidRPr="479AD369">
          <w:rPr>
            <w:rStyle w:val="Hyperlink"/>
          </w:rPr>
          <w:t>insights/research/australian</w:t>
        </w:r>
        <w:r w:rsidR="00563A2B">
          <w:rPr>
            <w:rStyle w:val="Hyperlink"/>
          </w:rPr>
          <w:noBreakHyphen/>
        </w:r>
        <w:r w:rsidRPr="479AD369">
          <w:rPr>
            <w:rStyle w:val="Hyperlink"/>
          </w:rPr>
          <w:t>office</w:t>
        </w:r>
        <w:r w:rsidR="00563A2B">
          <w:rPr>
            <w:rStyle w:val="Hyperlink"/>
          </w:rPr>
          <w:noBreakHyphen/>
        </w:r>
        <w:r w:rsidRPr="479AD369">
          <w:rPr>
            <w:rStyle w:val="Hyperlink"/>
          </w:rPr>
          <w:t>market</w:t>
        </w:r>
        <w:r w:rsidR="00563A2B">
          <w:rPr>
            <w:rStyle w:val="Hyperlink"/>
          </w:rPr>
          <w:noBreakHyphen/>
        </w:r>
        <w:r w:rsidRPr="479AD369">
          <w:rPr>
            <w:rStyle w:val="Hyperlink"/>
          </w:rPr>
          <w:t>overview</w:t>
        </w:r>
        <w:r w:rsidR="00563A2B">
          <w:rPr>
            <w:rStyle w:val="Hyperlink"/>
          </w:rPr>
          <w:noBreakHyphen/>
        </w:r>
        <w:r w:rsidRPr="479AD369">
          <w:rPr>
            <w:rStyle w:val="Hyperlink"/>
          </w:rPr>
          <w:t>q1</w:t>
        </w:r>
        <w:r w:rsidR="00563A2B">
          <w:rPr>
            <w:rStyle w:val="Hyperlink"/>
          </w:rPr>
          <w:noBreakHyphen/>
        </w:r>
        <w:r w:rsidRPr="479AD369">
          <w:rPr>
            <w:rStyle w:val="Hyperlink"/>
          </w:rPr>
          <w:t>2023</w:t>
        </w:r>
      </w:hyperlink>
      <w:r>
        <w:t xml:space="preserve"> </w:t>
      </w:r>
    </w:p>
    <w:p w14:paraId="31A5B9F2" w14:textId="176ACF2B" w:rsidR="009A4DA0" w:rsidRPr="00693390" w:rsidRDefault="00983984" w:rsidP="009A4DA0">
      <w:pPr>
        <w:rPr>
          <w:rStyle w:val="Hyperlink"/>
        </w:rPr>
      </w:pPr>
      <w:r>
        <w:t>JL</w:t>
      </w:r>
      <w:r w:rsidR="009A4DA0">
        <w:t>L (Jones Lang LaSalle) (2023</w:t>
      </w:r>
      <w:r w:rsidR="008D0171">
        <w:t>d</w:t>
      </w:r>
      <w:r w:rsidR="009A4DA0">
        <w:t xml:space="preserve">), </w:t>
      </w:r>
      <w:r w:rsidR="009A4DA0" w:rsidRPr="00060CEA">
        <w:rPr>
          <w:i/>
          <w:iCs/>
        </w:rPr>
        <w:t>Australia</w:t>
      </w:r>
      <w:r w:rsidR="00563A2B">
        <w:rPr>
          <w:i/>
          <w:iCs/>
        </w:rPr>
        <w:t>’</w:t>
      </w:r>
      <w:r w:rsidR="009A4DA0" w:rsidRPr="00060CEA">
        <w:rPr>
          <w:i/>
          <w:iCs/>
        </w:rPr>
        <w:t>s build</w:t>
      </w:r>
      <w:r w:rsidR="00563A2B">
        <w:rPr>
          <w:i/>
          <w:iCs/>
        </w:rPr>
        <w:noBreakHyphen/>
      </w:r>
      <w:r w:rsidR="009A4DA0" w:rsidRPr="00060CEA">
        <w:rPr>
          <w:i/>
          <w:iCs/>
        </w:rPr>
        <w:t>to</w:t>
      </w:r>
      <w:r w:rsidR="00563A2B">
        <w:rPr>
          <w:i/>
          <w:iCs/>
        </w:rPr>
        <w:noBreakHyphen/>
      </w:r>
      <w:r w:rsidR="009A4DA0" w:rsidRPr="00060CEA">
        <w:rPr>
          <w:i/>
          <w:iCs/>
        </w:rPr>
        <w:t>rent sector: 2022 in review and outlook for 2023</w:t>
      </w:r>
      <w:r w:rsidR="009A4DA0">
        <w:t>,</w:t>
      </w:r>
      <w:r w:rsidR="009A4DA0" w:rsidRPr="005E00AE">
        <w:t xml:space="preserve"> </w:t>
      </w:r>
      <w:hyperlink r:id="rId94" w:history="1">
        <w:r w:rsidR="009A4DA0">
          <w:rPr>
            <w:rStyle w:val="Hyperlink"/>
          </w:rPr>
          <w:t>jll</w:t>
        </w:r>
        <w:r w:rsidR="00563A2B">
          <w:rPr>
            <w:rStyle w:val="Hyperlink"/>
          </w:rPr>
          <w:noBreakHyphen/>
        </w:r>
        <w:r w:rsidR="009A4DA0">
          <w:rPr>
            <w:rStyle w:val="Hyperlink"/>
          </w:rPr>
          <w:t>research</w:t>
        </w:r>
        <w:r w:rsidR="00563A2B">
          <w:rPr>
            <w:rStyle w:val="Hyperlink"/>
          </w:rPr>
          <w:noBreakHyphen/>
        </w:r>
        <w:r w:rsidR="009A4DA0">
          <w:rPr>
            <w:rStyle w:val="Hyperlink"/>
          </w:rPr>
          <w:t>australias</w:t>
        </w:r>
        <w:r w:rsidR="00563A2B">
          <w:rPr>
            <w:rStyle w:val="Hyperlink"/>
          </w:rPr>
          <w:noBreakHyphen/>
        </w:r>
        <w:r w:rsidR="009A4DA0">
          <w:rPr>
            <w:rStyle w:val="Hyperlink"/>
          </w:rPr>
          <w:t>build</w:t>
        </w:r>
        <w:r w:rsidR="00563A2B">
          <w:rPr>
            <w:rStyle w:val="Hyperlink"/>
          </w:rPr>
          <w:noBreakHyphen/>
        </w:r>
        <w:r w:rsidR="009A4DA0">
          <w:rPr>
            <w:rStyle w:val="Hyperlink"/>
          </w:rPr>
          <w:t>to</w:t>
        </w:r>
        <w:r w:rsidR="00563A2B">
          <w:rPr>
            <w:rStyle w:val="Hyperlink"/>
          </w:rPr>
          <w:noBreakHyphen/>
        </w:r>
        <w:r w:rsidR="009A4DA0">
          <w:rPr>
            <w:rStyle w:val="Hyperlink"/>
          </w:rPr>
          <w:t>rent</w:t>
        </w:r>
        <w:r w:rsidR="00563A2B">
          <w:rPr>
            <w:rStyle w:val="Hyperlink"/>
          </w:rPr>
          <w:noBreakHyphen/>
        </w:r>
        <w:r w:rsidR="009A4DA0">
          <w:rPr>
            <w:rStyle w:val="Hyperlink"/>
          </w:rPr>
          <w:t>sector</w:t>
        </w:r>
        <w:r w:rsidR="00563A2B">
          <w:rPr>
            <w:rStyle w:val="Hyperlink"/>
          </w:rPr>
          <w:noBreakHyphen/>
        </w:r>
        <w:r w:rsidR="009A4DA0">
          <w:rPr>
            <w:rStyle w:val="Hyperlink"/>
          </w:rPr>
          <w:t>review</w:t>
        </w:r>
        <w:r w:rsidR="00563A2B">
          <w:rPr>
            <w:rStyle w:val="Hyperlink"/>
          </w:rPr>
          <w:noBreakHyphen/>
        </w:r>
        <w:r w:rsidR="009A4DA0">
          <w:rPr>
            <w:rStyle w:val="Hyperlink"/>
          </w:rPr>
          <w:t>outlook</w:t>
        </w:r>
        <w:r w:rsidR="00563A2B">
          <w:rPr>
            <w:rStyle w:val="Hyperlink"/>
          </w:rPr>
          <w:noBreakHyphen/>
        </w:r>
        <w:r w:rsidR="009A4DA0">
          <w:rPr>
            <w:rStyle w:val="Hyperlink"/>
          </w:rPr>
          <w:t>2023</w:t>
        </w:r>
        <w:r w:rsidR="00563A2B">
          <w:rPr>
            <w:rStyle w:val="Hyperlink"/>
          </w:rPr>
          <w:noBreakHyphen/>
        </w:r>
        <w:r w:rsidR="009A4DA0">
          <w:rPr>
            <w:rStyle w:val="Hyperlink"/>
          </w:rPr>
          <w:t>final.pdf</w:t>
        </w:r>
      </w:hyperlink>
    </w:p>
    <w:p w14:paraId="3DDB4E2F" w14:textId="20D16E60" w:rsidR="009A4DA0" w:rsidRPr="00394CEB" w:rsidRDefault="009A4DA0" w:rsidP="009A4DA0">
      <w:pPr>
        <w:rPr>
          <w:color w:val="auto"/>
        </w:rPr>
      </w:pPr>
      <w:r>
        <w:rPr>
          <w:rStyle w:val="Hyperlink"/>
          <w:color w:val="auto"/>
        </w:rPr>
        <w:t>JLL (</w:t>
      </w:r>
      <w:r w:rsidRPr="001477FF">
        <w:rPr>
          <w:rStyle w:val="Hyperlink"/>
          <w:color w:val="auto"/>
        </w:rPr>
        <w:t>Jones Lang LaSalle</w:t>
      </w:r>
      <w:r>
        <w:rPr>
          <w:rStyle w:val="Hyperlink"/>
          <w:color w:val="auto"/>
        </w:rPr>
        <w:t>)</w:t>
      </w:r>
      <w:r w:rsidRPr="001477FF">
        <w:rPr>
          <w:rStyle w:val="Hyperlink"/>
          <w:color w:val="auto"/>
        </w:rPr>
        <w:t xml:space="preserve"> (2022), </w:t>
      </w:r>
      <w:r w:rsidRPr="00EF3565">
        <w:rPr>
          <w:rStyle w:val="Hyperlink"/>
          <w:i/>
          <w:iCs/>
          <w:color w:val="auto"/>
        </w:rPr>
        <w:t xml:space="preserve">Alternative </w:t>
      </w:r>
      <w:r>
        <w:rPr>
          <w:rStyle w:val="Hyperlink"/>
          <w:i/>
          <w:iCs/>
          <w:color w:val="auto"/>
        </w:rPr>
        <w:t>i</w:t>
      </w:r>
      <w:r w:rsidRPr="00EF3565">
        <w:rPr>
          <w:rStyle w:val="Hyperlink"/>
          <w:i/>
          <w:iCs/>
          <w:color w:val="auto"/>
        </w:rPr>
        <w:t>nvestments outlook 2023</w:t>
      </w:r>
      <w:r w:rsidRPr="001477FF">
        <w:rPr>
          <w:rStyle w:val="Hyperlink"/>
          <w:color w:val="auto"/>
        </w:rPr>
        <w:t>,</w:t>
      </w:r>
      <w:r w:rsidRPr="002854EC">
        <w:rPr>
          <w:rStyle w:val="Hyperlink"/>
          <w:color w:val="0070C0"/>
        </w:rPr>
        <w:t xml:space="preserve"> </w:t>
      </w:r>
      <w:hyperlink r:id="rId95" w:history="1">
        <w:r w:rsidRPr="00022B0C">
          <w:rPr>
            <w:rStyle w:val="Hyperlink"/>
          </w:rPr>
          <w:t>https://www.jll.com.au/content/dam/jll</w:t>
        </w:r>
        <w:r w:rsidR="00563A2B">
          <w:rPr>
            <w:rStyle w:val="Hyperlink"/>
          </w:rPr>
          <w:noBreakHyphen/>
        </w:r>
        <w:r w:rsidRPr="00022B0C">
          <w:rPr>
            <w:rStyle w:val="Hyperlink"/>
          </w:rPr>
          <w:t>com/documents/pdf/research/apac/australia/</w:t>
        </w:r>
        <w:r w:rsidRPr="00514183">
          <w:rPr>
            <w:rStyle w:val="Hyperlink"/>
          </w:rPr>
          <w:t>jll</w:t>
        </w:r>
        <w:r w:rsidR="00563A2B">
          <w:rPr>
            <w:rStyle w:val="Hyperlink"/>
          </w:rPr>
          <w:noBreakHyphen/>
        </w:r>
        <w:r w:rsidRPr="00514183">
          <w:rPr>
            <w:rStyle w:val="Hyperlink"/>
          </w:rPr>
          <w:t>alternative</w:t>
        </w:r>
        <w:r w:rsidR="00563A2B">
          <w:rPr>
            <w:rStyle w:val="Hyperlink"/>
          </w:rPr>
          <w:noBreakHyphen/>
        </w:r>
        <w:r w:rsidRPr="00514183">
          <w:rPr>
            <w:rStyle w:val="Hyperlink"/>
          </w:rPr>
          <w:t>investment</w:t>
        </w:r>
        <w:r w:rsidR="00563A2B">
          <w:rPr>
            <w:rStyle w:val="Hyperlink"/>
          </w:rPr>
          <w:noBreakHyphen/>
        </w:r>
        <w:r w:rsidRPr="00514183">
          <w:rPr>
            <w:rStyle w:val="Hyperlink"/>
          </w:rPr>
          <w:t>review</w:t>
        </w:r>
        <w:r w:rsidR="00563A2B">
          <w:rPr>
            <w:rStyle w:val="Hyperlink"/>
          </w:rPr>
          <w:noBreakHyphen/>
        </w:r>
        <w:r w:rsidRPr="00514183">
          <w:rPr>
            <w:rStyle w:val="Hyperlink"/>
          </w:rPr>
          <w:t>v4.pdf</w:t>
        </w:r>
      </w:hyperlink>
      <w:r w:rsidR="00563A2B">
        <w:rPr>
          <w:rStyle w:val="Hyperlink"/>
          <w:color w:val="0070C0"/>
        </w:rPr>
        <w:t xml:space="preserve"> </w:t>
      </w:r>
    </w:p>
    <w:p w14:paraId="21532FAD" w14:textId="2A1476BB" w:rsidR="009A4DA0" w:rsidRPr="00514183" w:rsidRDefault="009A4DA0" w:rsidP="009A4DA0">
      <w:pPr>
        <w:spacing w:before="0" w:after="160" w:line="259" w:lineRule="auto"/>
        <w:rPr>
          <w:rStyle w:val="Hyperlink"/>
        </w:rPr>
      </w:pPr>
      <w:r>
        <w:rPr>
          <w:color w:val="auto"/>
        </w:rPr>
        <w:t xml:space="preserve">Kobayashi M (2016), </w:t>
      </w:r>
      <w:r w:rsidRPr="003D25BF">
        <w:rPr>
          <w:i/>
          <w:iCs/>
        </w:rPr>
        <w:t>The Housing Market and Housing Policies in Japan</w:t>
      </w:r>
      <w:r>
        <w:rPr>
          <w:color w:val="auto"/>
        </w:rPr>
        <w:t xml:space="preserve">, Asian Development Bank Institute, 588, </w:t>
      </w:r>
      <w:hyperlink r:id="rId96" w:history="1">
        <w:r w:rsidRPr="00B237B7">
          <w:rPr>
            <w:rStyle w:val="Hyperlink"/>
          </w:rPr>
          <w:t>https://www.adb.org/sites/default/files/publication/181404/adbi</w:t>
        </w:r>
        <w:r w:rsidR="00563A2B">
          <w:rPr>
            <w:rStyle w:val="Hyperlink"/>
          </w:rPr>
          <w:noBreakHyphen/>
        </w:r>
        <w:r w:rsidRPr="00B237B7">
          <w:rPr>
            <w:rStyle w:val="Hyperlink"/>
          </w:rPr>
          <w:t>wp558.pdf</w:t>
        </w:r>
      </w:hyperlink>
      <w:r>
        <w:rPr>
          <w:color w:val="auto"/>
        </w:rPr>
        <w:t xml:space="preserve"> </w:t>
      </w:r>
    </w:p>
    <w:p w14:paraId="5C008500" w14:textId="1476B552" w:rsidR="009A4DA0" w:rsidRDefault="009A4DA0" w:rsidP="00607BF4">
      <w:r>
        <w:t xml:space="preserve">Lawson J. (2013) The use of guarantees in affordable housing investment—a selective international review, AHURI Positioning Paper 156, </w:t>
      </w:r>
      <w:r w:rsidRPr="479AD369">
        <w:rPr>
          <w:rFonts w:eastAsia="Arial Unicode MS" w:cstheme="minorBidi"/>
        </w:rPr>
        <w:t>AHURI, Melbourne</w:t>
      </w:r>
      <w:r>
        <w:t>,</w:t>
      </w:r>
      <w:r w:rsidRPr="00C1452E">
        <w:t xml:space="preserve"> </w:t>
      </w:r>
      <w:hyperlink r:id="rId97">
        <w:r w:rsidRPr="479AD369">
          <w:rPr>
            <w:rStyle w:val="Hyperlink"/>
          </w:rPr>
          <w:t>https://www.ahuri.edu.au/sites/default/files/migration/documents/AHURI_Positioning_Paper_No156_The</w:t>
        </w:r>
        <w:r w:rsidR="00563A2B">
          <w:rPr>
            <w:rStyle w:val="Hyperlink"/>
          </w:rPr>
          <w:noBreakHyphen/>
        </w:r>
        <w:r w:rsidRPr="479AD369">
          <w:rPr>
            <w:rStyle w:val="Hyperlink"/>
          </w:rPr>
          <w:t>use</w:t>
        </w:r>
        <w:r w:rsidR="00563A2B">
          <w:rPr>
            <w:rStyle w:val="Hyperlink"/>
          </w:rPr>
          <w:noBreakHyphen/>
        </w:r>
        <w:r w:rsidRPr="479AD369">
          <w:rPr>
            <w:rStyle w:val="Hyperlink"/>
          </w:rPr>
          <w:t>of</w:t>
        </w:r>
        <w:r w:rsidR="00563A2B">
          <w:rPr>
            <w:rStyle w:val="Hyperlink"/>
          </w:rPr>
          <w:noBreakHyphen/>
        </w:r>
        <w:r w:rsidRPr="479AD369">
          <w:rPr>
            <w:rStyle w:val="Hyperlink"/>
          </w:rPr>
          <w:t>guarantees</w:t>
        </w:r>
        <w:r w:rsidR="00563A2B">
          <w:rPr>
            <w:rStyle w:val="Hyperlink"/>
          </w:rPr>
          <w:noBreakHyphen/>
        </w:r>
        <w:r w:rsidRPr="479AD369">
          <w:rPr>
            <w:rStyle w:val="Hyperlink"/>
          </w:rPr>
          <w:t>in</w:t>
        </w:r>
        <w:r w:rsidR="00563A2B">
          <w:rPr>
            <w:rStyle w:val="Hyperlink"/>
          </w:rPr>
          <w:noBreakHyphen/>
        </w:r>
        <w:r w:rsidRPr="479AD369">
          <w:rPr>
            <w:rStyle w:val="Hyperlink"/>
          </w:rPr>
          <w:t>affordable</w:t>
        </w:r>
        <w:r w:rsidR="00563A2B">
          <w:rPr>
            <w:rStyle w:val="Hyperlink"/>
          </w:rPr>
          <w:noBreakHyphen/>
        </w:r>
        <w:r w:rsidRPr="479AD369">
          <w:rPr>
            <w:rStyle w:val="Hyperlink"/>
          </w:rPr>
          <w:t>housing</w:t>
        </w:r>
        <w:r w:rsidR="00563A2B">
          <w:rPr>
            <w:rStyle w:val="Hyperlink"/>
          </w:rPr>
          <w:noBreakHyphen/>
        </w:r>
        <w:r w:rsidRPr="479AD369">
          <w:rPr>
            <w:rStyle w:val="Hyperlink"/>
          </w:rPr>
          <w:t>investment</w:t>
        </w:r>
        <w:r w:rsidR="00563A2B">
          <w:rPr>
            <w:rStyle w:val="Hyperlink"/>
          </w:rPr>
          <w:noBreakHyphen/>
        </w:r>
        <w:r w:rsidRPr="479AD369">
          <w:rPr>
            <w:rStyle w:val="Hyperlink"/>
          </w:rPr>
          <w:t>a</w:t>
        </w:r>
        <w:r w:rsidR="00563A2B">
          <w:rPr>
            <w:rStyle w:val="Hyperlink"/>
          </w:rPr>
          <w:noBreakHyphen/>
        </w:r>
        <w:r w:rsidRPr="479AD369">
          <w:rPr>
            <w:rStyle w:val="Hyperlink"/>
          </w:rPr>
          <w:t>selective</w:t>
        </w:r>
        <w:r w:rsidR="00563A2B">
          <w:rPr>
            <w:rStyle w:val="Hyperlink"/>
          </w:rPr>
          <w:noBreakHyphen/>
        </w:r>
        <w:r w:rsidRPr="479AD369">
          <w:rPr>
            <w:rStyle w:val="Hyperlink"/>
          </w:rPr>
          <w:t>international</w:t>
        </w:r>
        <w:r w:rsidR="00563A2B">
          <w:rPr>
            <w:rStyle w:val="Hyperlink"/>
          </w:rPr>
          <w:noBreakHyphen/>
        </w:r>
        <w:r w:rsidRPr="479AD369">
          <w:rPr>
            <w:rStyle w:val="Hyperlink"/>
          </w:rPr>
          <w:t>review.pdf</w:t>
        </w:r>
      </w:hyperlink>
      <w:r>
        <w:t xml:space="preserve"> </w:t>
      </w:r>
    </w:p>
    <w:p w14:paraId="484F4D75" w14:textId="6C092048" w:rsidR="00830FBD" w:rsidRPr="00830FBD" w:rsidRDefault="00830FBD" w:rsidP="007E3CC6">
      <w:pPr>
        <w:keepLines/>
        <w:rPr>
          <w:rFonts w:eastAsia="Arial Unicode MS" w:cstheme="minorBidi"/>
        </w:rPr>
      </w:pPr>
      <w:r w:rsidRPr="479AD369">
        <w:rPr>
          <w:rFonts w:eastAsia="Arial Unicode MS" w:cstheme="minorBidi"/>
        </w:rPr>
        <w:t xml:space="preserve">Lawson J, Denham, T, Dodson J, Flanagan K, Jacobs K, Martin C, </w:t>
      </w:r>
      <w:proofErr w:type="spellStart"/>
      <w:r w:rsidRPr="479AD369">
        <w:rPr>
          <w:rFonts w:eastAsia="Arial Unicode MS" w:cstheme="minorBidi"/>
        </w:rPr>
        <w:t>Nouwelant</w:t>
      </w:r>
      <w:proofErr w:type="spellEnd"/>
      <w:r w:rsidRPr="479AD369">
        <w:rPr>
          <w:rFonts w:eastAsia="Arial Unicode MS" w:cstheme="minorBidi"/>
        </w:rPr>
        <w:t>, R, Pawson H, and Troy L. (2019) </w:t>
      </w:r>
      <w:r w:rsidRPr="479AD369">
        <w:rPr>
          <w:rFonts w:eastAsia="Arial Unicode MS" w:cstheme="minorBidi"/>
          <w:i/>
        </w:rPr>
        <w:t>Social housing as infrastructure: rationale, prioritisation and investment pathway</w:t>
      </w:r>
      <w:r w:rsidRPr="479AD369">
        <w:rPr>
          <w:rFonts w:eastAsia="Arial Unicode MS" w:cstheme="minorBidi"/>
        </w:rPr>
        <w:t xml:space="preserve">, AHURI Final Report No. 315, Australian Housing and Urban Research Institute Limited, Melbourne, </w:t>
      </w:r>
      <w:hyperlink r:id="rId98">
        <w:r w:rsidRPr="479AD369">
          <w:rPr>
            <w:rStyle w:val="Hyperlink"/>
            <w:rFonts w:eastAsia="Arial Unicode MS" w:cstheme="minorBidi"/>
          </w:rPr>
          <w:t>https://www.ahuri.edu.au/research/final</w:t>
        </w:r>
        <w:r w:rsidR="00563A2B">
          <w:rPr>
            <w:rStyle w:val="Hyperlink"/>
            <w:rFonts w:eastAsia="Arial Unicode MS" w:cstheme="minorBidi"/>
          </w:rPr>
          <w:noBreakHyphen/>
        </w:r>
        <w:r w:rsidRPr="479AD369">
          <w:rPr>
            <w:rStyle w:val="Hyperlink"/>
            <w:rFonts w:eastAsia="Arial Unicode MS" w:cstheme="minorBidi"/>
          </w:rPr>
          <w:t>reports/315</w:t>
        </w:r>
      </w:hyperlink>
      <w:r w:rsidRPr="479AD369">
        <w:rPr>
          <w:rFonts w:eastAsia="Arial Unicode MS" w:cstheme="minorBidi"/>
        </w:rPr>
        <w:t xml:space="preserve"> </w:t>
      </w:r>
    </w:p>
    <w:p w14:paraId="1AFB33C2" w14:textId="48946C54" w:rsidR="009A4DA0" w:rsidRPr="00BD1036" w:rsidRDefault="009A4DA0" w:rsidP="009A4DA0">
      <w:pPr>
        <w:rPr>
          <w:color w:val="auto"/>
        </w:rPr>
      </w:pPr>
      <w:r w:rsidRPr="00DB4824">
        <w:rPr>
          <w:rFonts w:eastAsia="Arial Unicode MS" w:cstheme="minorHAnsi"/>
          <w:szCs w:val="22"/>
        </w:rPr>
        <w:lastRenderedPageBreak/>
        <w:t xml:space="preserve">Lawson J, Pawson H, Troy L, van den </w:t>
      </w:r>
      <w:proofErr w:type="spellStart"/>
      <w:r w:rsidRPr="00DB4824">
        <w:rPr>
          <w:rFonts w:eastAsia="Arial Unicode MS" w:cstheme="minorHAnsi"/>
          <w:szCs w:val="22"/>
        </w:rPr>
        <w:t>Nouwelant</w:t>
      </w:r>
      <w:proofErr w:type="spellEnd"/>
      <w:r w:rsidRPr="00DB4824">
        <w:rPr>
          <w:rFonts w:eastAsia="Arial Unicode MS" w:cstheme="minorHAnsi"/>
          <w:szCs w:val="22"/>
        </w:rPr>
        <w:t xml:space="preserve"> R and Hamilton C. (2018) </w:t>
      </w:r>
      <w:r w:rsidRPr="00DB4824">
        <w:rPr>
          <w:rFonts w:eastAsia="Arial Unicode MS" w:cstheme="minorHAnsi"/>
          <w:i/>
          <w:iCs/>
          <w:szCs w:val="22"/>
        </w:rPr>
        <w:t>Social housing as infrastructure: an investment pathway</w:t>
      </w:r>
      <w:r w:rsidRPr="00DB4824">
        <w:rPr>
          <w:rFonts w:eastAsia="Arial Unicode MS" w:cstheme="minorHAnsi"/>
          <w:szCs w:val="22"/>
        </w:rPr>
        <w:t xml:space="preserve">, AHURI Final Report 306, AHURI, Melbourne, </w:t>
      </w:r>
      <w:hyperlink r:id="rId99" w:history="1">
        <w:r w:rsidRPr="00DB4824">
          <w:rPr>
            <w:rStyle w:val="Hyperlink"/>
            <w:rFonts w:eastAsia="Arial Unicode MS" w:cstheme="minorHAnsi"/>
            <w:szCs w:val="22"/>
          </w:rPr>
          <w:t>https://www.ahuri.edu.au/sites/default/files/migration/documents/AHURI</w:t>
        </w:r>
        <w:r w:rsidR="00563A2B">
          <w:rPr>
            <w:rStyle w:val="Hyperlink"/>
            <w:rFonts w:eastAsia="Arial Unicode MS" w:cstheme="minorHAnsi"/>
            <w:szCs w:val="22"/>
          </w:rPr>
          <w:noBreakHyphen/>
        </w:r>
        <w:r w:rsidRPr="00DB4824">
          <w:rPr>
            <w:rStyle w:val="Hyperlink"/>
            <w:rFonts w:eastAsia="Arial Unicode MS" w:cstheme="minorHAnsi"/>
            <w:szCs w:val="22"/>
          </w:rPr>
          <w:t>Final</w:t>
        </w:r>
        <w:r w:rsidR="00563A2B">
          <w:rPr>
            <w:rStyle w:val="Hyperlink"/>
            <w:rFonts w:eastAsia="Arial Unicode MS" w:cstheme="minorHAnsi"/>
            <w:szCs w:val="22"/>
          </w:rPr>
          <w:noBreakHyphen/>
        </w:r>
        <w:r w:rsidRPr="00DB4824">
          <w:rPr>
            <w:rStyle w:val="Hyperlink"/>
            <w:rFonts w:eastAsia="Arial Unicode MS" w:cstheme="minorHAnsi"/>
            <w:szCs w:val="22"/>
          </w:rPr>
          <w:t>Report</w:t>
        </w:r>
        <w:r w:rsidR="00563A2B">
          <w:rPr>
            <w:rStyle w:val="Hyperlink"/>
            <w:rFonts w:eastAsia="Arial Unicode MS" w:cstheme="minorHAnsi"/>
            <w:szCs w:val="22"/>
          </w:rPr>
          <w:noBreakHyphen/>
        </w:r>
        <w:r w:rsidRPr="00DB4824">
          <w:rPr>
            <w:rStyle w:val="Hyperlink"/>
            <w:rFonts w:eastAsia="Arial Unicode MS" w:cstheme="minorHAnsi"/>
            <w:szCs w:val="22"/>
          </w:rPr>
          <w:t>306</w:t>
        </w:r>
        <w:r w:rsidR="00563A2B">
          <w:rPr>
            <w:rStyle w:val="Hyperlink"/>
            <w:rFonts w:eastAsia="Arial Unicode MS" w:cstheme="minorHAnsi"/>
            <w:szCs w:val="22"/>
          </w:rPr>
          <w:noBreakHyphen/>
        </w:r>
        <w:r w:rsidRPr="00DB4824">
          <w:rPr>
            <w:rStyle w:val="Hyperlink"/>
            <w:rFonts w:eastAsia="Arial Unicode MS" w:cstheme="minorHAnsi"/>
            <w:szCs w:val="22"/>
          </w:rPr>
          <w:t>Social</w:t>
        </w:r>
        <w:r w:rsidR="00563A2B">
          <w:rPr>
            <w:rStyle w:val="Hyperlink"/>
            <w:rFonts w:eastAsia="Arial Unicode MS" w:cstheme="minorHAnsi"/>
            <w:szCs w:val="22"/>
          </w:rPr>
          <w:noBreakHyphen/>
        </w:r>
        <w:r w:rsidRPr="00DB4824">
          <w:rPr>
            <w:rStyle w:val="Hyperlink"/>
            <w:rFonts w:eastAsia="Arial Unicode MS" w:cstheme="minorHAnsi"/>
            <w:szCs w:val="22"/>
          </w:rPr>
          <w:t>housing</w:t>
        </w:r>
        <w:r w:rsidR="00563A2B">
          <w:rPr>
            <w:rStyle w:val="Hyperlink"/>
            <w:rFonts w:eastAsia="Arial Unicode MS" w:cstheme="minorHAnsi"/>
            <w:szCs w:val="22"/>
          </w:rPr>
          <w:noBreakHyphen/>
        </w:r>
        <w:r w:rsidRPr="00DB4824">
          <w:rPr>
            <w:rStyle w:val="Hyperlink"/>
            <w:rFonts w:eastAsia="Arial Unicode MS" w:cstheme="minorHAnsi"/>
            <w:szCs w:val="22"/>
          </w:rPr>
          <w:t>as</w:t>
        </w:r>
        <w:r w:rsidR="00563A2B">
          <w:rPr>
            <w:rStyle w:val="Hyperlink"/>
            <w:rFonts w:eastAsia="Arial Unicode MS" w:cstheme="minorHAnsi"/>
            <w:szCs w:val="22"/>
          </w:rPr>
          <w:noBreakHyphen/>
        </w:r>
        <w:r w:rsidRPr="00DB4824">
          <w:rPr>
            <w:rStyle w:val="Hyperlink"/>
            <w:rFonts w:eastAsia="Arial Unicode MS" w:cstheme="minorHAnsi"/>
            <w:szCs w:val="22"/>
          </w:rPr>
          <w:t>infrastructure</w:t>
        </w:r>
        <w:r w:rsidR="00563A2B">
          <w:rPr>
            <w:rStyle w:val="Hyperlink"/>
            <w:rFonts w:eastAsia="Arial Unicode MS" w:cstheme="minorHAnsi"/>
            <w:szCs w:val="22"/>
          </w:rPr>
          <w:noBreakHyphen/>
        </w:r>
        <w:r w:rsidRPr="00DB4824">
          <w:rPr>
            <w:rStyle w:val="Hyperlink"/>
            <w:rFonts w:eastAsia="Arial Unicode MS" w:cstheme="minorHAnsi"/>
            <w:szCs w:val="22"/>
          </w:rPr>
          <w:t>an</w:t>
        </w:r>
        <w:r w:rsidR="00563A2B">
          <w:rPr>
            <w:rStyle w:val="Hyperlink"/>
            <w:rFonts w:eastAsia="Arial Unicode MS" w:cstheme="minorHAnsi"/>
            <w:szCs w:val="22"/>
          </w:rPr>
          <w:noBreakHyphen/>
        </w:r>
        <w:r w:rsidRPr="00DB4824">
          <w:rPr>
            <w:rStyle w:val="Hyperlink"/>
            <w:rFonts w:eastAsia="Arial Unicode MS" w:cstheme="minorHAnsi"/>
            <w:szCs w:val="22"/>
          </w:rPr>
          <w:t>investment</w:t>
        </w:r>
        <w:r w:rsidR="00563A2B">
          <w:rPr>
            <w:rStyle w:val="Hyperlink"/>
            <w:rFonts w:eastAsia="Arial Unicode MS" w:cstheme="minorHAnsi"/>
            <w:szCs w:val="22"/>
          </w:rPr>
          <w:noBreakHyphen/>
        </w:r>
        <w:r w:rsidRPr="00DB4824">
          <w:rPr>
            <w:rStyle w:val="Hyperlink"/>
            <w:rFonts w:eastAsia="Arial Unicode MS" w:cstheme="minorHAnsi"/>
            <w:szCs w:val="22"/>
          </w:rPr>
          <w:t>pathway.pdf</w:t>
        </w:r>
      </w:hyperlink>
      <w:r w:rsidRPr="00DB4824">
        <w:rPr>
          <w:rFonts w:eastAsia="Arial Unicode MS" w:cstheme="minorHAnsi"/>
          <w:szCs w:val="22"/>
        </w:rPr>
        <w:t xml:space="preserve"> </w:t>
      </w:r>
    </w:p>
    <w:p w14:paraId="31FD5C64" w14:textId="280588B6" w:rsidR="009A4DA0" w:rsidRPr="008B5DD7" w:rsidRDefault="009A4DA0" w:rsidP="009A4DA0">
      <w:pPr>
        <w:rPr>
          <w:rFonts w:eastAsia="Wingdings" w:cs="Wingdings"/>
        </w:rPr>
      </w:pPr>
      <w:r w:rsidRPr="00FA7C4B">
        <w:rPr>
          <w:rFonts w:eastAsia="Wingdings" w:cs="Wingdings"/>
        </w:rPr>
        <w:t xml:space="preserve">Longview – PEXA (2023a), </w:t>
      </w:r>
      <w:r w:rsidRPr="00FA7C4B">
        <w:rPr>
          <w:rFonts w:eastAsia="Wingdings" w:cs="Wingdings"/>
          <w:i/>
          <w:iCs/>
        </w:rPr>
        <w:t xml:space="preserve">Mobilising private capital for new housing solutions, </w:t>
      </w:r>
      <w:hyperlink r:id="rId100" w:history="1">
        <w:r w:rsidRPr="00DB4824">
          <w:rPr>
            <w:rStyle w:val="Hyperlink"/>
            <w:rFonts w:eastAsia="Wingdings" w:cstheme="minorHAnsi"/>
            <w:szCs w:val="22"/>
          </w:rPr>
          <w:t>https://www.pexa.com.au/staticly</w:t>
        </w:r>
        <w:r w:rsidR="00563A2B">
          <w:rPr>
            <w:rStyle w:val="Hyperlink"/>
            <w:rFonts w:eastAsia="Wingdings" w:cstheme="minorHAnsi"/>
            <w:szCs w:val="22"/>
          </w:rPr>
          <w:noBreakHyphen/>
        </w:r>
        <w:r w:rsidRPr="00DB4824">
          <w:rPr>
            <w:rStyle w:val="Hyperlink"/>
            <w:rFonts w:eastAsia="Wingdings" w:cstheme="minorHAnsi"/>
            <w:szCs w:val="22"/>
          </w:rPr>
          <w:t>media/2023/05/</w:t>
        </w:r>
        <w:r w:rsidRPr="00514183">
          <w:rPr>
            <w:rStyle w:val="Hyperlink"/>
          </w:rPr>
          <w:t>LongView</w:t>
        </w:r>
        <w:r w:rsidR="00563A2B">
          <w:rPr>
            <w:rStyle w:val="Hyperlink"/>
          </w:rPr>
          <w:noBreakHyphen/>
        </w:r>
        <w:r w:rsidRPr="00514183">
          <w:rPr>
            <w:rStyle w:val="Hyperlink"/>
          </w:rPr>
          <w:t>PEXA</w:t>
        </w:r>
        <w:r w:rsidR="00563A2B">
          <w:rPr>
            <w:rStyle w:val="Hyperlink"/>
          </w:rPr>
          <w:noBreakHyphen/>
        </w:r>
        <w:r w:rsidRPr="00514183">
          <w:rPr>
            <w:rStyle w:val="Hyperlink"/>
          </w:rPr>
          <w:t>Whitepaper</w:t>
        </w:r>
        <w:r w:rsidR="00563A2B">
          <w:rPr>
            <w:rStyle w:val="Hyperlink"/>
          </w:rPr>
          <w:noBreakHyphen/>
        </w:r>
        <w:r w:rsidRPr="00514183">
          <w:rPr>
            <w:rStyle w:val="Hyperlink"/>
          </w:rPr>
          <w:t>3</w:t>
        </w:r>
        <w:r w:rsidR="00563A2B">
          <w:rPr>
            <w:rStyle w:val="Hyperlink"/>
          </w:rPr>
          <w:noBreakHyphen/>
        </w:r>
        <w:r w:rsidRPr="00514183">
          <w:rPr>
            <w:rStyle w:val="Hyperlink"/>
          </w:rPr>
          <w:t>Mobilising</w:t>
        </w:r>
        <w:r w:rsidR="00563A2B">
          <w:rPr>
            <w:rStyle w:val="Hyperlink"/>
          </w:rPr>
          <w:noBreakHyphen/>
        </w:r>
        <w:r w:rsidRPr="00514183">
          <w:rPr>
            <w:rStyle w:val="Hyperlink"/>
          </w:rPr>
          <w:t>Private</w:t>
        </w:r>
        <w:r w:rsidR="00563A2B">
          <w:rPr>
            <w:rStyle w:val="Hyperlink"/>
          </w:rPr>
          <w:noBreakHyphen/>
        </w:r>
        <w:r w:rsidRPr="00514183">
          <w:rPr>
            <w:rStyle w:val="Hyperlink"/>
          </w:rPr>
          <w:t>Capital</w:t>
        </w:r>
        <w:r w:rsidR="00563A2B">
          <w:rPr>
            <w:rStyle w:val="Hyperlink"/>
          </w:rPr>
          <w:noBreakHyphen/>
        </w:r>
        <w:r w:rsidRPr="00514183">
          <w:rPr>
            <w:rStyle w:val="Hyperlink"/>
          </w:rPr>
          <w:t>for</w:t>
        </w:r>
        <w:r w:rsidR="00563A2B">
          <w:rPr>
            <w:rStyle w:val="Hyperlink"/>
          </w:rPr>
          <w:noBreakHyphen/>
        </w:r>
        <w:r w:rsidRPr="00514183">
          <w:rPr>
            <w:rStyle w:val="Hyperlink"/>
          </w:rPr>
          <w:t>New</w:t>
        </w:r>
        <w:r w:rsidR="00563A2B">
          <w:rPr>
            <w:rStyle w:val="Hyperlink"/>
          </w:rPr>
          <w:noBreakHyphen/>
        </w:r>
        <w:r w:rsidRPr="00514183">
          <w:rPr>
            <w:rStyle w:val="Hyperlink"/>
          </w:rPr>
          <w:t>Housing</w:t>
        </w:r>
        <w:r w:rsidR="00563A2B">
          <w:rPr>
            <w:rStyle w:val="Hyperlink"/>
          </w:rPr>
          <w:noBreakHyphen/>
        </w:r>
        <w:r w:rsidRPr="00514183">
          <w:rPr>
            <w:rStyle w:val="Hyperlink"/>
          </w:rPr>
          <w:t>Solutions</w:t>
        </w:r>
        <w:r w:rsidR="00563A2B">
          <w:rPr>
            <w:rStyle w:val="Hyperlink"/>
          </w:rPr>
          <w:noBreakHyphen/>
        </w:r>
        <w:r w:rsidRPr="00514183">
          <w:rPr>
            <w:rStyle w:val="Hyperlink"/>
          </w:rPr>
          <w:t>sm</w:t>
        </w:r>
        <w:r w:rsidR="00563A2B">
          <w:rPr>
            <w:rStyle w:val="Hyperlink"/>
          </w:rPr>
          <w:noBreakHyphen/>
        </w:r>
        <w:r w:rsidRPr="00514183">
          <w:rPr>
            <w:rStyle w:val="Hyperlink"/>
          </w:rPr>
          <w:t>1684212151.pdf</w:t>
        </w:r>
      </w:hyperlink>
      <w:r w:rsidRPr="00DB4824">
        <w:rPr>
          <w:rFonts w:eastAsia="Wingdings" w:cstheme="minorHAnsi"/>
          <w:szCs w:val="22"/>
        </w:rPr>
        <w:t xml:space="preserve"> </w:t>
      </w:r>
    </w:p>
    <w:p w14:paraId="5FCE23AB" w14:textId="1C0284E6" w:rsidR="009A4DA0" w:rsidRPr="00514183" w:rsidRDefault="009A4DA0" w:rsidP="009A4DA0">
      <w:pPr>
        <w:rPr>
          <w:rStyle w:val="Hyperlink"/>
        </w:rPr>
      </w:pPr>
      <w:r>
        <w:t xml:space="preserve">Longview – PEXA (2023b), </w:t>
      </w:r>
      <w:r>
        <w:rPr>
          <w:i/>
          <w:iCs/>
        </w:rPr>
        <w:t>What drives Australian house prices over the long term?</w:t>
      </w:r>
      <w:r>
        <w:t xml:space="preserve">, </w:t>
      </w:r>
      <w:hyperlink r:id="rId101" w:history="1">
        <w:r w:rsidRPr="00002B41">
          <w:rPr>
            <w:rStyle w:val="Hyperlink"/>
          </w:rPr>
          <w:t>https://longview.com.au/hubfs/whitepaper</w:t>
        </w:r>
        <w:r w:rsidR="00563A2B">
          <w:rPr>
            <w:rStyle w:val="Hyperlink"/>
          </w:rPr>
          <w:noBreakHyphen/>
        </w:r>
        <w:r w:rsidRPr="00002B41">
          <w:rPr>
            <w:rStyle w:val="Hyperlink"/>
          </w:rPr>
          <w:t>what</w:t>
        </w:r>
        <w:r w:rsidR="00563A2B">
          <w:rPr>
            <w:rStyle w:val="Hyperlink"/>
          </w:rPr>
          <w:noBreakHyphen/>
        </w:r>
        <w:r w:rsidRPr="00002B41">
          <w:rPr>
            <w:rStyle w:val="Hyperlink"/>
          </w:rPr>
          <w:t>drives</w:t>
        </w:r>
        <w:r w:rsidR="00563A2B">
          <w:rPr>
            <w:rStyle w:val="Hyperlink"/>
          </w:rPr>
          <w:noBreakHyphen/>
        </w:r>
        <w:r w:rsidRPr="00002B41">
          <w:rPr>
            <w:rStyle w:val="Hyperlink"/>
          </w:rPr>
          <w:t>australian</w:t>
        </w:r>
        <w:r w:rsidR="00563A2B">
          <w:rPr>
            <w:rStyle w:val="Hyperlink"/>
          </w:rPr>
          <w:noBreakHyphen/>
        </w:r>
        <w:r w:rsidRPr="00002B41">
          <w:rPr>
            <w:rStyle w:val="Hyperlink"/>
          </w:rPr>
          <w:t>house</w:t>
        </w:r>
        <w:r w:rsidR="00563A2B">
          <w:rPr>
            <w:rStyle w:val="Hyperlink"/>
          </w:rPr>
          <w:noBreakHyphen/>
        </w:r>
        <w:r w:rsidRPr="00002B41">
          <w:rPr>
            <w:rStyle w:val="Hyperlink"/>
          </w:rPr>
          <w:t>prices</w:t>
        </w:r>
        <w:r w:rsidR="00563A2B">
          <w:rPr>
            <w:rStyle w:val="Hyperlink"/>
          </w:rPr>
          <w:noBreakHyphen/>
        </w:r>
        <w:r w:rsidRPr="00002B41">
          <w:rPr>
            <w:rStyle w:val="Hyperlink"/>
          </w:rPr>
          <w:t>over</w:t>
        </w:r>
        <w:r w:rsidR="00563A2B">
          <w:rPr>
            <w:rStyle w:val="Hyperlink"/>
          </w:rPr>
          <w:noBreakHyphen/>
        </w:r>
        <w:r w:rsidRPr="00002B41">
          <w:rPr>
            <w:rStyle w:val="Hyperlink"/>
          </w:rPr>
          <w:t>long</w:t>
        </w:r>
        <w:r w:rsidR="00563A2B">
          <w:rPr>
            <w:rStyle w:val="Hyperlink"/>
          </w:rPr>
          <w:noBreakHyphen/>
        </w:r>
        <w:r w:rsidRPr="00002B41">
          <w:rPr>
            <w:rStyle w:val="Hyperlink"/>
          </w:rPr>
          <w:t>term.pdf</w:t>
        </w:r>
      </w:hyperlink>
    </w:p>
    <w:p w14:paraId="023B51EF" w14:textId="5419A3E2" w:rsidR="009A4DA0" w:rsidRPr="005B58F6" w:rsidRDefault="009A4DA0" w:rsidP="009A4DA0">
      <w:pPr>
        <w:rPr>
          <w:rFonts w:eastAsiaTheme="minorHAnsi"/>
        </w:rPr>
      </w:pPr>
      <w:r>
        <w:t>Martin C, Lawson J, Milligan V, Hartley C, Pawson H and Dodson J</w:t>
      </w:r>
      <w:r w:rsidR="00347668">
        <w:t>.</w:t>
      </w:r>
      <w:r>
        <w:t xml:space="preserve"> (2023) </w:t>
      </w:r>
      <w:r w:rsidRPr="004D08E0">
        <w:rPr>
          <w:i/>
        </w:rPr>
        <w:t>Towards an Australian Housing and Homelessness Strategy: understanding national approaches in contemporary policy</w:t>
      </w:r>
      <w:r>
        <w:t xml:space="preserve">, AHURI Final Report 401, </w:t>
      </w:r>
      <w:r w:rsidRPr="00DB4824">
        <w:rPr>
          <w:rFonts w:cstheme="minorHAnsi"/>
          <w:szCs w:val="22"/>
        </w:rPr>
        <w:t>AHURI</w:t>
      </w:r>
      <w:r>
        <w:t xml:space="preserve">, Melbourne, </w:t>
      </w:r>
      <w:hyperlink r:id="rId102" w:history="1">
        <w:r w:rsidR="005B58F6" w:rsidRPr="005B58F6">
          <w:rPr>
            <w:rStyle w:val="Hyperlink"/>
          </w:rPr>
          <w:t>https://www.ahuri.edu.au/research/final</w:t>
        </w:r>
        <w:r w:rsidR="00563A2B">
          <w:rPr>
            <w:rStyle w:val="Hyperlink"/>
          </w:rPr>
          <w:noBreakHyphen/>
        </w:r>
        <w:r w:rsidR="005B58F6" w:rsidRPr="005B58F6">
          <w:rPr>
            <w:rStyle w:val="Hyperlink"/>
          </w:rPr>
          <w:t>reports/401</w:t>
        </w:r>
      </w:hyperlink>
    </w:p>
    <w:p w14:paraId="05934294" w14:textId="7ABC0003" w:rsidR="00C44005" w:rsidRDefault="00C44005" w:rsidP="009A4DA0">
      <w:r w:rsidRPr="00C44005">
        <w:t xml:space="preserve">Milligan V, Pawson H, Phillips R and Martin C with Elton Consulting (2017) </w:t>
      </w:r>
      <w:r w:rsidRPr="00C44005">
        <w:rPr>
          <w:i/>
          <w:iCs/>
        </w:rPr>
        <w:t>Developing the scale and capacity of Australia</w:t>
      </w:r>
      <w:r w:rsidR="00563A2B">
        <w:rPr>
          <w:i/>
          <w:iCs/>
        </w:rPr>
        <w:t>’</w:t>
      </w:r>
      <w:r w:rsidRPr="00C44005">
        <w:rPr>
          <w:i/>
          <w:iCs/>
        </w:rPr>
        <w:t>s affordable housing industry</w:t>
      </w:r>
      <w:r w:rsidRPr="00C44005">
        <w:t xml:space="preserve">, AHURI Final Report 278, AHURI, Melbourne, </w:t>
      </w:r>
      <w:hyperlink r:id="rId103" w:history="1">
        <w:r w:rsidRPr="00C44005">
          <w:rPr>
            <w:rStyle w:val="Hyperlink"/>
          </w:rPr>
          <w:t>https://www.ahuri.edu.au/sites/default/files/migration/documents/AHURI_Final_Report_No278_Developing</w:t>
        </w:r>
        <w:r w:rsidR="00563A2B">
          <w:rPr>
            <w:rStyle w:val="Hyperlink"/>
          </w:rPr>
          <w:noBreakHyphen/>
        </w:r>
        <w:r w:rsidRPr="00C44005">
          <w:rPr>
            <w:rStyle w:val="Hyperlink"/>
          </w:rPr>
          <w:t>the</w:t>
        </w:r>
        <w:r w:rsidR="00563A2B">
          <w:rPr>
            <w:rStyle w:val="Hyperlink"/>
          </w:rPr>
          <w:noBreakHyphen/>
        </w:r>
        <w:r w:rsidRPr="00C44005">
          <w:rPr>
            <w:rStyle w:val="Hyperlink"/>
          </w:rPr>
          <w:t>scale</w:t>
        </w:r>
        <w:r w:rsidR="00563A2B">
          <w:rPr>
            <w:rStyle w:val="Hyperlink"/>
          </w:rPr>
          <w:noBreakHyphen/>
        </w:r>
        <w:r w:rsidRPr="00C44005">
          <w:rPr>
            <w:rStyle w:val="Hyperlink"/>
          </w:rPr>
          <w:t>and</w:t>
        </w:r>
        <w:r w:rsidR="00563A2B">
          <w:rPr>
            <w:rStyle w:val="Hyperlink"/>
          </w:rPr>
          <w:noBreakHyphen/>
        </w:r>
        <w:r w:rsidRPr="00C44005">
          <w:rPr>
            <w:rStyle w:val="Hyperlink"/>
          </w:rPr>
          <w:t>capacity</w:t>
        </w:r>
        <w:r w:rsidR="00563A2B">
          <w:rPr>
            <w:rStyle w:val="Hyperlink"/>
          </w:rPr>
          <w:noBreakHyphen/>
        </w:r>
        <w:r w:rsidRPr="00C44005">
          <w:rPr>
            <w:rStyle w:val="Hyperlink"/>
          </w:rPr>
          <w:t>of</w:t>
        </w:r>
        <w:r w:rsidR="00563A2B">
          <w:rPr>
            <w:rStyle w:val="Hyperlink"/>
          </w:rPr>
          <w:noBreakHyphen/>
        </w:r>
        <w:r w:rsidRPr="00C44005">
          <w:rPr>
            <w:rStyle w:val="Hyperlink"/>
          </w:rPr>
          <w:t>Australias</w:t>
        </w:r>
        <w:r w:rsidR="00563A2B">
          <w:rPr>
            <w:rStyle w:val="Hyperlink"/>
          </w:rPr>
          <w:noBreakHyphen/>
        </w:r>
        <w:r w:rsidRPr="00C44005">
          <w:rPr>
            <w:rStyle w:val="Hyperlink"/>
          </w:rPr>
          <w:t>affordable</w:t>
        </w:r>
        <w:r w:rsidR="00563A2B">
          <w:rPr>
            <w:rStyle w:val="Hyperlink"/>
          </w:rPr>
          <w:noBreakHyphen/>
        </w:r>
        <w:r w:rsidRPr="00C44005">
          <w:rPr>
            <w:rStyle w:val="Hyperlink"/>
          </w:rPr>
          <w:t>housing</w:t>
        </w:r>
        <w:r w:rsidR="00563A2B">
          <w:rPr>
            <w:rStyle w:val="Hyperlink"/>
          </w:rPr>
          <w:noBreakHyphen/>
        </w:r>
        <w:r w:rsidRPr="00C44005">
          <w:rPr>
            <w:rStyle w:val="Hyperlink"/>
          </w:rPr>
          <w:t>industry.pdf</w:t>
        </w:r>
      </w:hyperlink>
    </w:p>
    <w:p w14:paraId="4F4DC84E" w14:textId="19D808C3" w:rsidR="00F63297" w:rsidRDefault="00F63297" w:rsidP="009A4DA0">
      <w:r w:rsidRPr="00F63297">
        <w:t>Milligan,</w:t>
      </w:r>
      <w:r>
        <w:t xml:space="preserve"> V</w:t>
      </w:r>
      <w:r w:rsidR="002B3327">
        <w:t>,</w:t>
      </w:r>
      <w:r w:rsidRPr="00F63297">
        <w:t xml:space="preserve"> Pawson,</w:t>
      </w:r>
      <w:r w:rsidR="002B3327">
        <w:t xml:space="preserve"> H</w:t>
      </w:r>
      <w:r w:rsidR="00FE74A4">
        <w:t>,</w:t>
      </w:r>
      <w:r w:rsidRPr="00F63297">
        <w:t xml:space="preserve"> Williams</w:t>
      </w:r>
      <w:r w:rsidR="00FE74A4">
        <w:t>, P</w:t>
      </w:r>
      <w:r w:rsidRPr="00F63297">
        <w:t xml:space="preserve"> and </w:t>
      </w:r>
      <w:r w:rsidR="00FE74A4">
        <w:t>Yates, J</w:t>
      </w:r>
      <w:r w:rsidR="00347668">
        <w:t>.</w:t>
      </w:r>
      <w:r w:rsidR="00FE74A4">
        <w:t xml:space="preserve"> (2015)</w:t>
      </w:r>
      <w:r w:rsidRPr="00F63297">
        <w:t xml:space="preserve">, </w:t>
      </w:r>
      <w:r w:rsidR="000760B2" w:rsidRPr="00B13F48">
        <w:t>Next moves? Expanding affordable rental housing in Australia through institutional investment</w:t>
      </w:r>
      <w:r w:rsidRPr="00F63297">
        <w:t>, City Futures Research Centre, University of New South Wales</w:t>
      </w:r>
      <w:r w:rsidR="00D934EE">
        <w:t xml:space="preserve">, </w:t>
      </w:r>
      <w:hyperlink r:id="rId104">
        <w:r w:rsidR="00EA405D" w:rsidRPr="479AD369">
          <w:rPr>
            <w:rStyle w:val="Hyperlink"/>
          </w:rPr>
          <w:t>https://cityfutures.ada.unsw.edu.au/documents/81/Next_moves_report.pdf</w:t>
        </w:r>
      </w:hyperlink>
      <w:r w:rsidR="00563A2B">
        <w:t xml:space="preserve"> </w:t>
      </w:r>
    </w:p>
    <w:p w14:paraId="20609AE6" w14:textId="44B64B9E" w:rsidR="00502AE7" w:rsidRDefault="00502AE7" w:rsidP="009A4DA0">
      <w:pPr>
        <w:rPr>
          <w:rFonts w:eastAsia="Wingdings" w:cs="Wingdings"/>
          <w:szCs w:val="22"/>
        </w:rPr>
      </w:pPr>
      <w:r w:rsidRPr="479AD369">
        <w:rPr>
          <w:rFonts w:eastAsia="Wingdings" w:cs="Wingdings"/>
          <w:szCs w:val="22"/>
        </w:rPr>
        <w:t xml:space="preserve">Milligan V, </w:t>
      </w:r>
      <w:proofErr w:type="spellStart"/>
      <w:r w:rsidRPr="479AD369">
        <w:rPr>
          <w:rFonts w:eastAsia="Wingdings" w:cs="Wingdings"/>
          <w:szCs w:val="22"/>
        </w:rPr>
        <w:t>Phibbs</w:t>
      </w:r>
      <w:proofErr w:type="spellEnd"/>
      <w:r w:rsidRPr="479AD369">
        <w:rPr>
          <w:rFonts w:eastAsia="Wingdings" w:cs="Wingdings"/>
          <w:szCs w:val="22"/>
        </w:rPr>
        <w:t xml:space="preserve"> P, Fagan K, and Gurran N</w:t>
      </w:r>
      <w:r w:rsidR="00347668">
        <w:rPr>
          <w:rFonts w:eastAsia="Wingdings" w:cs="Wingdings"/>
          <w:szCs w:val="22"/>
        </w:rPr>
        <w:t>.</w:t>
      </w:r>
      <w:r w:rsidRPr="479AD369">
        <w:rPr>
          <w:rFonts w:eastAsia="Wingdings" w:cs="Wingdings"/>
          <w:szCs w:val="22"/>
        </w:rPr>
        <w:t xml:space="preserve"> (2004) A practical framework for expanding affordable housing services in Australia: Learning from experience, AHURI Final Report No. 65, Melbourne, </w:t>
      </w:r>
      <w:hyperlink r:id="rId105">
        <w:r w:rsidRPr="479AD369">
          <w:rPr>
            <w:rStyle w:val="Hyperlink"/>
            <w:rFonts w:eastAsia="Wingdings" w:cs="Wingdings"/>
            <w:szCs w:val="22"/>
          </w:rPr>
          <w:t>https://www.ahuri.edu.au/research/final</w:t>
        </w:r>
        <w:r w:rsidR="00563A2B">
          <w:rPr>
            <w:rStyle w:val="Hyperlink"/>
            <w:rFonts w:eastAsia="Wingdings" w:cs="Wingdings"/>
            <w:szCs w:val="22"/>
          </w:rPr>
          <w:noBreakHyphen/>
        </w:r>
        <w:r w:rsidRPr="479AD369">
          <w:rPr>
            <w:rStyle w:val="Hyperlink"/>
            <w:rFonts w:eastAsia="Wingdings" w:cs="Wingdings"/>
            <w:szCs w:val="22"/>
          </w:rPr>
          <w:t>reports/65</w:t>
        </w:r>
      </w:hyperlink>
      <w:r w:rsidRPr="479AD369">
        <w:rPr>
          <w:rFonts w:eastAsia="Wingdings" w:cs="Wingdings"/>
          <w:szCs w:val="22"/>
        </w:rPr>
        <w:t xml:space="preserve"> </w:t>
      </w:r>
    </w:p>
    <w:p w14:paraId="32082A71" w14:textId="631B2A5A" w:rsidR="00C44005" w:rsidRDefault="00C44005" w:rsidP="009A4DA0">
      <w:pPr>
        <w:rPr>
          <w:rFonts w:eastAsia="Wingdings" w:cs="Wingdings"/>
          <w:szCs w:val="22"/>
        </w:rPr>
      </w:pPr>
      <w:r w:rsidRPr="00C44005">
        <w:rPr>
          <w:rFonts w:eastAsia="Wingdings" w:cs="Wingdings"/>
          <w:szCs w:val="22"/>
        </w:rPr>
        <w:t>Milligan V, Yates J, Wiesel I, and Pawson</w:t>
      </w:r>
      <w:r w:rsidR="006E0A5C">
        <w:rPr>
          <w:rFonts w:eastAsia="Wingdings" w:cs="Wingdings"/>
          <w:szCs w:val="22"/>
        </w:rPr>
        <w:t xml:space="preserve"> </w:t>
      </w:r>
      <w:r w:rsidRPr="00C44005">
        <w:rPr>
          <w:rFonts w:eastAsia="Wingdings" w:cs="Wingdings"/>
          <w:szCs w:val="22"/>
        </w:rPr>
        <w:t>H</w:t>
      </w:r>
      <w:r w:rsidR="00347668">
        <w:rPr>
          <w:rFonts w:eastAsia="Wingdings" w:cs="Wingdings"/>
          <w:szCs w:val="22"/>
        </w:rPr>
        <w:t>.</w:t>
      </w:r>
      <w:r w:rsidRPr="00C44005">
        <w:rPr>
          <w:rFonts w:eastAsia="Wingdings" w:cs="Wingdings"/>
          <w:szCs w:val="22"/>
        </w:rPr>
        <w:t xml:space="preserve"> (2013) </w:t>
      </w:r>
      <w:r w:rsidRPr="005B58F6">
        <w:rPr>
          <w:rFonts w:eastAsia="Wingdings" w:cs="Wingdings"/>
          <w:i/>
          <w:iCs/>
          <w:szCs w:val="22"/>
        </w:rPr>
        <w:t>Financing rental housing through institutional investment—Volume 1</w:t>
      </w:r>
      <w:r w:rsidRPr="00C44005">
        <w:rPr>
          <w:rFonts w:eastAsia="Wingdings" w:cs="Wingdings"/>
          <w:szCs w:val="22"/>
        </w:rPr>
        <w:t xml:space="preserve">, AHURI Final Report No. 202, Australian Housing and Urban Research Institute, accessed July 2023, </w:t>
      </w:r>
      <w:hyperlink r:id="rId106" w:history="1">
        <w:r w:rsidRPr="005B58F6">
          <w:rPr>
            <w:rStyle w:val="Hyperlink"/>
            <w:rFonts w:eastAsia="Wingdings" w:cs="Wingdings"/>
            <w:szCs w:val="22"/>
          </w:rPr>
          <w:t>https://www.ahuri.edu.au/research/final</w:t>
        </w:r>
        <w:r w:rsidR="00563A2B">
          <w:rPr>
            <w:rStyle w:val="Hyperlink"/>
            <w:rFonts w:eastAsia="Wingdings" w:cs="Wingdings"/>
            <w:szCs w:val="22"/>
          </w:rPr>
          <w:noBreakHyphen/>
        </w:r>
        <w:r w:rsidRPr="005B58F6">
          <w:rPr>
            <w:rStyle w:val="Hyperlink"/>
            <w:rFonts w:eastAsia="Wingdings" w:cs="Wingdings"/>
            <w:szCs w:val="22"/>
          </w:rPr>
          <w:t>reports/202</w:t>
        </w:r>
      </w:hyperlink>
    </w:p>
    <w:p w14:paraId="28039BEB" w14:textId="38A1DA43" w:rsidR="009A4DA0" w:rsidRDefault="009A4DA0" w:rsidP="009A4DA0">
      <w:pPr>
        <w:rPr>
          <w:rStyle w:val="Hyperlink"/>
        </w:rPr>
      </w:pPr>
      <w:r>
        <w:t xml:space="preserve">Ministry of Housing, Communities &amp; Local Government (2018), </w:t>
      </w:r>
      <w:r w:rsidRPr="5F062808">
        <w:rPr>
          <w:i/>
          <w:iCs/>
        </w:rPr>
        <w:t>Private Rented Housing Guarantee Scheme</w:t>
      </w:r>
      <w:r>
        <w:t xml:space="preserve">, </w:t>
      </w:r>
      <w:hyperlink r:id="rId107">
        <w:r w:rsidRPr="5F062808">
          <w:rPr>
            <w:rStyle w:val="Hyperlink"/>
          </w:rPr>
          <w:t>https://www.gov.uk/government/publications/housing</w:t>
        </w:r>
        <w:r w:rsidR="00563A2B">
          <w:rPr>
            <w:rStyle w:val="Hyperlink"/>
          </w:rPr>
          <w:noBreakHyphen/>
        </w:r>
        <w:r w:rsidRPr="5F062808">
          <w:rPr>
            <w:rStyle w:val="Hyperlink"/>
          </w:rPr>
          <w:t>guarantee</w:t>
        </w:r>
        <w:r w:rsidR="00563A2B">
          <w:rPr>
            <w:rStyle w:val="Hyperlink"/>
          </w:rPr>
          <w:noBreakHyphen/>
        </w:r>
        <w:r w:rsidRPr="5F062808">
          <w:rPr>
            <w:rStyle w:val="Hyperlink"/>
          </w:rPr>
          <w:t>scheme</w:t>
        </w:r>
        <w:r w:rsidR="00563A2B">
          <w:rPr>
            <w:rStyle w:val="Hyperlink"/>
          </w:rPr>
          <w:noBreakHyphen/>
        </w:r>
        <w:r w:rsidRPr="5F062808">
          <w:rPr>
            <w:rStyle w:val="Hyperlink"/>
          </w:rPr>
          <w:t>rules</w:t>
        </w:r>
        <w:r w:rsidR="00563A2B">
          <w:rPr>
            <w:rStyle w:val="Hyperlink"/>
          </w:rPr>
          <w:noBreakHyphen/>
        </w:r>
        <w:r w:rsidRPr="5F062808">
          <w:rPr>
            <w:rStyle w:val="Hyperlink"/>
          </w:rPr>
          <w:t>private</w:t>
        </w:r>
        <w:r w:rsidR="00563A2B">
          <w:rPr>
            <w:rStyle w:val="Hyperlink"/>
          </w:rPr>
          <w:noBreakHyphen/>
        </w:r>
        <w:r w:rsidRPr="5F062808">
          <w:rPr>
            <w:rStyle w:val="Hyperlink"/>
          </w:rPr>
          <w:t>rented</w:t>
        </w:r>
        <w:r w:rsidR="00563A2B">
          <w:rPr>
            <w:rStyle w:val="Hyperlink"/>
          </w:rPr>
          <w:noBreakHyphen/>
        </w:r>
        <w:r w:rsidRPr="5F062808">
          <w:rPr>
            <w:rStyle w:val="Hyperlink"/>
          </w:rPr>
          <w:t>sector</w:t>
        </w:r>
      </w:hyperlink>
    </w:p>
    <w:p w14:paraId="5141F888" w14:textId="744B287B" w:rsidR="00C71175" w:rsidRPr="003676F3" w:rsidRDefault="00C71175" w:rsidP="009A4DA0">
      <w:pPr>
        <w:rPr>
          <w:rStyle w:val="Hyperlink"/>
          <w:color w:val="auto"/>
        </w:rPr>
      </w:pPr>
      <w:proofErr w:type="spellStart"/>
      <w:r>
        <w:rPr>
          <w:rStyle w:val="Hyperlink"/>
          <w:color w:val="auto"/>
        </w:rPr>
        <w:t>Mu</w:t>
      </w:r>
      <w:r w:rsidR="003676F3">
        <w:rPr>
          <w:rStyle w:val="Hyperlink"/>
          <w:color w:val="auto"/>
        </w:rPr>
        <w:t>rtough</w:t>
      </w:r>
      <w:proofErr w:type="spellEnd"/>
      <w:r w:rsidR="003676F3">
        <w:rPr>
          <w:rStyle w:val="Hyperlink"/>
          <w:color w:val="auto"/>
        </w:rPr>
        <w:t xml:space="preserve"> G, Aretino B and </w:t>
      </w:r>
      <w:proofErr w:type="spellStart"/>
      <w:r w:rsidR="003676F3">
        <w:rPr>
          <w:rStyle w:val="Hyperlink"/>
          <w:color w:val="auto"/>
        </w:rPr>
        <w:t>Matysek</w:t>
      </w:r>
      <w:proofErr w:type="spellEnd"/>
      <w:r w:rsidR="003676F3">
        <w:rPr>
          <w:rStyle w:val="Hyperlink"/>
          <w:color w:val="auto"/>
        </w:rPr>
        <w:t xml:space="preserve"> A</w:t>
      </w:r>
      <w:r w:rsidR="00D808C4">
        <w:rPr>
          <w:rStyle w:val="Hyperlink"/>
          <w:color w:val="auto"/>
        </w:rPr>
        <w:t>.</w:t>
      </w:r>
      <w:r w:rsidR="003676F3">
        <w:rPr>
          <w:rStyle w:val="Hyperlink"/>
          <w:color w:val="auto"/>
        </w:rPr>
        <w:t xml:space="preserve"> (2002), </w:t>
      </w:r>
      <w:r w:rsidR="003676F3">
        <w:rPr>
          <w:rStyle w:val="Hyperlink"/>
          <w:i/>
          <w:iCs/>
          <w:color w:val="auto"/>
        </w:rPr>
        <w:t>Creating markets for ecosystem services</w:t>
      </w:r>
      <w:r w:rsidR="003676F3">
        <w:rPr>
          <w:rStyle w:val="Hyperlink"/>
          <w:color w:val="auto"/>
        </w:rPr>
        <w:t xml:space="preserve">, </w:t>
      </w:r>
      <w:r w:rsidR="002205FA">
        <w:rPr>
          <w:rStyle w:val="Hyperlink"/>
          <w:color w:val="auto"/>
        </w:rPr>
        <w:t xml:space="preserve">Productivity Commission Staff Research Paper, Canberra, </w:t>
      </w:r>
      <w:hyperlink r:id="rId108" w:history="1">
        <w:r w:rsidR="002205FA" w:rsidRPr="00F454D6">
          <w:rPr>
            <w:rStyle w:val="Hyperlink"/>
          </w:rPr>
          <w:t>https://www.pc.gov.au/research/supporting/ecosystem</w:t>
        </w:r>
        <w:r w:rsidR="00563A2B">
          <w:rPr>
            <w:rStyle w:val="Hyperlink"/>
          </w:rPr>
          <w:noBreakHyphen/>
        </w:r>
        <w:r w:rsidR="002205FA" w:rsidRPr="00F454D6">
          <w:rPr>
            <w:rStyle w:val="Hyperlink"/>
          </w:rPr>
          <w:t>services/cmfes.pdf</w:t>
        </w:r>
      </w:hyperlink>
      <w:r w:rsidR="002205FA">
        <w:rPr>
          <w:rStyle w:val="Hyperlink"/>
          <w:color w:val="auto"/>
        </w:rPr>
        <w:t xml:space="preserve"> </w:t>
      </w:r>
    </w:p>
    <w:p w14:paraId="4A646A2E" w14:textId="4457D1E0" w:rsidR="0067788E" w:rsidRDefault="0067788E" w:rsidP="009A4DA0">
      <w:r w:rsidRPr="003E1294">
        <w:rPr>
          <w:rStyle w:val="Hyperlink"/>
          <w:color w:val="auto"/>
        </w:rPr>
        <w:t>National Regulatory System for Community Housing Providers (NRSCH)</w:t>
      </w:r>
      <w:r w:rsidR="00961695">
        <w:rPr>
          <w:rStyle w:val="Hyperlink"/>
          <w:color w:val="auto"/>
        </w:rPr>
        <w:t xml:space="preserve"> (2022a</w:t>
      </w:r>
      <w:r>
        <w:rPr>
          <w:rStyle w:val="Hyperlink"/>
          <w:color w:val="auto"/>
        </w:rPr>
        <w:t>)</w:t>
      </w:r>
      <w:r w:rsidRPr="003E1294">
        <w:rPr>
          <w:rStyle w:val="Hyperlink"/>
          <w:color w:val="auto"/>
        </w:rPr>
        <w:t xml:space="preserve">, </w:t>
      </w:r>
      <w:r w:rsidR="00B728DD">
        <w:rPr>
          <w:rStyle w:val="Hyperlink"/>
          <w:i/>
          <w:color w:val="auto"/>
        </w:rPr>
        <w:t>Regulatory Framework</w:t>
      </w:r>
      <w:r w:rsidRPr="003E1294">
        <w:rPr>
          <w:rStyle w:val="Hyperlink"/>
          <w:i/>
          <w:color w:val="auto"/>
        </w:rPr>
        <w:t xml:space="preserve">, </w:t>
      </w:r>
      <w:r w:rsidRPr="003E1294">
        <w:rPr>
          <w:rStyle w:val="Hyperlink"/>
          <w:color w:val="auto"/>
        </w:rPr>
        <w:t xml:space="preserve">NRSCH, </w:t>
      </w:r>
      <w:r w:rsidR="00DF0E3A" w:rsidRPr="00DF0E3A">
        <w:rPr>
          <w:rStyle w:val="Hyperlink"/>
          <w:color w:val="auto"/>
        </w:rPr>
        <w:t>published June</w:t>
      </w:r>
      <w:r w:rsidR="0012428A" w:rsidRPr="0012428A">
        <w:rPr>
          <w:rStyle w:val="Hyperlink"/>
          <w:color w:val="auto"/>
        </w:rPr>
        <w:t xml:space="preserve"> 2022, </w:t>
      </w:r>
      <w:hyperlink r:id="rId109" w:history="1">
        <w:r w:rsidR="0012428A" w:rsidRPr="00DB21B8">
          <w:rPr>
            <w:rStyle w:val="Hyperlink"/>
          </w:rPr>
          <w:t>https://nrsch.gov.au/documents/publications/regulatory</w:t>
        </w:r>
        <w:r w:rsidR="00563A2B">
          <w:rPr>
            <w:rStyle w:val="Hyperlink"/>
          </w:rPr>
          <w:noBreakHyphen/>
        </w:r>
        <w:r w:rsidR="0012428A" w:rsidRPr="00DB21B8">
          <w:rPr>
            <w:rStyle w:val="Hyperlink"/>
          </w:rPr>
          <w:t>framework</w:t>
        </w:r>
        <w:r w:rsidR="00563A2B">
          <w:rPr>
            <w:rStyle w:val="Hyperlink"/>
          </w:rPr>
          <w:noBreakHyphen/>
        </w:r>
        <w:r w:rsidR="0012428A" w:rsidRPr="00DB21B8">
          <w:rPr>
            <w:rStyle w:val="Hyperlink"/>
          </w:rPr>
          <w:t>latest.pdf</w:t>
        </w:r>
      </w:hyperlink>
      <w:r w:rsidR="0012428A">
        <w:t xml:space="preserve"> </w:t>
      </w:r>
    </w:p>
    <w:p w14:paraId="45455C49" w14:textId="1BB72068" w:rsidR="00961695" w:rsidRPr="00961695" w:rsidRDefault="00961695" w:rsidP="009A4DA0">
      <w:pPr>
        <w:rPr>
          <w:rStyle w:val="Hyperlink"/>
        </w:rPr>
      </w:pPr>
      <w:r w:rsidRPr="00214134">
        <w:t xml:space="preserve">National Regulatory System </w:t>
      </w:r>
      <w:r>
        <w:t xml:space="preserve">for </w:t>
      </w:r>
      <w:r w:rsidRPr="00214134">
        <w:t>Community Housing</w:t>
      </w:r>
      <w:r>
        <w:t xml:space="preserve"> (NRSCH) (2022b), </w:t>
      </w:r>
      <w:r>
        <w:rPr>
          <w:i/>
          <w:iCs/>
        </w:rPr>
        <w:t>Categories of registration (Tiers)</w:t>
      </w:r>
      <w:r>
        <w:t xml:space="preserve"> NRSCH website, last updated 14 November 2022, accessed 8 June 2023, </w:t>
      </w:r>
      <w:hyperlink r:id="rId110" w:history="1">
        <w:r w:rsidRPr="00961695">
          <w:rPr>
            <w:rStyle w:val="Hyperlink"/>
          </w:rPr>
          <w:t>https://nrsch.gov.au/providers/categories</w:t>
        </w:r>
        <w:r w:rsidR="00563A2B">
          <w:rPr>
            <w:rStyle w:val="Hyperlink"/>
          </w:rPr>
          <w:noBreakHyphen/>
        </w:r>
        <w:r w:rsidRPr="00961695">
          <w:rPr>
            <w:rStyle w:val="Hyperlink"/>
          </w:rPr>
          <w:t>of</w:t>
        </w:r>
        <w:r w:rsidR="00563A2B">
          <w:rPr>
            <w:rStyle w:val="Hyperlink"/>
          </w:rPr>
          <w:noBreakHyphen/>
        </w:r>
        <w:r w:rsidRPr="00961695">
          <w:rPr>
            <w:rStyle w:val="Hyperlink"/>
          </w:rPr>
          <w:t>registration</w:t>
        </w:r>
        <w:r w:rsidR="00563A2B">
          <w:rPr>
            <w:rStyle w:val="Hyperlink"/>
          </w:rPr>
          <w:noBreakHyphen/>
        </w:r>
        <w:r w:rsidRPr="00961695">
          <w:rPr>
            <w:rStyle w:val="Hyperlink"/>
          </w:rPr>
          <w:t>tiers.html</w:t>
        </w:r>
      </w:hyperlink>
    </w:p>
    <w:p w14:paraId="2D8150A0" w14:textId="18890BE8" w:rsidR="009A4DA0" w:rsidRPr="007E5816" w:rsidRDefault="009A4DA0" w:rsidP="009A4DA0">
      <w:pPr>
        <w:spacing w:after="160" w:line="259" w:lineRule="auto"/>
        <w:rPr>
          <w:rFonts w:eastAsia="Arial Unicode MS" w:cstheme="minorHAnsi"/>
          <w:szCs w:val="22"/>
        </w:rPr>
      </w:pPr>
      <w:r w:rsidRPr="00DB4824">
        <w:rPr>
          <w:rFonts w:eastAsia="Arial Unicode MS" w:cstheme="minorHAnsi"/>
          <w:szCs w:val="22"/>
        </w:rPr>
        <w:t xml:space="preserve">National Shelter (2017), </w:t>
      </w:r>
      <w:r w:rsidRPr="00DB4824">
        <w:rPr>
          <w:rFonts w:eastAsia="Arial Unicode MS" w:cstheme="minorHAnsi"/>
          <w:i/>
          <w:iCs/>
          <w:szCs w:val="22"/>
        </w:rPr>
        <w:t>Life in Australia</w:t>
      </w:r>
      <w:r w:rsidR="00563A2B">
        <w:rPr>
          <w:rFonts w:eastAsia="Arial Unicode MS" w:cstheme="minorHAnsi"/>
          <w:i/>
          <w:iCs/>
          <w:szCs w:val="22"/>
        </w:rPr>
        <w:t>’</w:t>
      </w:r>
      <w:r w:rsidRPr="00DB4824">
        <w:rPr>
          <w:rFonts w:eastAsia="Arial Unicode MS" w:cstheme="minorHAnsi"/>
          <w:i/>
          <w:iCs/>
          <w:szCs w:val="22"/>
        </w:rPr>
        <w:t>s private rental market</w:t>
      </w:r>
      <w:r w:rsidRPr="00DB4824">
        <w:rPr>
          <w:rFonts w:eastAsia="Arial Unicode MS" w:cstheme="minorHAnsi"/>
          <w:szCs w:val="22"/>
        </w:rPr>
        <w:t xml:space="preserve">, </w:t>
      </w:r>
      <w:hyperlink r:id="rId111" w:history="1">
        <w:r w:rsidRPr="00DB4824">
          <w:rPr>
            <w:rStyle w:val="Hyperlink"/>
            <w:rFonts w:eastAsia="Arial Unicode MS" w:cstheme="minorHAnsi"/>
            <w:szCs w:val="22"/>
          </w:rPr>
          <w:t>https://shelter.org.au/site/wp</w:t>
        </w:r>
        <w:r w:rsidR="00563A2B">
          <w:rPr>
            <w:rStyle w:val="Hyperlink"/>
            <w:rFonts w:eastAsia="Arial Unicode MS" w:cstheme="minorHAnsi"/>
            <w:szCs w:val="22"/>
          </w:rPr>
          <w:noBreakHyphen/>
        </w:r>
        <w:r w:rsidRPr="00DB4824">
          <w:rPr>
            <w:rStyle w:val="Hyperlink"/>
            <w:rFonts w:eastAsia="Arial Unicode MS" w:cstheme="minorHAnsi"/>
            <w:szCs w:val="22"/>
          </w:rPr>
          <w:t>content/uploads/The</w:t>
        </w:r>
        <w:r w:rsidR="00563A2B">
          <w:rPr>
            <w:rStyle w:val="Hyperlink"/>
            <w:rFonts w:eastAsia="Arial Unicode MS" w:cstheme="minorHAnsi"/>
            <w:szCs w:val="22"/>
          </w:rPr>
          <w:noBreakHyphen/>
        </w:r>
        <w:r w:rsidRPr="00DB4824">
          <w:rPr>
            <w:rStyle w:val="Hyperlink"/>
            <w:rFonts w:eastAsia="Arial Unicode MS" w:cstheme="minorHAnsi"/>
            <w:szCs w:val="22"/>
          </w:rPr>
          <w:t>Australian</w:t>
        </w:r>
        <w:r w:rsidR="00563A2B">
          <w:rPr>
            <w:rStyle w:val="Hyperlink"/>
            <w:rFonts w:eastAsia="Arial Unicode MS" w:cstheme="minorHAnsi"/>
            <w:szCs w:val="22"/>
          </w:rPr>
          <w:noBreakHyphen/>
        </w:r>
        <w:r w:rsidRPr="00DB4824">
          <w:rPr>
            <w:rStyle w:val="Hyperlink"/>
            <w:rFonts w:eastAsia="Arial Unicode MS" w:cstheme="minorHAnsi"/>
            <w:szCs w:val="22"/>
          </w:rPr>
          <w:t>Rental</w:t>
        </w:r>
        <w:r w:rsidR="00563A2B">
          <w:rPr>
            <w:rStyle w:val="Hyperlink"/>
            <w:rFonts w:eastAsia="Arial Unicode MS" w:cstheme="minorHAnsi"/>
            <w:szCs w:val="22"/>
          </w:rPr>
          <w:noBreakHyphen/>
        </w:r>
        <w:r w:rsidRPr="00DB4824">
          <w:rPr>
            <w:rStyle w:val="Hyperlink"/>
            <w:rFonts w:eastAsia="Arial Unicode MS" w:cstheme="minorHAnsi"/>
            <w:szCs w:val="22"/>
          </w:rPr>
          <w:t>Market</w:t>
        </w:r>
        <w:r w:rsidR="00563A2B">
          <w:rPr>
            <w:rStyle w:val="Hyperlink"/>
            <w:rFonts w:eastAsia="Arial Unicode MS" w:cstheme="minorHAnsi"/>
            <w:szCs w:val="22"/>
          </w:rPr>
          <w:noBreakHyphen/>
        </w:r>
        <w:r w:rsidRPr="00DB4824">
          <w:rPr>
            <w:rStyle w:val="Hyperlink"/>
            <w:rFonts w:eastAsia="Arial Unicode MS" w:cstheme="minorHAnsi"/>
            <w:szCs w:val="22"/>
          </w:rPr>
          <w:t>Report</w:t>
        </w:r>
        <w:r w:rsidR="00563A2B">
          <w:rPr>
            <w:rStyle w:val="Hyperlink"/>
            <w:rFonts w:eastAsia="Arial Unicode MS" w:cstheme="minorHAnsi"/>
            <w:szCs w:val="22"/>
          </w:rPr>
          <w:noBreakHyphen/>
        </w:r>
        <w:r w:rsidRPr="00DB4824">
          <w:rPr>
            <w:rStyle w:val="Hyperlink"/>
            <w:rFonts w:eastAsia="Arial Unicode MS" w:cstheme="minorHAnsi"/>
            <w:szCs w:val="22"/>
          </w:rPr>
          <w:t>Final</w:t>
        </w:r>
        <w:r w:rsidR="00563A2B">
          <w:rPr>
            <w:rStyle w:val="Hyperlink"/>
            <w:rFonts w:eastAsia="Arial Unicode MS" w:cstheme="minorHAnsi"/>
            <w:szCs w:val="22"/>
          </w:rPr>
          <w:noBreakHyphen/>
        </w:r>
        <w:r w:rsidRPr="00DB4824">
          <w:rPr>
            <w:rStyle w:val="Hyperlink"/>
            <w:rFonts w:eastAsia="Arial Unicode MS" w:cstheme="minorHAnsi"/>
            <w:szCs w:val="22"/>
          </w:rPr>
          <w:t>Web.pdf</w:t>
        </w:r>
      </w:hyperlink>
      <w:r w:rsidRPr="00DB4824">
        <w:rPr>
          <w:rFonts w:eastAsia="Arial Unicode MS" w:cstheme="minorHAnsi"/>
          <w:szCs w:val="22"/>
        </w:rPr>
        <w:t xml:space="preserve"> </w:t>
      </w:r>
    </w:p>
    <w:p w14:paraId="54FEE430" w14:textId="1D829A87" w:rsidR="009A4DA0" w:rsidRPr="00514183" w:rsidRDefault="00251B58" w:rsidP="009A4DA0">
      <w:pPr>
        <w:spacing w:after="160" w:line="259" w:lineRule="auto"/>
        <w:rPr>
          <w:rFonts w:eastAsia="Arial Unicode MS"/>
        </w:rPr>
      </w:pPr>
      <w:r>
        <w:rPr>
          <w:rFonts w:eastAsia="Arial Unicode MS" w:cstheme="minorHAnsi"/>
        </w:rPr>
        <w:lastRenderedPageBreak/>
        <w:t>NSW</w:t>
      </w:r>
      <w:r w:rsidR="00A52F79">
        <w:rPr>
          <w:rFonts w:eastAsia="Arial Unicode MS" w:cstheme="minorHAnsi"/>
        </w:rPr>
        <w:t xml:space="preserve"> DCJ</w:t>
      </w:r>
      <w:r w:rsidR="00C67A37">
        <w:rPr>
          <w:rFonts w:eastAsia="Arial Unicode MS" w:cstheme="minorHAnsi"/>
        </w:rPr>
        <w:t xml:space="preserve"> (</w:t>
      </w:r>
      <w:r w:rsidR="009A4DA0" w:rsidRPr="001C320A">
        <w:rPr>
          <w:rFonts w:eastAsia="Arial Unicode MS" w:cstheme="minorHAnsi"/>
        </w:rPr>
        <w:t>New South Wales Government, Department of Communities and Justice</w:t>
      </w:r>
      <w:r w:rsidR="00C67A37">
        <w:rPr>
          <w:rFonts w:eastAsia="Arial Unicode MS" w:cstheme="minorHAnsi"/>
        </w:rPr>
        <w:t>)</w:t>
      </w:r>
      <w:r w:rsidR="009A4DA0" w:rsidRPr="001C320A">
        <w:rPr>
          <w:rFonts w:eastAsia="Arial Unicode MS" w:cstheme="minorHAnsi"/>
        </w:rPr>
        <w:t xml:space="preserve"> (2021), </w:t>
      </w:r>
      <w:r w:rsidR="009A4DA0" w:rsidRPr="00524168">
        <w:rPr>
          <w:rFonts w:eastAsia="Arial Unicode MS" w:cstheme="minorHAnsi"/>
          <w:i/>
        </w:rPr>
        <w:t>Review of the National Regulatory Regime for Community Housing (NRSCH) – Potential Future Reform Options Report</w:t>
      </w:r>
      <w:r w:rsidR="009A4DA0" w:rsidRPr="00524168">
        <w:rPr>
          <w:rFonts w:eastAsia="Arial Unicode MS" w:cstheme="minorHAnsi"/>
        </w:rPr>
        <w:t>,</w:t>
      </w:r>
      <w:r w:rsidR="009A4DA0" w:rsidRPr="001C320A">
        <w:rPr>
          <w:rFonts w:eastAsia="Arial Unicode MS" w:cstheme="minorHAnsi"/>
        </w:rPr>
        <w:t xml:space="preserve"> Department of Communities and Justice, Sydney</w:t>
      </w:r>
      <w:r w:rsidR="009A4DA0">
        <w:rPr>
          <w:rFonts w:eastAsia="Arial Unicode MS" w:cstheme="minorHAnsi"/>
        </w:rPr>
        <w:t>,</w:t>
      </w:r>
      <w:r w:rsidR="009A4DA0">
        <w:t xml:space="preserve"> </w:t>
      </w:r>
      <w:hyperlink r:id="rId112" w:history="1">
        <w:r w:rsidR="009A4DA0" w:rsidRPr="007C10B7">
          <w:rPr>
            <w:rStyle w:val="Hyperlink"/>
          </w:rPr>
          <w:t>https://www.facs.nsw.gov.au/reforms/NRSCH/review</w:t>
        </w:r>
        <w:r w:rsidR="00563A2B">
          <w:rPr>
            <w:rStyle w:val="Hyperlink"/>
          </w:rPr>
          <w:noBreakHyphen/>
        </w:r>
        <w:r w:rsidR="009A4DA0" w:rsidRPr="007C10B7">
          <w:rPr>
            <w:rStyle w:val="Hyperlink"/>
          </w:rPr>
          <w:t>of</w:t>
        </w:r>
        <w:r w:rsidR="00563A2B">
          <w:rPr>
            <w:rStyle w:val="Hyperlink"/>
          </w:rPr>
          <w:noBreakHyphen/>
        </w:r>
        <w:r w:rsidR="009A4DA0" w:rsidRPr="007C10B7">
          <w:rPr>
            <w:rStyle w:val="Hyperlink"/>
          </w:rPr>
          <w:t>the</w:t>
        </w:r>
        <w:r w:rsidR="00563A2B">
          <w:rPr>
            <w:rStyle w:val="Hyperlink"/>
          </w:rPr>
          <w:noBreakHyphen/>
        </w:r>
        <w:r w:rsidR="009A4DA0" w:rsidRPr="007C10B7">
          <w:rPr>
            <w:rStyle w:val="Hyperlink"/>
          </w:rPr>
          <w:t>national</w:t>
        </w:r>
        <w:r w:rsidR="00563A2B">
          <w:rPr>
            <w:rStyle w:val="Hyperlink"/>
          </w:rPr>
          <w:noBreakHyphen/>
        </w:r>
        <w:r w:rsidR="009A4DA0" w:rsidRPr="007C10B7">
          <w:rPr>
            <w:rStyle w:val="Hyperlink"/>
          </w:rPr>
          <w:t>regulatory</w:t>
        </w:r>
        <w:r w:rsidR="00563A2B">
          <w:rPr>
            <w:rStyle w:val="Hyperlink"/>
          </w:rPr>
          <w:noBreakHyphen/>
        </w:r>
        <w:r w:rsidR="009A4DA0" w:rsidRPr="007C10B7">
          <w:rPr>
            <w:rStyle w:val="Hyperlink"/>
          </w:rPr>
          <w:t>system</w:t>
        </w:r>
        <w:r w:rsidR="00563A2B">
          <w:rPr>
            <w:rStyle w:val="Hyperlink"/>
          </w:rPr>
          <w:noBreakHyphen/>
        </w:r>
        <w:r w:rsidR="009A4DA0" w:rsidRPr="007C10B7">
          <w:rPr>
            <w:rStyle w:val="Hyperlink"/>
          </w:rPr>
          <w:t>for</w:t>
        </w:r>
        <w:r w:rsidR="00563A2B">
          <w:rPr>
            <w:rStyle w:val="Hyperlink"/>
          </w:rPr>
          <w:noBreakHyphen/>
        </w:r>
        <w:r w:rsidR="009A4DA0" w:rsidRPr="007C10B7">
          <w:rPr>
            <w:rStyle w:val="Hyperlink"/>
          </w:rPr>
          <w:t>community</w:t>
        </w:r>
        <w:r w:rsidR="00563A2B">
          <w:rPr>
            <w:rStyle w:val="Hyperlink"/>
          </w:rPr>
          <w:noBreakHyphen/>
        </w:r>
        <w:r w:rsidR="009A4DA0" w:rsidRPr="007C10B7">
          <w:rPr>
            <w:rStyle w:val="Hyperlink"/>
          </w:rPr>
          <w:t>housing</w:t>
        </w:r>
      </w:hyperlink>
      <w:r w:rsidR="00563A2B">
        <w:t xml:space="preserve"> </w:t>
      </w:r>
    </w:p>
    <w:p w14:paraId="7CC843D3" w14:textId="3C2B3AE3" w:rsidR="00F9494C" w:rsidRPr="00F9494C" w:rsidRDefault="00C67A37" w:rsidP="009A4DA0">
      <w:pPr>
        <w:spacing w:after="160" w:line="259" w:lineRule="auto"/>
        <w:rPr>
          <w:rFonts w:eastAsia="Arial Unicode MS" w:cstheme="minorHAnsi"/>
        </w:rPr>
      </w:pPr>
      <w:r>
        <w:rPr>
          <w:rFonts w:eastAsia="Arial Unicode MS" w:cstheme="minorHAnsi"/>
        </w:rPr>
        <w:t>NSW DCJ (</w:t>
      </w:r>
      <w:r w:rsidR="00F9494C" w:rsidRPr="001C320A">
        <w:rPr>
          <w:rFonts w:eastAsia="Arial Unicode MS" w:cstheme="minorHAnsi"/>
        </w:rPr>
        <w:t>New South Wales Government, Department of Communities and Justice</w:t>
      </w:r>
      <w:r>
        <w:rPr>
          <w:rFonts w:eastAsia="Arial Unicode MS" w:cstheme="minorHAnsi"/>
        </w:rPr>
        <w:t>)</w:t>
      </w:r>
      <w:r w:rsidR="00F9494C" w:rsidRPr="001C320A">
        <w:rPr>
          <w:rFonts w:eastAsia="Arial Unicode MS" w:cstheme="minorHAnsi"/>
        </w:rPr>
        <w:t xml:space="preserve"> </w:t>
      </w:r>
      <w:r w:rsidR="00F9494C">
        <w:rPr>
          <w:rFonts w:eastAsia="Arial Unicode MS" w:cstheme="minorHAnsi"/>
        </w:rPr>
        <w:t xml:space="preserve">(2019), </w:t>
      </w:r>
      <w:r w:rsidR="00F9494C">
        <w:rPr>
          <w:rFonts w:eastAsia="Arial Unicode MS" w:cstheme="minorHAnsi"/>
          <w:i/>
          <w:iCs/>
        </w:rPr>
        <w:t>NRSCH Review Discussion Paper</w:t>
      </w:r>
      <w:r w:rsidR="00F9494C">
        <w:rPr>
          <w:rFonts w:eastAsia="Arial Unicode MS" w:cstheme="minorHAnsi"/>
        </w:rPr>
        <w:t xml:space="preserve">, </w:t>
      </w:r>
      <w:r w:rsidR="00F9494C" w:rsidRPr="001C320A">
        <w:rPr>
          <w:rFonts w:eastAsia="Arial Unicode MS" w:cstheme="minorHAnsi"/>
        </w:rPr>
        <w:t>Department of Communities and Justice</w:t>
      </w:r>
      <w:r w:rsidR="00F9494C">
        <w:rPr>
          <w:rFonts w:eastAsia="Arial Unicode MS" w:cstheme="minorHAnsi"/>
        </w:rPr>
        <w:t xml:space="preserve">, Sydney, </w:t>
      </w:r>
      <w:hyperlink r:id="rId113" w:history="1">
        <w:r w:rsidR="00F9494C" w:rsidRPr="00F9494C">
          <w:rPr>
            <w:rStyle w:val="Hyperlink"/>
          </w:rPr>
          <w:t>https://www.facs.nsw.gov.au/download?file=640701</w:t>
        </w:r>
      </w:hyperlink>
      <w:r w:rsidR="00F9494C">
        <w:t xml:space="preserve"> </w:t>
      </w:r>
    </w:p>
    <w:p w14:paraId="3356B28E" w14:textId="1555B2FA" w:rsidR="005B58F6" w:rsidRDefault="005B58F6" w:rsidP="005B58F6">
      <w:pPr>
        <w:rPr>
          <w:rFonts w:eastAsia="Arial Unicode MS"/>
        </w:rPr>
      </w:pPr>
      <w:r w:rsidRPr="005B58F6">
        <w:rPr>
          <w:rFonts w:eastAsia="Arial Unicode MS"/>
        </w:rPr>
        <w:t xml:space="preserve">New South Wales Government, Department of Planning (2023), </w:t>
      </w:r>
      <w:r w:rsidRPr="005B58F6">
        <w:rPr>
          <w:rFonts w:eastAsia="Arial Unicode MS"/>
          <w:i/>
          <w:iCs/>
        </w:rPr>
        <w:t>Housing SEPP</w:t>
      </w:r>
      <w:r w:rsidRPr="005B58F6">
        <w:rPr>
          <w:rFonts w:eastAsia="Arial Unicode MS"/>
        </w:rPr>
        <w:t xml:space="preserve">, New South Wales Government website, accessed 9 June 2023, </w:t>
      </w:r>
      <w:hyperlink r:id="rId114" w:anchor="sec.13" w:history="1">
        <w:r w:rsidRPr="00705BF8">
          <w:rPr>
            <w:rStyle w:val="Hyperlink"/>
            <w:rFonts w:eastAsia="Arial Unicode MS" w:cstheme="minorHAnsi"/>
            <w:szCs w:val="22"/>
          </w:rPr>
          <w:t>https://legislation.nsw.gov.au/view/html/inforce/current/epi</w:t>
        </w:r>
        <w:r w:rsidR="00563A2B">
          <w:rPr>
            <w:rStyle w:val="Hyperlink"/>
            <w:rFonts w:eastAsia="Arial Unicode MS" w:cstheme="minorHAnsi"/>
            <w:szCs w:val="22"/>
          </w:rPr>
          <w:noBreakHyphen/>
        </w:r>
        <w:r w:rsidRPr="00705BF8">
          <w:rPr>
            <w:rStyle w:val="Hyperlink"/>
            <w:rFonts w:eastAsia="Arial Unicode MS" w:cstheme="minorHAnsi"/>
            <w:szCs w:val="22"/>
          </w:rPr>
          <w:t>2021</w:t>
        </w:r>
        <w:r w:rsidR="00563A2B">
          <w:rPr>
            <w:rStyle w:val="Hyperlink"/>
            <w:rFonts w:eastAsia="Arial Unicode MS" w:cstheme="minorHAnsi"/>
            <w:szCs w:val="22"/>
          </w:rPr>
          <w:noBreakHyphen/>
        </w:r>
        <w:r w:rsidRPr="00705BF8">
          <w:rPr>
            <w:rStyle w:val="Hyperlink"/>
            <w:rFonts w:eastAsia="Arial Unicode MS" w:cstheme="minorHAnsi"/>
            <w:szCs w:val="22"/>
          </w:rPr>
          <w:t>0714#sec.13</w:t>
        </w:r>
      </w:hyperlink>
    </w:p>
    <w:p w14:paraId="5184EC03" w14:textId="3156EDC6" w:rsidR="009A4DA0" w:rsidRPr="004D08E0" w:rsidRDefault="009A4DA0" w:rsidP="009A4DA0">
      <w:pPr>
        <w:spacing w:after="160" w:line="259" w:lineRule="auto"/>
        <w:rPr>
          <w:rFonts w:eastAsia="Arial Unicode MS" w:cstheme="minorHAnsi"/>
          <w:i/>
        </w:rPr>
      </w:pPr>
      <w:r w:rsidRPr="0022670C">
        <w:rPr>
          <w:rFonts w:eastAsia="Arial Unicode MS" w:cstheme="minorHAnsi"/>
        </w:rPr>
        <w:t xml:space="preserve">New South Wales Government, </w:t>
      </w:r>
      <w:r>
        <w:rPr>
          <w:rFonts w:eastAsia="Arial Unicode MS" w:cstheme="minorHAnsi"/>
        </w:rPr>
        <w:t xml:space="preserve">NSW Revenue (2022), </w:t>
      </w:r>
      <w:r w:rsidRPr="004D08E0">
        <w:rPr>
          <w:rFonts w:eastAsia="Arial Unicode MS" w:cstheme="minorHAnsi"/>
          <w:i/>
          <w:iCs/>
        </w:rPr>
        <w:t>Treasurer</w:t>
      </w:r>
      <w:r w:rsidR="00563A2B">
        <w:rPr>
          <w:rFonts w:eastAsia="Arial Unicode MS" w:cstheme="minorHAnsi"/>
          <w:i/>
          <w:iCs/>
        </w:rPr>
        <w:t>’</w:t>
      </w:r>
      <w:r w:rsidRPr="004D08E0">
        <w:rPr>
          <w:rFonts w:eastAsia="Arial Unicode MS" w:cstheme="minorHAnsi"/>
          <w:i/>
          <w:iCs/>
        </w:rPr>
        <w:t>s Guidelines for the Reduction in Land Value for Certain Build</w:t>
      </w:r>
      <w:r w:rsidR="00563A2B">
        <w:rPr>
          <w:rFonts w:eastAsia="Arial Unicode MS" w:cstheme="minorHAnsi"/>
          <w:i/>
          <w:iCs/>
        </w:rPr>
        <w:noBreakHyphen/>
      </w:r>
      <w:r w:rsidRPr="004D08E0">
        <w:rPr>
          <w:rFonts w:eastAsia="Arial Unicode MS" w:cstheme="minorHAnsi"/>
          <w:i/>
          <w:iCs/>
        </w:rPr>
        <w:t>to</w:t>
      </w:r>
      <w:r w:rsidR="00563A2B">
        <w:rPr>
          <w:rFonts w:eastAsia="Arial Unicode MS" w:cstheme="minorHAnsi"/>
          <w:i/>
          <w:iCs/>
        </w:rPr>
        <w:noBreakHyphen/>
      </w:r>
      <w:r w:rsidRPr="004D08E0">
        <w:rPr>
          <w:rFonts w:eastAsia="Arial Unicode MS" w:cstheme="minorHAnsi"/>
          <w:i/>
          <w:iCs/>
        </w:rPr>
        <w:t>rent Properties, for Land Tax Purposes</w:t>
      </w:r>
      <w:r>
        <w:rPr>
          <w:rFonts w:eastAsia="Arial Unicode MS" w:cstheme="minorHAnsi"/>
        </w:rPr>
        <w:t xml:space="preserve">, NSW Revenue, Sydney, </w:t>
      </w:r>
      <w:hyperlink r:id="rId115" w:history="1">
        <w:r w:rsidRPr="00022B0C">
          <w:rPr>
            <w:rStyle w:val="Hyperlink"/>
            <w:rFonts w:eastAsia="Arial Unicode MS" w:cstheme="minorHAnsi"/>
          </w:rPr>
          <w:t>https://www.treasury.nsw.gov.au/sites/default/files/2021</w:t>
        </w:r>
        <w:r w:rsidR="00563A2B">
          <w:rPr>
            <w:rStyle w:val="Hyperlink"/>
            <w:rFonts w:eastAsia="Arial Unicode MS" w:cstheme="minorHAnsi"/>
          </w:rPr>
          <w:noBreakHyphen/>
        </w:r>
        <w:r w:rsidRPr="00022B0C">
          <w:rPr>
            <w:rStyle w:val="Hyperlink"/>
            <w:rFonts w:eastAsia="Arial Unicode MS" w:cstheme="minorHAnsi"/>
          </w:rPr>
          <w:t>02/Treasurer%E2%80%99s%20Guidelines%20for%20the%20Reduction%20in%20Land%20Value%20for%20Certain%20Build</w:t>
        </w:r>
        <w:r w:rsidR="00563A2B">
          <w:rPr>
            <w:rStyle w:val="Hyperlink"/>
            <w:rFonts w:eastAsia="Arial Unicode MS" w:cstheme="minorHAnsi"/>
          </w:rPr>
          <w:noBreakHyphen/>
        </w:r>
        <w:r w:rsidRPr="00022B0C">
          <w:rPr>
            <w:rStyle w:val="Hyperlink"/>
            <w:rFonts w:eastAsia="Arial Unicode MS" w:cstheme="minorHAnsi"/>
          </w:rPr>
          <w:t>to</w:t>
        </w:r>
        <w:r w:rsidR="00563A2B">
          <w:rPr>
            <w:rStyle w:val="Hyperlink"/>
            <w:rFonts w:eastAsia="Arial Unicode MS" w:cstheme="minorHAnsi"/>
          </w:rPr>
          <w:noBreakHyphen/>
        </w:r>
        <w:r w:rsidRPr="00022B0C">
          <w:rPr>
            <w:rStyle w:val="Hyperlink"/>
            <w:rFonts w:eastAsia="Arial Unicode MS" w:cstheme="minorHAnsi"/>
          </w:rPr>
          <w:t>rent%20Properties%2C%20for%20Land%20Tax%20Purposes.pdf</w:t>
        </w:r>
      </w:hyperlink>
      <w:r>
        <w:rPr>
          <w:rFonts w:eastAsia="Arial Unicode MS" w:cstheme="minorHAnsi"/>
        </w:rPr>
        <w:t xml:space="preserve"> </w:t>
      </w:r>
    </w:p>
    <w:p w14:paraId="735F227A" w14:textId="0399FF83" w:rsidR="009A4DA0" w:rsidRPr="001C320A" w:rsidRDefault="009A4DA0" w:rsidP="009A4DA0">
      <w:pPr>
        <w:spacing w:after="160" w:line="259" w:lineRule="auto"/>
        <w:rPr>
          <w:rFonts w:eastAsia="Arial Unicode MS" w:cstheme="minorHAnsi"/>
        </w:rPr>
      </w:pPr>
      <w:r w:rsidRPr="001C320A">
        <w:rPr>
          <w:rFonts w:eastAsia="Arial Unicode MS" w:cstheme="minorHAnsi"/>
        </w:rPr>
        <w:t xml:space="preserve">NHFIC (National Housing Finance and Investment Corporation) (2023), </w:t>
      </w:r>
      <w:r w:rsidRPr="00803AE9">
        <w:rPr>
          <w:rFonts w:eastAsia="Arial Unicode MS" w:cstheme="minorHAnsi"/>
          <w:i/>
        </w:rPr>
        <w:t>State of the Nation</w:t>
      </w:r>
      <w:r w:rsidR="00563A2B">
        <w:rPr>
          <w:rFonts w:eastAsia="Arial Unicode MS" w:cstheme="minorHAnsi"/>
          <w:i/>
        </w:rPr>
        <w:t>’</w:t>
      </w:r>
      <w:r w:rsidRPr="00803AE9">
        <w:rPr>
          <w:rFonts w:eastAsia="Arial Unicode MS" w:cstheme="minorHAnsi"/>
          <w:i/>
        </w:rPr>
        <w:t>s Housing Report 2022</w:t>
      </w:r>
      <w:r w:rsidR="00815E0F">
        <w:rPr>
          <w:rFonts w:eastAsia="Arial Unicode MS" w:cstheme="minorHAnsi"/>
          <w:i/>
        </w:rPr>
        <w:t>–</w:t>
      </w:r>
      <w:r w:rsidRPr="00803AE9">
        <w:rPr>
          <w:rFonts w:eastAsia="Arial Unicode MS" w:cstheme="minorHAnsi"/>
          <w:i/>
        </w:rPr>
        <w:t>23</w:t>
      </w:r>
      <w:r w:rsidRPr="001C320A">
        <w:rPr>
          <w:rFonts w:eastAsia="Arial Unicode MS" w:cstheme="minorHAnsi"/>
          <w:i/>
        </w:rPr>
        <w:t>,</w:t>
      </w:r>
      <w:r w:rsidRPr="001C320A">
        <w:rPr>
          <w:rFonts w:eastAsia="Arial Unicode MS" w:cstheme="minorHAnsi"/>
        </w:rPr>
        <w:t xml:space="preserve"> NHFIC, Sydney</w:t>
      </w:r>
      <w:r>
        <w:rPr>
          <w:rFonts w:eastAsia="Arial Unicode MS" w:cstheme="minorHAnsi"/>
        </w:rPr>
        <w:t xml:space="preserve">, </w:t>
      </w:r>
      <w:hyperlink r:id="rId116" w:history="1">
        <w:r w:rsidRPr="009765E4">
          <w:rPr>
            <w:rStyle w:val="Hyperlink"/>
            <w:rFonts w:eastAsia="Arial Unicode MS" w:cstheme="minorHAnsi"/>
          </w:rPr>
          <w:t>https://www.nhfic.gov.au/research/state</w:t>
        </w:r>
        <w:r w:rsidR="00563A2B">
          <w:rPr>
            <w:rStyle w:val="Hyperlink"/>
            <w:rFonts w:eastAsia="Arial Unicode MS" w:cstheme="minorHAnsi"/>
          </w:rPr>
          <w:noBreakHyphen/>
        </w:r>
        <w:r w:rsidRPr="009765E4">
          <w:rPr>
            <w:rStyle w:val="Hyperlink"/>
            <w:rFonts w:eastAsia="Arial Unicode MS" w:cstheme="minorHAnsi"/>
          </w:rPr>
          <w:t>nations</w:t>
        </w:r>
        <w:r w:rsidR="00563A2B">
          <w:rPr>
            <w:rStyle w:val="Hyperlink"/>
            <w:rFonts w:eastAsia="Arial Unicode MS" w:cstheme="minorHAnsi"/>
          </w:rPr>
          <w:noBreakHyphen/>
        </w:r>
        <w:r w:rsidRPr="009765E4">
          <w:rPr>
            <w:rStyle w:val="Hyperlink"/>
            <w:rFonts w:eastAsia="Arial Unicode MS" w:cstheme="minorHAnsi"/>
          </w:rPr>
          <w:t>housing</w:t>
        </w:r>
        <w:r w:rsidR="00563A2B">
          <w:rPr>
            <w:rStyle w:val="Hyperlink"/>
            <w:rFonts w:eastAsia="Arial Unicode MS" w:cstheme="minorHAnsi"/>
          </w:rPr>
          <w:noBreakHyphen/>
        </w:r>
        <w:r w:rsidRPr="009765E4">
          <w:rPr>
            <w:rStyle w:val="Hyperlink"/>
            <w:rFonts w:eastAsia="Arial Unicode MS" w:cstheme="minorHAnsi"/>
          </w:rPr>
          <w:t>report</w:t>
        </w:r>
        <w:r w:rsidR="00563A2B">
          <w:rPr>
            <w:rStyle w:val="Hyperlink"/>
            <w:rFonts w:eastAsia="Arial Unicode MS" w:cstheme="minorHAnsi"/>
          </w:rPr>
          <w:noBreakHyphen/>
        </w:r>
        <w:r w:rsidRPr="009765E4">
          <w:rPr>
            <w:rStyle w:val="Hyperlink"/>
            <w:rFonts w:eastAsia="Arial Unicode MS" w:cstheme="minorHAnsi"/>
          </w:rPr>
          <w:t>2022</w:t>
        </w:r>
        <w:r w:rsidR="00563A2B">
          <w:rPr>
            <w:rStyle w:val="Hyperlink"/>
            <w:rFonts w:eastAsia="Arial Unicode MS" w:cstheme="minorHAnsi"/>
          </w:rPr>
          <w:noBreakHyphen/>
        </w:r>
        <w:r w:rsidRPr="009765E4">
          <w:rPr>
            <w:rStyle w:val="Hyperlink"/>
            <w:rFonts w:eastAsia="Arial Unicode MS" w:cstheme="minorHAnsi"/>
          </w:rPr>
          <w:t>23</w:t>
        </w:r>
      </w:hyperlink>
      <w:r>
        <w:rPr>
          <w:rFonts w:eastAsia="Arial Unicode MS" w:cstheme="minorHAnsi"/>
        </w:rPr>
        <w:t xml:space="preserve"> </w:t>
      </w:r>
    </w:p>
    <w:p w14:paraId="53FA35E7" w14:textId="21199BB6" w:rsidR="00A820CD" w:rsidRPr="001C320A" w:rsidRDefault="00A820CD" w:rsidP="00A820CD">
      <w:pPr>
        <w:spacing w:after="160" w:line="259" w:lineRule="auto"/>
        <w:rPr>
          <w:rFonts w:eastAsia="Arial Unicode MS" w:cstheme="minorHAnsi"/>
          <w:szCs w:val="22"/>
        </w:rPr>
      </w:pPr>
      <w:r w:rsidRPr="00941203">
        <w:rPr>
          <w:rFonts w:eastAsia="Arial Unicode MS" w:cstheme="minorHAnsi"/>
          <w:szCs w:val="22"/>
        </w:rPr>
        <w:t xml:space="preserve">OECD </w:t>
      </w:r>
      <w:r>
        <w:rPr>
          <w:rFonts w:eastAsia="Arial Unicode MS" w:cstheme="minorHAnsi"/>
          <w:szCs w:val="22"/>
        </w:rPr>
        <w:t>(Organisation for Economic Co</w:t>
      </w:r>
      <w:r w:rsidR="00563A2B">
        <w:rPr>
          <w:rFonts w:eastAsia="Arial Unicode MS" w:cstheme="minorHAnsi"/>
          <w:szCs w:val="22"/>
        </w:rPr>
        <w:noBreakHyphen/>
      </w:r>
      <w:r>
        <w:rPr>
          <w:rFonts w:eastAsia="Arial Unicode MS" w:cstheme="minorHAnsi"/>
          <w:szCs w:val="22"/>
        </w:rPr>
        <w:t xml:space="preserve">operation and Development (2021), </w:t>
      </w:r>
      <w:r w:rsidRPr="00740B32">
        <w:rPr>
          <w:rFonts w:eastAsia="Arial Unicode MS" w:cstheme="minorHAnsi"/>
          <w:i/>
          <w:iCs/>
          <w:szCs w:val="22"/>
        </w:rPr>
        <w:t>Report: Measures to Property Developers to Finance Affordable Housing Construction</w:t>
      </w:r>
      <w:r>
        <w:rPr>
          <w:rFonts w:eastAsia="Arial Unicode MS" w:cstheme="minorHAnsi"/>
          <w:szCs w:val="22"/>
        </w:rPr>
        <w:t xml:space="preserve">, OECD, Paris, </w:t>
      </w:r>
      <w:hyperlink r:id="rId117" w:history="1">
        <w:r w:rsidRPr="00CE4561">
          <w:rPr>
            <w:rStyle w:val="Hyperlink"/>
            <w:rFonts w:eastAsia="Arial Unicode MS" w:cstheme="minorHAnsi"/>
            <w:szCs w:val="22"/>
          </w:rPr>
          <w:t>https://www.oecd.org/els/family/PH5</w:t>
        </w:r>
        <w:r w:rsidR="00563A2B">
          <w:rPr>
            <w:rStyle w:val="Hyperlink"/>
            <w:rFonts w:eastAsia="Arial Unicode MS" w:cstheme="minorHAnsi"/>
            <w:szCs w:val="22"/>
          </w:rPr>
          <w:noBreakHyphen/>
        </w:r>
        <w:r w:rsidRPr="00CE4561">
          <w:rPr>
            <w:rStyle w:val="Hyperlink"/>
            <w:rFonts w:eastAsia="Arial Unicode MS" w:cstheme="minorHAnsi"/>
            <w:szCs w:val="22"/>
          </w:rPr>
          <w:t>1</w:t>
        </w:r>
        <w:r w:rsidR="00563A2B">
          <w:rPr>
            <w:rStyle w:val="Hyperlink"/>
            <w:rFonts w:eastAsia="Arial Unicode MS" w:cstheme="minorHAnsi"/>
            <w:szCs w:val="22"/>
          </w:rPr>
          <w:noBreakHyphen/>
        </w:r>
        <w:r w:rsidRPr="00CE4561">
          <w:rPr>
            <w:rStyle w:val="Hyperlink"/>
            <w:rFonts w:eastAsia="Arial Unicode MS" w:cstheme="minorHAnsi"/>
            <w:szCs w:val="22"/>
          </w:rPr>
          <w:t>Measures</w:t>
        </w:r>
        <w:r w:rsidR="00563A2B">
          <w:rPr>
            <w:rStyle w:val="Hyperlink"/>
            <w:rFonts w:eastAsia="Arial Unicode MS" w:cstheme="minorHAnsi"/>
            <w:szCs w:val="22"/>
          </w:rPr>
          <w:noBreakHyphen/>
        </w:r>
        <w:r w:rsidRPr="00CE4561">
          <w:rPr>
            <w:rStyle w:val="Hyperlink"/>
            <w:rFonts w:eastAsia="Arial Unicode MS" w:cstheme="minorHAnsi"/>
            <w:szCs w:val="22"/>
          </w:rPr>
          <w:t>financing</w:t>
        </w:r>
        <w:r w:rsidR="00563A2B">
          <w:rPr>
            <w:rStyle w:val="Hyperlink"/>
            <w:rFonts w:eastAsia="Arial Unicode MS" w:cstheme="minorHAnsi"/>
            <w:szCs w:val="22"/>
          </w:rPr>
          <w:noBreakHyphen/>
        </w:r>
        <w:r w:rsidRPr="00CE4561">
          <w:rPr>
            <w:rStyle w:val="Hyperlink"/>
            <w:rFonts w:eastAsia="Arial Unicode MS" w:cstheme="minorHAnsi"/>
            <w:szCs w:val="22"/>
          </w:rPr>
          <w:t>affordable</w:t>
        </w:r>
        <w:r w:rsidR="00563A2B">
          <w:rPr>
            <w:rStyle w:val="Hyperlink"/>
            <w:rFonts w:eastAsia="Arial Unicode MS" w:cstheme="minorHAnsi"/>
            <w:szCs w:val="22"/>
          </w:rPr>
          <w:noBreakHyphen/>
        </w:r>
        <w:r w:rsidRPr="00CE4561">
          <w:rPr>
            <w:rStyle w:val="Hyperlink"/>
            <w:rFonts w:eastAsia="Arial Unicode MS" w:cstheme="minorHAnsi"/>
            <w:szCs w:val="22"/>
          </w:rPr>
          <w:t>housing</w:t>
        </w:r>
        <w:r w:rsidR="00563A2B">
          <w:rPr>
            <w:rStyle w:val="Hyperlink"/>
            <w:rFonts w:eastAsia="Arial Unicode MS" w:cstheme="minorHAnsi"/>
            <w:szCs w:val="22"/>
          </w:rPr>
          <w:noBreakHyphen/>
        </w:r>
        <w:r w:rsidRPr="00CE4561">
          <w:rPr>
            <w:rStyle w:val="Hyperlink"/>
            <w:rFonts w:eastAsia="Arial Unicode MS" w:cstheme="minorHAnsi"/>
            <w:szCs w:val="22"/>
          </w:rPr>
          <w:t>development.pdf</w:t>
        </w:r>
      </w:hyperlink>
      <w:r>
        <w:rPr>
          <w:rFonts w:eastAsia="Arial Unicode MS" w:cstheme="minorHAnsi"/>
          <w:szCs w:val="22"/>
        </w:rPr>
        <w:t xml:space="preserve"> </w:t>
      </w:r>
    </w:p>
    <w:p w14:paraId="23BA9809" w14:textId="5109DD46" w:rsidR="009A4DA0" w:rsidRDefault="009A4DA0" w:rsidP="009A4DA0">
      <w:pPr>
        <w:rPr>
          <w:rFonts w:eastAsia="Arial Unicode MS" w:cstheme="minorHAnsi"/>
          <w:szCs w:val="22"/>
        </w:rPr>
      </w:pPr>
      <w:r>
        <w:rPr>
          <w:rFonts w:eastAsia="Arial Unicode MS" w:cstheme="minorHAnsi"/>
          <w:szCs w:val="22"/>
        </w:rPr>
        <w:t>OECD</w:t>
      </w:r>
      <w:r w:rsidR="006D702A">
        <w:rPr>
          <w:rFonts w:eastAsia="Arial Unicode MS" w:cstheme="minorHAnsi"/>
          <w:szCs w:val="22"/>
        </w:rPr>
        <w:t xml:space="preserve"> </w:t>
      </w:r>
      <w:r w:rsidR="00C73391">
        <w:rPr>
          <w:rFonts w:eastAsia="Arial Unicode MS" w:cstheme="minorHAnsi"/>
          <w:szCs w:val="22"/>
        </w:rPr>
        <w:t>(Organisation for Economic Co</w:t>
      </w:r>
      <w:r w:rsidR="00563A2B">
        <w:rPr>
          <w:rFonts w:eastAsia="Arial Unicode MS" w:cstheme="minorHAnsi"/>
          <w:szCs w:val="22"/>
        </w:rPr>
        <w:noBreakHyphen/>
      </w:r>
      <w:r w:rsidR="00C73391">
        <w:rPr>
          <w:rFonts w:eastAsia="Arial Unicode MS" w:cstheme="minorHAnsi"/>
          <w:szCs w:val="22"/>
        </w:rPr>
        <w:t>operation and Development)</w:t>
      </w:r>
      <w:r w:rsidR="006D702A">
        <w:rPr>
          <w:rFonts w:eastAsia="Arial Unicode MS" w:cstheme="minorHAnsi"/>
          <w:szCs w:val="22"/>
        </w:rPr>
        <w:t xml:space="preserve"> (2023</w:t>
      </w:r>
      <w:r>
        <w:rPr>
          <w:rFonts w:eastAsia="Arial Unicode MS" w:cstheme="minorHAnsi"/>
          <w:szCs w:val="22"/>
        </w:rPr>
        <w:t xml:space="preserve">), </w:t>
      </w:r>
      <w:r w:rsidRPr="004D08E0">
        <w:rPr>
          <w:rFonts w:eastAsia="Arial Unicode MS" w:cstheme="minorHAnsi"/>
          <w:i/>
          <w:iCs/>
          <w:szCs w:val="22"/>
        </w:rPr>
        <w:t>Housing Database</w:t>
      </w:r>
      <w:r>
        <w:rPr>
          <w:rFonts w:eastAsia="Arial Unicode MS" w:cstheme="minorHAnsi"/>
          <w:szCs w:val="22"/>
        </w:rPr>
        <w:t xml:space="preserve">, OECD, Paris, </w:t>
      </w:r>
      <w:hyperlink r:id="rId118" w:history="1">
        <w:r w:rsidR="00B538EE" w:rsidRPr="00CE4561">
          <w:rPr>
            <w:rStyle w:val="Hyperlink"/>
            <w:rFonts w:eastAsia="Arial Unicode MS" w:cstheme="minorHAnsi"/>
            <w:szCs w:val="22"/>
          </w:rPr>
          <w:t>https://www.oecd.org/housing/data/affordable</w:t>
        </w:r>
        <w:r w:rsidR="00563A2B">
          <w:rPr>
            <w:rStyle w:val="Hyperlink"/>
            <w:rFonts w:eastAsia="Arial Unicode MS" w:cstheme="minorHAnsi"/>
            <w:szCs w:val="22"/>
          </w:rPr>
          <w:noBreakHyphen/>
        </w:r>
        <w:r w:rsidR="00B538EE" w:rsidRPr="00CE4561">
          <w:rPr>
            <w:rStyle w:val="Hyperlink"/>
            <w:rFonts w:eastAsia="Arial Unicode MS" w:cstheme="minorHAnsi"/>
            <w:szCs w:val="22"/>
          </w:rPr>
          <w:t>housing</w:t>
        </w:r>
        <w:r w:rsidR="00563A2B">
          <w:rPr>
            <w:rStyle w:val="Hyperlink"/>
            <w:rFonts w:eastAsia="Arial Unicode MS" w:cstheme="minorHAnsi"/>
            <w:szCs w:val="22"/>
          </w:rPr>
          <w:noBreakHyphen/>
        </w:r>
        <w:r w:rsidR="00B538EE" w:rsidRPr="00CE4561">
          <w:rPr>
            <w:rStyle w:val="Hyperlink"/>
            <w:rFonts w:eastAsia="Arial Unicode MS" w:cstheme="minorHAnsi"/>
            <w:szCs w:val="22"/>
          </w:rPr>
          <w:t>database/</w:t>
        </w:r>
      </w:hyperlink>
      <w:r w:rsidR="00B538EE">
        <w:rPr>
          <w:rStyle w:val="Hyperlink"/>
          <w:rFonts w:eastAsia="Arial Unicode MS" w:cstheme="minorHAnsi"/>
          <w:szCs w:val="22"/>
        </w:rPr>
        <w:t xml:space="preserve"> </w:t>
      </w:r>
      <w:r w:rsidR="00F479CC">
        <w:rPr>
          <w:rFonts w:eastAsia="Arial Unicode MS" w:cstheme="minorHAnsi"/>
        </w:rPr>
        <w:t>accessed July 2023.</w:t>
      </w:r>
      <w:r w:rsidR="00B538EE">
        <w:rPr>
          <w:rFonts w:eastAsia="Arial Unicode MS" w:cstheme="minorHAnsi"/>
          <w:szCs w:val="22"/>
        </w:rPr>
        <w:t xml:space="preserve"> </w:t>
      </w:r>
    </w:p>
    <w:p w14:paraId="3ED60D43" w14:textId="0DE729FE" w:rsidR="009A4DA0" w:rsidRPr="00514183" w:rsidRDefault="009A4DA0" w:rsidP="009A4DA0">
      <w:r>
        <w:t xml:space="preserve">Office for National Statistics (2021), </w:t>
      </w:r>
      <w:r w:rsidRPr="00AD6166">
        <w:rPr>
          <w:i/>
        </w:rPr>
        <w:t>Housing, England and Wales: Census 2021</w:t>
      </w:r>
      <w:r>
        <w:t xml:space="preserve">, </w:t>
      </w:r>
      <w:hyperlink r:id="rId119" w:history="1">
        <w:r w:rsidRPr="00834E32">
          <w:rPr>
            <w:rStyle w:val="Hyperlink"/>
          </w:rPr>
          <w:t>https://www.ons.gov.uk/peoplepopulationandcommunity/housing/bulletins/housingenglandandwales/census2021</w:t>
        </w:r>
      </w:hyperlink>
      <w:r w:rsidR="00F479CC">
        <w:rPr>
          <w:rStyle w:val="Hyperlink"/>
        </w:rPr>
        <w:t xml:space="preserve"> </w:t>
      </w:r>
      <w:r w:rsidR="00F479CC">
        <w:rPr>
          <w:rFonts w:eastAsia="Arial Unicode MS" w:cstheme="minorHAnsi"/>
        </w:rPr>
        <w:t>accessed July 2023.</w:t>
      </w:r>
    </w:p>
    <w:p w14:paraId="34C7A5B9" w14:textId="3447068E" w:rsidR="009A4DA0" w:rsidRDefault="009A4DA0" w:rsidP="009A4DA0">
      <w:pPr>
        <w:spacing w:before="0" w:after="160" w:line="259" w:lineRule="auto"/>
      </w:pPr>
      <w:r w:rsidRPr="00FD4D39">
        <w:t xml:space="preserve">Pawson H, Martin C, van den </w:t>
      </w:r>
      <w:proofErr w:type="spellStart"/>
      <w:r w:rsidRPr="00FD4D39">
        <w:t>Nouwelant</w:t>
      </w:r>
      <w:proofErr w:type="spellEnd"/>
      <w:r w:rsidRPr="00FD4D39">
        <w:t xml:space="preserve"> R, Milligan V, </w:t>
      </w:r>
      <w:proofErr w:type="spellStart"/>
      <w:r w:rsidRPr="00FD4D39">
        <w:t>Ruming</w:t>
      </w:r>
      <w:proofErr w:type="spellEnd"/>
      <w:r w:rsidRPr="00FD4D39">
        <w:t xml:space="preserve"> K, </w:t>
      </w:r>
      <w:r>
        <w:t>and</w:t>
      </w:r>
      <w:r w:rsidRPr="00FD4D39">
        <w:t xml:space="preserve"> Melo M. (2019) </w:t>
      </w:r>
      <w:r w:rsidRPr="004D08E0">
        <w:rPr>
          <w:i/>
        </w:rPr>
        <w:t>Build to rent in Australia: Product feasibility and affordable housing contribution</w:t>
      </w:r>
      <w:r w:rsidRPr="00FD4D39">
        <w:t>, Report, Sydney</w:t>
      </w:r>
      <w:r>
        <w:t>,</w:t>
      </w:r>
      <w:r w:rsidRPr="00FD4D39">
        <w:t xml:space="preserve"> </w:t>
      </w:r>
      <w:proofErr w:type="spellStart"/>
      <w:r w:rsidRPr="00FD4D39">
        <w:t>Landcom</w:t>
      </w:r>
      <w:proofErr w:type="spellEnd"/>
      <w:r>
        <w:t xml:space="preserve">, </w:t>
      </w:r>
      <w:hyperlink r:id="rId120" w:history="1">
        <w:r w:rsidRPr="00022B0C">
          <w:rPr>
            <w:rStyle w:val="Hyperlink"/>
          </w:rPr>
          <w:t>https://cityfutures.ada.unsw.edu.au/documents/551/LCOM_0000_Build_to_Rent_Report_WEB_July_2019.pdf</w:t>
        </w:r>
      </w:hyperlink>
      <w:r w:rsidR="00563A2B">
        <w:t xml:space="preserve"> </w:t>
      </w:r>
    </w:p>
    <w:p w14:paraId="6A2D70A3" w14:textId="7BBCE89F" w:rsidR="009A4DA0" w:rsidRPr="00960FBB" w:rsidRDefault="009A4DA0" w:rsidP="009A4DA0">
      <w:pPr>
        <w:spacing w:before="0" w:after="160" w:line="259" w:lineRule="auto"/>
      </w:pPr>
      <w:r>
        <w:t>Pawson H, Milligan V and Yates J</w:t>
      </w:r>
      <w:r w:rsidR="00D808C4">
        <w:t>.</w:t>
      </w:r>
      <w:r>
        <w:t xml:space="preserve"> (2019), </w:t>
      </w:r>
      <w:r>
        <w:rPr>
          <w:i/>
          <w:iCs/>
        </w:rPr>
        <w:t>Housing policy in Australia: A case for system reform</w:t>
      </w:r>
      <w:r>
        <w:t>, Palgrave Macmillan, Singapore.</w:t>
      </w:r>
    </w:p>
    <w:p w14:paraId="6C471386" w14:textId="535AAB61" w:rsidR="009A4DA0" w:rsidRDefault="009A4DA0" w:rsidP="009A4DA0">
      <w:pPr>
        <w:spacing w:before="0" w:after="160" w:line="259" w:lineRule="auto"/>
      </w:pPr>
      <w:r w:rsidRPr="00960707">
        <w:t>Pawson</w:t>
      </w:r>
      <w:r>
        <w:t xml:space="preserve"> H</w:t>
      </w:r>
      <w:r w:rsidRPr="00960707">
        <w:t xml:space="preserve"> and Milligan </w:t>
      </w:r>
      <w:r>
        <w:t>V</w:t>
      </w:r>
      <w:r w:rsidR="00D808C4">
        <w:t>.</w:t>
      </w:r>
      <w:r>
        <w:t xml:space="preserve"> (2013) </w:t>
      </w:r>
      <w:r w:rsidR="00563A2B">
        <w:t>‘</w:t>
      </w:r>
      <w:r w:rsidRPr="00960707">
        <w:t xml:space="preserve">New dawn or chimera? Can </w:t>
      </w:r>
      <w:proofErr w:type="gramStart"/>
      <w:r w:rsidRPr="00960707">
        <w:t>institutional</w:t>
      </w:r>
      <w:proofErr w:type="gramEnd"/>
      <w:r w:rsidRPr="00960707">
        <w:t xml:space="preserve"> financing transform rental housing?</w:t>
      </w:r>
      <w:r w:rsidR="00563A2B">
        <w:t>’</w:t>
      </w:r>
      <w:r w:rsidRPr="00960707">
        <w:t xml:space="preserve">, </w:t>
      </w:r>
      <w:r w:rsidRPr="006F4355">
        <w:rPr>
          <w:i/>
          <w:iCs/>
        </w:rPr>
        <w:t>European Journal of Housing Policy</w:t>
      </w:r>
      <w:r w:rsidRPr="00960707">
        <w:t>, 13(4)</w:t>
      </w:r>
      <w:r>
        <w:t>, pp</w:t>
      </w:r>
      <w:r w:rsidRPr="00DB4824">
        <w:rPr>
          <w:rFonts w:cstheme="minorHAnsi"/>
          <w:szCs w:val="22"/>
        </w:rPr>
        <w:t>.</w:t>
      </w:r>
      <w:r w:rsidRPr="00960707">
        <w:t>335–357.</w:t>
      </w:r>
    </w:p>
    <w:p w14:paraId="31479F5C" w14:textId="45ACD5E2" w:rsidR="00BB6018" w:rsidRDefault="00BB6018" w:rsidP="009A4DA0">
      <w:pPr>
        <w:spacing w:before="0" w:after="160" w:line="259" w:lineRule="auto"/>
      </w:pPr>
      <w:proofErr w:type="spellStart"/>
      <w:r w:rsidRPr="00BB6018">
        <w:t>Prisk</w:t>
      </w:r>
      <w:proofErr w:type="spellEnd"/>
      <w:r w:rsidRPr="00BB6018">
        <w:t xml:space="preserve"> M (2013) </w:t>
      </w:r>
      <w:r w:rsidR="00563A2B">
        <w:t>‘</w:t>
      </w:r>
      <w:r w:rsidRPr="00BB6018">
        <w:t>Funding package to deliver thousands of new homes</w:t>
      </w:r>
      <w:r w:rsidR="00563A2B">
        <w:t>’</w:t>
      </w:r>
      <w:r w:rsidRPr="00BB6018">
        <w:t xml:space="preserve">, </w:t>
      </w:r>
      <w:r w:rsidRPr="00BB6018">
        <w:rPr>
          <w:i/>
          <w:iCs/>
        </w:rPr>
        <w:t>media release</w:t>
      </w:r>
      <w:r w:rsidRPr="00BB6018">
        <w:t xml:space="preserve">, </w:t>
      </w:r>
      <w:hyperlink r:id="rId121" w:history="1">
        <w:r w:rsidRPr="00BB6018">
          <w:rPr>
            <w:rStyle w:val="Hyperlink"/>
          </w:rPr>
          <w:t>https://www.gov.uk/government/news/funding</w:t>
        </w:r>
        <w:r w:rsidR="00563A2B">
          <w:rPr>
            <w:rStyle w:val="Hyperlink"/>
          </w:rPr>
          <w:noBreakHyphen/>
        </w:r>
        <w:r w:rsidRPr="00BB6018">
          <w:rPr>
            <w:rStyle w:val="Hyperlink"/>
          </w:rPr>
          <w:t>package</w:t>
        </w:r>
        <w:r w:rsidR="00563A2B">
          <w:rPr>
            <w:rStyle w:val="Hyperlink"/>
          </w:rPr>
          <w:noBreakHyphen/>
        </w:r>
        <w:r w:rsidRPr="00BB6018">
          <w:rPr>
            <w:rStyle w:val="Hyperlink"/>
          </w:rPr>
          <w:t>to</w:t>
        </w:r>
        <w:r w:rsidR="00563A2B">
          <w:rPr>
            <w:rStyle w:val="Hyperlink"/>
          </w:rPr>
          <w:noBreakHyphen/>
        </w:r>
        <w:r w:rsidRPr="00BB6018">
          <w:rPr>
            <w:rStyle w:val="Hyperlink"/>
          </w:rPr>
          <w:t>deliver</w:t>
        </w:r>
        <w:r w:rsidR="00563A2B">
          <w:rPr>
            <w:rStyle w:val="Hyperlink"/>
          </w:rPr>
          <w:noBreakHyphen/>
        </w:r>
        <w:r w:rsidRPr="00BB6018">
          <w:rPr>
            <w:rStyle w:val="Hyperlink"/>
          </w:rPr>
          <w:t>thousands</w:t>
        </w:r>
        <w:r w:rsidR="00563A2B">
          <w:rPr>
            <w:rStyle w:val="Hyperlink"/>
          </w:rPr>
          <w:noBreakHyphen/>
        </w:r>
        <w:r w:rsidRPr="00BB6018">
          <w:rPr>
            <w:rStyle w:val="Hyperlink"/>
          </w:rPr>
          <w:t>of</w:t>
        </w:r>
        <w:r w:rsidR="00563A2B">
          <w:rPr>
            <w:rStyle w:val="Hyperlink"/>
          </w:rPr>
          <w:noBreakHyphen/>
        </w:r>
        <w:r w:rsidRPr="00BB6018">
          <w:rPr>
            <w:rStyle w:val="Hyperlink"/>
          </w:rPr>
          <w:t>new</w:t>
        </w:r>
        <w:r w:rsidR="00563A2B">
          <w:rPr>
            <w:rStyle w:val="Hyperlink"/>
          </w:rPr>
          <w:noBreakHyphen/>
        </w:r>
        <w:r w:rsidRPr="00BB6018">
          <w:rPr>
            <w:rStyle w:val="Hyperlink"/>
          </w:rPr>
          <w:t>homes accessed July 2023</w:t>
        </w:r>
      </w:hyperlink>
    </w:p>
    <w:p w14:paraId="44660495" w14:textId="5C66A2B5" w:rsidR="00305799" w:rsidRPr="008C2870" w:rsidRDefault="00305799" w:rsidP="009A4DA0">
      <w:pPr>
        <w:spacing w:after="160" w:line="259" w:lineRule="auto"/>
        <w:rPr>
          <w:rFonts w:eastAsia="Arial Unicode MS" w:cstheme="minorHAnsi"/>
        </w:rPr>
      </w:pPr>
      <w:r>
        <w:rPr>
          <w:rFonts w:eastAsia="Arial Unicode MS" w:cstheme="minorHAnsi"/>
        </w:rPr>
        <w:lastRenderedPageBreak/>
        <w:t>Productivity Commission (2023</w:t>
      </w:r>
      <w:r w:rsidR="00BD6FFC">
        <w:rPr>
          <w:rFonts w:eastAsia="Arial Unicode MS" w:cstheme="minorHAnsi"/>
        </w:rPr>
        <w:t>)</w:t>
      </w:r>
      <w:r>
        <w:rPr>
          <w:rFonts w:eastAsia="Arial Unicode MS" w:cstheme="minorHAnsi"/>
        </w:rPr>
        <w:t xml:space="preserve">, </w:t>
      </w:r>
      <w:r>
        <w:rPr>
          <w:rFonts w:eastAsia="Arial Unicode MS" w:cstheme="minorHAnsi"/>
          <w:i/>
          <w:iCs/>
        </w:rPr>
        <w:t>Report on Government Services</w:t>
      </w:r>
      <w:r w:rsidR="008C2870">
        <w:rPr>
          <w:rFonts w:eastAsia="Arial Unicode MS" w:cstheme="minorHAnsi"/>
          <w:i/>
          <w:iCs/>
        </w:rPr>
        <w:t>: Homelessness services</w:t>
      </w:r>
      <w:r w:rsidR="008C2870">
        <w:rPr>
          <w:rFonts w:eastAsia="Arial Unicode MS" w:cstheme="minorHAnsi"/>
        </w:rPr>
        <w:t xml:space="preserve">, </w:t>
      </w:r>
      <w:hyperlink r:id="rId122" w:history="1">
        <w:r w:rsidR="00F479CC" w:rsidRPr="003D33DE">
          <w:rPr>
            <w:rStyle w:val="Hyperlink"/>
            <w:rFonts w:eastAsia="Arial Unicode MS" w:cstheme="minorHAnsi"/>
          </w:rPr>
          <w:t>https://www.pc.gov.au/ongoing/report</w:t>
        </w:r>
        <w:r w:rsidR="00563A2B">
          <w:rPr>
            <w:rStyle w:val="Hyperlink"/>
            <w:rFonts w:eastAsia="Arial Unicode MS" w:cstheme="minorHAnsi"/>
          </w:rPr>
          <w:noBreakHyphen/>
        </w:r>
        <w:r w:rsidR="00F479CC" w:rsidRPr="003D33DE">
          <w:rPr>
            <w:rStyle w:val="Hyperlink"/>
            <w:rFonts w:eastAsia="Arial Unicode MS" w:cstheme="minorHAnsi"/>
          </w:rPr>
          <w:t>on</w:t>
        </w:r>
        <w:r w:rsidR="00563A2B">
          <w:rPr>
            <w:rStyle w:val="Hyperlink"/>
            <w:rFonts w:eastAsia="Arial Unicode MS" w:cstheme="minorHAnsi"/>
          </w:rPr>
          <w:noBreakHyphen/>
        </w:r>
        <w:r w:rsidR="00F479CC" w:rsidRPr="003D33DE">
          <w:rPr>
            <w:rStyle w:val="Hyperlink"/>
            <w:rFonts w:eastAsia="Arial Unicode MS" w:cstheme="minorHAnsi"/>
          </w:rPr>
          <w:t>government</w:t>
        </w:r>
        <w:r w:rsidR="00563A2B">
          <w:rPr>
            <w:rStyle w:val="Hyperlink"/>
            <w:rFonts w:eastAsia="Arial Unicode MS" w:cstheme="minorHAnsi"/>
          </w:rPr>
          <w:noBreakHyphen/>
        </w:r>
        <w:r w:rsidR="00F479CC" w:rsidRPr="003D33DE">
          <w:rPr>
            <w:rStyle w:val="Hyperlink"/>
            <w:rFonts w:eastAsia="Arial Unicode MS" w:cstheme="minorHAnsi"/>
          </w:rPr>
          <w:t>services/2023/housing</w:t>
        </w:r>
        <w:r w:rsidR="00563A2B">
          <w:rPr>
            <w:rStyle w:val="Hyperlink"/>
            <w:rFonts w:eastAsia="Arial Unicode MS" w:cstheme="minorHAnsi"/>
          </w:rPr>
          <w:noBreakHyphen/>
        </w:r>
        <w:r w:rsidR="00F479CC" w:rsidRPr="003D33DE">
          <w:rPr>
            <w:rStyle w:val="Hyperlink"/>
            <w:rFonts w:eastAsia="Arial Unicode MS" w:cstheme="minorHAnsi"/>
          </w:rPr>
          <w:t>and</w:t>
        </w:r>
        <w:r w:rsidR="00563A2B">
          <w:rPr>
            <w:rStyle w:val="Hyperlink"/>
            <w:rFonts w:eastAsia="Arial Unicode MS" w:cstheme="minorHAnsi"/>
          </w:rPr>
          <w:noBreakHyphen/>
        </w:r>
        <w:r w:rsidR="00F479CC" w:rsidRPr="003D33DE">
          <w:rPr>
            <w:rStyle w:val="Hyperlink"/>
            <w:rFonts w:eastAsia="Arial Unicode MS" w:cstheme="minorHAnsi"/>
          </w:rPr>
          <w:t>homelessness/homelessness</w:t>
        </w:r>
        <w:r w:rsidR="00563A2B">
          <w:rPr>
            <w:rStyle w:val="Hyperlink"/>
            <w:rFonts w:eastAsia="Arial Unicode MS" w:cstheme="minorHAnsi"/>
          </w:rPr>
          <w:noBreakHyphen/>
        </w:r>
        <w:r w:rsidR="00F479CC" w:rsidRPr="003D33DE">
          <w:rPr>
            <w:rStyle w:val="Hyperlink"/>
            <w:rFonts w:eastAsia="Arial Unicode MS" w:cstheme="minorHAnsi"/>
          </w:rPr>
          <w:t>services</w:t>
        </w:r>
      </w:hyperlink>
      <w:r w:rsidR="00F479CC">
        <w:rPr>
          <w:rFonts w:eastAsia="Arial Unicode MS" w:cstheme="minorHAnsi"/>
        </w:rPr>
        <w:t xml:space="preserve"> accessed July 2023.</w:t>
      </w:r>
    </w:p>
    <w:p w14:paraId="7DC4F49C" w14:textId="188077E0" w:rsidR="009A4DA0" w:rsidRPr="000C1A7E" w:rsidRDefault="009A4DA0" w:rsidP="009A4DA0">
      <w:pPr>
        <w:spacing w:after="160" w:line="259" w:lineRule="auto"/>
        <w:rPr>
          <w:rFonts w:eastAsia="Arial Unicode MS" w:cstheme="minorHAnsi"/>
          <w:color w:val="3A6FAF"/>
        </w:rPr>
      </w:pPr>
      <w:r w:rsidRPr="00DD7B16">
        <w:rPr>
          <w:rFonts w:eastAsia="Arial Unicode MS" w:cstheme="minorHAnsi"/>
        </w:rPr>
        <w:t xml:space="preserve">Productivity Commission (2022), </w:t>
      </w:r>
      <w:r w:rsidRPr="009F55E8">
        <w:rPr>
          <w:i/>
          <w:iCs/>
        </w:rPr>
        <w:t>In need of repair: The National Housing and Homelessness Agreement</w:t>
      </w:r>
      <w:r w:rsidRPr="00E72EE0">
        <w:t>,</w:t>
      </w:r>
      <w:r>
        <w:t xml:space="preserve"> Commonwealth of Australia, Study Report, Canberra </w:t>
      </w:r>
      <w:hyperlink r:id="rId123" w:history="1">
        <w:r w:rsidRPr="007C10B7">
          <w:rPr>
            <w:rStyle w:val="Hyperlink"/>
          </w:rPr>
          <w:t>https://www.pc.gov.au/inquiries/completed/housing</w:t>
        </w:r>
        <w:r w:rsidR="00563A2B">
          <w:rPr>
            <w:rStyle w:val="Hyperlink"/>
          </w:rPr>
          <w:noBreakHyphen/>
        </w:r>
        <w:r w:rsidRPr="007C10B7">
          <w:rPr>
            <w:rStyle w:val="Hyperlink"/>
          </w:rPr>
          <w:t>homelessness/report</w:t>
        </w:r>
      </w:hyperlink>
      <w:r>
        <w:t xml:space="preserve"> </w:t>
      </w:r>
    </w:p>
    <w:p w14:paraId="0DF36283" w14:textId="3663ACEC" w:rsidR="004B203F" w:rsidRDefault="004B203F" w:rsidP="009A4DA0">
      <w:pPr>
        <w:rPr>
          <w:rFonts w:cstheme="minorHAnsi"/>
          <w:szCs w:val="22"/>
        </w:rPr>
      </w:pPr>
      <w:r w:rsidRPr="004B203F">
        <w:rPr>
          <w:rFonts w:cstheme="minorHAnsi"/>
          <w:szCs w:val="22"/>
        </w:rPr>
        <w:t xml:space="preserve">Productivity Commission </w:t>
      </w:r>
      <w:r>
        <w:rPr>
          <w:rFonts w:cstheme="minorHAnsi"/>
          <w:szCs w:val="22"/>
        </w:rPr>
        <w:t>(</w:t>
      </w:r>
      <w:r w:rsidRPr="004B203F">
        <w:rPr>
          <w:rFonts w:cstheme="minorHAnsi"/>
          <w:szCs w:val="22"/>
        </w:rPr>
        <w:t>2013</w:t>
      </w:r>
      <w:r>
        <w:rPr>
          <w:rFonts w:cstheme="minorHAnsi"/>
          <w:szCs w:val="22"/>
        </w:rPr>
        <w:t>),</w:t>
      </w:r>
      <w:r w:rsidRPr="004B203F">
        <w:rPr>
          <w:rFonts w:cstheme="minorHAnsi"/>
          <w:szCs w:val="22"/>
        </w:rPr>
        <w:t xml:space="preserve"> </w:t>
      </w:r>
      <w:r w:rsidRPr="004B203F">
        <w:rPr>
          <w:rFonts w:cstheme="minorHAnsi"/>
          <w:i/>
          <w:iCs/>
          <w:szCs w:val="22"/>
        </w:rPr>
        <w:t>On efficiency and effectiveness: some definitions</w:t>
      </w:r>
      <w:r w:rsidRPr="004B203F">
        <w:rPr>
          <w:rFonts w:cstheme="minorHAnsi"/>
          <w:szCs w:val="22"/>
        </w:rPr>
        <w:t>, Staff Research Note, Canberra</w:t>
      </w:r>
      <w:r>
        <w:rPr>
          <w:rFonts w:cstheme="minorHAnsi"/>
          <w:szCs w:val="22"/>
        </w:rPr>
        <w:t xml:space="preserve">, </w:t>
      </w:r>
      <w:hyperlink r:id="rId124" w:history="1">
        <w:r w:rsidRPr="00607BF4">
          <w:rPr>
            <w:rStyle w:val="Hyperlink"/>
            <w:rFonts w:cstheme="minorHAnsi"/>
            <w:szCs w:val="22"/>
          </w:rPr>
          <w:t>https://www.pc.gov.au/research/supporting/efficiency</w:t>
        </w:r>
        <w:r w:rsidR="00563A2B">
          <w:rPr>
            <w:rStyle w:val="Hyperlink"/>
            <w:rFonts w:cstheme="minorHAnsi"/>
            <w:szCs w:val="22"/>
          </w:rPr>
          <w:noBreakHyphen/>
        </w:r>
        <w:r w:rsidRPr="00607BF4">
          <w:rPr>
            <w:rStyle w:val="Hyperlink"/>
            <w:rFonts w:cstheme="minorHAnsi"/>
            <w:szCs w:val="22"/>
          </w:rPr>
          <w:t>effectiveness/efficiency</w:t>
        </w:r>
        <w:r w:rsidR="00563A2B">
          <w:rPr>
            <w:rStyle w:val="Hyperlink"/>
            <w:rFonts w:cstheme="minorHAnsi"/>
            <w:szCs w:val="22"/>
          </w:rPr>
          <w:noBreakHyphen/>
        </w:r>
        <w:r w:rsidRPr="00607BF4">
          <w:rPr>
            <w:rStyle w:val="Hyperlink"/>
            <w:rFonts w:cstheme="minorHAnsi"/>
            <w:szCs w:val="22"/>
          </w:rPr>
          <w:t>effectiveness.pdf</w:t>
        </w:r>
      </w:hyperlink>
      <w:r>
        <w:rPr>
          <w:rFonts w:cstheme="minorHAnsi"/>
          <w:szCs w:val="22"/>
        </w:rPr>
        <w:t xml:space="preserve"> </w:t>
      </w:r>
    </w:p>
    <w:p w14:paraId="07E90B79" w14:textId="62BBC5AD" w:rsidR="009A4DA0" w:rsidRDefault="009A4DA0" w:rsidP="00607BF4">
      <w:pPr>
        <w:rPr>
          <w:szCs w:val="24"/>
        </w:rPr>
      </w:pPr>
      <w:r w:rsidRPr="00DB4824">
        <w:t xml:space="preserve">Property Council of Australia and Student Accommodation Council (2022), </w:t>
      </w:r>
      <w:r w:rsidR="00563A2B">
        <w:t>‘</w:t>
      </w:r>
      <w:r w:rsidRPr="00DB4824">
        <w:t>The Unsung Hero Underpinning Australia</w:t>
      </w:r>
      <w:r w:rsidR="00563A2B">
        <w:t>’</w:t>
      </w:r>
      <w:r w:rsidRPr="00DB4824">
        <w:t>s Largest Service Export Purpose</w:t>
      </w:r>
      <w:r w:rsidR="00563A2B">
        <w:noBreakHyphen/>
      </w:r>
      <w:r w:rsidRPr="00DB4824">
        <w:t>Built Student Accommodation</w:t>
      </w:r>
      <w:r w:rsidR="00563A2B">
        <w:t>’</w:t>
      </w:r>
      <w:r w:rsidRPr="00DB4824">
        <w:t xml:space="preserve">, Property Council of Australia, Canberra, </w:t>
      </w:r>
      <w:hyperlink r:id="rId125">
        <w:r w:rsidRPr="266DF353">
          <w:rPr>
            <w:rStyle w:val="Hyperlink"/>
            <w:szCs w:val="22"/>
          </w:rPr>
          <w:t>https://www.propertycouncil.com.au/wp</w:t>
        </w:r>
        <w:r w:rsidR="00563A2B">
          <w:rPr>
            <w:rStyle w:val="Hyperlink"/>
            <w:szCs w:val="22"/>
          </w:rPr>
          <w:noBreakHyphen/>
        </w:r>
        <w:r w:rsidRPr="266DF353">
          <w:rPr>
            <w:rStyle w:val="Hyperlink"/>
            <w:szCs w:val="22"/>
          </w:rPr>
          <w:t>content/uploads/2022/11/Property</w:t>
        </w:r>
        <w:r w:rsidR="00563A2B">
          <w:rPr>
            <w:rStyle w:val="Hyperlink"/>
            <w:szCs w:val="22"/>
          </w:rPr>
          <w:noBreakHyphen/>
        </w:r>
        <w:r w:rsidRPr="266DF353">
          <w:rPr>
            <w:rStyle w:val="Hyperlink"/>
            <w:szCs w:val="22"/>
          </w:rPr>
          <w:t>Council</w:t>
        </w:r>
        <w:r w:rsidR="00563A2B">
          <w:rPr>
            <w:rStyle w:val="Hyperlink"/>
            <w:szCs w:val="22"/>
          </w:rPr>
          <w:noBreakHyphen/>
        </w:r>
        <w:r w:rsidRPr="266DF353">
          <w:rPr>
            <w:rStyle w:val="Hyperlink"/>
            <w:szCs w:val="22"/>
          </w:rPr>
          <w:t>PBSA</w:t>
        </w:r>
        <w:r w:rsidR="00563A2B">
          <w:rPr>
            <w:rStyle w:val="Hyperlink"/>
            <w:szCs w:val="22"/>
          </w:rPr>
          <w:noBreakHyphen/>
        </w:r>
        <w:r w:rsidRPr="266DF353">
          <w:rPr>
            <w:rStyle w:val="Hyperlink"/>
            <w:szCs w:val="22"/>
          </w:rPr>
          <w:t>Report</w:t>
        </w:r>
        <w:r w:rsidR="00563A2B">
          <w:rPr>
            <w:rStyle w:val="Hyperlink"/>
            <w:szCs w:val="22"/>
          </w:rPr>
          <w:noBreakHyphen/>
        </w:r>
        <w:r w:rsidRPr="266DF353">
          <w:rPr>
            <w:rStyle w:val="Hyperlink"/>
            <w:szCs w:val="22"/>
          </w:rPr>
          <w:t>08.11.2022</w:t>
        </w:r>
        <w:r w:rsidR="00563A2B">
          <w:rPr>
            <w:rStyle w:val="Hyperlink"/>
            <w:szCs w:val="22"/>
          </w:rPr>
          <w:noBreakHyphen/>
        </w:r>
        <w:r w:rsidRPr="266DF353">
          <w:rPr>
            <w:rStyle w:val="Hyperlink"/>
            <w:szCs w:val="22"/>
          </w:rPr>
          <w:t>v3.pdf</w:t>
        </w:r>
      </w:hyperlink>
    </w:p>
    <w:p w14:paraId="6E2B2980" w14:textId="43B425FA" w:rsidR="0091680C" w:rsidRPr="00666E1D" w:rsidRDefault="0029622A" w:rsidP="0091680C">
      <w:pPr>
        <w:spacing w:before="0" w:after="160" w:line="259" w:lineRule="auto"/>
        <w:rPr>
          <w:rFonts w:eastAsia="Arial Unicode MS" w:cstheme="minorHAnsi"/>
          <w:szCs w:val="22"/>
        </w:rPr>
      </w:pPr>
      <w:r>
        <w:rPr>
          <w:rFonts w:eastAsia="Arial Unicode MS" w:cstheme="minorHAnsi"/>
          <w:szCs w:val="22"/>
        </w:rPr>
        <w:t>RBA (Reserve Bank of Australia)</w:t>
      </w:r>
      <w:r w:rsidR="009F32AD">
        <w:rPr>
          <w:rFonts w:eastAsia="Arial Unicode MS" w:cstheme="minorHAnsi"/>
          <w:szCs w:val="22"/>
        </w:rPr>
        <w:t xml:space="preserve"> (</w:t>
      </w:r>
      <w:r w:rsidR="0091680C">
        <w:rPr>
          <w:rFonts w:eastAsia="Arial Unicode MS" w:cstheme="minorHAnsi"/>
          <w:szCs w:val="22"/>
        </w:rPr>
        <w:t xml:space="preserve">2023a), </w:t>
      </w:r>
      <w:r w:rsidR="0091680C">
        <w:rPr>
          <w:rFonts w:eastAsia="Arial Unicode MS" w:cstheme="minorHAnsi"/>
          <w:i/>
          <w:iCs/>
          <w:szCs w:val="22"/>
        </w:rPr>
        <w:t xml:space="preserve">RBA Chart Pack – Bond Issuance, </w:t>
      </w:r>
      <w:r w:rsidR="0091680C">
        <w:rPr>
          <w:rFonts w:eastAsia="Arial Unicode MS" w:cstheme="minorHAnsi"/>
          <w:szCs w:val="22"/>
        </w:rPr>
        <w:t xml:space="preserve">RBA website, </w:t>
      </w:r>
      <w:hyperlink r:id="rId126" w:history="1">
        <w:r w:rsidR="0091680C" w:rsidRPr="00CE4561">
          <w:rPr>
            <w:rStyle w:val="Hyperlink"/>
            <w:rFonts w:eastAsia="Arial Unicode MS" w:cstheme="minorHAnsi"/>
            <w:szCs w:val="22"/>
          </w:rPr>
          <w:t>https://www.rba.gov.au/chart</w:t>
        </w:r>
        <w:r w:rsidR="00563A2B">
          <w:rPr>
            <w:rStyle w:val="Hyperlink"/>
            <w:rFonts w:eastAsia="Arial Unicode MS" w:cstheme="minorHAnsi"/>
            <w:szCs w:val="22"/>
          </w:rPr>
          <w:noBreakHyphen/>
        </w:r>
        <w:r w:rsidR="0091680C" w:rsidRPr="00CE4561">
          <w:rPr>
            <w:rStyle w:val="Hyperlink"/>
            <w:rFonts w:eastAsia="Arial Unicode MS" w:cstheme="minorHAnsi"/>
            <w:szCs w:val="22"/>
          </w:rPr>
          <w:t>pack/bond</w:t>
        </w:r>
        <w:r w:rsidR="00563A2B">
          <w:rPr>
            <w:rStyle w:val="Hyperlink"/>
            <w:rFonts w:eastAsia="Arial Unicode MS" w:cstheme="minorHAnsi"/>
            <w:szCs w:val="22"/>
          </w:rPr>
          <w:noBreakHyphen/>
        </w:r>
        <w:r w:rsidR="0091680C" w:rsidRPr="00CE4561">
          <w:rPr>
            <w:rStyle w:val="Hyperlink"/>
            <w:rFonts w:eastAsia="Arial Unicode MS" w:cstheme="minorHAnsi"/>
            <w:szCs w:val="22"/>
          </w:rPr>
          <w:t>issuance.html</w:t>
        </w:r>
      </w:hyperlink>
      <w:r w:rsidR="0091680C">
        <w:rPr>
          <w:rFonts w:eastAsia="Arial Unicode MS" w:cstheme="minorHAnsi"/>
          <w:szCs w:val="22"/>
        </w:rPr>
        <w:t xml:space="preserve"> </w:t>
      </w:r>
    </w:p>
    <w:p w14:paraId="667E294B" w14:textId="62F093A2" w:rsidR="0029622A" w:rsidRPr="0033469A" w:rsidRDefault="0029622A" w:rsidP="009A4DA0">
      <w:pPr>
        <w:spacing w:before="0" w:after="160" w:line="259" w:lineRule="auto"/>
        <w:rPr>
          <w:rFonts w:eastAsia="Arial Unicode MS" w:cstheme="minorHAnsi"/>
          <w:szCs w:val="22"/>
        </w:rPr>
      </w:pPr>
      <w:r>
        <w:rPr>
          <w:rFonts w:eastAsia="Arial Unicode MS" w:cstheme="minorHAnsi"/>
          <w:szCs w:val="22"/>
        </w:rPr>
        <w:t>RBA (Reserve Bank of Australia)</w:t>
      </w:r>
      <w:r w:rsidR="009F32AD">
        <w:rPr>
          <w:rFonts w:eastAsia="Arial Unicode MS" w:cstheme="minorHAnsi"/>
          <w:szCs w:val="22"/>
        </w:rPr>
        <w:t xml:space="preserve"> (2023</w:t>
      </w:r>
      <w:r w:rsidR="00666E1D">
        <w:rPr>
          <w:rFonts w:eastAsia="Arial Unicode MS" w:cstheme="minorHAnsi"/>
          <w:szCs w:val="22"/>
        </w:rPr>
        <w:t>b</w:t>
      </w:r>
      <w:r w:rsidR="009F32AD">
        <w:rPr>
          <w:rFonts w:eastAsia="Arial Unicode MS" w:cstheme="minorHAnsi"/>
          <w:szCs w:val="22"/>
        </w:rPr>
        <w:t>)</w:t>
      </w:r>
      <w:r>
        <w:rPr>
          <w:rFonts w:eastAsia="Arial Unicode MS" w:cstheme="minorHAnsi"/>
          <w:szCs w:val="22"/>
        </w:rPr>
        <w:t xml:space="preserve">, </w:t>
      </w:r>
      <w:r w:rsidR="009F32AD" w:rsidRPr="009F32AD">
        <w:rPr>
          <w:rFonts w:eastAsia="Arial Unicode MS" w:cstheme="minorHAnsi"/>
          <w:i/>
          <w:iCs/>
          <w:szCs w:val="22"/>
        </w:rPr>
        <w:t xml:space="preserve">Statistical Tables: Assets of Financial Institutions – B1, </w:t>
      </w:r>
      <w:r w:rsidR="009F32AD" w:rsidRPr="001436EA">
        <w:rPr>
          <w:rFonts w:eastAsia="Arial Unicode MS" w:cstheme="minorHAnsi"/>
          <w:szCs w:val="22"/>
        </w:rPr>
        <w:t>RBA website</w:t>
      </w:r>
      <w:r w:rsidR="00416709">
        <w:rPr>
          <w:rFonts w:eastAsia="Arial Unicode MS" w:cstheme="minorHAnsi"/>
          <w:szCs w:val="22"/>
        </w:rPr>
        <w:t xml:space="preserve">, </w:t>
      </w:r>
      <w:hyperlink r:id="rId127" w:history="1">
        <w:r w:rsidR="00416709" w:rsidRPr="00F65238">
          <w:rPr>
            <w:rStyle w:val="Hyperlink"/>
            <w:rFonts w:eastAsia="Arial Unicode MS" w:cstheme="minorHAnsi"/>
            <w:szCs w:val="22"/>
          </w:rPr>
          <w:t>https://www.rba.gov.au/statistics/tables/</w:t>
        </w:r>
      </w:hyperlink>
      <w:r w:rsidR="00416709">
        <w:rPr>
          <w:rFonts w:eastAsia="Arial Unicode MS" w:cstheme="minorHAnsi"/>
          <w:szCs w:val="22"/>
        </w:rPr>
        <w:t xml:space="preserve"> </w:t>
      </w:r>
    </w:p>
    <w:p w14:paraId="1269CBBF" w14:textId="36404B61" w:rsidR="009A4DA0" w:rsidRPr="001D3A7B" w:rsidRDefault="009A4DA0" w:rsidP="009A4DA0">
      <w:pPr>
        <w:spacing w:before="0" w:after="160" w:line="259" w:lineRule="auto"/>
      </w:pPr>
      <w:r w:rsidRPr="00DB4824">
        <w:rPr>
          <w:rFonts w:eastAsia="Arial Unicode MS" w:cstheme="minorHAnsi"/>
          <w:szCs w:val="22"/>
        </w:rPr>
        <w:t xml:space="preserve">Rowley S, Costello G, Higgins D and </w:t>
      </w:r>
      <w:proofErr w:type="spellStart"/>
      <w:r w:rsidRPr="00DB4824">
        <w:rPr>
          <w:rFonts w:eastAsia="Arial Unicode MS" w:cstheme="minorHAnsi"/>
          <w:szCs w:val="22"/>
        </w:rPr>
        <w:t>Phibbs</w:t>
      </w:r>
      <w:proofErr w:type="spellEnd"/>
      <w:r w:rsidRPr="00DB4824">
        <w:rPr>
          <w:rFonts w:eastAsia="Arial Unicode MS" w:cstheme="minorHAnsi"/>
          <w:szCs w:val="22"/>
        </w:rPr>
        <w:t xml:space="preserve"> P. (2014) The financing of residential development in Australia, AHURI Final Report 219</w:t>
      </w:r>
      <w:r>
        <w:t xml:space="preserve">, </w:t>
      </w:r>
      <w:r w:rsidRPr="00DB4824">
        <w:rPr>
          <w:rFonts w:eastAsia="Arial Unicode MS" w:cstheme="minorHAnsi"/>
          <w:szCs w:val="22"/>
        </w:rPr>
        <w:t>AHURI, Melbourne,</w:t>
      </w:r>
      <w:r>
        <w:rPr>
          <w:i/>
        </w:rPr>
        <w:t xml:space="preserve"> </w:t>
      </w:r>
      <w:hyperlink r:id="rId128" w:history="1">
        <w:r w:rsidRPr="005D6DB9">
          <w:rPr>
            <w:rStyle w:val="Hyperlink"/>
          </w:rPr>
          <w:t>https://www.AHURI.edu.au/research/final</w:t>
        </w:r>
        <w:r w:rsidR="00563A2B">
          <w:rPr>
            <w:rStyle w:val="Hyperlink"/>
          </w:rPr>
          <w:noBreakHyphen/>
        </w:r>
        <w:r w:rsidRPr="005D6DB9">
          <w:rPr>
            <w:rStyle w:val="Hyperlink"/>
          </w:rPr>
          <w:t>reports/219</w:t>
        </w:r>
      </w:hyperlink>
      <w:r w:rsidRPr="007D6DD4">
        <w:t>.</w:t>
      </w:r>
    </w:p>
    <w:p w14:paraId="7FBA06FF" w14:textId="07FC3D0C" w:rsidR="009A4DA0" w:rsidRPr="00F71F1F" w:rsidRDefault="009A4DA0" w:rsidP="009A4DA0">
      <w:pPr>
        <w:rPr>
          <w:szCs w:val="24"/>
        </w:rPr>
      </w:pPr>
      <w:r w:rsidRPr="004D08E0">
        <w:rPr>
          <w:szCs w:val="24"/>
        </w:rPr>
        <w:t xml:space="preserve">Rowley S, James A, Gilbert C, Gurran N, Ong R, </w:t>
      </w:r>
      <w:proofErr w:type="spellStart"/>
      <w:r w:rsidRPr="004D08E0">
        <w:rPr>
          <w:szCs w:val="24"/>
        </w:rPr>
        <w:t>Phibbs</w:t>
      </w:r>
      <w:proofErr w:type="spellEnd"/>
      <w:r w:rsidRPr="004D08E0">
        <w:rPr>
          <w:szCs w:val="24"/>
        </w:rPr>
        <w:t xml:space="preserve"> P, Rosen D and Whitehead, C. (2016) </w:t>
      </w:r>
      <w:r w:rsidRPr="004D08E0">
        <w:rPr>
          <w:i/>
          <w:szCs w:val="24"/>
        </w:rPr>
        <w:t>Subsidised affordable rental housing: lessons from Australia and overseas</w:t>
      </w:r>
      <w:r w:rsidRPr="004D08E0">
        <w:rPr>
          <w:szCs w:val="24"/>
        </w:rPr>
        <w:t xml:space="preserve">, AHURI Final Report No. 267, Australian Housing and Urban Research Institute, Melbourne, </w:t>
      </w:r>
      <w:r w:rsidR="00643CB0">
        <w:rPr>
          <w:szCs w:val="24"/>
        </w:rPr>
        <w:br/>
      </w:r>
      <w:hyperlink r:id="rId129" w:history="1">
        <w:r w:rsidR="00240C20" w:rsidRPr="00705BF8">
          <w:rPr>
            <w:rStyle w:val="Hyperlink"/>
          </w:rPr>
          <w:t>http://www.ahuri.edu.au/research/final</w:t>
        </w:r>
        <w:r w:rsidR="00563A2B">
          <w:rPr>
            <w:rStyle w:val="Hyperlink"/>
          </w:rPr>
          <w:noBreakHyphen/>
        </w:r>
        <w:r w:rsidR="00240C20" w:rsidRPr="00705BF8">
          <w:rPr>
            <w:rStyle w:val="Hyperlink"/>
          </w:rPr>
          <w:t>reports/267</w:t>
        </w:r>
      </w:hyperlink>
      <w:r w:rsidRPr="004D08E0">
        <w:rPr>
          <w:szCs w:val="24"/>
        </w:rPr>
        <w:t>.</w:t>
      </w:r>
    </w:p>
    <w:p w14:paraId="1EAB4FB6" w14:textId="537F7C6C" w:rsidR="009A4DA0" w:rsidRDefault="009A4DA0" w:rsidP="009A4DA0">
      <w:pPr>
        <w:rPr>
          <w:rStyle w:val="Hyperlink"/>
          <w:szCs w:val="22"/>
        </w:rPr>
      </w:pPr>
      <w:r w:rsidRPr="005626E4">
        <w:rPr>
          <w:szCs w:val="22"/>
        </w:rPr>
        <w:t>Savills (2022</w:t>
      </w:r>
      <w:r w:rsidR="00DB4DD6">
        <w:rPr>
          <w:szCs w:val="22"/>
        </w:rPr>
        <w:t>a</w:t>
      </w:r>
      <w:r w:rsidRPr="005626E4">
        <w:rPr>
          <w:szCs w:val="22"/>
        </w:rPr>
        <w:t xml:space="preserve">), </w:t>
      </w:r>
      <w:r w:rsidR="00563A2B">
        <w:rPr>
          <w:szCs w:val="22"/>
        </w:rPr>
        <w:t>‘</w:t>
      </w:r>
      <w:r w:rsidRPr="005626E4">
        <w:rPr>
          <w:szCs w:val="22"/>
        </w:rPr>
        <w:t>Australian Student Accommodation 2022, December 2022</w:t>
      </w:r>
      <w:r w:rsidR="00563A2B">
        <w:rPr>
          <w:szCs w:val="22"/>
        </w:rPr>
        <w:t>’</w:t>
      </w:r>
      <w:r w:rsidRPr="005626E4">
        <w:rPr>
          <w:szCs w:val="22"/>
        </w:rPr>
        <w:t xml:space="preserve">, </w:t>
      </w:r>
      <w:hyperlink r:id="rId130" w:history="1">
        <w:r w:rsidRPr="00022B0C">
          <w:rPr>
            <w:rStyle w:val="Hyperlink"/>
            <w:szCs w:val="22"/>
          </w:rPr>
          <w:t>https://pdf.savills.asia/asia</w:t>
        </w:r>
        <w:r w:rsidR="00563A2B">
          <w:rPr>
            <w:rStyle w:val="Hyperlink"/>
            <w:szCs w:val="22"/>
          </w:rPr>
          <w:noBreakHyphen/>
        </w:r>
        <w:r w:rsidRPr="00022B0C">
          <w:rPr>
            <w:rStyle w:val="Hyperlink"/>
            <w:szCs w:val="22"/>
          </w:rPr>
          <w:t>pacific</w:t>
        </w:r>
        <w:r w:rsidR="00563A2B">
          <w:rPr>
            <w:rStyle w:val="Hyperlink"/>
            <w:szCs w:val="22"/>
          </w:rPr>
          <w:noBreakHyphen/>
        </w:r>
        <w:r w:rsidRPr="00022B0C">
          <w:rPr>
            <w:rStyle w:val="Hyperlink"/>
            <w:szCs w:val="22"/>
          </w:rPr>
          <w:t>research/australian</w:t>
        </w:r>
        <w:r w:rsidR="00563A2B">
          <w:rPr>
            <w:rStyle w:val="Hyperlink"/>
            <w:szCs w:val="22"/>
          </w:rPr>
          <w:noBreakHyphen/>
        </w:r>
        <w:r w:rsidRPr="00022B0C">
          <w:rPr>
            <w:rStyle w:val="Hyperlink"/>
            <w:szCs w:val="22"/>
          </w:rPr>
          <w:t>research/australia</w:t>
        </w:r>
        <w:r w:rsidR="00563A2B">
          <w:rPr>
            <w:rStyle w:val="Hyperlink"/>
            <w:szCs w:val="22"/>
          </w:rPr>
          <w:noBreakHyphen/>
        </w:r>
        <w:r w:rsidRPr="00022B0C">
          <w:rPr>
            <w:rStyle w:val="Hyperlink"/>
            <w:szCs w:val="22"/>
          </w:rPr>
          <w:t>student</w:t>
        </w:r>
        <w:r w:rsidR="00563A2B">
          <w:rPr>
            <w:rStyle w:val="Hyperlink"/>
            <w:szCs w:val="22"/>
          </w:rPr>
          <w:noBreakHyphen/>
        </w:r>
        <w:r w:rsidRPr="00022B0C">
          <w:rPr>
            <w:rStyle w:val="Hyperlink"/>
            <w:szCs w:val="22"/>
          </w:rPr>
          <w:t>accommodation/australian</w:t>
        </w:r>
        <w:r w:rsidR="00563A2B">
          <w:rPr>
            <w:rStyle w:val="Hyperlink"/>
            <w:szCs w:val="22"/>
          </w:rPr>
          <w:noBreakHyphen/>
        </w:r>
        <w:r w:rsidRPr="00022B0C">
          <w:rPr>
            <w:rStyle w:val="Hyperlink"/>
            <w:szCs w:val="22"/>
          </w:rPr>
          <w:t>student</w:t>
        </w:r>
        <w:r w:rsidR="00563A2B">
          <w:rPr>
            <w:rStyle w:val="Hyperlink"/>
            <w:szCs w:val="22"/>
          </w:rPr>
          <w:noBreakHyphen/>
        </w:r>
        <w:r w:rsidRPr="00022B0C">
          <w:rPr>
            <w:rStyle w:val="Hyperlink"/>
            <w:szCs w:val="22"/>
          </w:rPr>
          <w:t>accommodation</w:t>
        </w:r>
        <w:r w:rsidR="00563A2B">
          <w:rPr>
            <w:rStyle w:val="Hyperlink"/>
            <w:szCs w:val="22"/>
          </w:rPr>
          <w:noBreakHyphen/>
        </w:r>
        <w:r w:rsidRPr="00022B0C">
          <w:rPr>
            <w:rStyle w:val="Hyperlink"/>
            <w:szCs w:val="22"/>
          </w:rPr>
          <w:t>2022.pdf</w:t>
        </w:r>
      </w:hyperlink>
      <w:r w:rsidR="00563A2B">
        <w:rPr>
          <w:szCs w:val="22"/>
        </w:rPr>
        <w:t xml:space="preserve"> </w:t>
      </w:r>
    </w:p>
    <w:p w14:paraId="2D1DC253" w14:textId="4EB6AA6A" w:rsidR="009A4DA0" w:rsidRDefault="009A4DA0" w:rsidP="009A4DA0">
      <w:pPr>
        <w:rPr>
          <w:rStyle w:val="Hyperlink"/>
          <w:szCs w:val="22"/>
        </w:rPr>
      </w:pPr>
      <w:r w:rsidRPr="00DB4824">
        <w:rPr>
          <w:rStyle w:val="Hyperlink"/>
          <w:rFonts w:cstheme="minorHAnsi"/>
          <w:color w:val="auto"/>
          <w:szCs w:val="22"/>
        </w:rPr>
        <w:t>Savills (2022</w:t>
      </w:r>
      <w:r w:rsidR="00DB4DD6">
        <w:rPr>
          <w:rStyle w:val="Hyperlink"/>
          <w:rFonts w:cstheme="minorHAnsi"/>
          <w:color w:val="auto"/>
          <w:szCs w:val="22"/>
        </w:rPr>
        <w:t>b</w:t>
      </w:r>
      <w:r w:rsidRPr="00DB4824">
        <w:rPr>
          <w:rStyle w:val="Hyperlink"/>
          <w:rFonts w:cstheme="minorHAnsi"/>
          <w:color w:val="auto"/>
          <w:szCs w:val="22"/>
        </w:rPr>
        <w:t xml:space="preserve">), </w:t>
      </w:r>
      <w:r w:rsidR="00563A2B">
        <w:rPr>
          <w:rStyle w:val="Hyperlink"/>
          <w:rFonts w:cstheme="minorHAnsi"/>
          <w:color w:val="auto"/>
          <w:szCs w:val="22"/>
        </w:rPr>
        <w:t>‘</w:t>
      </w:r>
      <w:r w:rsidRPr="00DB4824">
        <w:rPr>
          <w:rStyle w:val="Hyperlink"/>
          <w:rFonts w:cstheme="minorHAnsi"/>
          <w:color w:val="auto"/>
          <w:szCs w:val="22"/>
        </w:rPr>
        <w:t>Multifamily attracts record global investment</w:t>
      </w:r>
      <w:r w:rsidR="00563A2B">
        <w:rPr>
          <w:rStyle w:val="Hyperlink"/>
          <w:rFonts w:cstheme="minorHAnsi"/>
          <w:color w:val="auto"/>
          <w:szCs w:val="22"/>
        </w:rPr>
        <w:t>’</w:t>
      </w:r>
      <w:r w:rsidRPr="00DB4824">
        <w:rPr>
          <w:rStyle w:val="Hyperlink"/>
          <w:rFonts w:cstheme="minorHAnsi"/>
          <w:color w:val="auto"/>
          <w:szCs w:val="22"/>
        </w:rPr>
        <w:t>,</w:t>
      </w:r>
      <w:r w:rsidRPr="00DB4824">
        <w:rPr>
          <w:rFonts w:cstheme="minorHAnsi"/>
          <w:szCs w:val="22"/>
        </w:rPr>
        <w:t xml:space="preserve"> </w:t>
      </w:r>
      <w:hyperlink r:id="rId131" w:history="1">
        <w:r w:rsidRPr="00AB432B">
          <w:rPr>
            <w:rStyle w:val="Hyperlink"/>
          </w:rPr>
          <w:t>https://www.savills.com/impacts/market</w:t>
        </w:r>
        <w:r w:rsidR="00563A2B">
          <w:rPr>
            <w:rStyle w:val="Hyperlink"/>
          </w:rPr>
          <w:noBreakHyphen/>
        </w:r>
        <w:r w:rsidRPr="00AB432B">
          <w:rPr>
            <w:rStyle w:val="Hyperlink"/>
          </w:rPr>
          <w:t>trends/multifamily</w:t>
        </w:r>
        <w:r w:rsidR="00563A2B">
          <w:rPr>
            <w:rStyle w:val="Hyperlink"/>
          </w:rPr>
          <w:noBreakHyphen/>
        </w:r>
        <w:r w:rsidRPr="00AB432B">
          <w:rPr>
            <w:rStyle w:val="Hyperlink"/>
          </w:rPr>
          <w:t>attracts</w:t>
        </w:r>
        <w:r w:rsidR="00563A2B">
          <w:rPr>
            <w:rStyle w:val="Hyperlink"/>
          </w:rPr>
          <w:noBreakHyphen/>
        </w:r>
        <w:r w:rsidRPr="00AB432B">
          <w:rPr>
            <w:rStyle w:val="Hyperlink"/>
          </w:rPr>
          <w:t>record</w:t>
        </w:r>
        <w:r w:rsidR="00563A2B">
          <w:rPr>
            <w:rStyle w:val="Hyperlink"/>
          </w:rPr>
          <w:noBreakHyphen/>
        </w:r>
        <w:r w:rsidRPr="00AB432B">
          <w:rPr>
            <w:rStyle w:val="Hyperlink"/>
          </w:rPr>
          <w:t>global</w:t>
        </w:r>
        <w:r w:rsidR="00563A2B">
          <w:rPr>
            <w:rStyle w:val="Hyperlink"/>
          </w:rPr>
          <w:noBreakHyphen/>
        </w:r>
        <w:r w:rsidRPr="00AB432B">
          <w:rPr>
            <w:rStyle w:val="Hyperlink"/>
          </w:rPr>
          <w:t>investment.html</w:t>
        </w:r>
      </w:hyperlink>
      <w:r>
        <w:rPr>
          <w:rStyle w:val="Hyperlink"/>
          <w:szCs w:val="22"/>
        </w:rPr>
        <w:t xml:space="preserve"> </w:t>
      </w:r>
    </w:p>
    <w:p w14:paraId="69B4AF62" w14:textId="792025EF" w:rsidR="009A4DA0" w:rsidRDefault="009A4DA0" w:rsidP="009A4DA0">
      <w:r w:rsidRPr="00F40122">
        <w:t>Scanlon,</w:t>
      </w:r>
      <w:r>
        <w:t xml:space="preserve"> K, Williams, P and Blanc, F (2018)</w:t>
      </w:r>
      <w:r w:rsidRPr="00F40122">
        <w:t xml:space="preserve">, </w:t>
      </w:r>
      <w:r w:rsidRPr="00DB4824">
        <w:rPr>
          <w:rFonts w:cstheme="minorHAnsi"/>
          <w:szCs w:val="22"/>
        </w:rPr>
        <w:t xml:space="preserve">Build to rent in London: a report for the University of New South Wales and NSW </w:t>
      </w:r>
      <w:proofErr w:type="spellStart"/>
      <w:r w:rsidRPr="00DB4824">
        <w:rPr>
          <w:rFonts w:cstheme="minorHAnsi"/>
          <w:szCs w:val="22"/>
        </w:rPr>
        <w:t>Landcom</w:t>
      </w:r>
      <w:proofErr w:type="spellEnd"/>
      <w:r w:rsidRPr="00F40122">
        <w:t xml:space="preserve">, </w:t>
      </w:r>
      <w:r>
        <w:t xml:space="preserve">London School of Economics and Political Science, </w:t>
      </w:r>
      <w:r w:rsidRPr="00F40122">
        <w:t>London</w:t>
      </w:r>
      <w:r>
        <w:t xml:space="preserve">, </w:t>
      </w:r>
      <w:hyperlink r:id="rId132" w:history="1">
        <w:r w:rsidRPr="00022B0C">
          <w:rPr>
            <w:rStyle w:val="Hyperlink"/>
          </w:rPr>
          <w:t>http://eprints.lse.ac.uk/106241/</w:t>
        </w:r>
      </w:hyperlink>
      <w:r w:rsidR="00563A2B">
        <w:t xml:space="preserve"> </w:t>
      </w:r>
    </w:p>
    <w:p w14:paraId="04533560" w14:textId="7D0B467A" w:rsidR="009A4DA0" w:rsidRDefault="009A4DA0" w:rsidP="009A4DA0">
      <w:r>
        <w:t xml:space="preserve">Sellier </w:t>
      </w:r>
      <w:proofErr w:type="spellStart"/>
      <w:r>
        <w:t>Patrimoine</w:t>
      </w:r>
      <w:proofErr w:type="spellEnd"/>
      <w:r>
        <w:t xml:space="preserve"> (2023), </w:t>
      </w:r>
      <w:proofErr w:type="spellStart"/>
      <w:r w:rsidRPr="009B11BC">
        <w:rPr>
          <w:i/>
          <w:iCs/>
        </w:rPr>
        <w:t>Pinel</w:t>
      </w:r>
      <w:proofErr w:type="spellEnd"/>
      <w:r>
        <w:t xml:space="preserve">, </w:t>
      </w:r>
      <w:hyperlink r:id="rId133" w:history="1">
        <w:r w:rsidRPr="00834E32">
          <w:rPr>
            <w:rStyle w:val="Hyperlink"/>
          </w:rPr>
          <w:t>https://sellier</w:t>
        </w:r>
        <w:r w:rsidR="00563A2B">
          <w:rPr>
            <w:rStyle w:val="Hyperlink"/>
          </w:rPr>
          <w:noBreakHyphen/>
        </w:r>
        <w:r w:rsidRPr="00834E32">
          <w:rPr>
            <w:rStyle w:val="Hyperlink"/>
          </w:rPr>
          <w:t>patrimoine.com/en/pinel</w:t>
        </w:r>
      </w:hyperlink>
    </w:p>
    <w:p w14:paraId="073357CE" w14:textId="53E5FAFA" w:rsidR="009A4DA0" w:rsidRPr="00375F18" w:rsidRDefault="009A4DA0" w:rsidP="009A4DA0">
      <w:pPr>
        <w:spacing w:line="276" w:lineRule="auto"/>
      </w:pPr>
      <w:r>
        <w:t xml:space="preserve">SGCH (St George Community Housing) (2022), </w:t>
      </w:r>
      <w:r w:rsidRPr="007E5D17">
        <w:rPr>
          <w:i/>
          <w:iCs/>
        </w:rPr>
        <w:t>SGCH and Lighthouse scale up to $120 million institutional investment to support affordable key worker housing</w:t>
      </w:r>
      <w:r>
        <w:t xml:space="preserve">, SGCH website, accessed </w:t>
      </w:r>
      <w:r w:rsidR="00961695">
        <w:t>8</w:t>
      </w:r>
      <w:r>
        <w:t xml:space="preserve"> June 2023, </w:t>
      </w:r>
      <w:hyperlink r:id="rId134" w:history="1">
        <w:r w:rsidRPr="001769C2">
          <w:rPr>
            <w:rStyle w:val="Hyperlink"/>
          </w:rPr>
          <w:t>https://www.sgch.com.au/news/sgch</w:t>
        </w:r>
        <w:r w:rsidR="00563A2B">
          <w:rPr>
            <w:rStyle w:val="Hyperlink"/>
          </w:rPr>
          <w:noBreakHyphen/>
        </w:r>
        <w:r w:rsidRPr="001769C2">
          <w:rPr>
            <w:rStyle w:val="Hyperlink"/>
          </w:rPr>
          <w:t>and</w:t>
        </w:r>
        <w:r w:rsidR="00563A2B">
          <w:rPr>
            <w:rStyle w:val="Hyperlink"/>
          </w:rPr>
          <w:noBreakHyphen/>
        </w:r>
        <w:r w:rsidRPr="001769C2">
          <w:rPr>
            <w:rStyle w:val="Hyperlink"/>
          </w:rPr>
          <w:t>lighthouse</w:t>
        </w:r>
        <w:r w:rsidR="00563A2B">
          <w:rPr>
            <w:rStyle w:val="Hyperlink"/>
          </w:rPr>
          <w:noBreakHyphen/>
        </w:r>
        <w:r w:rsidRPr="001769C2">
          <w:rPr>
            <w:rStyle w:val="Hyperlink"/>
          </w:rPr>
          <w:t>scale</w:t>
        </w:r>
        <w:r w:rsidR="00563A2B">
          <w:rPr>
            <w:rStyle w:val="Hyperlink"/>
          </w:rPr>
          <w:noBreakHyphen/>
        </w:r>
        <w:r w:rsidRPr="001769C2">
          <w:rPr>
            <w:rStyle w:val="Hyperlink"/>
          </w:rPr>
          <w:t>up</w:t>
        </w:r>
        <w:r w:rsidR="00563A2B">
          <w:rPr>
            <w:rStyle w:val="Hyperlink"/>
          </w:rPr>
          <w:noBreakHyphen/>
        </w:r>
        <w:r w:rsidRPr="001769C2">
          <w:rPr>
            <w:rStyle w:val="Hyperlink"/>
          </w:rPr>
          <w:t>to</w:t>
        </w:r>
        <w:r w:rsidR="00563A2B">
          <w:rPr>
            <w:rStyle w:val="Hyperlink"/>
          </w:rPr>
          <w:noBreakHyphen/>
        </w:r>
        <w:r w:rsidRPr="001769C2">
          <w:rPr>
            <w:rStyle w:val="Hyperlink"/>
          </w:rPr>
          <w:t>120million</w:t>
        </w:r>
        <w:r w:rsidR="00563A2B">
          <w:rPr>
            <w:rStyle w:val="Hyperlink"/>
          </w:rPr>
          <w:noBreakHyphen/>
        </w:r>
        <w:r w:rsidRPr="001769C2">
          <w:rPr>
            <w:rStyle w:val="Hyperlink"/>
          </w:rPr>
          <w:t>institutional</w:t>
        </w:r>
        <w:r w:rsidR="00563A2B">
          <w:rPr>
            <w:rStyle w:val="Hyperlink"/>
          </w:rPr>
          <w:noBreakHyphen/>
        </w:r>
        <w:r w:rsidRPr="001769C2">
          <w:rPr>
            <w:rStyle w:val="Hyperlink"/>
          </w:rPr>
          <w:t>investment</w:t>
        </w:r>
        <w:r w:rsidR="00563A2B">
          <w:rPr>
            <w:rStyle w:val="Hyperlink"/>
          </w:rPr>
          <w:noBreakHyphen/>
        </w:r>
        <w:r w:rsidRPr="001769C2">
          <w:rPr>
            <w:rStyle w:val="Hyperlink"/>
          </w:rPr>
          <w:t>to</w:t>
        </w:r>
        <w:r w:rsidR="00563A2B">
          <w:rPr>
            <w:rStyle w:val="Hyperlink"/>
          </w:rPr>
          <w:noBreakHyphen/>
        </w:r>
        <w:r w:rsidRPr="001769C2">
          <w:rPr>
            <w:rStyle w:val="Hyperlink"/>
          </w:rPr>
          <w:t>support</w:t>
        </w:r>
        <w:r w:rsidR="00563A2B">
          <w:rPr>
            <w:rStyle w:val="Hyperlink"/>
          </w:rPr>
          <w:noBreakHyphen/>
        </w:r>
        <w:r w:rsidRPr="001769C2">
          <w:rPr>
            <w:rStyle w:val="Hyperlink"/>
          </w:rPr>
          <w:t>affordable</w:t>
        </w:r>
        <w:r w:rsidR="00563A2B">
          <w:rPr>
            <w:rStyle w:val="Hyperlink"/>
          </w:rPr>
          <w:noBreakHyphen/>
        </w:r>
        <w:r w:rsidRPr="001769C2">
          <w:rPr>
            <w:rStyle w:val="Hyperlink"/>
          </w:rPr>
          <w:t>key</w:t>
        </w:r>
        <w:r w:rsidR="00563A2B">
          <w:rPr>
            <w:rStyle w:val="Hyperlink"/>
          </w:rPr>
          <w:noBreakHyphen/>
        </w:r>
        <w:r w:rsidRPr="001769C2">
          <w:rPr>
            <w:rStyle w:val="Hyperlink"/>
          </w:rPr>
          <w:t>worker</w:t>
        </w:r>
        <w:r w:rsidR="00563A2B">
          <w:rPr>
            <w:rStyle w:val="Hyperlink"/>
          </w:rPr>
          <w:noBreakHyphen/>
        </w:r>
        <w:r w:rsidRPr="001769C2">
          <w:rPr>
            <w:rStyle w:val="Hyperlink"/>
          </w:rPr>
          <w:t>housing/</w:t>
        </w:r>
      </w:hyperlink>
    </w:p>
    <w:p w14:paraId="686E0FE1" w14:textId="7C7A0F93" w:rsidR="009A4DA0" w:rsidRDefault="009A4DA0" w:rsidP="009A4DA0">
      <w:r>
        <w:t xml:space="preserve">Suarez, F and </w:t>
      </w:r>
      <w:proofErr w:type="spellStart"/>
      <w:r>
        <w:t>Lanzolla</w:t>
      </w:r>
      <w:proofErr w:type="spellEnd"/>
      <w:r>
        <w:t xml:space="preserve">, G (2005), </w:t>
      </w:r>
      <w:r w:rsidR="00563A2B">
        <w:rPr>
          <w:rFonts w:cstheme="minorHAnsi"/>
          <w:szCs w:val="22"/>
        </w:rPr>
        <w:t>‘</w:t>
      </w:r>
      <w:r w:rsidRPr="00DB4824">
        <w:rPr>
          <w:rFonts w:cstheme="minorHAnsi"/>
          <w:szCs w:val="22"/>
        </w:rPr>
        <w:t>The half</w:t>
      </w:r>
      <w:r w:rsidR="00563A2B">
        <w:rPr>
          <w:rFonts w:cstheme="minorHAnsi"/>
          <w:szCs w:val="22"/>
        </w:rPr>
        <w:noBreakHyphen/>
      </w:r>
      <w:r w:rsidRPr="00DB4824">
        <w:rPr>
          <w:rFonts w:cstheme="minorHAnsi"/>
          <w:szCs w:val="22"/>
        </w:rPr>
        <w:t>truth of first</w:t>
      </w:r>
      <w:r w:rsidR="00563A2B">
        <w:rPr>
          <w:rFonts w:cstheme="minorHAnsi"/>
          <w:szCs w:val="22"/>
        </w:rPr>
        <w:noBreakHyphen/>
      </w:r>
      <w:r w:rsidRPr="00DB4824">
        <w:rPr>
          <w:rFonts w:cstheme="minorHAnsi"/>
          <w:szCs w:val="22"/>
        </w:rPr>
        <w:t>mover advantage</w:t>
      </w:r>
      <w:r w:rsidR="00563A2B">
        <w:t>’</w:t>
      </w:r>
      <w:r>
        <w:t xml:space="preserve">, </w:t>
      </w:r>
      <w:r>
        <w:rPr>
          <w:i/>
          <w:iCs/>
        </w:rPr>
        <w:t>Harvard Business Review</w:t>
      </w:r>
      <w:r w:rsidRPr="00DB4824">
        <w:rPr>
          <w:rFonts w:cstheme="minorHAnsi"/>
          <w:szCs w:val="22"/>
        </w:rPr>
        <w:t>,</w:t>
      </w:r>
      <w:r>
        <w:t xml:space="preserve"> </w:t>
      </w:r>
      <w:hyperlink r:id="rId135" w:history="1">
        <w:r w:rsidRPr="00022B0C">
          <w:rPr>
            <w:rStyle w:val="Hyperlink"/>
          </w:rPr>
          <w:t>https://hbr.org/2005/04/the</w:t>
        </w:r>
        <w:r w:rsidR="00563A2B">
          <w:rPr>
            <w:rStyle w:val="Hyperlink"/>
          </w:rPr>
          <w:noBreakHyphen/>
        </w:r>
        <w:r w:rsidRPr="00022B0C">
          <w:rPr>
            <w:rStyle w:val="Hyperlink"/>
          </w:rPr>
          <w:t>half</w:t>
        </w:r>
        <w:r w:rsidR="00563A2B">
          <w:rPr>
            <w:rStyle w:val="Hyperlink"/>
          </w:rPr>
          <w:noBreakHyphen/>
        </w:r>
        <w:r w:rsidRPr="00022B0C">
          <w:rPr>
            <w:rStyle w:val="Hyperlink"/>
          </w:rPr>
          <w:t>truth</w:t>
        </w:r>
        <w:r w:rsidR="00563A2B">
          <w:rPr>
            <w:rStyle w:val="Hyperlink"/>
          </w:rPr>
          <w:noBreakHyphen/>
        </w:r>
        <w:r w:rsidRPr="00022B0C">
          <w:rPr>
            <w:rStyle w:val="Hyperlink"/>
          </w:rPr>
          <w:t>of</w:t>
        </w:r>
        <w:r w:rsidR="00563A2B">
          <w:rPr>
            <w:rStyle w:val="Hyperlink"/>
          </w:rPr>
          <w:noBreakHyphen/>
        </w:r>
        <w:r w:rsidRPr="00022B0C">
          <w:rPr>
            <w:rStyle w:val="Hyperlink"/>
          </w:rPr>
          <w:t>first</w:t>
        </w:r>
        <w:r w:rsidR="00563A2B">
          <w:rPr>
            <w:rStyle w:val="Hyperlink"/>
          </w:rPr>
          <w:noBreakHyphen/>
        </w:r>
        <w:r w:rsidRPr="00022B0C">
          <w:rPr>
            <w:rStyle w:val="Hyperlink"/>
          </w:rPr>
          <w:t>mover</w:t>
        </w:r>
        <w:r w:rsidR="00563A2B">
          <w:rPr>
            <w:rStyle w:val="Hyperlink"/>
          </w:rPr>
          <w:noBreakHyphen/>
        </w:r>
        <w:r w:rsidRPr="00022B0C">
          <w:rPr>
            <w:rStyle w:val="Hyperlink"/>
          </w:rPr>
          <w:t>advantage</w:t>
        </w:r>
      </w:hyperlink>
      <w:r>
        <w:t xml:space="preserve"> </w:t>
      </w:r>
    </w:p>
    <w:p w14:paraId="61642193" w14:textId="3C5024FB" w:rsidR="009A4DA0" w:rsidRPr="003A2873" w:rsidRDefault="009A4DA0" w:rsidP="009A4DA0">
      <w:r>
        <w:t xml:space="preserve">Sukkar, M and Morrison, S (2017), </w:t>
      </w:r>
      <w:r>
        <w:rPr>
          <w:i/>
          <w:iCs/>
        </w:rPr>
        <w:t>Increasing supply of affordable housing</w:t>
      </w:r>
      <w:r>
        <w:t xml:space="preserve">, media release, Department of Treasury, </w:t>
      </w:r>
      <w:hyperlink r:id="rId136" w:history="1">
        <w:r w:rsidRPr="00022B0C">
          <w:rPr>
            <w:rStyle w:val="Hyperlink"/>
          </w:rPr>
          <w:t>https://ministers.treasury.gov.au/ministers/michael</w:t>
        </w:r>
        <w:r w:rsidR="00563A2B">
          <w:rPr>
            <w:rStyle w:val="Hyperlink"/>
          </w:rPr>
          <w:noBreakHyphen/>
        </w:r>
        <w:r w:rsidRPr="00022B0C">
          <w:rPr>
            <w:rStyle w:val="Hyperlink"/>
          </w:rPr>
          <w:t>sukkar</w:t>
        </w:r>
        <w:r w:rsidR="00563A2B">
          <w:rPr>
            <w:rStyle w:val="Hyperlink"/>
          </w:rPr>
          <w:noBreakHyphen/>
        </w:r>
        <w:r w:rsidRPr="00022B0C">
          <w:rPr>
            <w:rStyle w:val="Hyperlink"/>
          </w:rPr>
          <w:t>2017/media</w:t>
        </w:r>
        <w:r w:rsidR="00563A2B">
          <w:rPr>
            <w:rStyle w:val="Hyperlink"/>
          </w:rPr>
          <w:noBreakHyphen/>
        </w:r>
        <w:r w:rsidRPr="00022B0C">
          <w:rPr>
            <w:rStyle w:val="Hyperlink"/>
          </w:rPr>
          <w:t>releases/increasing</w:t>
        </w:r>
        <w:r w:rsidR="00563A2B">
          <w:rPr>
            <w:rStyle w:val="Hyperlink"/>
          </w:rPr>
          <w:noBreakHyphen/>
        </w:r>
        <w:r w:rsidRPr="00022B0C">
          <w:rPr>
            <w:rStyle w:val="Hyperlink"/>
          </w:rPr>
          <w:t>supply</w:t>
        </w:r>
        <w:r w:rsidR="00563A2B">
          <w:rPr>
            <w:rStyle w:val="Hyperlink"/>
          </w:rPr>
          <w:noBreakHyphen/>
        </w:r>
        <w:r w:rsidRPr="00022B0C">
          <w:rPr>
            <w:rStyle w:val="Hyperlink"/>
          </w:rPr>
          <w:t>affordable</w:t>
        </w:r>
        <w:r w:rsidR="00563A2B">
          <w:rPr>
            <w:rStyle w:val="Hyperlink"/>
          </w:rPr>
          <w:noBreakHyphen/>
        </w:r>
        <w:r w:rsidRPr="00022B0C">
          <w:rPr>
            <w:rStyle w:val="Hyperlink"/>
          </w:rPr>
          <w:t>housing</w:t>
        </w:r>
      </w:hyperlink>
      <w:r>
        <w:t xml:space="preserve"> </w:t>
      </w:r>
    </w:p>
    <w:p w14:paraId="5968E163" w14:textId="52750C62" w:rsidR="009A4DA0" w:rsidRPr="00514183" w:rsidRDefault="009A4DA0" w:rsidP="009A4DA0">
      <w:pPr>
        <w:rPr>
          <w:rStyle w:val="Hyperlink"/>
        </w:rPr>
      </w:pPr>
      <w:r>
        <w:t xml:space="preserve">Tasmanian Government (2023), </w:t>
      </w:r>
      <w:r w:rsidRPr="00AC3DD2">
        <w:t>State Revenue Office of Tasmania</w:t>
      </w:r>
      <w:r w:rsidRPr="008A3D8C">
        <w:rPr>
          <w:i/>
          <w:iCs/>
        </w:rPr>
        <w:t>, Land tax – New Home used for long</w:t>
      </w:r>
      <w:r w:rsidR="00563A2B">
        <w:rPr>
          <w:i/>
          <w:iCs/>
        </w:rPr>
        <w:noBreakHyphen/>
      </w:r>
      <w:r w:rsidRPr="008A3D8C">
        <w:rPr>
          <w:i/>
          <w:iCs/>
        </w:rPr>
        <w:t>term rental exemption,</w:t>
      </w:r>
      <w:r w:rsidRPr="009A2F28">
        <w:t xml:space="preserve"> </w:t>
      </w:r>
      <w:hyperlink r:id="rId137" w:history="1">
        <w:r w:rsidRPr="009A2F28">
          <w:rPr>
            <w:rStyle w:val="Hyperlink"/>
          </w:rPr>
          <w:t>https://www.sro.tas.gov.au/land</w:t>
        </w:r>
        <w:r w:rsidR="00563A2B">
          <w:rPr>
            <w:rStyle w:val="Hyperlink"/>
          </w:rPr>
          <w:noBreakHyphen/>
        </w:r>
        <w:r w:rsidRPr="009A2F28">
          <w:rPr>
            <w:rStyle w:val="Hyperlink"/>
          </w:rPr>
          <w:t>tax/exemptions</w:t>
        </w:r>
        <w:r w:rsidR="00563A2B">
          <w:rPr>
            <w:rStyle w:val="Hyperlink"/>
          </w:rPr>
          <w:noBreakHyphen/>
        </w:r>
        <w:r w:rsidRPr="009A2F28">
          <w:rPr>
            <w:rStyle w:val="Hyperlink"/>
          </w:rPr>
          <w:t>and</w:t>
        </w:r>
        <w:r w:rsidR="00563A2B">
          <w:rPr>
            <w:rStyle w:val="Hyperlink"/>
          </w:rPr>
          <w:noBreakHyphen/>
        </w:r>
        <w:r w:rsidRPr="009A2F28">
          <w:rPr>
            <w:rStyle w:val="Hyperlink"/>
          </w:rPr>
          <w:t>rebates/new</w:t>
        </w:r>
        <w:r w:rsidR="00563A2B">
          <w:rPr>
            <w:rStyle w:val="Hyperlink"/>
          </w:rPr>
          <w:noBreakHyphen/>
        </w:r>
        <w:r w:rsidRPr="009A2F28">
          <w:rPr>
            <w:rStyle w:val="Hyperlink"/>
          </w:rPr>
          <w:t>home</w:t>
        </w:r>
        <w:r w:rsidR="00563A2B">
          <w:rPr>
            <w:rStyle w:val="Hyperlink"/>
          </w:rPr>
          <w:noBreakHyphen/>
        </w:r>
        <w:r w:rsidRPr="009A2F28">
          <w:rPr>
            <w:rStyle w:val="Hyperlink"/>
          </w:rPr>
          <w:t>used</w:t>
        </w:r>
        <w:r w:rsidR="00563A2B">
          <w:rPr>
            <w:rStyle w:val="Hyperlink"/>
          </w:rPr>
          <w:noBreakHyphen/>
        </w:r>
        <w:r w:rsidRPr="009A2F28">
          <w:rPr>
            <w:rStyle w:val="Hyperlink"/>
          </w:rPr>
          <w:t>for</w:t>
        </w:r>
        <w:r w:rsidR="00563A2B">
          <w:rPr>
            <w:rStyle w:val="Hyperlink"/>
          </w:rPr>
          <w:noBreakHyphen/>
        </w:r>
        <w:r w:rsidRPr="009A2F28">
          <w:rPr>
            <w:rStyle w:val="Hyperlink"/>
          </w:rPr>
          <w:t>long</w:t>
        </w:r>
        <w:r w:rsidR="00563A2B">
          <w:rPr>
            <w:rStyle w:val="Hyperlink"/>
          </w:rPr>
          <w:noBreakHyphen/>
        </w:r>
        <w:r w:rsidRPr="009A2F28">
          <w:rPr>
            <w:rStyle w:val="Hyperlink"/>
          </w:rPr>
          <w:t>term</w:t>
        </w:r>
        <w:r w:rsidR="00563A2B">
          <w:rPr>
            <w:rStyle w:val="Hyperlink"/>
          </w:rPr>
          <w:noBreakHyphen/>
        </w:r>
        <w:r w:rsidRPr="009A2F28">
          <w:rPr>
            <w:rStyle w:val="Hyperlink"/>
          </w:rPr>
          <w:t>rental</w:t>
        </w:r>
        <w:r w:rsidR="00563A2B">
          <w:rPr>
            <w:rStyle w:val="Hyperlink"/>
          </w:rPr>
          <w:noBreakHyphen/>
        </w:r>
        <w:r w:rsidRPr="009A2F28">
          <w:rPr>
            <w:rStyle w:val="Hyperlink"/>
          </w:rPr>
          <w:t>exemption</w:t>
        </w:r>
      </w:hyperlink>
    </w:p>
    <w:p w14:paraId="279B7CC4" w14:textId="0C90BE56" w:rsidR="009A4DA0" w:rsidRDefault="009A4DA0" w:rsidP="009A4DA0">
      <w:pPr>
        <w:spacing w:after="160" w:line="259" w:lineRule="auto"/>
        <w:rPr>
          <w:szCs w:val="22"/>
        </w:rPr>
      </w:pPr>
      <w:r w:rsidRPr="00CE7811">
        <w:rPr>
          <w:szCs w:val="22"/>
        </w:rPr>
        <w:t>The Economist (2021),</w:t>
      </w:r>
      <w:r>
        <w:rPr>
          <w:szCs w:val="22"/>
        </w:rPr>
        <w:t xml:space="preserve"> </w:t>
      </w:r>
      <w:r w:rsidR="00563A2B">
        <w:rPr>
          <w:szCs w:val="22"/>
        </w:rPr>
        <w:t>‘</w:t>
      </w:r>
      <w:r w:rsidRPr="00CE7811">
        <w:rPr>
          <w:szCs w:val="22"/>
        </w:rPr>
        <w:t>Beware the backlash as financiers muscle into rental property</w:t>
      </w:r>
      <w:r w:rsidR="00563A2B">
        <w:rPr>
          <w:szCs w:val="22"/>
        </w:rPr>
        <w:t>’</w:t>
      </w:r>
      <w:r w:rsidRPr="00CE7811">
        <w:rPr>
          <w:szCs w:val="22"/>
        </w:rPr>
        <w:t>, </w:t>
      </w:r>
      <w:hyperlink r:id="rId138" w:tgtFrame="_blank" w:tooltip="https://www.economist.com/finance-and-economics/2021/09/25/beware-the-backlash-as-financiers-muscle-into-rental-property" w:history="1">
        <w:r w:rsidRPr="00CE7811">
          <w:rPr>
            <w:rStyle w:val="Hyperlink"/>
            <w:szCs w:val="22"/>
          </w:rPr>
          <w:t>https://www.economist.com/finance</w:t>
        </w:r>
        <w:r w:rsidR="00563A2B">
          <w:rPr>
            <w:rStyle w:val="Hyperlink"/>
            <w:szCs w:val="22"/>
          </w:rPr>
          <w:noBreakHyphen/>
        </w:r>
        <w:r w:rsidRPr="00CE7811">
          <w:rPr>
            <w:rStyle w:val="Hyperlink"/>
            <w:szCs w:val="22"/>
          </w:rPr>
          <w:t>and</w:t>
        </w:r>
        <w:r w:rsidR="00563A2B">
          <w:rPr>
            <w:rStyle w:val="Hyperlink"/>
            <w:szCs w:val="22"/>
          </w:rPr>
          <w:noBreakHyphen/>
        </w:r>
        <w:r w:rsidRPr="00CE7811">
          <w:rPr>
            <w:rStyle w:val="Hyperlink"/>
            <w:szCs w:val="22"/>
          </w:rPr>
          <w:t>economics/2021/09/25/beware</w:t>
        </w:r>
        <w:r w:rsidR="00563A2B">
          <w:rPr>
            <w:rStyle w:val="Hyperlink"/>
            <w:szCs w:val="22"/>
          </w:rPr>
          <w:noBreakHyphen/>
        </w:r>
        <w:r w:rsidRPr="00CE7811">
          <w:rPr>
            <w:rStyle w:val="Hyperlink"/>
            <w:szCs w:val="22"/>
          </w:rPr>
          <w:t>the</w:t>
        </w:r>
        <w:r w:rsidR="00563A2B">
          <w:rPr>
            <w:rStyle w:val="Hyperlink"/>
            <w:szCs w:val="22"/>
          </w:rPr>
          <w:noBreakHyphen/>
        </w:r>
        <w:r w:rsidRPr="00CE7811">
          <w:rPr>
            <w:rStyle w:val="Hyperlink"/>
            <w:szCs w:val="22"/>
          </w:rPr>
          <w:t>backlash</w:t>
        </w:r>
        <w:r w:rsidR="00563A2B">
          <w:rPr>
            <w:rStyle w:val="Hyperlink"/>
            <w:szCs w:val="22"/>
          </w:rPr>
          <w:noBreakHyphen/>
        </w:r>
        <w:r w:rsidRPr="00CE7811">
          <w:rPr>
            <w:rStyle w:val="Hyperlink"/>
            <w:szCs w:val="22"/>
          </w:rPr>
          <w:t>as</w:t>
        </w:r>
        <w:r w:rsidR="00563A2B">
          <w:rPr>
            <w:rStyle w:val="Hyperlink"/>
            <w:szCs w:val="22"/>
          </w:rPr>
          <w:noBreakHyphen/>
        </w:r>
        <w:r w:rsidRPr="00CE7811">
          <w:rPr>
            <w:rStyle w:val="Hyperlink"/>
            <w:szCs w:val="22"/>
          </w:rPr>
          <w:t>financiers</w:t>
        </w:r>
        <w:r w:rsidR="00563A2B">
          <w:rPr>
            <w:rStyle w:val="Hyperlink"/>
            <w:szCs w:val="22"/>
          </w:rPr>
          <w:noBreakHyphen/>
        </w:r>
        <w:r w:rsidRPr="00CE7811">
          <w:rPr>
            <w:rStyle w:val="Hyperlink"/>
            <w:szCs w:val="22"/>
          </w:rPr>
          <w:t>muscle</w:t>
        </w:r>
        <w:r w:rsidR="00563A2B">
          <w:rPr>
            <w:rStyle w:val="Hyperlink"/>
            <w:szCs w:val="22"/>
          </w:rPr>
          <w:noBreakHyphen/>
        </w:r>
        <w:r w:rsidRPr="00CE7811">
          <w:rPr>
            <w:rStyle w:val="Hyperlink"/>
            <w:szCs w:val="22"/>
          </w:rPr>
          <w:t>into</w:t>
        </w:r>
        <w:r w:rsidR="00563A2B">
          <w:rPr>
            <w:rStyle w:val="Hyperlink"/>
            <w:szCs w:val="22"/>
          </w:rPr>
          <w:noBreakHyphen/>
        </w:r>
        <w:r w:rsidRPr="00CE7811">
          <w:rPr>
            <w:rStyle w:val="Hyperlink"/>
            <w:szCs w:val="22"/>
          </w:rPr>
          <w:t>rental</w:t>
        </w:r>
        <w:r w:rsidR="00563A2B">
          <w:rPr>
            <w:rStyle w:val="Hyperlink"/>
            <w:szCs w:val="22"/>
          </w:rPr>
          <w:noBreakHyphen/>
        </w:r>
        <w:r w:rsidRPr="00CE7811">
          <w:rPr>
            <w:rStyle w:val="Hyperlink"/>
            <w:szCs w:val="22"/>
          </w:rPr>
          <w:t>property</w:t>
        </w:r>
      </w:hyperlink>
    </w:p>
    <w:p w14:paraId="53923679" w14:textId="3DC537F2" w:rsidR="009A4DA0" w:rsidRPr="005C2FC6" w:rsidRDefault="009A4DA0" w:rsidP="009A4DA0">
      <w:pPr>
        <w:spacing w:after="160" w:line="259" w:lineRule="auto"/>
        <w:rPr>
          <w:rFonts w:eastAsia="Arial Unicode MS" w:cstheme="minorHAnsi"/>
          <w:szCs w:val="22"/>
        </w:rPr>
      </w:pPr>
      <w:r w:rsidRPr="00A45034">
        <w:rPr>
          <w:szCs w:val="22"/>
        </w:rPr>
        <w:t>The White House (2023),</w:t>
      </w:r>
      <w:r>
        <w:rPr>
          <w:szCs w:val="22"/>
        </w:rPr>
        <w:t xml:space="preserve"> </w:t>
      </w:r>
      <w:r w:rsidRPr="004D08E0">
        <w:rPr>
          <w:i/>
          <w:szCs w:val="22"/>
        </w:rPr>
        <w:t>President</w:t>
      </w:r>
      <w:r w:rsidR="00563A2B">
        <w:rPr>
          <w:i/>
          <w:szCs w:val="22"/>
        </w:rPr>
        <w:t>’</w:t>
      </w:r>
      <w:r w:rsidRPr="004D08E0">
        <w:rPr>
          <w:i/>
          <w:szCs w:val="22"/>
        </w:rPr>
        <w:t>s Budget, Analytical Perspectives</w:t>
      </w:r>
      <w:r w:rsidRPr="00A45034">
        <w:rPr>
          <w:szCs w:val="22"/>
        </w:rPr>
        <w:t>,</w:t>
      </w:r>
      <w:r>
        <w:rPr>
          <w:szCs w:val="22"/>
        </w:rPr>
        <w:t xml:space="preserve"> </w:t>
      </w:r>
      <w:hyperlink r:id="rId139" w:history="1">
        <w:r w:rsidRPr="00A45034">
          <w:rPr>
            <w:rStyle w:val="Hyperlink"/>
            <w:szCs w:val="22"/>
          </w:rPr>
          <w:t>https://www.whitehouse.gov/omb/budget/analytical</w:t>
        </w:r>
        <w:r w:rsidR="00563A2B">
          <w:rPr>
            <w:rStyle w:val="Hyperlink"/>
            <w:szCs w:val="22"/>
          </w:rPr>
          <w:noBreakHyphen/>
        </w:r>
        <w:r w:rsidRPr="00A45034">
          <w:rPr>
            <w:rStyle w:val="Hyperlink"/>
            <w:szCs w:val="22"/>
          </w:rPr>
          <w:t>perspectives/</w:t>
        </w:r>
      </w:hyperlink>
      <w:r>
        <w:rPr>
          <w:rFonts w:eastAsia="Arial Unicode MS" w:cstheme="minorHAnsi"/>
          <w:szCs w:val="22"/>
        </w:rPr>
        <w:t xml:space="preserve"> </w:t>
      </w:r>
    </w:p>
    <w:p w14:paraId="1F415D17" w14:textId="796837C1" w:rsidR="00EC647F" w:rsidRDefault="00EC647F" w:rsidP="00EC647F">
      <w:pPr>
        <w:rPr>
          <w:rStyle w:val="Hyperlink"/>
          <w:rFonts w:eastAsia="Wingdings" w:cs="Wingdings"/>
        </w:rPr>
      </w:pPr>
      <w:r>
        <w:rPr>
          <w:szCs w:val="22"/>
        </w:rPr>
        <w:t xml:space="preserve">Treasury (Department of the </w:t>
      </w:r>
      <w:r w:rsidRPr="00E54F13">
        <w:rPr>
          <w:szCs w:val="22"/>
        </w:rPr>
        <w:t>Treasury</w:t>
      </w:r>
      <w:r>
        <w:rPr>
          <w:szCs w:val="22"/>
        </w:rPr>
        <w:t>)</w:t>
      </w:r>
      <w:r w:rsidRPr="00E54F13">
        <w:rPr>
          <w:szCs w:val="22"/>
        </w:rPr>
        <w:t xml:space="preserve"> (2023),</w:t>
      </w:r>
      <w:r w:rsidRPr="00E54F13">
        <w:rPr>
          <w:i/>
          <w:iCs/>
          <w:szCs w:val="22"/>
        </w:rPr>
        <w:t xml:space="preserve"> Your Future, Your Super Review: Summary of issues</w:t>
      </w:r>
      <w:r w:rsidRPr="00E54F13">
        <w:rPr>
          <w:szCs w:val="22"/>
        </w:rPr>
        <w:t xml:space="preserve">, </w:t>
      </w:r>
      <w:r w:rsidRPr="00DD7B16">
        <w:rPr>
          <w:rStyle w:val="Hyperlink"/>
          <w:rFonts w:eastAsia="Wingdings" w:cs="Wingdings"/>
          <w:color w:val="auto"/>
        </w:rPr>
        <w:t>Treasury, Canberra</w:t>
      </w:r>
      <w:r>
        <w:rPr>
          <w:rStyle w:val="Hyperlink"/>
          <w:rFonts w:eastAsia="Wingdings" w:cs="Wingdings"/>
          <w:color w:val="auto"/>
        </w:rPr>
        <w:t xml:space="preserve">, </w:t>
      </w:r>
      <w:hyperlink r:id="rId140" w:history="1">
        <w:r w:rsidRPr="00022B0C">
          <w:rPr>
            <w:rStyle w:val="Hyperlink"/>
            <w:szCs w:val="22"/>
          </w:rPr>
          <w:t>https://treasury.gov.au/sites/default/files/2023</w:t>
        </w:r>
        <w:r w:rsidR="00563A2B">
          <w:rPr>
            <w:rStyle w:val="Hyperlink"/>
            <w:szCs w:val="22"/>
          </w:rPr>
          <w:noBreakHyphen/>
        </w:r>
        <w:r w:rsidRPr="00022B0C">
          <w:rPr>
            <w:rStyle w:val="Hyperlink"/>
            <w:szCs w:val="22"/>
          </w:rPr>
          <w:t>04/c2022</w:t>
        </w:r>
        <w:r w:rsidR="00563A2B">
          <w:rPr>
            <w:rStyle w:val="Hyperlink"/>
            <w:szCs w:val="22"/>
          </w:rPr>
          <w:noBreakHyphen/>
        </w:r>
        <w:r w:rsidRPr="00022B0C">
          <w:rPr>
            <w:rStyle w:val="Hyperlink"/>
            <w:szCs w:val="22"/>
          </w:rPr>
          <w:t>313936</w:t>
        </w:r>
        <w:r w:rsidR="00563A2B">
          <w:rPr>
            <w:rStyle w:val="Hyperlink"/>
            <w:szCs w:val="22"/>
          </w:rPr>
          <w:noBreakHyphen/>
        </w:r>
        <w:r w:rsidRPr="00022B0C">
          <w:rPr>
            <w:rStyle w:val="Hyperlink"/>
            <w:szCs w:val="22"/>
          </w:rPr>
          <w:t>yfys</w:t>
        </w:r>
        <w:r w:rsidR="00563A2B">
          <w:rPr>
            <w:rStyle w:val="Hyperlink"/>
            <w:szCs w:val="22"/>
          </w:rPr>
          <w:noBreakHyphen/>
        </w:r>
        <w:r w:rsidRPr="00022B0C">
          <w:rPr>
            <w:rStyle w:val="Hyperlink"/>
            <w:szCs w:val="22"/>
          </w:rPr>
          <w:t>review.pdf</w:t>
        </w:r>
      </w:hyperlink>
    </w:p>
    <w:p w14:paraId="1CC44019" w14:textId="4E64FA53" w:rsidR="00267A4F" w:rsidRPr="00267A4F" w:rsidRDefault="008D445F" w:rsidP="00EC647F">
      <w:pPr>
        <w:rPr>
          <w:rStyle w:val="Hyperlink"/>
          <w:rFonts w:eastAsia="Wingdings" w:cs="Wingdings"/>
        </w:rPr>
      </w:pPr>
      <w:r w:rsidRPr="003E1294">
        <w:rPr>
          <w:rStyle w:val="Hyperlink"/>
          <w:color w:val="auto"/>
          <w:szCs w:val="22"/>
        </w:rPr>
        <w:t xml:space="preserve">Treasury (Department of the Treasury) </w:t>
      </w:r>
      <w:r w:rsidRPr="003E1294">
        <w:rPr>
          <w:rStyle w:val="Hyperlink"/>
          <w:i/>
          <w:color w:val="auto"/>
          <w:szCs w:val="22"/>
        </w:rPr>
        <w:t xml:space="preserve">National Housing Accord 2022, </w:t>
      </w:r>
      <w:r w:rsidR="00267A4F" w:rsidRPr="003E1294">
        <w:rPr>
          <w:rStyle w:val="Hyperlink"/>
          <w:color w:val="auto"/>
          <w:szCs w:val="22"/>
        </w:rPr>
        <w:t xml:space="preserve">Treasury, Canberra, </w:t>
      </w:r>
      <w:r w:rsidR="00267A4F">
        <w:rPr>
          <w:rStyle w:val="Hyperlink"/>
          <w:rFonts w:eastAsia="Wingdings" w:cs="Wingdings"/>
        </w:rPr>
        <w:t>http</w:t>
      </w:r>
      <w:r w:rsidR="00267A4F" w:rsidRPr="00267A4F">
        <w:rPr>
          <w:rStyle w:val="Hyperlink"/>
          <w:rFonts w:eastAsia="Wingdings" w:cs="Wingdings"/>
        </w:rPr>
        <w:t>s://ministers.treasury.gov.au/sites/ministers.treasury.gov.au/files/2022</w:t>
      </w:r>
      <w:r w:rsidR="00563A2B">
        <w:rPr>
          <w:rStyle w:val="Hyperlink"/>
          <w:rFonts w:eastAsia="Wingdings" w:cs="Wingdings"/>
        </w:rPr>
        <w:noBreakHyphen/>
      </w:r>
      <w:r w:rsidR="00267A4F" w:rsidRPr="00267A4F">
        <w:rPr>
          <w:rStyle w:val="Hyperlink"/>
          <w:rFonts w:eastAsia="Wingdings" w:cs="Wingdings"/>
        </w:rPr>
        <w:t>10/national</w:t>
      </w:r>
      <w:r w:rsidR="00563A2B">
        <w:rPr>
          <w:rStyle w:val="Hyperlink"/>
          <w:rFonts w:eastAsia="Wingdings" w:cs="Wingdings"/>
        </w:rPr>
        <w:noBreakHyphen/>
      </w:r>
      <w:r w:rsidR="00267A4F" w:rsidRPr="00267A4F">
        <w:rPr>
          <w:rStyle w:val="Hyperlink"/>
          <w:rFonts w:eastAsia="Wingdings" w:cs="Wingdings"/>
        </w:rPr>
        <w:t>housing</w:t>
      </w:r>
      <w:r w:rsidR="00563A2B">
        <w:rPr>
          <w:rStyle w:val="Hyperlink"/>
          <w:rFonts w:eastAsia="Wingdings" w:cs="Wingdings"/>
        </w:rPr>
        <w:noBreakHyphen/>
      </w:r>
      <w:r w:rsidR="00267A4F" w:rsidRPr="00267A4F">
        <w:rPr>
          <w:rStyle w:val="Hyperlink"/>
          <w:rFonts w:eastAsia="Wingdings" w:cs="Wingdings"/>
        </w:rPr>
        <w:t>accord</w:t>
      </w:r>
      <w:r w:rsidR="00563A2B">
        <w:rPr>
          <w:rStyle w:val="Hyperlink"/>
          <w:rFonts w:eastAsia="Wingdings" w:cs="Wingdings"/>
        </w:rPr>
        <w:noBreakHyphen/>
      </w:r>
      <w:r w:rsidR="00267A4F" w:rsidRPr="00267A4F">
        <w:rPr>
          <w:rStyle w:val="Hyperlink"/>
          <w:rFonts w:eastAsia="Wingdings" w:cs="Wingdings"/>
        </w:rPr>
        <w:t>2022.pdf</w:t>
      </w:r>
    </w:p>
    <w:p w14:paraId="299D0529" w14:textId="55999F5B" w:rsidR="00EC647F" w:rsidRPr="00DB4824" w:rsidRDefault="00EC647F" w:rsidP="00EC647F">
      <w:pPr>
        <w:rPr>
          <w:rFonts w:eastAsia="Arial Unicode MS" w:cstheme="minorHAnsi"/>
          <w:szCs w:val="22"/>
        </w:rPr>
      </w:pPr>
      <w:r>
        <w:t xml:space="preserve">Treasury (Department of the </w:t>
      </w:r>
      <w:r w:rsidRPr="005C2FC6">
        <w:t>Treasury</w:t>
      </w:r>
      <w:r>
        <w:t>)</w:t>
      </w:r>
      <w:r w:rsidRPr="005C2FC6">
        <w:t xml:space="preserve"> (2021), </w:t>
      </w:r>
      <w:r>
        <w:rPr>
          <w:i/>
        </w:rPr>
        <w:t>Statutory Review</w:t>
      </w:r>
      <w:r w:rsidR="00413FE4">
        <w:rPr>
          <w:i/>
        </w:rPr>
        <w:t xml:space="preserve"> of the </w:t>
      </w:r>
      <w:r>
        <w:rPr>
          <w:i/>
        </w:rPr>
        <w:t xml:space="preserve">Operation of the </w:t>
      </w:r>
      <w:r>
        <w:t xml:space="preserve">National Housing Finance and Investment Corporation Act </w:t>
      </w:r>
      <w:r>
        <w:rPr>
          <w:i/>
        </w:rPr>
        <w:t>2018,</w:t>
      </w:r>
      <w:r>
        <w:t xml:space="preserve"> final report, </w:t>
      </w:r>
      <w:r w:rsidRPr="005C2FC6">
        <w:rPr>
          <w:rFonts w:eastAsia="Arial Unicode MS" w:cstheme="minorHAnsi"/>
        </w:rPr>
        <w:t>Treasury, Canberra</w:t>
      </w:r>
      <w:r>
        <w:rPr>
          <w:rFonts w:eastAsia="Arial Unicode MS" w:cstheme="minorHAnsi"/>
        </w:rPr>
        <w:t xml:space="preserve">, </w:t>
      </w:r>
      <w:hyperlink r:id="rId141" w:history="1">
        <w:r w:rsidRPr="007C10B7">
          <w:rPr>
            <w:rStyle w:val="Hyperlink"/>
            <w:rFonts w:eastAsia="Arial Unicode MS" w:cstheme="minorHAnsi"/>
          </w:rPr>
          <w:t>https://treasury.gov.au/publication/p2021</w:t>
        </w:r>
        <w:r w:rsidR="00563A2B">
          <w:rPr>
            <w:rStyle w:val="Hyperlink"/>
            <w:rFonts w:eastAsia="Arial Unicode MS" w:cstheme="minorHAnsi"/>
          </w:rPr>
          <w:noBreakHyphen/>
        </w:r>
        <w:r w:rsidRPr="007C10B7">
          <w:rPr>
            <w:rStyle w:val="Hyperlink"/>
            <w:rFonts w:eastAsia="Arial Unicode MS" w:cstheme="minorHAnsi"/>
          </w:rPr>
          <w:t>217760</w:t>
        </w:r>
      </w:hyperlink>
      <w:r>
        <w:rPr>
          <w:rFonts w:eastAsia="Arial Unicode MS" w:cstheme="minorHAnsi"/>
        </w:rPr>
        <w:t xml:space="preserve"> </w:t>
      </w:r>
    </w:p>
    <w:p w14:paraId="363E30F9" w14:textId="665591B8" w:rsidR="00EC647F" w:rsidRPr="0060095C" w:rsidRDefault="00EC647F" w:rsidP="0060095C">
      <w:pPr>
        <w:spacing w:before="0" w:after="160" w:line="259" w:lineRule="auto"/>
        <w:rPr>
          <w:color w:val="auto"/>
        </w:rPr>
      </w:pPr>
      <w:r>
        <w:t>Treasury (Department of the Treasury) (2006), A Brief History of Australia</w:t>
      </w:r>
      <w:r w:rsidR="00563A2B">
        <w:t>’</w:t>
      </w:r>
      <w:r>
        <w:t xml:space="preserve">s Tax System, Economic Roundup Winter 2006, </w:t>
      </w:r>
      <w:r w:rsidRPr="1C08A728">
        <w:rPr>
          <w:rFonts w:eastAsia="Arial Unicode MS" w:cstheme="minorBidi"/>
        </w:rPr>
        <w:t xml:space="preserve">Treasury, Canberra, </w:t>
      </w:r>
      <w:hyperlink r:id="rId142">
        <w:r w:rsidRPr="1C08A728">
          <w:rPr>
            <w:rStyle w:val="Hyperlink"/>
            <w:rFonts w:eastAsia="Arial Unicode MS" w:cstheme="minorBidi"/>
          </w:rPr>
          <w:t>https://treasury.gov.au/publication/economic</w:t>
        </w:r>
        <w:r w:rsidR="00563A2B">
          <w:rPr>
            <w:rStyle w:val="Hyperlink"/>
            <w:rFonts w:eastAsia="Arial Unicode MS" w:cstheme="minorBidi"/>
          </w:rPr>
          <w:noBreakHyphen/>
        </w:r>
        <w:r w:rsidRPr="1C08A728">
          <w:rPr>
            <w:rStyle w:val="Hyperlink"/>
            <w:rFonts w:eastAsia="Arial Unicode MS" w:cstheme="minorBidi"/>
          </w:rPr>
          <w:t>roundup</w:t>
        </w:r>
        <w:r w:rsidR="00563A2B">
          <w:rPr>
            <w:rStyle w:val="Hyperlink"/>
            <w:rFonts w:eastAsia="Arial Unicode MS" w:cstheme="minorBidi"/>
          </w:rPr>
          <w:noBreakHyphen/>
        </w:r>
        <w:r w:rsidRPr="1C08A728">
          <w:rPr>
            <w:rStyle w:val="Hyperlink"/>
            <w:rFonts w:eastAsia="Arial Unicode MS" w:cstheme="minorBidi"/>
          </w:rPr>
          <w:t>winter</w:t>
        </w:r>
        <w:r w:rsidR="00563A2B">
          <w:rPr>
            <w:rStyle w:val="Hyperlink"/>
            <w:rFonts w:eastAsia="Arial Unicode MS" w:cstheme="minorBidi"/>
          </w:rPr>
          <w:noBreakHyphen/>
        </w:r>
        <w:r w:rsidRPr="1C08A728">
          <w:rPr>
            <w:rStyle w:val="Hyperlink"/>
            <w:rFonts w:eastAsia="Arial Unicode MS" w:cstheme="minorBidi"/>
          </w:rPr>
          <w:t>2006/a</w:t>
        </w:r>
        <w:r w:rsidR="00563A2B">
          <w:rPr>
            <w:rStyle w:val="Hyperlink"/>
            <w:rFonts w:eastAsia="Arial Unicode MS" w:cstheme="minorBidi"/>
          </w:rPr>
          <w:noBreakHyphen/>
        </w:r>
        <w:r w:rsidRPr="1C08A728">
          <w:rPr>
            <w:rStyle w:val="Hyperlink"/>
            <w:rFonts w:eastAsia="Arial Unicode MS" w:cstheme="minorBidi"/>
          </w:rPr>
          <w:t>brief</w:t>
        </w:r>
        <w:r w:rsidR="00563A2B">
          <w:rPr>
            <w:rStyle w:val="Hyperlink"/>
            <w:rFonts w:eastAsia="Arial Unicode MS" w:cstheme="minorBidi"/>
          </w:rPr>
          <w:noBreakHyphen/>
        </w:r>
        <w:r w:rsidRPr="1C08A728">
          <w:rPr>
            <w:rStyle w:val="Hyperlink"/>
            <w:rFonts w:eastAsia="Arial Unicode MS" w:cstheme="minorBidi"/>
          </w:rPr>
          <w:t>history</w:t>
        </w:r>
        <w:r w:rsidR="00563A2B">
          <w:rPr>
            <w:rStyle w:val="Hyperlink"/>
            <w:rFonts w:eastAsia="Arial Unicode MS" w:cstheme="minorBidi"/>
          </w:rPr>
          <w:noBreakHyphen/>
        </w:r>
        <w:r w:rsidRPr="1C08A728">
          <w:rPr>
            <w:rStyle w:val="Hyperlink"/>
            <w:rFonts w:eastAsia="Arial Unicode MS" w:cstheme="minorBidi"/>
          </w:rPr>
          <w:t>of</w:t>
        </w:r>
        <w:r w:rsidR="00563A2B">
          <w:rPr>
            <w:rStyle w:val="Hyperlink"/>
            <w:rFonts w:eastAsia="Arial Unicode MS" w:cstheme="minorBidi"/>
          </w:rPr>
          <w:noBreakHyphen/>
        </w:r>
        <w:r w:rsidRPr="1C08A728">
          <w:rPr>
            <w:rStyle w:val="Hyperlink"/>
            <w:rFonts w:eastAsia="Arial Unicode MS" w:cstheme="minorBidi"/>
          </w:rPr>
          <w:t>australias</w:t>
        </w:r>
        <w:r w:rsidR="00563A2B">
          <w:rPr>
            <w:rStyle w:val="Hyperlink"/>
            <w:rFonts w:eastAsia="Arial Unicode MS" w:cstheme="minorBidi"/>
          </w:rPr>
          <w:noBreakHyphen/>
        </w:r>
        <w:r w:rsidRPr="1C08A728">
          <w:rPr>
            <w:rStyle w:val="Hyperlink"/>
            <w:rFonts w:eastAsia="Arial Unicode MS" w:cstheme="minorBidi"/>
          </w:rPr>
          <w:t>tax</w:t>
        </w:r>
        <w:r w:rsidR="00563A2B">
          <w:rPr>
            <w:rStyle w:val="Hyperlink"/>
            <w:rFonts w:eastAsia="Arial Unicode MS" w:cstheme="minorBidi"/>
          </w:rPr>
          <w:noBreakHyphen/>
        </w:r>
        <w:r w:rsidRPr="1C08A728">
          <w:rPr>
            <w:rStyle w:val="Hyperlink"/>
            <w:rFonts w:eastAsia="Arial Unicode MS" w:cstheme="minorBidi"/>
          </w:rPr>
          <w:t>system</w:t>
        </w:r>
      </w:hyperlink>
    </w:p>
    <w:p w14:paraId="694E8CEC" w14:textId="2E33D393" w:rsidR="009A4DA0" w:rsidRDefault="009A4DA0" w:rsidP="00514183">
      <w:pPr>
        <w:spacing w:before="0" w:after="160" w:line="259" w:lineRule="auto"/>
        <w:rPr>
          <w:color w:val="auto"/>
        </w:rPr>
      </w:pPr>
      <w:r>
        <w:rPr>
          <w:color w:val="auto"/>
        </w:rPr>
        <w:t xml:space="preserve">Yoshida, J (2021), </w:t>
      </w:r>
      <w:r w:rsidRPr="00DB4824">
        <w:rPr>
          <w:rFonts w:cstheme="minorHAnsi"/>
          <w:szCs w:val="22"/>
        </w:rPr>
        <w:t>Land scarcity, high construction volume, and distinctive leases characterize Japan</w:t>
      </w:r>
      <w:r w:rsidR="00563A2B">
        <w:rPr>
          <w:rFonts w:cstheme="minorHAnsi"/>
          <w:szCs w:val="22"/>
        </w:rPr>
        <w:t>’</w:t>
      </w:r>
      <w:r w:rsidRPr="00DB4824">
        <w:rPr>
          <w:rFonts w:cstheme="minorHAnsi"/>
          <w:szCs w:val="22"/>
        </w:rPr>
        <w:t>s rental housing markets</w:t>
      </w:r>
      <w:r>
        <w:rPr>
          <w:color w:val="auto"/>
        </w:rPr>
        <w:t xml:space="preserve">, Brookings Institute, </w:t>
      </w:r>
      <w:hyperlink r:id="rId143" w:history="1">
        <w:r w:rsidRPr="00022B0C">
          <w:rPr>
            <w:rStyle w:val="Hyperlink"/>
          </w:rPr>
          <w:t>https:/</w:t>
        </w:r>
        <w:bookmarkStart w:id="169" w:name="_Hlt141182844"/>
        <w:bookmarkStart w:id="170" w:name="_Hlt141182845"/>
        <w:r w:rsidRPr="00022B0C">
          <w:rPr>
            <w:rStyle w:val="Hyperlink"/>
          </w:rPr>
          <w:t>/</w:t>
        </w:r>
        <w:bookmarkEnd w:id="169"/>
        <w:bookmarkEnd w:id="170"/>
        <w:r w:rsidRPr="00022B0C">
          <w:rPr>
            <w:rStyle w:val="Hyperlink"/>
          </w:rPr>
          <w:t>www.brookings.edu/articles/japan</w:t>
        </w:r>
        <w:r w:rsidR="00563A2B">
          <w:rPr>
            <w:rStyle w:val="Hyperlink"/>
          </w:rPr>
          <w:noBreakHyphen/>
        </w:r>
        <w:r w:rsidRPr="00514183">
          <w:rPr>
            <w:rStyle w:val="Hyperlink"/>
          </w:rPr>
          <w:t>rental</w:t>
        </w:r>
        <w:r w:rsidR="00563A2B">
          <w:rPr>
            <w:rStyle w:val="Hyperlink"/>
          </w:rPr>
          <w:noBreakHyphen/>
        </w:r>
        <w:r w:rsidRPr="00514183">
          <w:rPr>
            <w:rStyle w:val="Hyperlink"/>
          </w:rPr>
          <w:t>housing</w:t>
        </w:r>
        <w:r w:rsidR="00563A2B">
          <w:rPr>
            <w:rStyle w:val="Hyperlink"/>
          </w:rPr>
          <w:noBreakHyphen/>
        </w:r>
        <w:r w:rsidRPr="00514183">
          <w:rPr>
            <w:rStyle w:val="Hyperlink"/>
          </w:rPr>
          <w:t>markets</w:t>
        </w:r>
        <w:r w:rsidRPr="00022B0C">
          <w:rPr>
            <w:rStyle w:val="Hyperlink"/>
          </w:rPr>
          <w:t>/</w:t>
        </w:r>
      </w:hyperlink>
      <w:r>
        <w:rPr>
          <w:color w:val="auto"/>
        </w:rPr>
        <w:t xml:space="preserve"> </w:t>
      </w:r>
    </w:p>
    <w:p w14:paraId="6071EECB" w14:textId="1823BFC5" w:rsidR="00C60B0F" w:rsidRPr="00514183" w:rsidRDefault="00C60B0F" w:rsidP="00A377A5"/>
    <w:sectPr w:rsidR="00C60B0F" w:rsidRPr="00514183" w:rsidSect="00B66783">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6BB3" w14:textId="77777777" w:rsidR="009B1A13" w:rsidRDefault="009B1A13">
      <w:pPr>
        <w:spacing w:before="0" w:after="0"/>
      </w:pPr>
      <w:r>
        <w:separator/>
      </w:r>
    </w:p>
  </w:endnote>
  <w:endnote w:type="continuationSeparator" w:id="0">
    <w:p w14:paraId="77614599" w14:textId="77777777" w:rsidR="009B1A13" w:rsidRDefault="009B1A13">
      <w:pPr>
        <w:spacing w:before="0" w:after="0"/>
      </w:pPr>
      <w:r>
        <w:continuationSeparator/>
      </w:r>
    </w:p>
  </w:endnote>
  <w:endnote w:type="continuationNotice" w:id="1">
    <w:p w14:paraId="4EF901E8" w14:textId="77777777" w:rsidR="009B1A13" w:rsidRDefault="009B1A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8435" w14:textId="1E56F12E" w:rsidR="00AB342D" w:rsidRPr="00EB6442" w:rsidRDefault="00AB342D" w:rsidP="00EB6442">
    <w:pPr>
      <w:pStyle w:val="FooterOd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C511" w14:textId="3FBDB492" w:rsidR="009A4DA0" w:rsidRPr="001515FD" w:rsidRDefault="00693395" w:rsidP="00EB6442">
    <w:pPr>
      <w:pStyle w:val="FooterOdd"/>
    </w:pPr>
    <w:r>
      <w:fldChar w:fldCharType="begin"/>
    </w:r>
    <w:r>
      <w:instrText xml:space="preserve"> STYLEREF  "Heading 1"  \* MERGEFORMAT </w:instrText>
    </w:r>
    <w:r>
      <w:fldChar w:fldCharType="separate"/>
    </w:r>
    <w:r w:rsidR="006E1017">
      <w:rPr>
        <w:noProof/>
      </w:rPr>
      <w:t>Foreword</w:t>
    </w:r>
    <w:r>
      <w:rPr>
        <w:noProof/>
      </w:rPr>
      <w:fldChar w:fldCharType="end"/>
    </w:r>
    <w:r w:rsidR="00EB6442">
      <w:tab/>
    </w:r>
    <w:r w:rsidR="00EB6442">
      <w:fldChar w:fldCharType="begin"/>
    </w:r>
    <w:r w:rsidR="00EB6442">
      <w:instrText xml:space="preserve"> PAGE   \* MERGEFORMAT </w:instrText>
    </w:r>
    <w:r w:rsidR="00EB6442">
      <w:fldChar w:fldCharType="separate"/>
    </w:r>
    <w:r w:rsidR="00EB6442">
      <w:t>2</w:t>
    </w:r>
    <w:r w:rsidR="00EB644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C6DE" w14:textId="52E7DE04" w:rsidR="009A4DA0" w:rsidRPr="00C60B0F" w:rsidRDefault="00D00888">
    <w:pPr>
      <w:pStyle w:val="SecurityClassificationFooter"/>
    </w:pPr>
    <w:r>
      <w:fldChar w:fldCharType="begin"/>
    </w:r>
    <w:r>
      <w:instrText>DOCPROPERTY SecurityClassification \* MERGEFORMAT</w:instrText>
    </w:r>
    <w:r>
      <w:fldChar w:fldCharType="separate"/>
    </w:r>
    <w:r w:rsidR="00240E4B">
      <w:rPr>
        <w:b w:val="0"/>
        <w:bCs/>
        <w:lang w:val="en-US"/>
      </w:rPr>
      <w:t>Error! Unknown document property name.</w:t>
    </w:r>
    <w:r>
      <w:fldChar w:fldCharType="end"/>
    </w:r>
    <w:r w:rsidR="009A4DA0">
      <w:t xml:space="preserve"> – DRAFT ONLY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227B" w14:textId="57C294B4" w:rsidR="009A4DA0" w:rsidRPr="0057435A" w:rsidRDefault="00693395" w:rsidP="0057435A">
    <w:pPr>
      <w:pStyle w:val="FooterOdd"/>
    </w:pPr>
    <w:r>
      <w:fldChar w:fldCharType="begin"/>
    </w:r>
    <w:r>
      <w:instrText xml:space="preserve"> STYLEREF  "Heading 1"  \* MERGEFORMAT </w:instrText>
    </w:r>
    <w:r>
      <w:fldChar w:fldCharType="separate"/>
    </w:r>
    <w:r w:rsidR="00C40552">
      <w:rPr>
        <w:noProof/>
      </w:rPr>
      <w:t>Background to this report</w:t>
    </w:r>
    <w:r>
      <w:rPr>
        <w:noProof/>
      </w:rPr>
      <w:fldChar w:fldCharType="end"/>
    </w:r>
    <w:r w:rsidR="0057435A">
      <w:tab/>
    </w:r>
    <w:r w:rsidR="0057435A">
      <w:fldChar w:fldCharType="begin"/>
    </w:r>
    <w:r w:rsidR="0057435A">
      <w:instrText xml:space="preserve"> PAGE   \* MERGEFORMAT </w:instrText>
    </w:r>
    <w:r w:rsidR="0057435A">
      <w:fldChar w:fldCharType="separate"/>
    </w:r>
    <w:r w:rsidR="0057435A">
      <w:t>1</w:t>
    </w:r>
    <w:r w:rsidR="0057435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100C" w14:textId="40C19307" w:rsidR="0057435A" w:rsidRPr="0057435A" w:rsidRDefault="00693395" w:rsidP="0057435A">
    <w:pPr>
      <w:pStyle w:val="FooterOdd"/>
    </w:pPr>
    <w:r>
      <w:fldChar w:fldCharType="begin"/>
    </w:r>
    <w:r>
      <w:instrText xml:space="preserve"> STYLEREF  "Heading 1 Numbered"  \* MERGEFORMAT </w:instrText>
    </w:r>
    <w:r>
      <w:fldChar w:fldCharType="separate"/>
    </w:r>
    <w:r w:rsidR="00C40552">
      <w:rPr>
        <w:noProof/>
      </w:rPr>
      <w:t>Introduction</w:t>
    </w:r>
    <w:r>
      <w:rPr>
        <w:noProof/>
      </w:rPr>
      <w:fldChar w:fldCharType="end"/>
    </w:r>
    <w:r w:rsidR="0057435A">
      <w:tab/>
      <w:t xml:space="preserve"> </w:t>
    </w:r>
    <w:r w:rsidR="0057435A">
      <w:fldChar w:fldCharType="begin"/>
    </w:r>
    <w:r w:rsidR="0057435A">
      <w:instrText xml:space="preserve"> PAGE   \* MERGEFORMAT </w:instrText>
    </w:r>
    <w:r w:rsidR="0057435A">
      <w:fldChar w:fldCharType="separate"/>
    </w:r>
    <w:r w:rsidR="0057435A">
      <w:t>1</w:t>
    </w:r>
    <w:r w:rsidR="0057435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1EC6" w14:textId="0DCC60C9" w:rsidR="002C2697" w:rsidRPr="0057435A" w:rsidRDefault="00693395" w:rsidP="00F25A9D">
    <w:pPr>
      <w:pStyle w:val="FooterOdd"/>
      <w:tabs>
        <w:tab w:val="clear" w:pos="10206"/>
        <w:tab w:val="right" w:pos="13577"/>
      </w:tabs>
    </w:pPr>
    <w:r>
      <w:fldChar w:fldCharType="begin"/>
    </w:r>
    <w:r>
      <w:instrText xml:space="preserve"> STYLEREF  "Heading 1 Numbered"  \* MERGEFORMAT </w:instrText>
    </w:r>
    <w:r>
      <w:fldChar w:fldCharType="separate"/>
    </w:r>
    <w:r w:rsidR="00C40552">
      <w:rPr>
        <w:noProof/>
      </w:rPr>
      <w:t>Institutional investment in residential property overseas</w:t>
    </w:r>
    <w:r>
      <w:rPr>
        <w:noProof/>
      </w:rPr>
      <w:fldChar w:fldCharType="end"/>
    </w:r>
    <w:r w:rsidR="002C2697">
      <w:tab/>
      <w:t xml:space="preserve"> </w:t>
    </w:r>
    <w:r w:rsidR="002C2697">
      <w:fldChar w:fldCharType="begin"/>
    </w:r>
    <w:r w:rsidR="002C2697">
      <w:instrText xml:space="preserve"> PAGE   \* MERGEFORMAT </w:instrText>
    </w:r>
    <w:r w:rsidR="002C2697">
      <w:fldChar w:fldCharType="separate"/>
    </w:r>
    <w:r w:rsidR="002C2697">
      <w:t>1</w:t>
    </w:r>
    <w:r w:rsidR="002C2697">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4601" w14:textId="2659F1A7" w:rsidR="00145BBB" w:rsidRDefault="00FE7A83" w:rsidP="00145BBB">
    <w:pPr>
      <w:pStyle w:val="SecurityClassificationHeader"/>
    </w:pPr>
    <w:r>
      <w:tab/>
    </w:r>
    <w:r>
      <w:fldChar w:fldCharType="begin"/>
    </w:r>
    <w:r>
      <w:instrText>DOCPROPERTY SecurityClassification \* MERGEFORMAT</w:instrText>
    </w:r>
    <w:r>
      <w:fldChar w:fldCharType="separate"/>
    </w:r>
    <w:r w:rsidR="00240E4B">
      <w:rPr>
        <w:b w:val="0"/>
        <w:bCs/>
        <w:lang w:val="en-US"/>
      </w:rPr>
      <w:t>Error! Unknown document property name.</w:t>
    </w:r>
    <w:r>
      <w:fldChar w:fldCharType="end"/>
    </w:r>
    <w:r w:rsidR="00145BBB">
      <w:t xml:space="preserve"> – DRAFT ONLY </w:t>
    </w:r>
  </w:p>
  <w:p w14:paraId="5E865831" w14:textId="5B049012" w:rsidR="00C60B0F" w:rsidRPr="00C60B0F" w:rsidRDefault="00FE7A83" w:rsidP="00FE7A83">
    <w:pPr>
      <w:pStyle w:val="Footer"/>
      <w:tabs>
        <w:tab w:val="clear" w:pos="9026"/>
        <w:tab w:val="left" w:pos="6615"/>
      </w:tabs>
      <w:jc w:val="left"/>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DE7C" w14:textId="5A4DD821" w:rsidR="00C60B0F" w:rsidRPr="001515FD" w:rsidRDefault="00693395" w:rsidP="002C2697">
    <w:pPr>
      <w:pStyle w:val="FooterOdd"/>
    </w:pPr>
    <w:r>
      <w:fldChar w:fldCharType="begin"/>
    </w:r>
    <w:r>
      <w:instrText xml:space="preserve"> STYLEREF  "Heading 1 Numbered"  \* MERGEFORMAT </w:instrText>
    </w:r>
    <w:r>
      <w:fldChar w:fldCharType="separate"/>
    </w:r>
    <w:r w:rsidR="00C40552">
      <w:rPr>
        <w:noProof/>
      </w:rPr>
      <w:t>Supporting institutional investment in social and affordable housing</w:t>
    </w:r>
    <w:r>
      <w:rPr>
        <w:noProof/>
      </w:rPr>
      <w:fldChar w:fldCharType="end"/>
    </w:r>
    <w:r w:rsidR="002C2697">
      <w:tab/>
      <w:t xml:space="preserve"> </w:t>
    </w:r>
    <w:r w:rsidR="002C2697">
      <w:fldChar w:fldCharType="begin"/>
    </w:r>
    <w:r w:rsidR="002C2697">
      <w:instrText xml:space="preserve"> PAGE   \* MERGEFORMAT </w:instrText>
    </w:r>
    <w:r w:rsidR="002C2697">
      <w:fldChar w:fldCharType="separate"/>
    </w:r>
    <w:r w:rsidR="002C2697">
      <w:t>34</w:t>
    </w:r>
    <w:r w:rsidR="002C2697">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A17C" w14:textId="77777777" w:rsidR="00C60B0F" w:rsidRDefault="00C60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A264" w14:textId="77777777" w:rsidR="009B1A13" w:rsidRPr="00ED5A20" w:rsidRDefault="009B1A13" w:rsidP="000F6233">
      <w:pPr>
        <w:rPr>
          <w:color w:val="616652" w:themeColor="accent2"/>
        </w:rPr>
      </w:pPr>
      <w:r w:rsidRPr="00ED5A20">
        <w:rPr>
          <w:color w:val="616652" w:themeColor="accent2"/>
        </w:rPr>
        <w:separator/>
      </w:r>
    </w:p>
  </w:footnote>
  <w:footnote w:type="continuationSeparator" w:id="0">
    <w:p w14:paraId="7E3D41FB" w14:textId="77777777" w:rsidR="009B1A13" w:rsidRPr="00B737EB" w:rsidRDefault="009B1A13">
      <w:pPr>
        <w:spacing w:before="0" w:after="0"/>
        <w:rPr>
          <w:color w:val="3B455C" w:themeColor="accent1"/>
        </w:rPr>
      </w:pPr>
      <w:r w:rsidRPr="00B737EB">
        <w:rPr>
          <w:color w:val="3B455C" w:themeColor="accent1"/>
        </w:rPr>
        <w:continuationSeparator/>
      </w:r>
    </w:p>
  </w:footnote>
  <w:footnote w:type="continuationNotice" w:id="1">
    <w:p w14:paraId="550463BE" w14:textId="77777777" w:rsidR="009B1A13" w:rsidRDefault="009B1A13">
      <w:pPr>
        <w:spacing w:before="0" w:after="0"/>
      </w:pPr>
    </w:p>
  </w:footnote>
  <w:footnote w:id="2">
    <w:p w14:paraId="6B72B597" w14:textId="5B3E2566" w:rsidR="009A4DA0" w:rsidRPr="00C2357C" w:rsidRDefault="00563A2B" w:rsidP="00C2357C">
      <w:pPr>
        <w:pStyle w:val="FootnoteText"/>
      </w:pPr>
      <w:r w:rsidRPr="00563A2B">
        <w:rPr>
          <w:rStyle w:val="FootnoteReference"/>
          <w:szCs w:val="18"/>
        </w:rPr>
        <w:footnoteRef/>
      </w:r>
      <w:r w:rsidR="009A4DA0" w:rsidRPr="005E73E4">
        <w:t xml:space="preserve"> </w:t>
      </w:r>
      <w:r w:rsidR="00276F86">
        <w:tab/>
      </w:r>
      <w:r w:rsidR="009A4DA0" w:rsidRPr="00C2357C">
        <w:t>Similar issues have been raised in research work exploring private sector investment in social and affordable housing. See Richard Benedict, Nicole Gurran, Catherine Gilbert, Carrie Hamilton, Steven Rowley and Sha</w:t>
      </w:r>
      <w:r w:rsidR="00FB71C7">
        <w:t> </w:t>
      </w:r>
      <w:r w:rsidR="009A4DA0" w:rsidRPr="00C2357C">
        <w:t xml:space="preserve">Liu, </w:t>
      </w:r>
      <w:hyperlink r:id="rId1" w:tgtFrame="_blank" w:history="1">
        <w:r w:rsidR="009A4DA0" w:rsidRPr="00C2357C">
          <w:rPr>
            <w:rStyle w:val="Hyperlink"/>
            <w:i/>
          </w:rPr>
          <w:t>Private sector involvement in social and affordable housing</w:t>
        </w:r>
      </w:hyperlink>
      <w:r w:rsidR="009A4DA0" w:rsidRPr="00C2357C">
        <w:t xml:space="preserve">, final report, no. 388, (Melbourne: AHURI, 2022); Vivienne Milligan, Hal Pawson, Peter Williams and Judith Yates, </w:t>
      </w:r>
      <w:hyperlink r:id="rId2" w:tgtFrame="_blank" w:history="1">
        <w:r w:rsidR="009A4DA0" w:rsidRPr="00C2357C">
          <w:rPr>
            <w:rStyle w:val="Hyperlink"/>
            <w:i/>
          </w:rPr>
          <w:t>Next moves? Expanding affordable rental housing in Australia through institutional investment</w:t>
        </w:r>
      </w:hyperlink>
      <w:r w:rsidR="009A4DA0" w:rsidRPr="00C2357C">
        <w:t>, City Futures Research Centre, University of New</w:t>
      </w:r>
      <w:r w:rsidR="00FB71C7">
        <w:t> </w:t>
      </w:r>
      <w:r w:rsidR="009A4DA0" w:rsidRPr="00C2357C">
        <w:t>South Wales, 2015.</w:t>
      </w:r>
    </w:p>
  </w:footnote>
  <w:footnote w:id="3">
    <w:p w14:paraId="7FABCDD1" w14:textId="200312B7" w:rsidR="004B160E" w:rsidRPr="009D2A46" w:rsidRDefault="00563A2B" w:rsidP="009D2A46">
      <w:pPr>
        <w:pStyle w:val="FootnoteText"/>
      </w:pPr>
      <w:r w:rsidRPr="00563A2B">
        <w:rPr>
          <w:rStyle w:val="FootnoteReference"/>
        </w:rPr>
        <w:footnoteRef/>
      </w:r>
      <w:r w:rsidR="004B160E">
        <w:t xml:space="preserve"> </w:t>
      </w:r>
      <w:r w:rsidR="002F28C1">
        <w:tab/>
      </w:r>
      <w:r w:rsidR="004B160E" w:rsidRPr="009D2A46">
        <w:t>It also should be acknowledged that Governments in the United Kingdom and in Europe have assisted the not</w:t>
      </w:r>
      <w:r>
        <w:noBreakHyphen/>
      </w:r>
      <w:r w:rsidR="004B160E" w:rsidRPr="009D2A46">
        <w:t>for</w:t>
      </w:r>
      <w:r>
        <w:noBreakHyphen/>
      </w:r>
      <w:r w:rsidR="004B160E" w:rsidRPr="009D2A46">
        <w:t>profit sector through funded programs designed to uplift capacity, including training and skills development for staff and the temporary placement of subject matter experts within housing providers (</w:t>
      </w:r>
      <w:r w:rsidR="0020470B" w:rsidRPr="009D2A46">
        <w:t xml:space="preserve">Milligan </w:t>
      </w:r>
      <w:r w:rsidR="005F7DBF" w:rsidRPr="009D2A46">
        <w:t>and others</w:t>
      </w:r>
      <w:r w:rsidR="00133508" w:rsidRPr="009D2A46">
        <w:t xml:space="preserve"> 2004</w:t>
      </w:r>
      <w:r w:rsidR="004B160E" w:rsidRPr="009D2A46">
        <w:t>).</w:t>
      </w:r>
    </w:p>
  </w:footnote>
  <w:footnote w:id="4">
    <w:p w14:paraId="4CAACCF4" w14:textId="13A8DC9B" w:rsidR="0086013D" w:rsidRPr="00B9553D" w:rsidRDefault="00563A2B" w:rsidP="0086013D">
      <w:pPr>
        <w:pStyle w:val="FootnoteText"/>
      </w:pPr>
      <w:r w:rsidRPr="00563A2B">
        <w:rPr>
          <w:rStyle w:val="FootnoteReference"/>
          <w:szCs w:val="18"/>
        </w:rPr>
        <w:footnoteRef/>
      </w:r>
      <w:r w:rsidR="0086013D" w:rsidRPr="00B9553D">
        <w:t xml:space="preserve"> </w:t>
      </w:r>
      <w:r w:rsidR="0086013D">
        <w:tab/>
      </w:r>
      <w:r w:rsidR="0086013D" w:rsidRPr="00B9553D">
        <w:t>For example, to register as a charity to secure GST concessions for non</w:t>
      </w:r>
      <w:r>
        <w:noBreakHyphen/>
      </w:r>
      <w:r w:rsidR="0086013D" w:rsidRPr="00B9553D">
        <w:t>commercial activities, not</w:t>
      </w:r>
      <w:r>
        <w:noBreakHyphen/>
      </w:r>
      <w:r w:rsidR="0086013D" w:rsidRPr="00B9553D">
        <w:t>for</w:t>
      </w:r>
      <w:r>
        <w:noBreakHyphen/>
      </w:r>
      <w:r w:rsidR="0086013D" w:rsidRPr="00B9553D">
        <w:t>profits must supply accommodation at less tha</w:t>
      </w:r>
      <w:r w:rsidR="00E16833">
        <w:t>n</w:t>
      </w:r>
      <w:r w:rsidR="0086013D" w:rsidRPr="00B9553D">
        <w:t xml:space="preserve"> 75</w:t>
      </w:r>
      <w:r w:rsidR="00E67AFE">
        <w:t> per </w:t>
      </w:r>
      <w:r w:rsidR="0086013D" w:rsidRPr="00B9553D">
        <w:t xml:space="preserve">cent of the market value under </w:t>
      </w:r>
      <w:r w:rsidR="0086013D" w:rsidRPr="00B9553D">
        <w:rPr>
          <w:i/>
          <w:color w:val="000000"/>
          <w:shd w:val="clear" w:color="auto" w:fill="FFFFFF"/>
        </w:rPr>
        <w:t>A New Tax System (Goods and Services Tax) Act 1999</w:t>
      </w:r>
      <w:r w:rsidR="0086013D" w:rsidRPr="00B9553D">
        <w:t xml:space="preserve">. And the National Housing Accord 2022 has defined affordable housing as </w:t>
      </w:r>
      <w:r>
        <w:t>‘</w:t>
      </w:r>
      <w:r w:rsidR="0086013D" w:rsidRPr="00B9553D">
        <w:t>rental housing that is provided at below market rent to qualifying tenants (usually between 70 and 80</w:t>
      </w:r>
      <w:r w:rsidR="00E67AFE">
        <w:t> per </w:t>
      </w:r>
      <w:r w:rsidR="0086013D" w:rsidRPr="00B9553D">
        <w:t>cent of market rent).</w:t>
      </w:r>
      <w:r>
        <w:t>’</w:t>
      </w:r>
      <w:r w:rsidR="0086013D" w:rsidRPr="00B9553D">
        <w:t xml:space="preserve"> (Treasury 2022)</w:t>
      </w:r>
    </w:p>
  </w:footnote>
  <w:footnote w:id="5">
    <w:p w14:paraId="4F00DFD0" w14:textId="433D4E34" w:rsidR="0086013D" w:rsidRDefault="00563A2B" w:rsidP="009D2A46">
      <w:pPr>
        <w:pStyle w:val="FootnoteText"/>
      </w:pPr>
      <w:r w:rsidRPr="00563A2B">
        <w:rPr>
          <w:rStyle w:val="FootnoteReference"/>
          <w:szCs w:val="18"/>
        </w:rPr>
        <w:footnoteRef/>
      </w:r>
      <w:r w:rsidR="0086013D" w:rsidRPr="00DE3D50">
        <w:t xml:space="preserve"> </w:t>
      </w:r>
      <w:r w:rsidR="0086013D">
        <w:tab/>
      </w:r>
      <w:r w:rsidR="0086013D" w:rsidRPr="00DE3D50">
        <w:t>For example, the NSW State Environmental Planning Policy (Housing) 2021 defines affordable housing as very low to moderate income households paying no more than 30</w:t>
      </w:r>
      <w:r w:rsidR="00E67AFE">
        <w:t> per </w:t>
      </w:r>
      <w:r w:rsidR="0086013D" w:rsidRPr="00DE3D50">
        <w:t>cent of their gross income on rent (New South Wales Government, Department of Planning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239D" w14:textId="07177B64" w:rsidR="009A4DA0" w:rsidRDefault="009A4DA0" w:rsidP="00311746">
    <w:pPr>
      <w:pStyle w:val="SecurityClassification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E40E" w14:textId="77777777" w:rsidR="009A4DA0" w:rsidRPr="00A94596" w:rsidRDefault="009A4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1182" w14:textId="1816ED89" w:rsidR="009A4DA0" w:rsidRDefault="00D00888">
    <w:pPr>
      <w:pStyle w:val="SecurityClassificationHeader"/>
    </w:pPr>
    <w:r>
      <w:fldChar w:fldCharType="begin"/>
    </w:r>
    <w:r>
      <w:instrText>DOCPROPERTY SecurityClassification \* MERGEFORMAT</w:instrText>
    </w:r>
    <w:r>
      <w:fldChar w:fldCharType="separate"/>
    </w:r>
    <w:r w:rsidR="00240E4B">
      <w:rPr>
        <w:b w:val="0"/>
        <w:bCs/>
        <w:lang w:val="en-US"/>
      </w:rPr>
      <w:t>Error! Unknown document property name.</w:t>
    </w:r>
    <w:r>
      <w:fldChar w:fldCharType="end"/>
    </w:r>
    <w:r w:rsidR="009A4DA0">
      <w:t xml:space="preserve"> – DRAFT ONLY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F881" w14:textId="77777777" w:rsidR="009A4DA0" w:rsidRPr="00CD3789" w:rsidRDefault="009A4DA0" w:rsidP="00CD3789">
    <w:pPr>
      <w:pStyle w:val="HeaderOd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01F6" w14:textId="75A66E52" w:rsidR="00145BBB" w:rsidRDefault="00D00888" w:rsidP="00145BBB">
    <w:pPr>
      <w:pStyle w:val="SecurityClassificationHeader"/>
    </w:pPr>
    <w:r>
      <w:fldChar w:fldCharType="begin"/>
    </w:r>
    <w:r>
      <w:instrText>DOCPROPERTY SecurityClassification \* MERGEFORMAT</w:instrText>
    </w:r>
    <w:r>
      <w:fldChar w:fldCharType="separate"/>
    </w:r>
    <w:r w:rsidR="00240E4B">
      <w:rPr>
        <w:b w:val="0"/>
        <w:bCs/>
        <w:lang w:val="en-US"/>
      </w:rPr>
      <w:t>Error! Unknown document property name.</w:t>
    </w:r>
    <w:r>
      <w:fldChar w:fldCharType="end"/>
    </w:r>
    <w:r w:rsidR="00145BBB">
      <w:t xml:space="preserve"> – DRAFT ONLY </w:t>
    </w:r>
  </w:p>
  <w:p w14:paraId="74F4E8AB" w14:textId="4B5AEA36" w:rsidR="00C60B0F" w:rsidRPr="00647692" w:rsidRDefault="00C60B0F" w:rsidP="00082687">
    <w:pPr>
      <w:pStyle w:val="HeaderEven"/>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C3F7" w14:textId="61E835C2" w:rsidR="00C60B0F" w:rsidRPr="00F60198" w:rsidRDefault="00C60B0F" w:rsidP="008A53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AE42" w14:textId="77777777" w:rsidR="00C60B0F" w:rsidRDefault="00C60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0888BF66"/>
    <w:lvl w:ilvl="0">
      <w:start w:val="1"/>
      <w:numFmt w:val="decimal"/>
      <w:pStyle w:val="Heading1Numbered"/>
      <w:lvlText w:val="%1."/>
      <w:lvlJc w:val="left"/>
      <w:pPr>
        <w:ind w:left="992" w:hanging="992"/>
      </w:pPr>
      <w:rPr>
        <w:rFonts w:hint="default"/>
      </w:rPr>
    </w:lvl>
    <w:lvl w:ilvl="1">
      <w:start w:val="1"/>
      <w:numFmt w:val="decimal"/>
      <w:pStyle w:val="Heading2Numbered"/>
      <w:lvlText w:val="%1.%2"/>
      <w:lvlJc w:val="left"/>
      <w:pPr>
        <w:ind w:left="992" w:hanging="992"/>
      </w:pPr>
      <w:rPr>
        <w:rFonts w:hint="default"/>
      </w:rPr>
    </w:lvl>
    <w:lvl w:ilvl="2">
      <w:start w:val="1"/>
      <w:numFmt w:val="decimal"/>
      <w:pStyle w:val="Heading3Numbered"/>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5" w15:restartNumberingAfterBreak="0">
    <w:nsid w:val="1AED3011"/>
    <w:multiLevelType w:val="multilevel"/>
    <w:tmpl w:val="8EA022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7"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8C2710"/>
    <w:multiLevelType w:val="multilevel"/>
    <w:tmpl w:val="7F402170"/>
    <w:styleLink w:val="BulletedList"/>
    <w:lvl w:ilvl="0">
      <w:start w:val="1"/>
      <w:numFmt w:val="bullet"/>
      <w:lvlRestart w:val="0"/>
      <w:lvlText w:val="•"/>
      <w:lvlJc w:val="left"/>
      <w:pPr>
        <w:tabs>
          <w:tab w:val="num" w:pos="283"/>
        </w:tabs>
        <w:ind w:left="284" w:hanging="284"/>
      </w:pPr>
      <w:rPr>
        <w:rFonts w:ascii="Times New Roman" w:hAnsi="Times New Roman" w:cs="Times New Roman" w:hint="default"/>
        <w:b w:val="0"/>
        <w:i w:val="0"/>
      </w:rPr>
    </w:lvl>
    <w:lvl w:ilvl="1">
      <w:start w:val="1"/>
      <w:numFmt w:val="bullet"/>
      <w:lvlText w:val="–"/>
      <w:lvlJc w:val="left"/>
      <w:pPr>
        <w:tabs>
          <w:tab w:val="num" w:pos="567"/>
        </w:tabs>
        <w:ind w:left="568" w:hanging="284"/>
      </w:pPr>
      <w:rPr>
        <w:rFonts w:ascii="Times New Roman" w:hAnsi="Times New Roman" w:cs="Times New Roman" w:hint="default"/>
        <w:b w:val="0"/>
        <w:i w:val="0"/>
      </w:rPr>
    </w:lvl>
    <w:lvl w:ilvl="2">
      <w:start w:val="1"/>
      <w:numFmt w:val="bulle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9"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238442C"/>
    <w:multiLevelType w:val="multilevel"/>
    <w:tmpl w:val="498AA778"/>
    <w:styleLink w:val="ChartandTableFootnoteAlphaList"/>
    <w:lvl w:ilvl="0">
      <w:start w:val="1"/>
      <w:numFmt w:val="lowerLetter"/>
      <w:pStyle w:val="ChartandTableFootnoteAlpha"/>
      <w:lvlText w:val="%1"/>
      <w:lvlJc w:val="left"/>
      <w:pPr>
        <w:ind w:left="360" w:hanging="360"/>
      </w:pPr>
      <w:rPr>
        <w:rFonts w:ascii="Calibri" w:hAnsi="Calibri" w:hint="default"/>
        <w:b w:val="0"/>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3" w15:restartNumberingAfterBreak="0">
    <w:nsid w:val="510D2021"/>
    <w:multiLevelType w:val="multilevel"/>
    <w:tmpl w:val="3A1A713E"/>
    <w:lvl w:ilvl="0">
      <w:start w:val="1"/>
      <w:numFmt w:val="decimal"/>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67C1278"/>
    <w:multiLevelType w:val="multilevel"/>
    <w:tmpl w:val="8CAAE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BD7DFF"/>
    <w:multiLevelType w:val="multilevel"/>
    <w:tmpl w:val="55D42826"/>
    <w:name w:val="StandardBulletedList2"/>
    <w:lvl w:ilvl="0">
      <w:start w:val="1"/>
      <w:numFmt w:val="bullet"/>
      <w:pStyle w:val="Boxbullet"/>
      <w:lvlText w:val="•"/>
      <w:lvlJc w:val="left"/>
      <w:pPr>
        <w:ind w:left="284" w:hanging="284"/>
      </w:pPr>
      <w:rPr>
        <w:rFonts w:ascii="Times New Roman" w:hAnsi="Times New Roman" w:cs="Times New Roman" w:hint="default"/>
        <w:color w:val="auto"/>
      </w:rPr>
    </w:lvl>
    <w:lvl w:ilvl="1">
      <w:start w:val="1"/>
      <w:numFmt w:val="bullet"/>
      <w:pStyle w:val="Boxdash"/>
      <w:lvlText w:val="–"/>
      <w:lvlJc w:val="left"/>
      <w:pPr>
        <w:ind w:left="568" w:hanging="284"/>
      </w:pPr>
      <w:rPr>
        <w:rFonts w:ascii="Times New Roman" w:hAnsi="Times New Roman" w:cs="Times New Roman" w:hint="default"/>
      </w:rPr>
    </w:lvl>
    <w:lvl w:ilvl="2">
      <w:start w:val="1"/>
      <w:numFmt w:val="bullet"/>
      <w:pStyle w:val="Boxdoubledot"/>
      <w:lvlText w:val=":"/>
      <w:lvlJc w:val="left"/>
      <w:pPr>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17" w15:restartNumberingAfterBreak="0">
    <w:nsid w:val="5D537460"/>
    <w:multiLevelType w:val="multilevel"/>
    <w:tmpl w:val="83E67FB4"/>
    <w:lvl w:ilvl="0">
      <w:start w:val="5"/>
      <w:numFmt w:val="decimal"/>
      <w:lvlText w:val="%1."/>
      <w:lvlJc w:val="left"/>
      <w:pPr>
        <w:tabs>
          <w:tab w:val="num" w:pos="720"/>
        </w:tabs>
        <w:ind w:left="720" w:hanging="360"/>
      </w:pPr>
    </w:lvl>
    <w:lvl w:ilvl="1">
      <w:start w:val="1"/>
      <w:numFmt w:val="decimal"/>
      <w:lvlText w:val="%2"/>
      <w:lvlJc w:val="left"/>
      <w:pPr>
        <w:ind w:left="1800" w:hanging="720"/>
      </w:pPr>
      <w:rPr>
        <w:rFonts w:hint="default"/>
      </w:rPr>
    </w:lvl>
    <w:lvl w:ilvl="2">
      <w:numFmt w:val="bullet"/>
      <w:lvlText w:val="-"/>
      <w:lvlJc w:val="left"/>
      <w:pPr>
        <w:ind w:left="2160" w:hanging="360"/>
      </w:pPr>
      <w:rPr>
        <w:rFonts w:ascii="Arial Unicode MS" w:eastAsia="Wingdings" w:hAnsi="Arial Unicode MS" w:cs="Arial Unicode M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4B701D9"/>
    <w:multiLevelType w:val="multilevel"/>
    <w:tmpl w:val="3EF82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4E1B23"/>
    <w:multiLevelType w:val="multilevel"/>
    <w:tmpl w:val="92E4AC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5541B6"/>
    <w:multiLevelType w:val="multilevel"/>
    <w:tmpl w:val="C5749A20"/>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2" w15:restartNumberingAfterBreak="0">
    <w:nsid w:val="6DC4470A"/>
    <w:multiLevelType w:val="multilevel"/>
    <w:tmpl w:val="06043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D6B5224"/>
    <w:multiLevelType w:val="multilevel"/>
    <w:tmpl w:val="D0025D30"/>
    <w:name w:val="StandardBulletedList"/>
    <w:lvl w:ilvl="0">
      <w:start w:val="1"/>
      <w:numFmt w:val="bullet"/>
      <w:pStyle w:val="Bullet"/>
      <w:lvlText w:val="•"/>
      <w:lvlJc w:val="left"/>
      <w:pPr>
        <w:tabs>
          <w:tab w:val="num" w:pos="520"/>
        </w:tabs>
        <w:ind w:left="284" w:hanging="284"/>
      </w:pPr>
      <w:rPr>
        <w:rFonts w:ascii="Times New Roman" w:hAnsi="Times New Roman" w:cs="Times New Roman" w:hint="default"/>
        <w:color w:val="auto"/>
      </w:rPr>
    </w:lvl>
    <w:lvl w:ilvl="1">
      <w:start w:val="1"/>
      <w:numFmt w:val="bullet"/>
      <w:pStyle w:val="Dash"/>
      <w:lvlText w:val="–"/>
      <w:lvlJc w:val="left"/>
      <w:pPr>
        <w:tabs>
          <w:tab w:val="num" w:pos="804"/>
        </w:tabs>
        <w:ind w:left="568" w:hanging="284"/>
      </w:pPr>
      <w:rPr>
        <w:rFonts w:ascii="Times New Roman" w:hAnsi="Times New Roman" w:cs="Times New Roman" w:hint="default"/>
      </w:rPr>
    </w:lvl>
    <w:lvl w:ilvl="2">
      <w:start w:val="1"/>
      <w:numFmt w:val="bullet"/>
      <w:pStyle w:val="DoubleDot"/>
      <w:lvlText w:val=":"/>
      <w:lvlJc w:val="left"/>
      <w:pPr>
        <w:tabs>
          <w:tab w:val="num" w:pos="1088"/>
        </w:tabs>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25"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6"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747112092">
    <w:abstractNumId w:val="8"/>
  </w:num>
  <w:num w:numId="2" w16cid:durableId="125392115">
    <w:abstractNumId w:val="0"/>
  </w:num>
  <w:num w:numId="3" w16cid:durableId="1138493796">
    <w:abstractNumId w:val="11"/>
  </w:num>
  <w:num w:numId="4" w16cid:durableId="697198535">
    <w:abstractNumId w:val="2"/>
  </w:num>
  <w:num w:numId="5" w16cid:durableId="1530605932">
    <w:abstractNumId w:val="13"/>
  </w:num>
  <w:num w:numId="6" w16cid:durableId="1334606905">
    <w:abstractNumId w:val="4"/>
  </w:num>
  <w:num w:numId="7" w16cid:durableId="732696603">
    <w:abstractNumId w:val="7"/>
  </w:num>
  <w:num w:numId="8" w16cid:durableId="157624863">
    <w:abstractNumId w:val="10"/>
  </w:num>
  <w:num w:numId="9" w16cid:durableId="1455251550">
    <w:abstractNumId w:val="24"/>
  </w:num>
  <w:num w:numId="10" w16cid:durableId="1065297974">
    <w:abstractNumId w:val="16"/>
  </w:num>
  <w:num w:numId="11" w16cid:durableId="563151327">
    <w:abstractNumId w:val="15"/>
  </w:num>
  <w:num w:numId="12" w16cid:durableId="1789084469">
    <w:abstractNumId w:val="22"/>
  </w:num>
  <w:num w:numId="13" w16cid:durableId="304359257">
    <w:abstractNumId w:val="19"/>
  </w:num>
  <w:num w:numId="14" w16cid:durableId="1032456019">
    <w:abstractNumId w:val="5"/>
  </w:num>
  <w:num w:numId="15" w16cid:durableId="638607270">
    <w:abstractNumId w:val="17"/>
  </w:num>
  <w:num w:numId="16" w16cid:durableId="658846215">
    <w:abstractNumId w:val="20"/>
  </w:num>
  <w:num w:numId="17" w16cid:durableId="8113639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22726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6205407">
    <w:abstractNumId w:val="3"/>
  </w:num>
  <w:num w:numId="20" w16cid:durableId="1077706018">
    <w:abstractNumId w:val="10"/>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16cid:durableId="1683431929">
    <w:abstractNumId w:val="1"/>
  </w:num>
  <w:num w:numId="22" w16cid:durableId="2001152172">
    <w:abstractNumId w:val="25"/>
  </w:num>
  <w:num w:numId="23" w16cid:durableId="117115380">
    <w:abstractNumId w:val="26"/>
  </w:num>
  <w:num w:numId="24" w16cid:durableId="34745398">
    <w:abstractNumId w:val="12"/>
  </w:num>
  <w:num w:numId="25" w16cid:durableId="1273324416">
    <w:abstractNumId w:val="6"/>
  </w:num>
  <w:num w:numId="26" w16cid:durableId="77559447">
    <w:abstractNumId w:val="18"/>
  </w:num>
  <w:num w:numId="27" w16cid:durableId="447936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7889112">
    <w:abstractNumId w:val="9"/>
  </w:num>
  <w:num w:numId="29" w16cid:durableId="700785621">
    <w:abstractNumId w:val="14"/>
  </w:num>
  <w:num w:numId="30" w16cid:durableId="6990898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200077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095222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F6011F"/>
    <w:rsid w:val="0000020C"/>
    <w:rsid w:val="000003A7"/>
    <w:rsid w:val="000004D4"/>
    <w:rsid w:val="000004D9"/>
    <w:rsid w:val="00000517"/>
    <w:rsid w:val="00000889"/>
    <w:rsid w:val="00000895"/>
    <w:rsid w:val="000008CD"/>
    <w:rsid w:val="0000096F"/>
    <w:rsid w:val="00000987"/>
    <w:rsid w:val="00000B4B"/>
    <w:rsid w:val="00000B6C"/>
    <w:rsid w:val="00000C36"/>
    <w:rsid w:val="00000C54"/>
    <w:rsid w:val="00000E7D"/>
    <w:rsid w:val="00000F57"/>
    <w:rsid w:val="00001080"/>
    <w:rsid w:val="00001118"/>
    <w:rsid w:val="00001256"/>
    <w:rsid w:val="00001360"/>
    <w:rsid w:val="000013C6"/>
    <w:rsid w:val="000014B3"/>
    <w:rsid w:val="000014EB"/>
    <w:rsid w:val="000014F7"/>
    <w:rsid w:val="0000152D"/>
    <w:rsid w:val="00001554"/>
    <w:rsid w:val="00001566"/>
    <w:rsid w:val="000015C5"/>
    <w:rsid w:val="000017D6"/>
    <w:rsid w:val="00001A28"/>
    <w:rsid w:val="00001A74"/>
    <w:rsid w:val="00001BE3"/>
    <w:rsid w:val="00001C42"/>
    <w:rsid w:val="00001CA8"/>
    <w:rsid w:val="00001CDC"/>
    <w:rsid w:val="00001D72"/>
    <w:rsid w:val="00001E36"/>
    <w:rsid w:val="00001E90"/>
    <w:rsid w:val="00001ED2"/>
    <w:rsid w:val="00001F3D"/>
    <w:rsid w:val="00001F76"/>
    <w:rsid w:val="0000227A"/>
    <w:rsid w:val="00002307"/>
    <w:rsid w:val="0000230B"/>
    <w:rsid w:val="000025BE"/>
    <w:rsid w:val="00002654"/>
    <w:rsid w:val="00002689"/>
    <w:rsid w:val="000026AB"/>
    <w:rsid w:val="00002950"/>
    <w:rsid w:val="00002A17"/>
    <w:rsid w:val="00002AE1"/>
    <w:rsid w:val="00002B8F"/>
    <w:rsid w:val="00002BFC"/>
    <w:rsid w:val="00002C8A"/>
    <w:rsid w:val="00002E10"/>
    <w:rsid w:val="00002EB1"/>
    <w:rsid w:val="00002FAD"/>
    <w:rsid w:val="0000307C"/>
    <w:rsid w:val="0000311D"/>
    <w:rsid w:val="00003185"/>
    <w:rsid w:val="00003248"/>
    <w:rsid w:val="0000325B"/>
    <w:rsid w:val="00003268"/>
    <w:rsid w:val="000032B9"/>
    <w:rsid w:val="0000337A"/>
    <w:rsid w:val="000033CE"/>
    <w:rsid w:val="00003492"/>
    <w:rsid w:val="000034B9"/>
    <w:rsid w:val="00003521"/>
    <w:rsid w:val="0000359C"/>
    <w:rsid w:val="0000359E"/>
    <w:rsid w:val="000035E1"/>
    <w:rsid w:val="000036A4"/>
    <w:rsid w:val="00003759"/>
    <w:rsid w:val="000038B7"/>
    <w:rsid w:val="0000393C"/>
    <w:rsid w:val="000039A1"/>
    <w:rsid w:val="000039BB"/>
    <w:rsid w:val="00003B9F"/>
    <w:rsid w:val="00003BA5"/>
    <w:rsid w:val="00003C10"/>
    <w:rsid w:val="00003CA2"/>
    <w:rsid w:val="00003D2E"/>
    <w:rsid w:val="00003E62"/>
    <w:rsid w:val="00003F43"/>
    <w:rsid w:val="00003F4F"/>
    <w:rsid w:val="000041E3"/>
    <w:rsid w:val="00004288"/>
    <w:rsid w:val="00004294"/>
    <w:rsid w:val="000042F1"/>
    <w:rsid w:val="0000435D"/>
    <w:rsid w:val="00004463"/>
    <w:rsid w:val="0000458D"/>
    <w:rsid w:val="0000459C"/>
    <w:rsid w:val="0000463B"/>
    <w:rsid w:val="00004671"/>
    <w:rsid w:val="000048C4"/>
    <w:rsid w:val="00004968"/>
    <w:rsid w:val="00004AFE"/>
    <w:rsid w:val="00004BEC"/>
    <w:rsid w:val="00004CA3"/>
    <w:rsid w:val="00004CA6"/>
    <w:rsid w:val="00004CF2"/>
    <w:rsid w:val="0000500A"/>
    <w:rsid w:val="0000503C"/>
    <w:rsid w:val="000050F8"/>
    <w:rsid w:val="0000512C"/>
    <w:rsid w:val="000053D2"/>
    <w:rsid w:val="0000540C"/>
    <w:rsid w:val="0000545E"/>
    <w:rsid w:val="000055B6"/>
    <w:rsid w:val="00005860"/>
    <w:rsid w:val="00005891"/>
    <w:rsid w:val="00005951"/>
    <w:rsid w:val="00005BE3"/>
    <w:rsid w:val="00005CCA"/>
    <w:rsid w:val="00005EDA"/>
    <w:rsid w:val="00005EF1"/>
    <w:rsid w:val="00005F4A"/>
    <w:rsid w:val="00005F81"/>
    <w:rsid w:val="00005F98"/>
    <w:rsid w:val="00005FF9"/>
    <w:rsid w:val="00006093"/>
    <w:rsid w:val="000060CD"/>
    <w:rsid w:val="000061D2"/>
    <w:rsid w:val="00006246"/>
    <w:rsid w:val="0000624B"/>
    <w:rsid w:val="0000637A"/>
    <w:rsid w:val="00006481"/>
    <w:rsid w:val="000064F2"/>
    <w:rsid w:val="00006605"/>
    <w:rsid w:val="00006636"/>
    <w:rsid w:val="000066EF"/>
    <w:rsid w:val="00006788"/>
    <w:rsid w:val="00006A80"/>
    <w:rsid w:val="00006AC0"/>
    <w:rsid w:val="00006C0F"/>
    <w:rsid w:val="00006DD0"/>
    <w:rsid w:val="00006EB2"/>
    <w:rsid w:val="00006EC0"/>
    <w:rsid w:val="00006F76"/>
    <w:rsid w:val="00006F9D"/>
    <w:rsid w:val="0000715D"/>
    <w:rsid w:val="000071B4"/>
    <w:rsid w:val="000071CF"/>
    <w:rsid w:val="00007207"/>
    <w:rsid w:val="000072E8"/>
    <w:rsid w:val="00007373"/>
    <w:rsid w:val="000073B0"/>
    <w:rsid w:val="0000752C"/>
    <w:rsid w:val="0000756F"/>
    <w:rsid w:val="0000759B"/>
    <w:rsid w:val="000075CF"/>
    <w:rsid w:val="000078BC"/>
    <w:rsid w:val="000078E1"/>
    <w:rsid w:val="00007A18"/>
    <w:rsid w:val="00007B03"/>
    <w:rsid w:val="00007C6B"/>
    <w:rsid w:val="00007C6D"/>
    <w:rsid w:val="00007CE5"/>
    <w:rsid w:val="00007D64"/>
    <w:rsid w:val="00007F5F"/>
    <w:rsid w:val="000100E5"/>
    <w:rsid w:val="00010274"/>
    <w:rsid w:val="000102C8"/>
    <w:rsid w:val="0001030A"/>
    <w:rsid w:val="0001034C"/>
    <w:rsid w:val="000103A9"/>
    <w:rsid w:val="000103C9"/>
    <w:rsid w:val="0001050D"/>
    <w:rsid w:val="00010580"/>
    <w:rsid w:val="000106B9"/>
    <w:rsid w:val="000106F2"/>
    <w:rsid w:val="000108C9"/>
    <w:rsid w:val="00010A36"/>
    <w:rsid w:val="00010AB3"/>
    <w:rsid w:val="00010ABD"/>
    <w:rsid w:val="00010B0E"/>
    <w:rsid w:val="00010D11"/>
    <w:rsid w:val="00010D26"/>
    <w:rsid w:val="00010F2E"/>
    <w:rsid w:val="000110A5"/>
    <w:rsid w:val="00011129"/>
    <w:rsid w:val="00011236"/>
    <w:rsid w:val="0001127C"/>
    <w:rsid w:val="000112F8"/>
    <w:rsid w:val="00011325"/>
    <w:rsid w:val="00011341"/>
    <w:rsid w:val="000113FB"/>
    <w:rsid w:val="000114AE"/>
    <w:rsid w:val="000114F0"/>
    <w:rsid w:val="000115FA"/>
    <w:rsid w:val="0001163D"/>
    <w:rsid w:val="00011725"/>
    <w:rsid w:val="00011747"/>
    <w:rsid w:val="00011831"/>
    <w:rsid w:val="00011859"/>
    <w:rsid w:val="00011885"/>
    <w:rsid w:val="000118A4"/>
    <w:rsid w:val="00011A25"/>
    <w:rsid w:val="00011C39"/>
    <w:rsid w:val="00011E79"/>
    <w:rsid w:val="00011E91"/>
    <w:rsid w:val="00011EBB"/>
    <w:rsid w:val="00012135"/>
    <w:rsid w:val="0001217B"/>
    <w:rsid w:val="00012485"/>
    <w:rsid w:val="000124C8"/>
    <w:rsid w:val="00012640"/>
    <w:rsid w:val="00012658"/>
    <w:rsid w:val="00012754"/>
    <w:rsid w:val="00012A90"/>
    <w:rsid w:val="00012BC9"/>
    <w:rsid w:val="00012BF5"/>
    <w:rsid w:val="00012C62"/>
    <w:rsid w:val="00012DAD"/>
    <w:rsid w:val="00012E4B"/>
    <w:rsid w:val="00012E8B"/>
    <w:rsid w:val="00012EE6"/>
    <w:rsid w:val="00012F6F"/>
    <w:rsid w:val="00012F72"/>
    <w:rsid w:val="000130B1"/>
    <w:rsid w:val="000130E2"/>
    <w:rsid w:val="00013125"/>
    <w:rsid w:val="00013173"/>
    <w:rsid w:val="00013270"/>
    <w:rsid w:val="000132FB"/>
    <w:rsid w:val="0001350F"/>
    <w:rsid w:val="0001369F"/>
    <w:rsid w:val="000137D4"/>
    <w:rsid w:val="000137D6"/>
    <w:rsid w:val="00013865"/>
    <w:rsid w:val="00013957"/>
    <w:rsid w:val="0001396A"/>
    <w:rsid w:val="00013A17"/>
    <w:rsid w:val="00013AA6"/>
    <w:rsid w:val="00013B3B"/>
    <w:rsid w:val="00013B7F"/>
    <w:rsid w:val="00013BE9"/>
    <w:rsid w:val="00013CD8"/>
    <w:rsid w:val="00013D44"/>
    <w:rsid w:val="00013EB0"/>
    <w:rsid w:val="00013EB3"/>
    <w:rsid w:val="00013F8F"/>
    <w:rsid w:val="00014010"/>
    <w:rsid w:val="0001401E"/>
    <w:rsid w:val="00014053"/>
    <w:rsid w:val="00014094"/>
    <w:rsid w:val="000142D9"/>
    <w:rsid w:val="00014352"/>
    <w:rsid w:val="00014396"/>
    <w:rsid w:val="00014864"/>
    <w:rsid w:val="0001490E"/>
    <w:rsid w:val="0001494F"/>
    <w:rsid w:val="00014A0D"/>
    <w:rsid w:val="00014A77"/>
    <w:rsid w:val="00014BF7"/>
    <w:rsid w:val="00014C05"/>
    <w:rsid w:val="00014D7A"/>
    <w:rsid w:val="00014D86"/>
    <w:rsid w:val="00014F48"/>
    <w:rsid w:val="00014F8F"/>
    <w:rsid w:val="00014FFD"/>
    <w:rsid w:val="000150BC"/>
    <w:rsid w:val="0001525A"/>
    <w:rsid w:val="000152D1"/>
    <w:rsid w:val="000152E5"/>
    <w:rsid w:val="00015313"/>
    <w:rsid w:val="00015435"/>
    <w:rsid w:val="000154F8"/>
    <w:rsid w:val="00015543"/>
    <w:rsid w:val="000156DA"/>
    <w:rsid w:val="000156E2"/>
    <w:rsid w:val="0001582C"/>
    <w:rsid w:val="0001583B"/>
    <w:rsid w:val="00015950"/>
    <w:rsid w:val="00015A8C"/>
    <w:rsid w:val="00015A9E"/>
    <w:rsid w:val="00015BD1"/>
    <w:rsid w:val="00015CE9"/>
    <w:rsid w:val="00015D3E"/>
    <w:rsid w:val="00015DA2"/>
    <w:rsid w:val="00015DAC"/>
    <w:rsid w:val="000162CE"/>
    <w:rsid w:val="000162E2"/>
    <w:rsid w:val="00016354"/>
    <w:rsid w:val="000164CC"/>
    <w:rsid w:val="000164CE"/>
    <w:rsid w:val="000166D3"/>
    <w:rsid w:val="0001677E"/>
    <w:rsid w:val="000167B8"/>
    <w:rsid w:val="00016835"/>
    <w:rsid w:val="00016867"/>
    <w:rsid w:val="0001693D"/>
    <w:rsid w:val="00016CC4"/>
    <w:rsid w:val="00016D13"/>
    <w:rsid w:val="00016DD3"/>
    <w:rsid w:val="00016E69"/>
    <w:rsid w:val="00016E91"/>
    <w:rsid w:val="00016F5C"/>
    <w:rsid w:val="00016F6A"/>
    <w:rsid w:val="00016FD7"/>
    <w:rsid w:val="00017079"/>
    <w:rsid w:val="0001727B"/>
    <w:rsid w:val="00017371"/>
    <w:rsid w:val="00017438"/>
    <w:rsid w:val="0001750F"/>
    <w:rsid w:val="00017634"/>
    <w:rsid w:val="000176E6"/>
    <w:rsid w:val="000177D0"/>
    <w:rsid w:val="0001792C"/>
    <w:rsid w:val="0001799C"/>
    <w:rsid w:val="000179AD"/>
    <w:rsid w:val="000179B7"/>
    <w:rsid w:val="00017B83"/>
    <w:rsid w:val="00017CC7"/>
    <w:rsid w:val="00017D60"/>
    <w:rsid w:val="00017D74"/>
    <w:rsid w:val="00017E14"/>
    <w:rsid w:val="00017F21"/>
    <w:rsid w:val="00020007"/>
    <w:rsid w:val="0002003D"/>
    <w:rsid w:val="0002008F"/>
    <w:rsid w:val="00020118"/>
    <w:rsid w:val="00020245"/>
    <w:rsid w:val="00020394"/>
    <w:rsid w:val="000207A5"/>
    <w:rsid w:val="000207B6"/>
    <w:rsid w:val="00020801"/>
    <w:rsid w:val="000208B7"/>
    <w:rsid w:val="00020987"/>
    <w:rsid w:val="000209CB"/>
    <w:rsid w:val="000209D2"/>
    <w:rsid w:val="000209E0"/>
    <w:rsid w:val="00020A74"/>
    <w:rsid w:val="00020A85"/>
    <w:rsid w:val="00020CE5"/>
    <w:rsid w:val="00020D10"/>
    <w:rsid w:val="00020D18"/>
    <w:rsid w:val="00020FAB"/>
    <w:rsid w:val="00021044"/>
    <w:rsid w:val="00021052"/>
    <w:rsid w:val="0002108F"/>
    <w:rsid w:val="000210CB"/>
    <w:rsid w:val="00021256"/>
    <w:rsid w:val="0002142F"/>
    <w:rsid w:val="000214FB"/>
    <w:rsid w:val="0002163F"/>
    <w:rsid w:val="00021667"/>
    <w:rsid w:val="0002168A"/>
    <w:rsid w:val="000216E6"/>
    <w:rsid w:val="0002170C"/>
    <w:rsid w:val="000218C2"/>
    <w:rsid w:val="000218D7"/>
    <w:rsid w:val="000219E6"/>
    <w:rsid w:val="00021A0B"/>
    <w:rsid w:val="00021AC7"/>
    <w:rsid w:val="00021B14"/>
    <w:rsid w:val="00021BAE"/>
    <w:rsid w:val="00021CE4"/>
    <w:rsid w:val="00021D49"/>
    <w:rsid w:val="00021EC9"/>
    <w:rsid w:val="00021F4F"/>
    <w:rsid w:val="0002200C"/>
    <w:rsid w:val="00022061"/>
    <w:rsid w:val="000221E0"/>
    <w:rsid w:val="0002220A"/>
    <w:rsid w:val="000222EE"/>
    <w:rsid w:val="00022302"/>
    <w:rsid w:val="000223BD"/>
    <w:rsid w:val="000224CF"/>
    <w:rsid w:val="000224E2"/>
    <w:rsid w:val="00022536"/>
    <w:rsid w:val="0002253A"/>
    <w:rsid w:val="0002257B"/>
    <w:rsid w:val="0002265E"/>
    <w:rsid w:val="000226CB"/>
    <w:rsid w:val="000226EE"/>
    <w:rsid w:val="00022722"/>
    <w:rsid w:val="000227E1"/>
    <w:rsid w:val="0002287E"/>
    <w:rsid w:val="000228C3"/>
    <w:rsid w:val="00022910"/>
    <w:rsid w:val="00022919"/>
    <w:rsid w:val="00022B9C"/>
    <w:rsid w:val="00022C9C"/>
    <w:rsid w:val="00022D0B"/>
    <w:rsid w:val="00022D3D"/>
    <w:rsid w:val="00022DB7"/>
    <w:rsid w:val="00022E77"/>
    <w:rsid w:val="00022ED0"/>
    <w:rsid w:val="00022F3F"/>
    <w:rsid w:val="00022FEF"/>
    <w:rsid w:val="00023073"/>
    <w:rsid w:val="00023355"/>
    <w:rsid w:val="00023390"/>
    <w:rsid w:val="000233BB"/>
    <w:rsid w:val="000233C7"/>
    <w:rsid w:val="000233F0"/>
    <w:rsid w:val="00023452"/>
    <w:rsid w:val="000234DF"/>
    <w:rsid w:val="00023543"/>
    <w:rsid w:val="00023586"/>
    <w:rsid w:val="000235DF"/>
    <w:rsid w:val="000236AE"/>
    <w:rsid w:val="00023714"/>
    <w:rsid w:val="0002372B"/>
    <w:rsid w:val="0002373F"/>
    <w:rsid w:val="00023742"/>
    <w:rsid w:val="000237FA"/>
    <w:rsid w:val="00023900"/>
    <w:rsid w:val="0002399E"/>
    <w:rsid w:val="00023AA4"/>
    <w:rsid w:val="00023AE8"/>
    <w:rsid w:val="00023B2A"/>
    <w:rsid w:val="00023F9F"/>
    <w:rsid w:val="00024336"/>
    <w:rsid w:val="000243AC"/>
    <w:rsid w:val="00024430"/>
    <w:rsid w:val="000244FD"/>
    <w:rsid w:val="000245DD"/>
    <w:rsid w:val="00024769"/>
    <w:rsid w:val="00024881"/>
    <w:rsid w:val="000249B9"/>
    <w:rsid w:val="000249D9"/>
    <w:rsid w:val="00024B0C"/>
    <w:rsid w:val="00024C2E"/>
    <w:rsid w:val="00024C76"/>
    <w:rsid w:val="00024EA7"/>
    <w:rsid w:val="00024F27"/>
    <w:rsid w:val="00024F30"/>
    <w:rsid w:val="00024F77"/>
    <w:rsid w:val="00024FCF"/>
    <w:rsid w:val="00025086"/>
    <w:rsid w:val="000250B2"/>
    <w:rsid w:val="000252E5"/>
    <w:rsid w:val="0002533A"/>
    <w:rsid w:val="000253A7"/>
    <w:rsid w:val="0002541F"/>
    <w:rsid w:val="0002544D"/>
    <w:rsid w:val="00025474"/>
    <w:rsid w:val="00025482"/>
    <w:rsid w:val="00025569"/>
    <w:rsid w:val="00025656"/>
    <w:rsid w:val="0002565C"/>
    <w:rsid w:val="00025754"/>
    <w:rsid w:val="0002588E"/>
    <w:rsid w:val="00025A25"/>
    <w:rsid w:val="00025A26"/>
    <w:rsid w:val="00025A4E"/>
    <w:rsid w:val="00025A7E"/>
    <w:rsid w:val="00025AA8"/>
    <w:rsid w:val="00025BF8"/>
    <w:rsid w:val="00025D35"/>
    <w:rsid w:val="00025EC9"/>
    <w:rsid w:val="00025F74"/>
    <w:rsid w:val="00025FAA"/>
    <w:rsid w:val="00025FB8"/>
    <w:rsid w:val="000260B0"/>
    <w:rsid w:val="0002610C"/>
    <w:rsid w:val="00026144"/>
    <w:rsid w:val="00026325"/>
    <w:rsid w:val="00026359"/>
    <w:rsid w:val="0002635D"/>
    <w:rsid w:val="00026460"/>
    <w:rsid w:val="0002647B"/>
    <w:rsid w:val="00026558"/>
    <w:rsid w:val="00026583"/>
    <w:rsid w:val="000266FE"/>
    <w:rsid w:val="0002671B"/>
    <w:rsid w:val="000269FE"/>
    <w:rsid w:val="00026B42"/>
    <w:rsid w:val="00026BC2"/>
    <w:rsid w:val="00026BED"/>
    <w:rsid w:val="00026C0E"/>
    <w:rsid w:val="00026C87"/>
    <w:rsid w:val="00026DF0"/>
    <w:rsid w:val="00026FFB"/>
    <w:rsid w:val="0002721C"/>
    <w:rsid w:val="00027240"/>
    <w:rsid w:val="0002724B"/>
    <w:rsid w:val="00027312"/>
    <w:rsid w:val="0002731F"/>
    <w:rsid w:val="000274A9"/>
    <w:rsid w:val="000275F8"/>
    <w:rsid w:val="00027643"/>
    <w:rsid w:val="00027905"/>
    <w:rsid w:val="00027A1D"/>
    <w:rsid w:val="00027A7B"/>
    <w:rsid w:val="00027AEB"/>
    <w:rsid w:val="00027AEF"/>
    <w:rsid w:val="00027B75"/>
    <w:rsid w:val="00027BDC"/>
    <w:rsid w:val="00027C2A"/>
    <w:rsid w:val="00027C95"/>
    <w:rsid w:val="00027D2B"/>
    <w:rsid w:val="00027F0C"/>
    <w:rsid w:val="00030073"/>
    <w:rsid w:val="000300B8"/>
    <w:rsid w:val="000300E2"/>
    <w:rsid w:val="0003013A"/>
    <w:rsid w:val="00030200"/>
    <w:rsid w:val="00030317"/>
    <w:rsid w:val="00030352"/>
    <w:rsid w:val="0003055A"/>
    <w:rsid w:val="00030615"/>
    <w:rsid w:val="0003062D"/>
    <w:rsid w:val="000306EB"/>
    <w:rsid w:val="00030717"/>
    <w:rsid w:val="0003078E"/>
    <w:rsid w:val="0003080F"/>
    <w:rsid w:val="0003092C"/>
    <w:rsid w:val="00030A0F"/>
    <w:rsid w:val="00030A39"/>
    <w:rsid w:val="00030BB4"/>
    <w:rsid w:val="00030BDF"/>
    <w:rsid w:val="00030CDA"/>
    <w:rsid w:val="00030D0E"/>
    <w:rsid w:val="00030D59"/>
    <w:rsid w:val="00030DDB"/>
    <w:rsid w:val="00030E80"/>
    <w:rsid w:val="0003105A"/>
    <w:rsid w:val="00031072"/>
    <w:rsid w:val="00031142"/>
    <w:rsid w:val="00031293"/>
    <w:rsid w:val="000313D4"/>
    <w:rsid w:val="000313E0"/>
    <w:rsid w:val="00031578"/>
    <w:rsid w:val="000315EA"/>
    <w:rsid w:val="000315EF"/>
    <w:rsid w:val="000316BA"/>
    <w:rsid w:val="00031ACD"/>
    <w:rsid w:val="00031DCF"/>
    <w:rsid w:val="0003204E"/>
    <w:rsid w:val="00032106"/>
    <w:rsid w:val="00032261"/>
    <w:rsid w:val="0003240B"/>
    <w:rsid w:val="00032444"/>
    <w:rsid w:val="000324A5"/>
    <w:rsid w:val="00032721"/>
    <w:rsid w:val="0003272D"/>
    <w:rsid w:val="00032750"/>
    <w:rsid w:val="0003293E"/>
    <w:rsid w:val="0003297C"/>
    <w:rsid w:val="000329AF"/>
    <w:rsid w:val="000329DB"/>
    <w:rsid w:val="000329FF"/>
    <w:rsid w:val="00032A1A"/>
    <w:rsid w:val="00032BB0"/>
    <w:rsid w:val="00032C38"/>
    <w:rsid w:val="00032C41"/>
    <w:rsid w:val="00032CC3"/>
    <w:rsid w:val="00032CD6"/>
    <w:rsid w:val="00032E02"/>
    <w:rsid w:val="00032E8C"/>
    <w:rsid w:val="00032F6D"/>
    <w:rsid w:val="00032FD8"/>
    <w:rsid w:val="0003304A"/>
    <w:rsid w:val="000330E6"/>
    <w:rsid w:val="000331A3"/>
    <w:rsid w:val="000331BD"/>
    <w:rsid w:val="0003324E"/>
    <w:rsid w:val="0003331E"/>
    <w:rsid w:val="0003340E"/>
    <w:rsid w:val="00033425"/>
    <w:rsid w:val="000334C9"/>
    <w:rsid w:val="0003350B"/>
    <w:rsid w:val="00033544"/>
    <w:rsid w:val="000335CD"/>
    <w:rsid w:val="000335EF"/>
    <w:rsid w:val="00033755"/>
    <w:rsid w:val="0003379D"/>
    <w:rsid w:val="000337F9"/>
    <w:rsid w:val="00033916"/>
    <w:rsid w:val="00033B25"/>
    <w:rsid w:val="00033B98"/>
    <w:rsid w:val="00033EA3"/>
    <w:rsid w:val="00033F81"/>
    <w:rsid w:val="0003400A"/>
    <w:rsid w:val="00034082"/>
    <w:rsid w:val="0003409A"/>
    <w:rsid w:val="000340E4"/>
    <w:rsid w:val="000341C6"/>
    <w:rsid w:val="000341DB"/>
    <w:rsid w:val="000341E2"/>
    <w:rsid w:val="00034250"/>
    <w:rsid w:val="000342C2"/>
    <w:rsid w:val="0003443B"/>
    <w:rsid w:val="00034547"/>
    <w:rsid w:val="0003456B"/>
    <w:rsid w:val="000348FA"/>
    <w:rsid w:val="000349FC"/>
    <w:rsid w:val="00034A62"/>
    <w:rsid w:val="00034B99"/>
    <w:rsid w:val="00034C86"/>
    <w:rsid w:val="00034F34"/>
    <w:rsid w:val="00034F45"/>
    <w:rsid w:val="00034FD8"/>
    <w:rsid w:val="0003512D"/>
    <w:rsid w:val="00035198"/>
    <w:rsid w:val="0003523E"/>
    <w:rsid w:val="00035244"/>
    <w:rsid w:val="00035254"/>
    <w:rsid w:val="0003536F"/>
    <w:rsid w:val="0003540B"/>
    <w:rsid w:val="00035470"/>
    <w:rsid w:val="00035474"/>
    <w:rsid w:val="00035480"/>
    <w:rsid w:val="00035508"/>
    <w:rsid w:val="000355FF"/>
    <w:rsid w:val="0003563F"/>
    <w:rsid w:val="0003564C"/>
    <w:rsid w:val="0003570A"/>
    <w:rsid w:val="00035741"/>
    <w:rsid w:val="00035772"/>
    <w:rsid w:val="000357AB"/>
    <w:rsid w:val="0003582D"/>
    <w:rsid w:val="000358AE"/>
    <w:rsid w:val="00035996"/>
    <w:rsid w:val="00035B7F"/>
    <w:rsid w:val="00035D16"/>
    <w:rsid w:val="00035D47"/>
    <w:rsid w:val="00035DCF"/>
    <w:rsid w:val="00035E78"/>
    <w:rsid w:val="00036132"/>
    <w:rsid w:val="0003618C"/>
    <w:rsid w:val="00036197"/>
    <w:rsid w:val="000363AA"/>
    <w:rsid w:val="00036446"/>
    <w:rsid w:val="00036459"/>
    <w:rsid w:val="0003652B"/>
    <w:rsid w:val="0003656B"/>
    <w:rsid w:val="0003662B"/>
    <w:rsid w:val="000367F4"/>
    <w:rsid w:val="00036994"/>
    <w:rsid w:val="00036B18"/>
    <w:rsid w:val="00036C1B"/>
    <w:rsid w:val="00036C77"/>
    <w:rsid w:val="00036D59"/>
    <w:rsid w:val="00036F36"/>
    <w:rsid w:val="0003711E"/>
    <w:rsid w:val="00037238"/>
    <w:rsid w:val="0003723E"/>
    <w:rsid w:val="0003741D"/>
    <w:rsid w:val="0003748D"/>
    <w:rsid w:val="0003749D"/>
    <w:rsid w:val="000374E0"/>
    <w:rsid w:val="00037538"/>
    <w:rsid w:val="00037587"/>
    <w:rsid w:val="0003768F"/>
    <w:rsid w:val="0003779E"/>
    <w:rsid w:val="00037833"/>
    <w:rsid w:val="000379E6"/>
    <w:rsid w:val="00037A2D"/>
    <w:rsid w:val="00037A7A"/>
    <w:rsid w:val="00037ABC"/>
    <w:rsid w:val="00037B32"/>
    <w:rsid w:val="00037B89"/>
    <w:rsid w:val="00037BCC"/>
    <w:rsid w:val="00037C5C"/>
    <w:rsid w:val="00037C9D"/>
    <w:rsid w:val="00037E5F"/>
    <w:rsid w:val="00037F6C"/>
    <w:rsid w:val="00040081"/>
    <w:rsid w:val="0004021B"/>
    <w:rsid w:val="00040229"/>
    <w:rsid w:val="00040316"/>
    <w:rsid w:val="0004031C"/>
    <w:rsid w:val="00040352"/>
    <w:rsid w:val="00040378"/>
    <w:rsid w:val="0004042D"/>
    <w:rsid w:val="00040620"/>
    <w:rsid w:val="0004068A"/>
    <w:rsid w:val="00040706"/>
    <w:rsid w:val="000407C1"/>
    <w:rsid w:val="0004080E"/>
    <w:rsid w:val="000408AD"/>
    <w:rsid w:val="0004091D"/>
    <w:rsid w:val="00040BD5"/>
    <w:rsid w:val="00040BD8"/>
    <w:rsid w:val="00040C8D"/>
    <w:rsid w:val="00040D0D"/>
    <w:rsid w:val="00040E36"/>
    <w:rsid w:val="00040EC8"/>
    <w:rsid w:val="00040F88"/>
    <w:rsid w:val="00040FB5"/>
    <w:rsid w:val="00040FEB"/>
    <w:rsid w:val="00041110"/>
    <w:rsid w:val="00041168"/>
    <w:rsid w:val="000413FE"/>
    <w:rsid w:val="0004143B"/>
    <w:rsid w:val="00041487"/>
    <w:rsid w:val="0004163B"/>
    <w:rsid w:val="00041752"/>
    <w:rsid w:val="000418DC"/>
    <w:rsid w:val="0004194F"/>
    <w:rsid w:val="00041CCA"/>
    <w:rsid w:val="00041E4E"/>
    <w:rsid w:val="00041F9B"/>
    <w:rsid w:val="00042149"/>
    <w:rsid w:val="0004219A"/>
    <w:rsid w:val="00042228"/>
    <w:rsid w:val="00042316"/>
    <w:rsid w:val="0004247C"/>
    <w:rsid w:val="00042488"/>
    <w:rsid w:val="00042489"/>
    <w:rsid w:val="0004252B"/>
    <w:rsid w:val="0004257A"/>
    <w:rsid w:val="000425A0"/>
    <w:rsid w:val="000425A2"/>
    <w:rsid w:val="00042654"/>
    <w:rsid w:val="00042669"/>
    <w:rsid w:val="0004274D"/>
    <w:rsid w:val="000428DA"/>
    <w:rsid w:val="00042ABF"/>
    <w:rsid w:val="00042BA3"/>
    <w:rsid w:val="00042CD2"/>
    <w:rsid w:val="00042D96"/>
    <w:rsid w:val="00042ECD"/>
    <w:rsid w:val="00042FFC"/>
    <w:rsid w:val="00043029"/>
    <w:rsid w:val="00043041"/>
    <w:rsid w:val="00043239"/>
    <w:rsid w:val="00043348"/>
    <w:rsid w:val="00043381"/>
    <w:rsid w:val="00043452"/>
    <w:rsid w:val="0004348A"/>
    <w:rsid w:val="00043544"/>
    <w:rsid w:val="0004362C"/>
    <w:rsid w:val="00043683"/>
    <w:rsid w:val="000436FB"/>
    <w:rsid w:val="0004374B"/>
    <w:rsid w:val="000437FC"/>
    <w:rsid w:val="00043845"/>
    <w:rsid w:val="00043889"/>
    <w:rsid w:val="00043B93"/>
    <w:rsid w:val="00043C04"/>
    <w:rsid w:val="00043C10"/>
    <w:rsid w:val="00043C33"/>
    <w:rsid w:val="00043D31"/>
    <w:rsid w:val="00043FF7"/>
    <w:rsid w:val="00043FFC"/>
    <w:rsid w:val="00044008"/>
    <w:rsid w:val="0004404B"/>
    <w:rsid w:val="00044161"/>
    <w:rsid w:val="0004420A"/>
    <w:rsid w:val="000444CC"/>
    <w:rsid w:val="000445F5"/>
    <w:rsid w:val="000445FF"/>
    <w:rsid w:val="00044607"/>
    <w:rsid w:val="000446CA"/>
    <w:rsid w:val="0004476F"/>
    <w:rsid w:val="000447BF"/>
    <w:rsid w:val="000447C8"/>
    <w:rsid w:val="000447CD"/>
    <w:rsid w:val="0004483F"/>
    <w:rsid w:val="000448AE"/>
    <w:rsid w:val="0004496E"/>
    <w:rsid w:val="00044A90"/>
    <w:rsid w:val="00044B6B"/>
    <w:rsid w:val="00044B6F"/>
    <w:rsid w:val="00044BFF"/>
    <w:rsid w:val="00044CD6"/>
    <w:rsid w:val="00044D26"/>
    <w:rsid w:val="00044D3E"/>
    <w:rsid w:val="00044E0A"/>
    <w:rsid w:val="00044E42"/>
    <w:rsid w:val="00044EA9"/>
    <w:rsid w:val="00044F35"/>
    <w:rsid w:val="00045010"/>
    <w:rsid w:val="000450D5"/>
    <w:rsid w:val="00045154"/>
    <w:rsid w:val="000453BF"/>
    <w:rsid w:val="000455B1"/>
    <w:rsid w:val="00045667"/>
    <w:rsid w:val="00045699"/>
    <w:rsid w:val="000456B5"/>
    <w:rsid w:val="000457A9"/>
    <w:rsid w:val="00045886"/>
    <w:rsid w:val="000458A5"/>
    <w:rsid w:val="000459AC"/>
    <w:rsid w:val="00045A5B"/>
    <w:rsid w:val="00045ABA"/>
    <w:rsid w:val="00045BA1"/>
    <w:rsid w:val="00045C14"/>
    <w:rsid w:val="00045CEC"/>
    <w:rsid w:val="00045D1E"/>
    <w:rsid w:val="00045DE1"/>
    <w:rsid w:val="00045E26"/>
    <w:rsid w:val="00045F4B"/>
    <w:rsid w:val="0004616A"/>
    <w:rsid w:val="0004645D"/>
    <w:rsid w:val="00046462"/>
    <w:rsid w:val="00046485"/>
    <w:rsid w:val="000464C7"/>
    <w:rsid w:val="0004651A"/>
    <w:rsid w:val="00046594"/>
    <w:rsid w:val="00046806"/>
    <w:rsid w:val="0004684D"/>
    <w:rsid w:val="000468EC"/>
    <w:rsid w:val="00046990"/>
    <w:rsid w:val="000469F6"/>
    <w:rsid w:val="00046B88"/>
    <w:rsid w:val="00046C7B"/>
    <w:rsid w:val="00046CB4"/>
    <w:rsid w:val="00046E08"/>
    <w:rsid w:val="00046E09"/>
    <w:rsid w:val="00046E39"/>
    <w:rsid w:val="00047007"/>
    <w:rsid w:val="000470F6"/>
    <w:rsid w:val="000474C7"/>
    <w:rsid w:val="00047561"/>
    <w:rsid w:val="0004784D"/>
    <w:rsid w:val="00047876"/>
    <w:rsid w:val="000478D1"/>
    <w:rsid w:val="00047B08"/>
    <w:rsid w:val="00047B50"/>
    <w:rsid w:val="00047BA4"/>
    <w:rsid w:val="00047C7F"/>
    <w:rsid w:val="00047ED0"/>
    <w:rsid w:val="00047EF7"/>
    <w:rsid w:val="00047F37"/>
    <w:rsid w:val="00047FCB"/>
    <w:rsid w:val="00047FCF"/>
    <w:rsid w:val="00050021"/>
    <w:rsid w:val="0005013B"/>
    <w:rsid w:val="0005015E"/>
    <w:rsid w:val="00050257"/>
    <w:rsid w:val="000502BC"/>
    <w:rsid w:val="000503A1"/>
    <w:rsid w:val="000503DC"/>
    <w:rsid w:val="00050457"/>
    <w:rsid w:val="0005050E"/>
    <w:rsid w:val="00050537"/>
    <w:rsid w:val="000506A2"/>
    <w:rsid w:val="00050702"/>
    <w:rsid w:val="00050809"/>
    <w:rsid w:val="000508B4"/>
    <w:rsid w:val="0005094E"/>
    <w:rsid w:val="000509B0"/>
    <w:rsid w:val="00050A63"/>
    <w:rsid w:val="00050A9F"/>
    <w:rsid w:val="00050B05"/>
    <w:rsid w:val="00050C3B"/>
    <w:rsid w:val="00050D1B"/>
    <w:rsid w:val="00050DD8"/>
    <w:rsid w:val="00050E64"/>
    <w:rsid w:val="00050E72"/>
    <w:rsid w:val="00050F76"/>
    <w:rsid w:val="00050F98"/>
    <w:rsid w:val="00051040"/>
    <w:rsid w:val="00051074"/>
    <w:rsid w:val="000510D3"/>
    <w:rsid w:val="00051287"/>
    <w:rsid w:val="000512DC"/>
    <w:rsid w:val="00051340"/>
    <w:rsid w:val="00051345"/>
    <w:rsid w:val="0005138B"/>
    <w:rsid w:val="000513B5"/>
    <w:rsid w:val="000513FB"/>
    <w:rsid w:val="00051422"/>
    <w:rsid w:val="00051444"/>
    <w:rsid w:val="00051499"/>
    <w:rsid w:val="0005151B"/>
    <w:rsid w:val="00051754"/>
    <w:rsid w:val="000517A2"/>
    <w:rsid w:val="00051931"/>
    <w:rsid w:val="00051A06"/>
    <w:rsid w:val="00051A10"/>
    <w:rsid w:val="00051ACA"/>
    <w:rsid w:val="00051B5C"/>
    <w:rsid w:val="00051D02"/>
    <w:rsid w:val="00051E3F"/>
    <w:rsid w:val="00051E4D"/>
    <w:rsid w:val="00051FA9"/>
    <w:rsid w:val="0005209A"/>
    <w:rsid w:val="00052137"/>
    <w:rsid w:val="000521ED"/>
    <w:rsid w:val="000522B7"/>
    <w:rsid w:val="000524D4"/>
    <w:rsid w:val="00052627"/>
    <w:rsid w:val="00052795"/>
    <w:rsid w:val="00052819"/>
    <w:rsid w:val="00052825"/>
    <w:rsid w:val="00052A32"/>
    <w:rsid w:val="00052ABE"/>
    <w:rsid w:val="00052AE4"/>
    <w:rsid w:val="00052B7F"/>
    <w:rsid w:val="00052BBD"/>
    <w:rsid w:val="00052DD4"/>
    <w:rsid w:val="00052E42"/>
    <w:rsid w:val="00052FEA"/>
    <w:rsid w:val="0005307B"/>
    <w:rsid w:val="0005314C"/>
    <w:rsid w:val="00053197"/>
    <w:rsid w:val="00053377"/>
    <w:rsid w:val="00053387"/>
    <w:rsid w:val="0005338D"/>
    <w:rsid w:val="000533B1"/>
    <w:rsid w:val="00053432"/>
    <w:rsid w:val="000535D5"/>
    <w:rsid w:val="00053605"/>
    <w:rsid w:val="0005360B"/>
    <w:rsid w:val="00053685"/>
    <w:rsid w:val="000536C6"/>
    <w:rsid w:val="00053712"/>
    <w:rsid w:val="00053717"/>
    <w:rsid w:val="0005375E"/>
    <w:rsid w:val="0005376E"/>
    <w:rsid w:val="000537C1"/>
    <w:rsid w:val="00053888"/>
    <w:rsid w:val="00053912"/>
    <w:rsid w:val="00053926"/>
    <w:rsid w:val="00053AD3"/>
    <w:rsid w:val="00053AE3"/>
    <w:rsid w:val="00053B2B"/>
    <w:rsid w:val="00053DFC"/>
    <w:rsid w:val="00053F6D"/>
    <w:rsid w:val="00053F81"/>
    <w:rsid w:val="00053FA1"/>
    <w:rsid w:val="00054003"/>
    <w:rsid w:val="00054132"/>
    <w:rsid w:val="000541DA"/>
    <w:rsid w:val="00054279"/>
    <w:rsid w:val="000543E2"/>
    <w:rsid w:val="00054424"/>
    <w:rsid w:val="000544B6"/>
    <w:rsid w:val="000545C4"/>
    <w:rsid w:val="00054771"/>
    <w:rsid w:val="00054780"/>
    <w:rsid w:val="000547E7"/>
    <w:rsid w:val="000549B0"/>
    <w:rsid w:val="000549EC"/>
    <w:rsid w:val="00054B0D"/>
    <w:rsid w:val="00054D0D"/>
    <w:rsid w:val="00054E1E"/>
    <w:rsid w:val="00054E33"/>
    <w:rsid w:val="00054E80"/>
    <w:rsid w:val="0005502C"/>
    <w:rsid w:val="00055189"/>
    <w:rsid w:val="000551AC"/>
    <w:rsid w:val="000551FE"/>
    <w:rsid w:val="000552CC"/>
    <w:rsid w:val="00055301"/>
    <w:rsid w:val="00055340"/>
    <w:rsid w:val="00055447"/>
    <w:rsid w:val="0005546F"/>
    <w:rsid w:val="000554A1"/>
    <w:rsid w:val="000554B6"/>
    <w:rsid w:val="00055555"/>
    <w:rsid w:val="00055563"/>
    <w:rsid w:val="0005560C"/>
    <w:rsid w:val="00055643"/>
    <w:rsid w:val="00055673"/>
    <w:rsid w:val="00055682"/>
    <w:rsid w:val="000558C1"/>
    <w:rsid w:val="000558C5"/>
    <w:rsid w:val="00055972"/>
    <w:rsid w:val="00055A39"/>
    <w:rsid w:val="00055AD7"/>
    <w:rsid w:val="00055B3D"/>
    <w:rsid w:val="00055BE2"/>
    <w:rsid w:val="00055CB0"/>
    <w:rsid w:val="00055CDB"/>
    <w:rsid w:val="00055E70"/>
    <w:rsid w:val="00055E8F"/>
    <w:rsid w:val="00055F2C"/>
    <w:rsid w:val="00055FD1"/>
    <w:rsid w:val="00056004"/>
    <w:rsid w:val="0005600B"/>
    <w:rsid w:val="00056020"/>
    <w:rsid w:val="0005621E"/>
    <w:rsid w:val="00056380"/>
    <w:rsid w:val="0005638C"/>
    <w:rsid w:val="000563B7"/>
    <w:rsid w:val="0005640E"/>
    <w:rsid w:val="0005641B"/>
    <w:rsid w:val="0005647E"/>
    <w:rsid w:val="000565D6"/>
    <w:rsid w:val="00056782"/>
    <w:rsid w:val="000567A2"/>
    <w:rsid w:val="00056807"/>
    <w:rsid w:val="00056880"/>
    <w:rsid w:val="000568EA"/>
    <w:rsid w:val="00056A37"/>
    <w:rsid w:val="00056A3F"/>
    <w:rsid w:val="00056AF7"/>
    <w:rsid w:val="00056BD0"/>
    <w:rsid w:val="00056C81"/>
    <w:rsid w:val="00056CBE"/>
    <w:rsid w:val="00056D43"/>
    <w:rsid w:val="00056DA0"/>
    <w:rsid w:val="00056DDB"/>
    <w:rsid w:val="00056EF0"/>
    <w:rsid w:val="00057009"/>
    <w:rsid w:val="000570DE"/>
    <w:rsid w:val="0005717C"/>
    <w:rsid w:val="000571BB"/>
    <w:rsid w:val="0005733E"/>
    <w:rsid w:val="00057372"/>
    <w:rsid w:val="00057388"/>
    <w:rsid w:val="000573A5"/>
    <w:rsid w:val="000573B5"/>
    <w:rsid w:val="000573BC"/>
    <w:rsid w:val="000573D3"/>
    <w:rsid w:val="0005745E"/>
    <w:rsid w:val="00057477"/>
    <w:rsid w:val="00057549"/>
    <w:rsid w:val="00057590"/>
    <w:rsid w:val="000575D5"/>
    <w:rsid w:val="00057673"/>
    <w:rsid w:val="00057840"/>
    <w:rsid w:val="000579C3"/>
    <w:rsid w:val="00057B7D"/>
    <w:rsid w:val="00057B8B"/>
    <w:rsid w:val="00057E5B"/>
    <w:rsid w:val="00057F89"/>
    <w:rsid w:val="00057FBE"/>
    <w:rsid w:val="00057FEC"/>
    <w:rsid w:val="000601A6"/>
    <w:rsid w:val="00060250"/>
    <w:rsid w:val="0006034A"/>
    <w:rsid w:val="00060406"/>
    <w:rsid w:val="0006047B"/>
    <w:rsid w:val="000604EA"/>
    <w:rsid w:val="00060547"/>
    <w:rsid w:val="00060602"/>
    <w:rsid w:val="000606A1"/>
    <w:rsid w:val="000607B2"/>
    <w:rsid w:val="000607BB"/>
    <w:rsid w:val="00060819"/>
    <w:rsid w:val="0006084A"/>
    <w:rsid w:val="000608D2"/>
    <w:rsid w:val="000608F0"/>
    <w:rsid w:val="00060978"/>
    <w:rsid w:val="00060AC1"/>
    <w:rsid w:val="00060B43"/>
    <w:rsid w:val="00060B50"/>
    <w:rsid w:val="00060C19"/>
    <w:rsid w:val="00060C4B"/>
    <w:rsid w:val="00060CCA"/>
    <w:rsid w:val="00060CEA"/>
    <w:rsid w:val="00060DAA"/>
    <w:rsid w:val="00060DC2"/>
    <w:rsid w:val="00060DF2"/>
    <w:rsid w:val="00060E41"/>
    <w:rsid w:val="00060E9B"/>
    <w:rsid w:val="00060F74"/>
    <w:rsid w:val="0006106F"/>
    <w:rsid w:val="0006117E"/>
    <w:rsid w:val="00061291"/>
    <w:rsid w:val="000612BC"/>
    <w:rsid w:val="00061350"/>
    <w:rsid w:val="000613E2"/>
    <w:rsid w:val="000614B2"/>
    <w:rsid w:val="00061570"/>
    <w:rsid w:val="000618FB"/>
    <w:rsid w:val="000618FE"/>
    <w:rsid w:val="00061B84"/>
    <w:rsid w:val="00061BCE"/>
    <w:rsid w:val="00061BDA"/>
    <w:rsid w:val="00061C78"/>
    <w:rsid w:val="00061C88"/>
    <w:rsid w:val="00061D27"/>
    <w:rsid w:val="00061D59"/>
    <w:rsid w:val="00061D5C"/>
    <w:rsid w:val="00061E0A"/>
    <w:rsid w:val="00061E36"/>
    <w:rsid w:val="00061F73"/>
    <w:rsid w:val="00061F94"/>
    <w:rsid w:val="00062080"/>
    <w:rsid w:val="0006208B"/>
    <w:rsid w:val="0006213A"/>
    <w:rsid w:val="000622B5"/>
    <w:rsid w:val="00062314"/>
    <w:rsid w:val="000623C9"/>
    <w:rsid w:val="000623CD"/>
    <w:rsid w:val="000625B6"/>
    <w:rsid w:val="00062620"/>
    <w:rsid w:val="000626DA"/>
    <w:rsid w:val="00062714"/>
    <w:rsid w:val="00062738"/>
    <w:rsid w:val="000628C2"/>
    <w:rsid w:val="00062A5A"/>
    <w:rsid w:val="00062B5E"/>
    <w:rsid w:val="00062C42"/>
    <w:rsid w:val="00062C70"/>
    <w:rsid w:val="00062CB0"/>
    <w:rsid w:val="00063027"/>
    <w:rsid w:val="0006307F"/>
    <w:rsid w:val="000630AF"/>
    <w:rsid w:val="000630F3"/>
    <w:rsid w:val="000631BE"/>
    <w:rsid w:val="00063228"/>
    <w:rsid w:val="00063335"/>
    <w:rsid w:val="00063390"/>
    <w:rsid w:val="00063391"/>
    <w:rsid w:val="00063477"/>
    <w:rsid w:val="00063485"/>
    <w:rsid w:val="000634A7"/>
    <w:rsid w:val="00063530"/>
    <w:rsid w:val="00063573"/>
    <w:rsid w:val="000635D6"/>
    <w:rsid w:val="000637D5"/>
    <w:rsid w:val="00063827"/>
    <w:rsid w:val="0006389D"/>
    <w:rsid w:val="00063A83"/>
    <w:rsid w:val="00063ADE"/>
    <w:rsid w:val="00063B43"/>
    <w:rsid w:val="00063CA1"/>
    <w:rsid w:val="00063FDA"/>
    <w:rsid w:val="00063FEC"/>
    <w:rsid w:val="0006402F"/>
    <w:rsid w:val="0006403A"/>
    <w:rsid w:val="00064090"/>
    <w:rsid w:val="00064224"/>
    <w:rsid w:val="00064316"/>
    <w:rsid w:val="000643F2"/>
    <w:rsid w:val="0006456A"/>
    <w:rsid w:val="0006456B"/>
    <w:rsid w:val="00064575"/>
    <w:rsid w:val="000645A2"/>
    <w:rsid w:val="000645DC"/>
    <w:rsid w:val="00064616"/>
    <w:rsid w:val="00064682"/>
    <w:rsid w:val="0006471E"/>
    <w:rsid w:val="000647E4"/>
    <w:rsid w:val="00064851"/>
    <w:rsid w:val="00064860"/>
    <w:rsid w:val="0006497C"/>
    <w:rsid w:val="00064B72"/>
    <w:rsid w:val="00064DB0"/>
    <w:rsid w:val="00065054"/>
    <w:rsid w:val="00065072"/>
    <w:rsid w:val="000650FF"/>
    <w:rsid w:val="00065212"/>
    <w:rsid w:val="00065229"/>
    <w:rsid w:val="000656CE"/>
    <w:rsid w:val="000658B9"/>
    <w:rsid w:val="000658BC"/>
    <w:rsid w:val="000658D3"/>
    <w:rsid w:val="00065B75"/>
    <w:rsid w:val="00065B78"/>
    <w:rsid w:val="00065BCF"/>
    <w:rsid w:val="00065F1E"/>
    <w:rsid w:val="00065F34"/>
    <w:rsid w:val="00065F68"/>
    <w:rsid w:val="00065F6A"/>
    <w:rsid w:val="00066169"/>
    <w:rsid w:val="000661ED"/>
    <w:rsid w:val="00066252"/>
    <w:rsid w:val="0006627F"/>
    <w:rsid w:val="0006639F"/>
    <w:rsid w:val="00066507"/>
    <w:rsid w:val="00066525"/>
    <w:rsid w:val="0006657D"/>
    <w:rsid w:val="000666D2"/>
    <w:rsid w:val="00066836"/>
    <w:rsid w:val="0006686B"/>
    <w:rsid w:val="000668D1"/>
    <w:rsid w:val="0006692F"/>
    <w:rsid w:val="00066A22"/>
    <w:rsid w:val="00066A29"/>
    <w:rsid w:val="00066A74"/>
    <w:rsid w:val="00066A89"/>
    <w:rsid w:val="00066B38"/>
    <w:rsid w:val="00066B73"/>
    <w:rsid w:val="00066B76"/>
    <w:rsid w:val="00066C1D"/>
    <w:rsid w:val="00066E52"/>
    <w:rsid w:val="000670A1"/>
    <w:rsid w:val="000671CB"/>
    <w:rsid w:val="0006728A"/>
    <w:rsid w:val="00067384"/>
    <w:rsid w:val="000674EB"/>
    <w:rsid w:val="000675D1"/>
    <w:rsid w:val="000675E3"/>
    <w:rsid w:val="00067639"/>
    <w:rsid w:val="00067652"/>
    <w:rsid w:val="000676A7"/>
    <w:rsid w:val="000676D7"/>
    <w:rsid w:val="000676E9"/>
    <w:rsid w:val="0006782D"/>
    <w:rsid w:val="000679FF"/>
    <w:rsid w:val="00067C7E"/>
    <w:rsid w:val="00067C98"/>
    <w:rsid w:val="00067CAC"/>
    <w:rsid w:val="00067D4E"/>
    <w:rsid w:val="00067E1A"/>
    <w:rsid w:val="00067FAC"/>
    <w:rsid w:val="00070089"/>
    <w:rsid w:val="00070302"/>
    <w:rsid w:val="00070342"/>
    <w:rsid w:val="000705E5"/>
    <w:rsid w:val="000706BF"/>
    <w:rsid w:val="000706C7"/>
    <w:rsid w:val="00070A0B"/>
    <w:rsid w:val="00070A27"/>
    <w:rsid w:val="00070B3B"/>
    <w:rsid w:val="00070CEF"/>
    <w:rsid w:val="00070D1C"/>
    <w:rsid w:val="00070D33"/>
    <w:rsid w:val="00070D3A"/>
    <w:rsid w:val="00070D87"/>
    <w:rsid w:val="00070E44"/>
    <w:rsid w:val="00070EB0"/>
    <w:rsid w:val="00070F84"/>
    <w:rsid w:val="00070F89"/>
    <w:rsid w:val="0007101E"/>
    <w:rsid w:val="00071022"/>
    <w:rsid w:val="00071138"/>
    <w:rsid w:val="000711B4"/>
    <w:rsid w:val="000711FE"/>
    <w:rsid w:val="00071236"/>
    <w:rsid w:val="000712DC"/>
    <w:rsid w:val="00071489"/>
    <w:rsid w:val="000714EE"/>
    <w:rsid w:val="0007151F"/>
    <w:rsid w:val="000715AD"/>
    <w:rsid w:val="00071645"/>
    <w:rsid w:val="00071897"/>
    <w:rsid w:val="00071A57"/>
    <w:rsid w:val="00071C84"/>
    <w:rsid w:val="00071D30"/>
    <w:rsid w:val="00071E8C"/>
    <w:rsid w:val="00071EAE"/>
    <w:rsid w:val="00072029"/>
    <w:rsid w:val="000720D6"/>
    <w:rsid w:val="000721DA"/>
    <w:rsid w:val="000722C7"/>
    <w:rsid w:val="00072324"/>
    <w:rsid w:val="000723B6"/>
    <w:rsid w:val="000723C9"/>
    <w:rsid w:val="00072435"/>
    <w:rsid w:val="000724D4"/>
    <w:rsid w:val="00072506"/>
    <w:rsid w:val="0007276B"/>
    <w:rsid w:val="00072779"/>
    <w:rsid w:val="000729E5"/>
    <w:rsid w:val="00072AB1"/>
    <w:rsid w:val="00072AB7"/>
    <w:rsid w:val="00072B9D"/>
    <w:rsid w:val="00072BC3"/>
    <w:rsid w:val="00072E12"/>
    <w:rsid w:val="00072E3C"/>
    <w:rsid w:val="00072F43"/>
    <w:rsid w:val="00073026"/>
    <w:rsid w:val="0007305C"/>
    <w:rsid w:val="0007309B"/>
    <w:rsid w:val="0007311C"/>
    <w:rsid w:val="00073189"/>
    <w:rsid w:val="00073279"/>
    <w:rsid w:val="000732D2"/>
    <w:rsid w:val="00073305"/>
    <w:rsid w:val="00073398"/>
    <w:rsid w:val="000733F5"/>
    <w:rsid w:val="000733FE"/>
    <w:rsid w:val="00073521"/>
    <w:rsid w:val="000736C9"/>
    <w:rsid w:val="00073820"/>
    <w:rsid w:val="0007382B"/>
    <w:rsid w:val="000738A6"/>
    <w:rsid w:val="00073981"/>
    <w:rsid w:val="000739E6"/>
    <w:rsid w:val="00073B7B"/>
    <w:rsid w:val="00073D14"/>
    <w:rsid w:val="00073EE5"/>
    <w:rsid w:val="00073F33"/>
    <w:rsid w:val="0007403B"/>
    <w:rsid w:val="000740EC"/>
    <w:rsid w:val="000741C6"/>
    <w:rsid w:val="00074211"/>
    <w:rsid w:val="00074241"/>
    <w:rsid w:val="00074335"/>
    <w:rsid w:val="000743C4"/>
    <w:rsid w:val="000745DC"/>
    <w:rsid w:val="000746EE"/>
    <w:rsid w:val="000747D1"/>
    <w:rsid w:val="000747F6"/>
    <w:rsid w:val="000748EC"/>
    <w:rsid w:val="0007494E"/>
    <w:rsid w:val="00074AA8"/>
    <w:rsid w:val="00074B2D"/>
    <w:rsid w:val="00074C5C"/>
    <w:rsid w:val="00074E08"/>
    <w:rsid w:val="00074EF1"/>
    <w:rsid w:val="00074EF9"/>
    <w:rsid w:val="00074F1B"/>
    <w:rsid w:val="00074F47"/>
    <w:rsid w:val="00074FF6"/>
    <w:rsid w:val="00075025"/>
    <w:rsid w:val="0007505C"/>
    <w:rsid w:val="0007519F"/>
    <w:rsid w:val="000751AA"/>
    <w:rsid w:val="000751B1"/>
    <w:rsid w:val="00075217"/>
    <w:rsid w:val="00075251"/>
    <w:rsid w:val="00075366"/>
    <w:rsid w:val="0007548D"/>
    <w:rsid w:val="00075628"/>
    <w:rsid w:val="000756F6"/>
    <w:rsid w:val="00075941"/>
    <w:rsid w:val="00075A92"/>
    <w:rsid w:val="00075B82"/>
    <w:rsid w:val="00075C3B"/>
    <w:rsid w:val="00075F11"/>
    <w:rsid w:val="000760B2"/>
    <w:rsid w:val="000760EB"/>
    <w:rsid w:val="00076119"/>
    <w:rsid w:val="000762A9"/>
    <w:rsid w:val="000762B6"/>
    <w:rsid w:val="0007640E"/>
    <w:rsid w:val="00076831"/>
    <w:rsid w:val="000769A5"/>
    <w:rsid w:val="000769CF"/>
    <w:rsid w:val="000769D2"/>
    <w:rsid w:val="00076A3E"/>
    <w:rsid w:val="00076AD6"/>
    <w:rsid w:val="0007704B"/>
    <w:rsid w:val="0007715F"/>
    <w:rsid w:val="00077221"/>
    <w:rsid w:val="000772EB"/>
    <w:rsid w:val="0007738C"/>
    <w:rsid w:val="0007749E"/>
    <w:rsid w:val="000774D7"/>
    <w:rsid w:val="000775DE"/>
    <w:rsid w:val="000775F4"/>
    <w:rsid w:val="0007760F"/>
    <w:rsid w:val="00077635"/>
    <w:rsid w:val="000778D4"/>
    <w:rsid w:val="00077A13"/>
    <w:rsid w:val="00077A55"/>
    <w:rsid w:val="00077C87"/>
    <w:rsid w:val="00077DF7"/>
    <w:rsid w:val="0008002B"/>
    <w:rsid w:val="00080095"/>
    <w:rsid w:val="000800D3"/>
    <w:rsid w:val="00080176"/>
    <w:rsid w:val="0008028A"/>
    <w:rsid w:val="000802A7"/>
    <w:rsid w:val="000802D6"/>
    <w:rsid w:val="000803B3"/>
    <w:rsid w:val="000803DC"/>
    <w:rsid w:val="000803F8"/>
    <w:rsid w:val="0008042F"/>
    <w:rsid w:val="00080454"/>
    <w:rsid w:val="0008045C"/>
    <w:rsid w:val="0008057B"/>
    <w:rsid w:val="000805BB"/>
    <w:rsid w:val="00080605"/>
    <w:rsid w:val="00080679"/>
    <w:rsid w:val="0008089C"/>
    <w:rsid w:val="00080AFF"/>
    <w:rsid w:val="00080C15"/>
    <w:rsid w:val="00080C2C"/>
    <w:rsid w:val="00080C8B"/>
    <w:rsid w:val="00080CA7"/>
    <w:rsid w:val="00080D39"/>
    <w:rsid w:val="00080EAA"/>
    <w:rsid w:val="00080EB6"/>
    <w:rsid w:val="00080F93"/>
    <w:rsid w:val="00080F95"/>
    <w:rsid w:val="00081025"/>
    <w:rsid w:val="00081066"/>
    <w:rsid w:val="00081088"/>
    <w:rsid w:val="000810AD"/>
    <w:rsid w:val="000810F2"/>
    <w:rsid w:val="0008119B"/>
    <w:rsid w:val="000811A9"/>
    <w:rsid w:val="000811AC"/>
    <w:rsid w:val="00081276"/>
    <w:rsid w:val="00081345"/>
    <w:rsid w:val="000813F8"/>
    <w:rsid w:val="00081424"/>
    <w:rsid w:val="0008158A"/>
    <w:rsid w:val="00081612"/>
    <w:rsid w:val="00081655"/>
    <w:rsid w:val="0008168D"/>
    <w:rsid w:val="00081732"/>
    <w:rsid w:val="00081828"/>
    <w:rsid w:val="00081A2B"/>
    <w:rsid w:val="00081BFB"/>
    <w:rsid w:val="00081C98"/>
    <w:rsid w:val="00081CCA"/>
    <w:rsid w:val="00081D37"/>
    <w:rsid w:val="00081DB7"/>
    <w:rsid w:val="00081EBE"/>
    <w:rsid w:val="00081F23"/>
    <w:rsid w:val="00081F73"/>
    <w:rsid w:val="00082094"/>
    <w:rsid w:val="000821EC"/>
    <w:rsid w:val="00082235"/>
    <w:rsid w:val="00082393"/>
    <w:rsid w:val="000823AD"/>
    <w:rsid w:val="000824D7"/>
    <w:rsid w:val="000824F9"/>
    <w:rsid w:val="0008264F"/>
    <w:rsid w:val="0008265F"/>
    <w:rsid w:val="00082687"/>
    <w:rsid w:val="00082871"/>
    <w:rsid w:val="0008295D"/>
    <w:rsid w:val="00082A33"/>
    <w:rsid w:val="00082A4A"/>
    <w:rsid w:val="00082B32"/>
    <w:rsid w:val="00082B96"/>
    <w:rsid w:val="00082C19"/>
    <w:rsid w:val="00082CE7"/>
    <w:rsid w:val="00082D5C"/>
    <w:rsid w:val="00082DE3"/>
    <w:rsid w:val="00082E51"/>
    <w:rsid w:val="00082E52"/>
    <w:rsid w:val="00082EEF"/>
    <w:rsid w:val="00082F7E"/>
    <w:rsid w:val="0008302F"/>
    <w:rsid w:val="00083071"/>
    <w:rsid w:val="000830CE"/>
    <w:rsid w:val="000831C7"/>
    <w:rsid w:val="0008321C"/>
    <w:rsid w:val="00083331"/>
    <w:rsid w:val="00083335"/>
    <w:rsid w:val="00083420"/>
    <w:rsid w:val="0008346A"/>
    <w:rsid w:val="0008347B"/>
    <w:rsid w:val="00083491"/>
    <w:rsid w:val="00083512"/>
    <w:rsid w:val="0008354D"/>
    <w:rsid w:val="00083559"/>
    <w:rsid w:val="000835CF"/>
    <w:rsid w:val="00083750"/>
    <w:rsid w:val="0008375D"/>
    <w:rsid w:val="000837C7"/>
    <w:rsid w:val="00083852"/>
    <w:rsid w:val="000839BC"/>
    <w:rsid w:val="000839F5"/>
    <w:rsid w:val="00083A29"/>
    <w:rsid w:val="00083B5D"/>
    <w:rsid w:val="00083B85"/>
    <w:rsid w:val="00083C87"/>
    <w:rsid w:val="00083E4A"/>
    <w:rsid w:val="00083E94"/>
    <w:rsid w:val="00083F2F"/>
    <w:rsid w:val="00083F9C"/>
    <w:rsid w:val="00084123"/>
    <w:rsid w:val="0008422C"/>
    <w:rsid w:val="000843E8"/>
    <w:rsid w:val="00084400"/>
    <w:rsid w:val="00084401"/>
    <w:rsid w:val="0008441E"/>
    <w:rsid w:val="00084775"/>
    <w:rsid w:val="00084791"/>
    <w:rsid w:val="000849BC"/>
    <w:rsid w:val="00084A57"/>
    <w:rsid w:val="00084C85"/>
    <w:rsid w:val="00084C94"/>
    <w:rsid w:val="00084CE8"/>
    <w:rsid w:val="00084CEE"/>
    <w:rsid w:val="00084E04"/>
    <w:rsid w:val="00084ED9"/>
    <w:rsid w:val="00084F35"/>
    <w:rsid w:val="00084F42"/>
    <w:rsid w:val="00084F90"/>
    <w:rsid w:val="00084FD1"/>
    <w:rsid w:val="00084FDB"/>
    <w:rsid w:val="00085007"/>
    <w:rsid w:val="00085182"/>
    <w:rsid w:val="00085269"/>
    <w:rsid w:val="00085391"/>
    <w:rsid w:val="00085439"/>
    <w:rsid w:val="00085441"/>
    <w:rsid w:val="000856F3"/>
    <w:rsid w:val="000856FC"/>
    <w:rsid w:val="0008576A"/>
    <w:rsid w:val="00085810"/>
    <w:rsid w:val="0008583B"/>
    <w:rsid w:val="000858AB"/>
    <w:rsid w:val="00085A8C"/>
    <w:rsid w:val="00085A93"/>
    <w:rsid w:val="00085AD3"/>
    <w:rsid w:val="00085AE9"/>
    <w:rsid w:val="00085B8A"/>
    <w:rsid w:val="00085C56"/>
    <w:rsid w:val="00085CBC"/>
    <w:rsid w:val="00085DFD"/>
    <w:rsid w:val="00085E6A"/>
    <w:rsid w:val="00085E9A"/>
    <w:rsid w:val="00085EA1"/>
    <w:rsid w:val="00085F01"/>
    <w:rsid w:val="00085F43"/>
    <w:rsid w:val="0008635F"/>
    <w:rsid w:val="00086574"/>
    <w:rsid w:val="000865AE"/>
    <w:rsid w:val="00086600"/>
    <w:rsid w:val="0008664C"/>
    <w:rsid w:val="0008683E"/>
    <w:rsid w:val="000868AD"/>
    <w:rsid w:val="00086968"/>
    <w:rsid w:val="0008698B"/>
    <w:rsid w:val="00086A2D"/>
    <w:rsid w:val="00086A52"/>
    <w:rsid w:val="00086B3B"/>
    <w:rsid w:val="00086BD5"/>
    <w:rsid w:val="00086CBC"/>
    <w:rsid w:val="00086CDD"/>
    <w:rsid w:val="00086E3F"/>
    <w:rsid w:val="00086E9F"/>
    <w:rsid w:val="00086EC2"/>
    <w:rsid w:val="00086F10"/>
    <w:rsid w:val="00086F70"/>
    <w:rsid w:val="0008708B"/>
    <w:rsid w:val="000870BE"/>
    <w:rsid w:val="00087210"/>
    <w:rsid w:val="000872EE"/>
    <w:rsid w:val="000873D1"/>
    <w:rsid w:val="00087557"/>
    <w:rsid w:val="00087586"/>
    <w:rsid w:val="00087611"/>
    <w:rsid w:val="00087623"/>
    <w:rsid w:val="00087646"/>
    <w:rsid w:val="00087743"/>
    <w:rsid w:val="00087801"/>
    <w:rsid w:val="0008781B"/>
    <w:rsid w:val="00087823"/>
    <w:rsid w:val="000878A1"/>
    <w:rsid w:val="0008790A"/>
    <w:rsid w:val="00087938"/>
    <w:rsid w:val="000879D9"/>
    <w:rsid w:val="00087A35"/>
    <w:rsid w:val="00087AFC"/>
    <w:rsid w:val="00087BA4"/>
    <w:rsid w:val="00087BD4"/>
    <w:rsid w:val="00087C05"/>
    <w:rsid w:val="00087C18"/>
    <w:rsid w:val="00087C7F"/>
    <w:rsid w:val="00087DC7"/>
    <w:rsid w:val="00087DF3"/>
    <w:rsid w:val="00087E4E"/>
    <w:rsid w:val="00087ECC"/>
    <w:rsid w:val="00087F07"/>
    <w:rsid w:val="00087F27"/>
    <w:rsid w:val="00087FAB"/>
    <w:rsid w:val="00087FAF"/>
    <w:rsid w:val="0009002D"/>
    <w:rsid w:val="00090069"/>
    <w:rsid w:val="0009007C"/>
    <w:rsid w:val="0009016F"/>
    <w:rsid w:val="000901B0"/>
    <w:rsid w:val="00090215"/>
    <w:rsid w:val="000904E0"/>
    <w:rsid w:val="0009059C"/>
    <w:rsid w:val="000906AC"/>
    <w:rsid w:val="00090814"/>
    <w:rsid w:val="000908CD"/>
    <w:rsid w:val="0009096E"/>
    <w:rsid w:val="00090A5D"/>
    <w:rsid w:val="00090B00"/>
    <w:rsid w:val="00090BDB"/>
    <w:rsid w:val="00090BEC"/>
    <w:rsid w:val="00090C24"/>
    <w:rsid w:val="00090F28"/>
    <w:rsid w:val="00090F30"/>
    <w:rsid w:val="00090F93"/>
    <w:rsid w:val="00090FC0"/>
    <w:rsid w:val="00091193"/>
    <w:rsid w:val="0009124E"/>
    <w:rsid w:val="000912F6"/>
    <w:rsid w:val="000913EC"/>
    <w:rsid w:val="0009140A"/>
    <w:rsid w:val="0009142B"/>
    <w:rsid w:val="000914B1"/>
    <w:rsid w:val="000914E3"/>
    <w:rsid w:val="000914E4"/>
    <w:rsid w:val="00091500"/>
    <w:rsid w:val="00091555"/>
    <w:rsid w:val="00091611"/>
    <w:rsid w:val="0009162B"/>
    <w:rsid w:val="000916EA"/>
    <w:rsid w:val="000916F3"/>
    <w:rsid w:val="0009176E"/>
    <w:rsid w:val="000917EF"/>
    <w:rsid w:val="000919A9"/>
    <w:rsid w:val="00091AB7"/>
    <w:rsid w:val="00091D59"/>
    <w:rsid w:val="00092224"/>
    <w:rsid w:val="000922F5"/>
    <w:rsid w:val="00092331"/>
    <w:rsid w:val="00092364"/>
    <w:rsid w:val="00092421"/>
    <w:rsid w:val="000924DB"/>
    <w:rsid w:val="0009259D"/>
    <w:rsid w:val="00092671"/>
    <w:rsid w:val="00092747"/>
    <w:rsid w:val="000927FE"/>
    <w:rsid w:val="0009280F"/>
    <w:rsid w:val="00092821"/>
    <w:rsid w:val="000928E6"/>
    <w:rsid w:val="000928F3"/>
    <w:rsid w:val="0009291A"/>
    <w:rsid w:val="00092A6F"/>
    <w:rsid w:val="00092B08"/>
    <w:rsid w:val="00092C32"/>
    <w:rsid w:val="00092C94"/>
    <w:rsid w:val="00092CCD"/>
    <w:rsid w:val="00092E7C"/>
    <w:rsid w:val="00092F29"/>
    <w:rsid w:val="00092F5C"/>
    <w:rsid w:val="000931FE"/>
    <w:rsid w:val="00093255"/>
    <w:rsid w:val="0009334F"/>
    <w:rsid w:val="0009335B"/>
    <w:rsid w:val="0009348C"/>
    <w:rsid w:val="0009360F"/>
    <w:rsid w:val="000936A5"/>
    <w:rsid w:val="000936B2"/>
    <w:rsid w:val="00093900"/>
    <w:rsid w:val="00093930"/>
    <w:rsid w:val="00093A7C"/>
    <w:rsid w:val="00093B92"/>
    <w:rsid w:val="00093C5B"/>
    <w:rsid w:val="00093CF0"/>
    <w:rsid w:val="00093F6E"/>
    <w:rsid w:val="000940BB"/>
    <w:rsid w:val="000940F2"/>
    <w:rsid w:val="0009412D"/>
    <w:rsid w:val="0009413D"/>
    <w:rsid w:val="000941E4"/>
    <w:rsid w:val="000942CE"/>
    <w:rsid w:val="00094305"/>
    <w:rsid w:val="00094357"/>
    <w:rsid w:val="000943B8"/>
    <w:rsid w:val="0009444D"/>
    <w:rsid w:val="0009444E"/>
    <w:rsid w:val="00094483"/>
    <w:rsid w:val="000945B0"/>
    <w:rsid w:val="0009460A"/>
    <w:rsid w:val="00094632"/>
    <w:rsid w:val="00094650"/>
    <w:rsid w:val="000946BA"/>
    <w:rsid w:val="000946E1"/>
    <w:rsid w:val="00094713"/>
    <w:rsid w:val="00094787"/>
    <w:rsid w:val="000947AF"/>
    <w:rsid w:val="000947DC"/>
    <w:rsid w:val="000948F4"/>
    <w:rsid w:val="0009491E"/>
    <w:rsid w:val="00094924"/>
    <w:rsid w:val="000949E6"/>
    <w:rsid w:val="00094AD7"/>
    <w:rsid w:val="00094B73"/>
    <w:rsid w:val="00094C9D"/>
    <w:rsid w:val="00094CA2"/>
    <w:rsid w:val="00094D07"/>
    <w:rsid w:val="00094D0E"/>
    <w:rsid w:val="00094E16"/>
    <w:rsid w:val="00095175"/>
    <w:rsid w:val="00095298"/>
    <w:rsid w:val="0009538C"/>
    <w:rsid w:val="00095433"/>
    <w:rsid w:val="00095445"/>
    <w:rsid w:val="000954BD"/>
    <w:rsid w:val="000954BE"/>
    <w:rsid w:val="000954C9"/>
    <w:rsid w:val="00095523"/>
    <w:rsid w:val="00095605"/>
    <w:rsid w:val="000956FE"/>
    <w:rsid w:val="00095789"/>
    <w:rsid w:val="000957EE"/>
    <w:rsid w:val="000958A3"/>
    <w:rsid w:val="000959E1"/>
    <w:rsid w:val="00095A51"/>
    <w:rsid w:val="00095BC0"/>
    <w:rsid w:val="00095CE4"/>
    <w:rsid w:val="00095D26"/>
    <w:rsid w:val="00095F30"/>
    <w:rsid w:val="000960FC"/>
    <w:rsid w:val="000961B1"/>
    <w:rsid w:val="00096243"/>
    <w:rsid w:val="00096444"/>
    <w:rsid w:val="000964D1"/>
    <w:rsid w:val="00096505"/>
    <w:rsid w:val="0009651B"/>
    <w:rsid w:val="0009653F"/>
    <w:rsid w:val="000965FC"/>
    <w:rsid w:val="00096606"/>
    <w:rsid w:val="00096953"/>
    <w:rsid w:val="00096A01"/>
    <w:rsid w:val="00096A0B"/>
    <w:rsid w:val="00096C44"/>
    <w:rsid w:val="00096CC2"/>
    <w:rsid w:val="00096DF3"/>
    <w:rsid w:val="00096E06"/>
    <w:rsid w:val="00096E86"/>
    <w:rsid w:val="00096EF0"/>
    <w:rsid w:val="00096F15"/>
    <w:rsid w:val="000970B8"/>
    <w:rsid w:val="000971BC"/>
    <w:rsid w:val="0009728D"/>
    <w:rsid w:val="000972F5"/>
    <w:rsid w:val="00097310"/>
    <w:rsid w:val="00097447"/>
    <w:rsid w:val="00097487"/>
    <w:rsid w:val="0009753D"/>
    <w:rsid w:val="0009757B"/>
    <w:rsid w:val="0009762A"/>
    <w:rsid w:val="0009762F"/>
    <w:rsid w:val="0009777C"/>
    <w:rsid w:val="000977D2"/>
    <w:rsid w:val="000978EA"/>
    <w:rsid w:val="0009797A"/>
    <w:rsid w:val="00097A6F"/>
    <w:rsid w:val="00097AC5"/>
    <w:rsid w:val="00097B7F"/>
    <w:rsid w:val="00097CAD"/>
    <w:rsid w:val="00097FA3"/>
    <w:rsid w:val="00097FCE"/>
    <w:rsid w:val="00097FF1"/>
    <w:rsid w:val="000A0101"/>
    <w:rsid w:val="000A01CB"/>
    <w:rsid w:val="000A02F4"/>
    <w:rsid w:val="000A0317"/>
    <w:rsid w:val="000A0322"/>
    <w:rsid w:val="000A0411"/>
    <w:rsid w:val="000A046E"/>
    <w:rsid w:val="000A0546"/>
    <w:rsid w:val="000A0602"/>
    <w:rsid w:val="000A077F"/>
    <w:rsid w:val="000A0845"/>
    <w:rsid w:val="000A087A"/>
    <w:rsid w:val="000A0A16"/>
    <w:rsid w:val="000A0A66"/>
    <w:rsid w:val="000A0AAE"/>
    <w:rsid w:val="000A0B2E"/>
    <w:rsid w:val="000A0C4D"/>
    <w:rsid w:val="000A0D0A"/>
    <w:rsid w:val="000A0D9D"/>
    <w:rsid w:val="000A0DD9"/>
    <w:rsid w:val="000A0F0F"/>
    <w:rsid w:val="000A1068"/>
    <w:rsid w:val="000A11F0"/>
    <w:rsid w:val="000A1250"/>
    <w:rsid w:val="000A133A"/>
    <w:rsid w:val="000A13E6"/>
    <w:rsid w:val="000A14A6"/>
    <w:rsid w:val="000A161B"/>
    <w:rsid w:val="000A1765"/>
    <w:rsid w:val="000A17EA"/>
    <w:rsid w:val="000A1898"/>
    <w:rsid w:val="000A189B"/>
    <w:rsid w:val="000A1A9C"/>
    <w:rsid w:val="000A1BFA"/>
    <w:rsid w:val="000A1D3F"/>
    <w:rsid w:val="000A1D88"/>
    <w:rsid w:val="000A1D90"/>
    <w:rsid w:val="000A1E81"/>
    <w:rsid w:val="000A1F72"/>
    <w:rsid w:val="000A21C5"/>
    <w:rsid w:val="000A227D"/>
    <w:rsid w:val="000A22D0"/>
    <w:rsid w:val="000A2310"/>
    <w:rsid w:val="000A23E0"/>
    <w:rsid w:val="000A242B"/>
    <w:rsid w:val="000A2474"/>
    <w:rsid w:val="000A258F"/>
    <w:rsid w:val="000A2659"/>
    <w:rsid w:val="000A2660"/>
    <w:rsid w:val="000A26D0"/>
    <w:rsid w:val="000A26D4"/>
    <w:rsid w:val="000A295D"/>
    <w:rsid w:val="000A2A88"/>
    <w:rsid w:val="000A2AB2"/>
    <w:rsid w:val="000A2B09"/>
    <w:rsid w:val="000A2B96"/>
    <w:rsid w:val="000A2BA1"/>
    <w:rsid w:val="000A2BAD"/>
    <w:rsid w:val="000A2C88"/>
    <w:rsid w:val="000A2CB6"/>
    <w:rsid w:val="000A2DC3"/>
    <w:rsid w:val="000A2F55"/>
    <w:rsid w:val="000A2F8D"/>
    <w:rsid w:val="000A2FE8"/>
    <w:rsid w:val="000A30BC"/>
    <w:rsid w:val="000A316D"/>
    <w:rsid w:val="000A31C4"/>
    <w:rsid w:val="000A3242"/>
    <w:rsid w:val="000A3262"/>
    <w:rsid w:val="000A3292"/>
    <w:rsid w:val="000A3387"/>
    <w:rsid w:val="000A33F1"/>
    <w:rsid w:val="000A3478"/>
    <w:rsid w:val="000A3675"/>
    <w:rsid w:val="000A36F0"/>
    <w:rsid w:val="000A3752"/>
    <w:rsid w:val="000A3799"/>
    <w:rsid w:val="000A37CF"/>
    <w:rsid w:val="000A3832"/>
    <w:rsid w:val="000A3A2E"/>
    <w:rsid w:val="000A3A3C"/>
    <w:rsid w:val="000A3CE2"/>
    <w:rsid w:val="000A3D1E"/>
    <w:rsid w:val="000A3D71"/>
    <w:rsid w:val="000A3F1C"/>
    <w:rsid w:val="000A3F56"/>
    <w:rsid w:val="000A3F73"/>
    <w:rsid w:val="000A3FB7"/>
    <w:rsid w:val="000A403A"/>
    <w:rsid w:val="000A4065"/>
    <w:rsid w:val="000A409B"/>
    <w:rsid w:val="000A40A5"/>
    <w:rsid w:val="000A40E3"/>
    <w:rsid w:val="000A41A7"/>
    <w:rsid w:val="000A4204"/>
    <w:rsid w:val="000A4286"/>
    <w:rsid w:val="000A4325"/>
    <w:rsid w:val="000A434A"/>
    <w:rsid w:val="000A43EE"/>
    <w:rsid w:val="000A4400"/>
    <w:rsid w:val="000A4476"/>
    <w:rsid w:val="000A46A9"/>
    <w:rsid w:val="000A46D7"/>
    <w:rsid w:val="000A46F4"/>
    <w:rsid w:val="000A4746"/>
    <w:rsid w:val="000A48E1"/>
    <w:rsid w:val="000A490D"/>
    <w:rsid w:val="000A4911"/>
    <w:rsid w:val="000A4920"/>
    <w:rsid w:val="000A4C5D"/>
    <w:rsid w:val="000A4EAE"/>
    <w:rsid w:val="000A4F5A"/>
    <w:rsid w:val="000A4F80"/>
    <w:rsid w:val="000A5160"/>
    <w:rsid w:val="000A5186"/>
    <w:rsid w:val="000A51AB"/>
    <w:rsid w:val="000A5336"/>
    <w:rsid w:val="000A53DC"/>
    <w:rsid w:val="000A556C"/>
    <w:rsid w:val="000A56A1"/>
    <w:rsid w:val="000A5715"/>
    <w:rsid w:val="000A57FC"/>
    <w:rsid w:val="000A5840"/>
    <w:rsid w:val="000A589E"/>
    <w:rsid w:val="000A58AB"/>
    <w:rsid w:val="000A5944"/>
    <w:rsid w:val="000A5A09"/>
    <w:rsid w:val="000A5A2F"/>
    <w:rsid w:val="000A5AA9"/>
    <w:rsid w:val="000A5B08"/>
    <w:rsid w:val="000A5B49"/>
    <w:rsid w:val="000A5E0B"/>
    <w:rsid w:val="000A5E4A"/>
    <w:rsid w:val="000A602A"/>
    <w:rsid w:val="000A604C"/>
    <w:rsid w:val="000A61EB"/>
    <w:rsid w:val="000A647E"/>
    <w:rsid w:val="000A6595"/>
    <w:rsid w:val="000A663D"/>
    <w:rsid w:val="000A66CE"/>
    <w:rsid w:val="000A677F"/>
    <w:rsid w:val="000A6A75"/>
    <w:rsid w:val="000A6BB7"/>
    <w:rsid w:val="000A6BC3"/>
    <w:rsid w:val="000A6C1E"/>
    <w:rsid w:val="000A6C21"/>
    <w:rsid w:val="000A6CA8"/>
    <w:rsid w:val="000A6D71"/>
    <w:rsid w:val="000A6EE4"/>
    <w:rsid w:val="000A6FEF"/>
    <w:rsid w:val="000A710E"/>
    <w:rsid w:val="000A7129"/>
    <w:rsid w:val="000A7270"/>
    <w:rsid w:val="000A737B"/>
    <w:rsid w:val="000A74BF"/>
    <w:rsid w:val="000A75E1"/>
    <w:rsid w:val="000A77DF"/>
    <w:rsid w:val="000A7812"/>
    <w:rsid w:val="000A7BBA"/>
    <w:rsid w:val="000A7BFA"/>
    <w:rsid w:val="000A7CC8"/>
    <w:rsid w:val="000A7DCD"/>
    <w:rsid w:val="000A7F19"/>
    <w:rsid w:val="000A7F85"/>
    <w:rsid w:val="000B0210"/>
    <w:rsid w:val="000B021C"/>
    <w:rsid w:val="000B0233"/>
    <w:rsid w:val="000B054B"/>
    <w:rsid w:val="000B0670"/>
    <w:rsid w:val="000B07F8"/>
    <w:rsid w:val="000B07FA"/>
    <w:rsid w:val="000B093F"/>
    <w:rsid w:val="000B0B4B"/>
    <w:rsid w:val="000B0CDE"/>
    <w:rsid w:val="000B0D3D"/>
    <w:rsid w:val="000B0F73"/>
    <w:rsid w:val="000B1042"/>
    <w:rsid w:val="000B1048"/>
    <w:rsid w:val="000B1204"/>
    <w:rsid w:val="000B13DF"/>
    <w:rsid w:val="000B1442"/>
    <w:rsid w:val="000B1469"/>
    <w:rsid w:val="000B18FB"/>
    <w:rsid w:val="000B1982"/>
    <w:rsid w:val="000B1A36"/>
    <w:rsid w:val="000B1C8B"/>
    <w:rsid w:val="000B1CF9"/>
    <w:rsid w:val="000B1E90"/>
    <w:rsid w:val="000B20BC"/>
    <w:rsid w:val="000B22B7"/>
    <w:rsid w:val="000B2459"/>
    <w:rsid w:val="000B248A"/>
    <w:rsid w:val="000B24AE"/>
    <w:rsid w:val="000B2690"/>
    <w:rsid w:val="000B26B4"/>
    <w:rsid w:val="000B26D0"/>
    <w:rsid w:val="000B2765"/>
    <w:rsid w:val="000B2783"/>
    <w:rsid w:val="000B287A"/>
    <w:rsid w:val="000B28BA"/>
    <w:rsid w:val="000B2BC0"/>
    <w:rsid w:val="000B2C2F"/>
    <w:rsid w:val="000B2C79"/>
    <w:rsid w:val="000B2DCE"/>
    <w:rsid w:val="000B2DF5"/>
    <w:rsid w:val="000B2EA0"/>
    <w:rsid w:val="000B2FA4"/>
    <w:rsid w:val="000B2FB7"/>
    <w:rsid w:val="000B302A"/>
    <w:rsid w:val="000B307A"/>
    <w:rsid w:val="000B314C"/>
    <w:rsid w:val="000B31D5"/>
    <w:rsid w:val="000B3265"/>
    <w:rsid w:val="000B3266"/>
    <w:rsid w:val="000B3271"/>
    <w:rsid w:val="000B331F"/>
    <w:rsid w:val="000B33BB"/>
    <w:rsid w:val="000B35F2"/>
    <w:rsid w:val="000B3A9D"/>
    <w:rsid w:val="000B3B22"/>
    <w:rsid w:val="000B3B90"/>
    <w:rsid w:val="000B3C45"/>
    <w:rsid w:val="000B3C9C"/>
    <w:rsid w:val="000B3EE6"/>
    <w:rsid w:val="000B413D"/>
    <w:rsid w:val="000B413F"/>
    <w:rsid w:val="000B4180"/>
    <w:rsid w:val="000B44BE"/>
    <w:rsid w:val="000B44EE"/>
    <w:rsid w:val="000B4686"/>
    <w:rsid w:val="000B46DE"/>
    <w:rsid w:val="000B47F6"/>
    <w:rsid w:val="000B4888"/>
    <w:rsid w:val="000B48E0"/>
    <w:rsid w:val="000B493C"/>
    <w:rsid w:val="000B4A1E"/>
    <w:rsid w:val="000B4A26"/>
    <w:rsid w:val="000B4AC9"/>
    <w:rsid w:val="000B4B3C"/>
    <w:rsid w:val="000B4D81"/>
    <w:rsid w:val="000B4ECC"/>
    <w:rsid w:val="000B50D6"/>
    <w:rsid w:val="000B5177"/>
    <w:rsid w:val="000B51C1"/>
    <w:rsid w:val="000B527F"/>
    <w:rsid w:val="000B5299"/>
    <w:rsid w:val="000B53C0"/>
    <w:rsid w:val="000B546F"/>
    <w:rsid w:val="000B547C"/>
    <w:rsid w:val="000B5537"/>
    <w:rsid w:val="000B556A"/>
    <w:rsid w:val="000B5636"/>
    <w:rsid w:val="000B57BF"/>
    <w:rsid w:val="000B5818"/>
    <w:rsid w:val="000B5827"/>
    <w:rsid w:val="000B5999"/>
    <w:rsid w:val="000B5B21"/>
    <w:rsid w:val="000B5B6D"/>
    <w:rsid w:val="000B5B86"/>
    <w:rsid w:val="000B5C40"/>
    <w:rsid w:val="000B5CF5"/>
    <w:rsid w:val="000B5D54"/>
    <w:rsid w:val="000B5E2B"/>
    <w:rsid w:val="000B60F4"/>
    <w:rsid w:val="000B6162"/>
    <w:rsid w:val="000B61C7"/>
    <w:rsid w:val="000B629B"/>
    <w:rsid w:val="000B62D6"/>
    <w:rsid w:val="000B6415"/>
    <w:rsid w:val="000B658F"/>
    <w:rsid w:val="000B65A9"/>
    <w:rsid w:val="000B6759"/>
    <w:rsid w:val="000B675C"/>
    <w:rsid w:val="000B67CC"/>
    <w:rsid w:val="000B67F0"/>
    <w:rsid w:val="000B68BC"/>
    <w:rsid w:val="000B6AD9"/>
    <w:rsid w:val="000B6B98"/>
    <w:rsid w:val="000B6C56"/>
    <w:rsid w:val="000B6C77"/>
    <w:rsid w:val="000B6C88"/>
    <w:rsid w:val="000B6DC4"/>
    <w:rsid w:val="000B6E0C"/>
    <w:rsid w:val="000B6E62"/>
    <w:rsid w:val="000B6F4C"/>
    <w:rsid w:val="000B70A0"/>
    <w:rsid w:val="000B7146"/>
    <w:rsid w:val="000B72E5"/>
    <w:rsid w:val="000B7690"/>
    <w:rsid w:val="000B7693"/>
    <w:rsid w:val="000B76A1"/>
    <w:rsid w:val="000B770E"/>
    <w:rsid w:val="000B77CF"/>
    <w:rsid w:val="000B77F2"/>
    <w:rsid w:val="000B7812"/>
    <w:rsid w:val="000B781C"/>
    <w:rsid w:val="000B7895"/>
    <w:rsid w:val="000B78C2"/>
    <w:rsid w:val="000B7A7F"/>
    <w:rsid w:val="000B7A86"/>
    <w:rsid w:val="000B7B2A"/>
    <w:rsid w:val="000B7B8D"/>
    <w:rsid w:val="000B7B9D"/>
    <w:rsid w:val="000B7BF0"/>
    <w:rsid w:val="000B7CAB"/>
    <w:rsid w:val="000B7F91"/>
    <w:rsid w:val="000C0163"/>
    <w:rsid w:val="000C01E9"/>
    <w:rsid w:val="000C02B8"/>
    <w:rsid w:val="000C02BB"/>
    <w:rsid w:val="000C0319"/>
    <w:rsid w:val="000C03D3"/>
    <w:rsid w:val="000C0463"/>
    <w:rsid w:val="000C0494"/>
    <w:rsid w:val="000C0558"/>
    <w:rsid w:val="000C060E"/>
    <w:rsid w:val="000C06C6"/>
    <w:rsid w:val="000C0739"/>
    <w:rsid w:val="000C0747"/>
    <w:rsid w:val="000C076B"/>
    <w:rsid w:val="000C0798"/>
    <w:rsid w:val="000C08BE"/>
    <w:rsid w:val="000C09FF"/>
    <w:rsid w:val="000C0B52"/>
    <w:rsid w:val="000C0C85"/>
    <w:rsid w:val="000C0DE0"/>
    <w:rsid w:val="000C0F8C"/>
    <w:rsid w:val="000C0FBB"/>
    <w:rsid w:val="000C0FC0"/>
    <w:rsid w:val="000C100D"/>
    <w:rsid w:val="000C12E5"/>
    <w:rsid w:val="000C132C"/>
    <w:rsid w:val="000C1381"/>
    <w:rsid w:val="000C1555"/>
    <w:rsid w:val="000C1677"/>
    <w:rsid w:val="000C16A4"/>
    <w:rsid w:val="000C1916"/>
    <w:rsid w:val="000C197F"/>
    <w:rsid w:val="000C198C"/>
    <w:rsid w:val="000C1A74"/>
    <w:rsid w:val="000C1C5C"/>
    <w:rsid w:val="000C1DAD"/>
    <w:rsid w:val="000C1DCE"/>
    <w:rsid w:val="000C1E5D"/>
    <w:rsid w:val="000C1EF4"/>
    <w:rsid w:val="000C1F07"/>
    <w:rsid w:val="000C1FD0"/>
    <w:rsid w:val="000C2158"/>
    <w:rsid w:val="000C221B"/>
    <w:rsid w:val="000C2244"/>
    <w:rsid w:val="000C22ED"/>
    <w:rsid w:val="000C232F"/>
    <w:rsid w:val="000C24B4"/>
    <w:rsid w:val="000C24E4"/>
    <w:rsid w:val="000C25A5"/>
    <w:rsid w:val="000C2709"/>
    <w:rsid w:val="000C2790"/>
    <w:rsid w:val="000C2A20"/>
    <w:rsid w:val="000C2B51"/>
    <w:rsid w:val="000C2BF3"/>
    <w:rsid w:val="000C2C25"/>
    <w:rsid w:val="000C2C6D"/>
    <w:rsid w:val="000C2C7F"/>
    <w:rsid w:val="000C2ED9"/>
    <w:rsid w:val="000C2EE4"/>
    <w:rsid w:val="000C2F47"/>
    <w:rsid w:val="000C2F6E"/>
    <w:rsid w:val="000C3035"/>
    <w:rsid w:val="000C30C0"/>
    <w:rsid w:val="000C316A"/>
    <w:rsid w:val="000C32AA"/>
    <w:rsid w:val="000C3604"/>
    <w:rsid w:val="000C362E"/>
    <w:rsid w:val="000C3668"/>
    <w:rsid w:val="000C3804"/>
    <w:rsid w:val="000C38A0"/>
    <w:rsid w:val="000C3C54"/>
    <w:rsid w:val="000C3D2A"/>
    <w:rsid w:val="000C3D8E"/>
    <w:rsid w:val="000C3D96"/>
    <w:rsid w:val="000C3DC2"/>
    <w:rsid w:val="000C3DE1"/>
    <w:rsid w:val="000C3FB9"/>
    <w:rsid w:val="000C3FCA"/>
    <w:rsid w:val="000C4048"/>
    <w:rsid w:val="000C40E6"/>
    <w:rsid w:val="000C4200"/>
    <w:rsid w:val="000C43E3"/>
    <w:rsid w:val="000C443A"/>
    <w:rsid w:val="000C4447"/>
    <w:rsid w:val="000C464B"/>
    <w:rsid w:val="000C4822"/>
    <w:rsid w:val="000C4842"/>
    <w:rsid w:val="000C4A41"/>
    <w:rsid w:val="000C4BE3"/>
    <w:rsid w:val="000C4D99"/>
    <w:rsid w:val="000C4D9A"/>
    <w:rsid w:val="000C4DBE"/>
    <w:rsid w:val="000C4F75"/>
    <w:rsid w:val="000C4FDA"/>
    <w:rsid w:val="000C5002"/>
    <w:rsid w:val="000C50A7"/>
    <w:rsid w:val="000C527A"/>
    <w:rsid w:val="000C52E0"/>
    <w:rsid w:val="000C5347"/>
    <w:rsid w:val="000C5446"/>
    <w:rsid w:val="000C5533"/>
    <w:rsid w:val="000C55BA"/>
    <w:rsid w:val="000C5679"/>
    <w:rsid w:val="000C56B5"/>
    <w:rsid w:val="000C5707"/>
    <w:rsid w:val="000C5718"/>
    <w:rsid w:val="000C571D"/>
    <w:rsid w:val="000C57D8"/>
    <w:rsid w:val="000C57EA"/>
    <w:rsid w:val="000C57FF"/>
    <w:rsid w:val="000C599B"/>
    <w:rsid w:val="000C59D4"/>
    <w:rsid w:val="000C59E9"/>
    <w:rsid w:val="000C5C58"/>
    <w:rsid w:val="000C5C99"/>
    <w:rsid w:val="000C5D30"/>
    <w:rsid w:val="000C5D48"/>
    <w:rsid w:val="000C5D85"/>
    <w:rsid w:val="000C5DA8"/>
    <w:rsid w:val="000C5EE1"/>
    <w:rsid w:val="000C5F40"/>
    <w:rsid w:val="000C615A"/>
    <w:rsid w:val="000C6200"/>
    <w:rsid w:val="000C623E"/>
    <w:rsid w:val="000C6419"/>
    <w:rsid w:val="000C6453"/>
    <w:rsid w:val="000C6466"/>
    <w:rsid w:val="000C654A"/>
    <w:rsid w:val="000C666A"/>
    <w:rsid w:val="000C6719"/>
    <w:rsid w:val="000C6759"/>
    <w:rsid w:val="000C681E"/>
    <w:rsid w:val="000C6823"/>
    <w:rsid w:val="000C6878"/>
    <w:rsid w:val="000C6894"/>
    <w:rsid w:val="000C6ABC"/>
    <w:rsid w:val="000C6D13"/>
    <w:rsid w:val="000C6D33"/>
    <w:rsid w:val="000C6D62"/>
    <w:rsid w:val="000C6FB3"/>
    <w:rsid w:val="000C6FDD"/>
    <w:rsid w:val="000C7123"/>
    <w:rsid w:val="000C7160"/>
    <w:rsid w:val="000C727C"/>
    <w:rsid w:val="000C7392"/>
    <w:rsid w:val="000C754D"/>
    <w:rsid w:val="000C75DC"/>
    <w:rsid w:val="000C7608"/>
    <w:rsid w:val="000C7652"/>
    <w:rsid w:val="000C767E"/>
    <w:rsid w:val="000C7710"/>
    <w:rsid w:val="000C7767"/>
    <w:rsid w:val="000C7782"/>
    <w:rsid w:val="000C78C9"/>
    <w:rsid w:val="000C7917"/>
    <w:rsid w:val="000C7A6D"/>
    <w:rsid w:val="000C7AB3"/>
    <w:rsid w:val="000C7AEA"/>
    <w:rsid w:val="000C7B1C"/>
    <w:rsid w:val="000C7B85"/>
    <w:rsid w:val="000C7D15"/>
    <w:rsid w:val="000C7F8D"/>
    <w:rsid w:val="000C7FC4"/>
    <w:rsid w:val="000C7FEA"/>
    <w:rsid w:val="000D0053"/>
    <w:rsid w:val="000D0056"/>
    <w:rsid w:val="000D0146"/>
    <w:rsid w:val="000D01FA"/>
    <w:rsid w:val="000D0228"/>
    <w:rsid w:val="000D024F"/>
    <w:rsid w:val="000D0343"/>
    <w:rsid w:val="000D050E"/>
    <w:rsid w:val="000D058D"/>
    <w:rsid w:val="000D06DC"/>
    <w:rsid w:val="000D07F8"/>
    <w:rsid w:val="000D0814"/>
    <w:rsid w:val="000D0858"/>
    <w:rsid w:val="000D08B9"/>
    <w:rsid w:val="000D0A01"/>
    <w:rsid w:val="000D0A94"/>
    <w:rsid w:val="000D0B0F"/>
    <w:rsid w:val="000D0C63"/>
    <w:rsid w:val="000D0CE6"/>
    <w:rsid w:val="000D0D10"/>
    <w:rsid w:val="000D0D70"/>
    <w:rsid w:val="000D0ED2"/>
    <w:rsid w:val="000D1009"/>
    <w:rsid w:val="000D11AF"/>
    <w:rsid w:val="000D12FF"/>
    <w:rsid w:val="000D1338"/>
    <w:rsid w:val="000D1368"/>
    <w:rsid w:val="000D13B1"/>
    <w:rsid w:val="000D13B6"/>
    <w:rsid w:val="000D140B"/>
    <w:rsid w:val="000D14BD"/>
    <w:rsid w:val="000D14E0"/>
    <w:rsid w:val="000D1508"/>
    <w:rsid w:val="000D1543"/>
    <w:rsid w:val="000D15B8"/>
    <w:rsid w:val="000D15DD"/>
    <w:rsid w:val="000D1732"/>
    <w:rsid w:val="000D175C"/>
    <w:rsid w:val="000D18D0"/>
    <w:rsid w:val="000D190A"/>
    <w:rsid w:val="000D1C78"/>
    <w:rsid w:val="000D1C9A"/>
    <w:rsid w:val="000D1D1D"/>
    <w:rsid w:val="000D1D8B"/>
    <w:rsid w:val="000D1F55"/>
    <w:rsid w:val="000D202A"/>
    <w:rsid w:val="000D20ED"/>
    <w:rsid w:val="000D2215"/>
    <w:rsid w:val="000D23DF"/>
    <w:rsid w:val="000D2527"/>
    <w:rsid w:val="000D2722"/>
    <w:rsid w:val="000D272B"/>
    <w:rsid w:val="000D273F"/>
    <w:rsid w:val="000D29A6"/>
    <w:rsid w:val="000D2B46"/>
    <w:rsid w:val="000D2EBE"/>
    <w:rsid w:val="000D2F22"/>
    <w:rsid w:val="000D301B"/>
    <w:rsid w:val="000D3086"/>
    <w:rsid w:val="000D30CD"/>
    <w:rsid w:val="000D30D3"/>
    <w:rsid w:val="000D312F"/>
    <w:rsid w:val="000D317C"/>
    <w:rsid w:val="000D31ED"/>
    <w:rsid w:val="000D3361"/>
    <w:rsid w:val="000D3373"/>
    <w:rsid w:val="000D34AB"/>
    <w:rsid w:val="000D35D5"/>
    <w:rsid w:val="000D388C"/>
    <w:rsid w:val="000D38B8"/>
    <w:rsid w:val="000D39FE"/>
    <w:rsid w:val="000D3A93"/>
    <w:rsid w:val="000D3AE7"/>
    <w:rsid w:val="000D3C0A"/>
    <w:rsid w:val="000D3C66"/>
    <w:rsid w:val="000D3F3A"/>
    <w:rsid w:val="000D4011"/>
    <w:rsid w:val="000D42C1"/>
    <w:rsid w:val="000D4366"/>
    <w:rsid w:val="000D4462"/>
    <w:rsid w:val="000D4478"/>
    <w:rsid w:val="000D44C8"/>
    <w:rsid w:val="000D45EB"/>
    <w:rsid w:val="000D45FC"/>
    <w:rsid w:val="000D4600"/>
    <w:rsid w:val="000D4836"/>
    <w:rsid w:val="000D4864"/>
    <w:rsid w:val="000D488D"/>
    <w:rsid w:val="000D4A0B"/>
    <w:rsid w:val="000D4A54"/>
    <w:rsid w:val="000D4A9B"/>
    <w:rsid w:val="000D4C8B"/>
    <w:rsid w:val="000D4CA7"/>
    <w:rsid w:val="000D501E"/>
    <w:rsid w:val="000D50DE"/>
    <w:rsid w:val="000D5120"/>
    <w:rsid w:val="000D522E"/>
    <w:rsid w:val="000D52B2"/>
    <w:rsid w:val="000D53F6"/>
    <w:rsid w:val="000D5435"/>
    <w:rsid w:val="000D5488"/>
    <w:rsid w:val="000D54D4"/>
    <w:rsid w:val="000D550B"/>
    <w:rsid w:val="000D553B"/>
    <w:rsid w:val="000D554D"/>
    <w:rsid w:val="000D5692"/>
    <w:rsid w:val="000D56C7"/>
    <w:rsid w:val="000D5709"/>
    <w:rsid w:val="000D5799"/>
    <w:rsid w:val="000D59C4"/>
    <w:rsid w:val="000D5A1E"/>
    <w:rsid w:val="000D5AAE"/>
    <w:rsid w:val="000D5B5D"/>
    <w:rsid w:val="000D5C58"/>
    <w:rsid w:val="000D5C65"/>
    <w:rsid w:val="000D5FCA"/>
    <w:rsid w:val="000D6037"/>
    <w:rsid w:val="000D609C"/>
    <w:rsid w:val="000D60DD"/>
    <w:rsid w:val="000D6103"/>
    <w:rsid w:val="000D6243"/>
    <w:rsid w:val="000D630A"/>
    <w:rsid w:val="000D6434"/>
    <w:rsid w:val="000D6492"/>
    <w:rsid w:val="000D64FC"/>
    <w:rsid w:val="000D65CF"/>
    <w:rsid w:val="000D6611"/>
    <w:rsid w:val="000D67CC"/>
    <w:rsid w:val="000D6834"/>
    <w:rsid w:val="000D6900"/>
    <w:rsid w:val="000D693C"/>
    <w:rsid w:val="000D695E"/>
    <w:rsid w:val="000D6A03"/>
    <w:rsid w:val="000D6A69"/>
    <w:rsid w:val="000D6B82"/>
    <w:rsid w:val="000D6BEB"/>
    <w:rsid w:val="000D6D06"/>
    <w:rsid w:val="000D6D2E"/>
    <w:rsid w:val="000D6DAA"/>
    <w:rsid w:val="000D6F03"/>
    <w:rsid w:val="000D6F66"/>
    <w:rsid w:val="000D6FEC"/>
    <w:rsid w:val="000D700B"/>
    <w:rsid w:val="000D70AE"/>
    <w:rsid w:val="000D7177"/>
    <w:rsid w:val="000D7182"/>
    <w:rsid w:val="000D74B5"/>
    <w:rsid w:val="000D74B8"/>
    <w:rsid w:val="000D7599"/>
    <w:rsid w:val="000D760B"/>
    <w:rsid w:val="000D762E"/>
    <w:rsid w:val="000D76A9"/>
    <w:rsid w:val="000D76AA"/>
    <w:rsid w:val="000D76DF"/>
    <w:rsid w:val="000D7722"/>
    <w:rsid w:val="000D7770"/>
    <w:rsid w:val="000D7842"/>
    <w:rsid w:val="000D79AA"/>
    <w:rsid w:val="000D7AAD"/>
    <w:rsid w:val="000D7B4E"/>
    <w:rsid w:val="000D7CDA"/>
    <w:rsid w:val="000D7D33"/>
    <w:rsid w:val="000E00B5"/>
    <w:rsid w:val="000E00BB"/>
    <w:rsid w:val="000E013A"/>
    <w:rsid w:val="000E01F4"/>
    <w:rsid w:val="000E028F"/>
    <w:rsid w:val="000E029E"/>
    <w:rsid w:val="000E034A"/>
    <w:rsid w:val="000E0357"/>
    <w:rsid w:val="000E05AB"/>
    <w:rsid w:val="000E0840"/>
    <w:rsid w:val="000E0956"/>
    <w:rsid w:val="000E09A6"/>
    <w:rsid w:val="000E0A09"/>
    <w:rsid w:val="000E0A6D"/>
    <w:rsid w:val="000E0AC2"/>
    <w:rsid w:val="000E0B74"/>
    <w:rsid w:val="000E0C24"/>
    <w:rsid w:val="000E0CAC"/>
    <w:rsid w:val="000E0FBC"/>
    <w:rsid w:val="000E1152"/>
    <w:rsid w:val="000E11B6"/>
    <w:rsid w:val="000E1292"/>
    <w:rsid w:val="000E12C2"/>
    <w:rsid w:val="000E130B"/>
    <w:rsid w:val="000E133E"/>
    <w:rsid w:val="000E139E"/>
    <w:rsid w:val="000E1409"/>
    <w:rsid w:val="000E14EB"/>
    <w:rsid w:val="000E150D"/>
    <w:rsid w:val="000E169C"/>
    <w:rsid w:val="000E1729"/>
    <w:rsid w:val="000E183A"/>
    <w:rsid w:val="000E1843"/>
    <w:rsid w:val="000E18A2"/>
    <w:rsid w:val="000E199D"/>
    <w:rsid w:val="000E1C2C"/>
    <w:rsid w:val="000E1F2B"/>
    <w:rsid w:val="000E201E"/>
    <w:rsid w:val="000E2163"/>
    <w:rsid w:val="000E231E"/>
    <w:rsid w:val="000E23E5"/>
    <w:rsid w:val="000E240D"/>
    <w:rsid w:val="000E2419"/>
    <w:rsid w:val="000E25C9"/>
    <w:rsid w:val="000E2647"/>
    <w:rsid w:val="000E2699"/>
    <w:rsid w:val="000E26B7"/>
    <w:rsid w:val="000E2892"/>
    <w:rsid w:val="000E29BF"/>
    <w:rsid w:val="000E29DA"/>
    <w:rsid w:val="000E2AD2"/>
    <w:rsid w:val="000E2D6D"/>
    <w:rsid w:val="000E2EBB"/>
    <w:rsid w:val="000E2FE7"/>
    <w:rsid w:val="000E3000"/>
    <w:rsid w:val="000E3072"/>
    <w:rsid w:val="000E3074"/>
    <w:rsid w:val="000E30D4"/>
    <w:rsid w:val="000E3129"/>
    <w:rsid w:val="000E3162"/>
    <w:rsid w:val="000E3181"/>
    <w:rsid w:val="000E3188"/>
    <w:rsid w:val="000E3233"/>
    <w:rsid w:val="000E333E"/>
    <w:rsid w:val="000E339B"/>
    <w:rsid w:val="000E3465"/>
    <w:rsid w:val="000E3489"/>
    <w:rsid w:val="000E3499"/>
    <w:rsid w:val="000E3661"/>
    <w:rsid w:val="000E36C3"/>
    <w:rsid w:val="000E3814"/>
    <w:rsid w:val="000E38DE"/>
    <w:rsid w:val="000E3A01"/>
    <w:rsid w:val="000E3BE0"/>
    <w:rsid w:val="000E3C29"/>
    <w:rsid w:val="000E3D33"/>
    <w:rsid w:val="000E3E6F"/>
    <w:rsid w:val="000E3EA0"/>
    <w:rsid w:val="000E4023"/>
    <w:rsid w:val="000E40FA"/>
    <w:rsid w:val="000E4180"/>
    <w:rsid w:val="000E418B"/>
    <w:rsid w:val="000E41DC"/>
    <w:rsid w:val="000E4239"/>
    <w:rsid w:val="000E4260"/>
    <w:rsid w:val="000E42E3"/>
    <w:rsid w:val="000E4302"/>
    <w:rsid w:val="000E436B"/>
    <w:rsid w:val="000E4379"/>
    <w:rsid w:val="000E4478"/>
    <w:rsid w:val="000E46CD"/>
    <w:rsid w:val="000E4833"/>
    <w:rsid w:val="000E494E"/>
    <w:rsid w:val="000E4965"/>
    <w:rsid w:val="000E4A5F"/>
    <w:rsid w:val="000E4B57"/>
    <w:rsid w:val="000E4CA2"/>
    <w:rsid w:val="000E4CE8"/>
    <w:rsid w:val="000E4D06"/>
    <w:rsid w:val="000E4D5B"/>
    <w:rsid w:val="000E4DEF"/>
    <w:rsid w:val="000E4EC1"/>
    <w:rsid w:val="000E50D8"/>
    <w:rsid w:val="000E52B6"/>
    <w:rsid w:val="000E541A"/>
    <w:rsid w:val="000E5420"/>
    <w:rsid w:val="000E5424"/>
    <w:rsid w:val="000E5497"/>
    <w:rsid w:val="000E558B"/>
    <w:rsid w:val="000E5780"/>
    <w:rsid w:val="000E58A5"/>
    <w:rsid w:val="000E591C"/>
    <w:rsid w:val="000E59EE"/>
    <w:rsid w:val="000E5A11"/>
    <w:rsid w:val="000E5A61"/>
    <w:rsid w:val="000E5AA0"/>
    <w:rsid w:val="000E5AC5"/>
    <w:rsid w:val="000E5B17"/>
    <w:rsid w:val="000E5BED"/>
    <w:rsid w:val="000E5C77"/>
    <w:rsid w:val="000E5DF4"/>
    <w:rsid w:val="000E5F6A"/>
    <w:rsid w:val="000E5FF3"/>
    <w:rsid w:val="000E609E"/>
    <w:rsid w:val="000E635C"/>
    <w:rsid w:val="000E638F"/>
    <w:rsid w:val="000E63BC"/>
    <w:rsid w:val="000E6486"/>
    <w:rsid w:val="000E64AE"/>
    <w:rsid w:val="000E6564"/>
    <w:rsid w:val="000E6570"/>
    <w:rsid w:val="000E67B4"/>
    <w:rsid w:val="000E67CC"/>
    <w:rsid w:val="000E682D"/>
    <w:rsid w:val="000E68F1"/>
    <w:rsid w:val="000E6B49"/>
    <w:rsid w:val="000E6C60"/>
    <w:rsid w:val="000E6DC2"/>
    <w:rsid w:val="000E6DEA"/>
    <w:rsid w:val="000E6E31"/>
    <w:rsid w:val="000E6FEE"/>
    <w:rsid w:val="000E70B3"/>
    <w:rsid w:val="000E70D1"/>
    <w:rsid w:val="000E70D8"/>
    <w:rsid w:val="000E7126"/>
    <w:rsid w:val="000E7188"/>
    <w:rsid w:val="000E71C1"/>
    <w:rsid w:val="000E727D"/>
    <w:rsid w:val="000E72B6"/>
    <w:rsid w:val="000E72EA"/>
    <w:rsid w:val="000E7352"/>
    <w:rsid w:val="000E73EE"/>
    <w:rsid w:val="000E741C"/>
    <w:rsid w:val="000E7491"/>
    <w:rsid w:val="000E74CA"/>
    <w:rsid w:val="000E74CF"/>
    <w:rsid w:val="000E7567"/>
    <w:rsid w:val="000E75D8"/>
    <w:rsid w:val="000E75F1"/>
    <w:rsid w:val="000E767C"/>
    <w:rsid w:val="000E7689"/>
    <w:rsid w:val="000E773A"/>
    <w:rsid w:val="000E78A1"/>
    <w:rsid w:val="000E78CA"/>
    <w:rsid w:val="000E7901"/>
    <w:rsid w:val="000E795A"/>
    <w:rsid w:val="000E7A50"/>
    <w:rsid w:val="000E7AB2"/>
    <w:rsid w:val="000E7AB7"/>
    <w:rsid w:val="000E7B2D"/>
    <w:rsid w:val="000E7CF7"/>
    <w:rsid w:val="000E7DC1"/>
    <w:rsid w:val="000E7E55"/>
    <w:rsid w:val="000E7ECB"/>
    <w:rsid w:val="000F00F8"/>
    <w:rsid w:val="000F0139"/>
    <w:rsid w:val="000F02F1"/>
    <w:rsid w:val="000F0301"/>
    <w:rsid w:val="000F033F"/>
    <w:rsid w:val="000F05A6"/>
    <w:rsid w:val="000F0673"/>
    <w:rsid w:val="000F0740"/>
    <w:rsid w:val="000F0863"/>
    <w:rsid w:val="000F0A6D"/>
    <w:rsid w:val="000F0A7C"/>
    <w:rsid w:val="000F0A96"/>
    <w:rsid w:val="000F0B6D"/>
    <w:rsid w:val="000F0BD6"/>
    <w:rsid w:val="000F0C3B"/>
    <w:rsid w:val="000F0D04"/>
    <w:rsid w:val="000F0ED4"/>
    <w:rsid w:val="000F0F85"/>
    <w:rsid w:val="000F0FAF"/>
    <w:rsid w:val="000F1082"/>
    <w:rsid w:val="000F10CD"/>
    <w:rsid w:val="000F111F"/>
    <w:rsid w:val="000F137B"/>
    <w:rsid w:val="000F1451"/>
    <w:rsid w:val="000F1497"/>
    <w:rsid w:val="000F15F6"/>
    <w:rsid w:val="000F1741"/>
    <w:rsid w:val="000F1919"/>
    <w:rsid w:val="000F194A"/>
    <w:rsid w:val="000F1969"/>
    <w:rsid w:val="000F1972"/>
    <w:rsid w:val="000F19A4"/>
    <w:rsid w:val="000F19AB"/>
    <w:rsid w:val="000F1C25"/>
    <w:rsid w:val="000F1CE9"/>
    <w:rsid w:val="000F1EC2"/>
    <w:rsid w:val="000F1FB3"/>
    <w:rsid w:val="000F1FE5"/>
    <w:rsid w:val="000F203D"/>
    <w:rsid w:val="000F2143"/>
    <w:rsid w:val="000F22FD"/>
    <w:rsid w:val="000F23C1"/>
    <w:rsid w:val="000F24AE"/>
    <w:rsid w:val="000F2545"/>
    <w:rsid w:val="000F2575"/>
    <w:rsid w:val="000F257E"/>
    <w:rsid w:val="000F2591"/>
    <w:rsid w:val="000F25EF"/>
    <w:rsid w:val="000F2619"/>
    <w:rsid w:val="000F26F0"/>
    <w:rsid w:val="000F273E"/>
    <w:rsid w:val="000F2745"/>
    <w:rsid w:val="000F27BC"/>
    <w:rsid w:val="000F2961"/>
    <w:rsid w:val="000F2AE9"/>
    <w:rsid w:val="000F2B9E"/>
    <w:rsid w:val="000F2C2F"/>
    <w:rsid w:val="000F2D03"/>
    <w:rsid w:val="000F2DDF"/>
    <w:rsid w:val="000F2EDA"/>
    <w:rsid w:val="000F2F00"/>
    <w:rsid w:val="000F301A"/>
    <w:rsid w:val="000F31C0"/>
    <w:rsid w:val="000F32F2"/>
    <w:rsid w:val="000F333F"/>
    <w:rsid w:val="000F33DE"/>
    <w:rsid w:val="000F35E4"/>
    <w:rsid w:val="000F3697"/>
    <w:rsid w:val="000F3718"/>
    <w:rsid w:val="000F3822"/>
    <w:rsid w:val="000F384D"/>
    <w:rsid w:val="000F38DE"/>
    <w:rsid w:val="000F3905"/>
    <w:rsid w:val="000F3930"/>
    <w:rsid w:val="000F39A0"/>
    <w:rsid w:val="000F3B20"/>
    <w:rsid w:val="000F3B2F"/>
    <w:rsid w:val="000F3B73"/>
    <w:rsid w:val="000F3BE2"/>
    <w:rsid w:val="000F3CA0"/>
    <w:rsid w:val="000F3E9B"/>
    <w:rsid w:val="000F3F3B"/>
    <w:rsid w:val="000F4077"/>
    <w:rsid w:val="000F4085"/>
    <w:rsid w:val="000F4097"/>
    <w:rsid w:val="000F41CB"/>
    <w:rsid w:val="000F4245"/>
    <w:rsid w:val="000F43ED"/>
    <w:rsid w:val="000F446C"/>
    <w:rsid w:val="000F45EA"/>
    <w:rsid w:val="000F4624"/>
    <w:rsid w:val="000F46D1"/>
    <w:rsid w:val="000F4700"/>
    <w:rsid w:val="000F4731"/>
    <w:rsid w:val="000F48E0"/>
    <w:rsid w:val="000F4940"/>
    <w:rsid w:val="000F4B55"/>
    <w:rsid w:val="000F4D19"/>
    <w:rsid w:val="000F4E4F"/>
    <w:rsid w:val="000F4EE2"/>
    <w:rsid w:val="000F4EE4"/>
    <w:rsid w:val="000F4EF5"/>
    <w:rsid w:val="000F4FA9"/>
    <w:rsid w:val="000F4FB3"/>
    <w:rsid w:val="000F51D8"/>
    <w:rsid w:val="000F529B"/>
    <w:rsid w:val="000F52B6"/>
    <w:rsid w:val="000F531C"/>
    <w:rsid w:val="000F54AC"/>
    <w:rsid w:val="000F54E6"/>
    <w:rsid w:val="000F55B4"/>
    <w:rsid w:val="000F5640"/>
    <w:rsid w:val="000F5652"/>
    <w:rsid w:val="000F5672"/>
    <w:rsid w:val="000F567F"/>
    <w:rsid w:val="000F5695"/>
    <w:rsid w:val="000F569D"/>
    <w:rsid w:val="000F56D6"/>
    <w:rsid w:val="000F57FE"/>
    <w:rsid w:val="000F5B30"/>
    <w:rsid w:val="000F5CC9"/>
    <w:rsid w:val="000F5D35"/>
    <w:rsid w:val="000F5E5B"/>
    <w:rsid w:val="000F5EAC"/>
    <w:rsid w:val="000F5F06"/>
    <w:rsid w:val="000F60F2"/>
    <w:rsid w:val="000F6218"/>
    <w:rsid w:val="000F6233"/>
    <w:rsid w:val="000F6363"/>
    <w:rsid w:val="000F638C"/>
    <w:rsid w:val="000F638D"/>
    <w:rsid w:val="000F6474"/>
    <w:rsid w:val="000F64ED"/>
    <w:rsid w:val="000F6569"/>
    <w:rsid w:val="000F65C9"/>
    <w:rsid w:val="000F6603"/>
    <w:rsid w:val="000F676D"/>
    <w:rsid w:val="000F6772"/>
    <w:rsid w:val="000F687D"/>
    <w:rsid w:val="000F69D3"/>
    <w:rsid w:val="000F6A0F"/>
    <w:rsid w:val="000F6A9A"/>
    <w:rsid w:val="000F6AB4"/>
    <w:rsid w:val="000F6B5A"/>
    <w:rsid w:val="000F6BE4"/>
    <w:rsid w:val="000F6BED"/>
    <w:rsid w:val="000F6CB3"/>
    <w:rsid w:val="000F6D70"/>
    <w:rsid w:val="000F6DAB"/>
    <w:rsid w:val="000F6E5E"/>
    <w:rsid w:val="000F7007"/>
    <w:rsid w:val="000F72EB"/>
    <w:rsid w:val="000F73E0"/>
    <w:rsid w:val="000F74AF"/>
    <w:rsid w:val="000F7583"/>
    <w:rsid w:val="000F7631"/>
    <w:rsid w:val="000F76C4"/>
    <w:rsid w:val="000F7782"/>
    <w:rsid w:val="000F77F3"/>
    <w:rsid w:val="000F79A5"/>
    <w:rsid w:val="000F7BC7"/>
    <w:rsid w:val="000F7DD7"/>
    <w:rsid w:val="000F7E0A"/>
    <w:rsid w:val="000F7F7B"/>
    <w:rsid w:val="00100166"/>
    <w:rsid w:val="0010021C"/>
    <w:rsid w:val="001002F5"/>
    <w:rsid w:val="00100355"/>
    <w:rsid w:val="0010039F"/>
    <w:rsid w:val="001003FC"/>
    <w:rsid w:val="0010052F"/>
    <w:rsid w:val="00100638"/>
    <w:rsid w:val="0010069B"/>
    <w:rsid w:val="001006B8"/>
    <w:rsid w:val="0010075A"/>
    <w:rsid w:val="0010085D"/>
    <w:rsid w:val="00100B59"/>
    <w:rsid w:val="00100B62"/>
    <w:rsid w:val="00100D19"/>
    <w:rsid w:val="00100D9E"/>
    <w:rsid w:val="00100DCA"/>
    <w:rsid w:val="00100E72"/>
    <w:rsid w:val="00100E78"/>
    <w:rsid w:val="00100EE2"/>
    <w:rsid w:val="00100FA0"/>
    <w:rsid w:val="001010B2"/>
    <w:rsid w:val="0010114F"/>
    <w:rsid w:val="00101170"/>
    <w:rsid w:val="001011C1"/>
    <w:rsid w:val="001011D1"/>
    <w:rsid w:val="00101549"/>
    <w:rsid w:val="001015F3"/>
    <w:rsid w:val="0010165E"/>
    <w:rsid w:val="00101709"/>
    <w:rsid w:val="00101747"/>
    <w:rsid w:val="001017A4"/>
    <w:rsid w:val="00101828"/>
    <w:rsid w:val="0010182E"/>
    <w:rsid w:val="001018AE"/>
    <w:rsid w:val="00101984"/>
    <w:rsid w:val="00101A86"/>
    <w:rsid w:val="00101BB1"/>
    <w:rsid w:val="00101C6F"/>
    <w:rsid w:val="00101E9E"/>
    <w:rsid w:val="00101F41"/>
    <w:rsid w:val="00101F6B"/>
    <w:rsid w:val="00101F9E"/>
    <w:rsid w:val="0010204C"/>
    <w:rsid w:val="00102129"/>
    <w:rsid w:val="00102189"/>
    <w:rsid w:val="001021F2"/>
    <w:rsid w:val="001022DC"/>
    <w:rsid w:val="001027E1"/>
    <w:rsid w:val="00102914"/>
    <w:rsid w:val="00102A1C"/>
    <w:rsid w:val="00102AF9"/>
    <w:rsid w:val="00102C31"/>
    <w:rsid w:val="00102CA3"/>
    <w:rsid w:val="00102CC9"/>
    <w:rsid w:val="00102EF4"/>
    <w:rsid w:val="00102F0B"/>
    <w:rsid w:val="0010300A"/>
    <w:rsid w:val="00103089"/>
    <w:rsid w:val="00103119"/>
    <w:rsid w:val="00103313"/>
    <w:rsid w:val="00103590"/>
    <w:rsid w:val="001036A3"/>
    <w:rsid w:val="001036BE"/>
    <w:rsid w:val="0010390E"/>
    <w:rsid w:val="00103A2B"/>
    <w:rsid w:val="00103A64"/>
    <w:rsid w:val="00103B40"/>
    <w:rsid w:val="00103B7C"/>
    <w:rsid w:val="00103BD2"/>
    <w:rsid w:val="00103CE2"/>
    <w:rsid w:val="00103DBB"/>
    <w:rsid w:val="00104097"/>
    <w:rsid w:val="001040D9"/>
    <w:rsid w:val="001042EE"/>
    <w:rsid w:val="0010435C"/>
    <w:rsid w:val="00104401"/>
    <w:rsid w:val="0010441E"/>
    <w:rsid w:val="00104876"/>
    <w:rsid w:val="001048CD"/>
    <w:rsid w:val="00104B59"/>
    <w:rsid w:val="00104BF6"/>
    <w:rsid w:val="00104C6A"/>
    <w:rsid w:val="00104E00"/>
    <w:rsid w:val="00104E03"/>
    <w:rsid w:val="00104E0E"/>
    <w:rsid w:val="00104EE5"/>
    <w:rsid w:val="0010506E"/>
    <w:rsid w:val="0010508E"/>
    <w:rsid w:val="00105134"/>
    <w:rsid w:val="001051E3"/>
    <w:rsid w:val="00105221"/>
    <w:rsid w:val="00105519"/>
    <w:rsid w:val="00105574"/>
    <w:rsid w:val="0010572D"/>
    <w:rsid w:val="0010575B"/>
    <w:rsid w:val="00105809"/>
    <w:rsid w:val="00105A17"/>
    <w:rsid w:val="00105A6E"/>
    <w:rsid w:val="00105AAC"/>
    <w:rsid w:val="00105AFA"/>
    <w:rsid w:val="00105B28"/>
    <w:rsid w:val="00105C1F"/>
    <w:rsid w:val="00105C35"/>
    <w:rsid w:val="00105C36"/>
    <w:rsid w:val="00106005"/>
    <w:rsid w:val="001060AA"/>
    <w:rsid w:val="0010618B"/>
    <w:rsid w:val="001061A9"/>
    <w:rsid w:val="001062C9"/>
    <w:rsid w:val="0010635E"/>
    <w:rsid w:val="0010643D"/>
    <w:rsid w:val="0010652D"/>
    <w:rsid w:val="00106556"/>
    <w:rsid w:val="00106644"/>
    <w:rsid w:val="00106812"/>
    <w:rsid w:val="00106821"/>
    <w:rsid w:val="00106869"/>
    <w:rsid w:val="0010689D"/>
    <w:rsid w:val="001068FA"/>
    <w:rsid w:val="00106904"/>
    <w:rsid w:val="001069DA"/>
    <w:rsid w:val="00106A8C"/>
    <w:rsid w:val="00106CBD"/>
    <w:rsid w:val="00106CCB"/>
    <w:rsid w:val="00106D24"/>
    <w:rsid w:val="00106F01"/>
    <w:rsid w:val="00106F63"/>
    <w:rsid w:val="00106FAB"/>
    <w:rsid w:val="0010704B"/>
    <w:rsid w:val="00107074"/>
    <w:rsid w:val="001070B5"/>
    <w:rsid w:val="001070BB"/>
    <w:rsid w:val="001073F3"/>
    <w:rsid w:val="001073FA"/>
    <w:rsid w:val="00107404"/>
    <w:rsid w:val="00107725"/>
    <w:rsid w:val="0010772B"/>
    <w:rsid w:val="00107791"/>
    <w:rsid w:val="001077C0"/>
    <w:rsid w:val="001077D3"/>
    <w:rsid w:val="00107800"/>
    <w:rsid w:val="00107804"/>
    <w:rsid w:val="0010786A"/>
    <w:rsid w:val="001078BA"/>
    <w:rsid w:val="00107962"/>
    <w:rsid w:val="00107A04"/>
    <w:rsid w:val="00107B51"/>
    <w:rsid w:val="00107B7A"/>
    <w:rsid w:val="00107BA7"/>
    <w:rsid w:val="00107C36"/>
    <w:rsid w:val="00107C53"/>
    <w:rsid w:val="00107E85"/>
    <w:rsid w:val="00107FE2"/>
    <w:rsid w:val="00107FEF"/>
    <w:rsid w:val="0011009F"/>
    <w:rsid w:val="00110395"/>
    <w:rsid w:val="001103EB"/>
    <w:rsid w:val="001104E2"/>
    <w:rsid w:val="001104FD"/>
    <w:rsid w:val="00110597"/>
    <w:rsid w:val="00110748"/>
    <w:rsid w:val="0011077B"/>
    <w:rsid w:val="00110868"/>
    <w:rsid w:val="00110919"/>
    <w:rsid w:val="00110B7F"/>
    <w:rsid w:val="00110ECD"/>
    <w:rsid w:val="00110F4C"/>
    <w:rsid w:val="001110E1"/>
    <w:rsid w:val="00111116"/>
    <w:rsid w:val="0011114A"/>
    <w:rsid w:val="0011119C"/>
    <w:rsid w:val="00111325"/>
    <w:rsid w:val="0011138D"/>
    <w:rsid w:val="0011166C"/>
    <w:rsid w:val="001116BD"/>
    <w:rsid w:val="001116EC"/>
    <w:rsid w:val="0011171C"/>
    <w:rsid w:val="001117C5"/>
    <w:rsid w:val="001118F8"/>
    <w:rsid w:val="00111914"/>
    <w:rsid w:val="001119E3"/>
    <w:rsid w:val="00111C17"/>
    <w:rsid w:val="00111C46"/>
    <w:rsid w:val="00111D70"/>
    <w:rsid w:val="00111D88"/>
    <w:rsid w:val="00111E07"/>
    <w:rsid w:val="001120B6"/>
    <w:rsid w:val="001120DC"/>
    <w:rsid w:val="001120E7"/>
    <w:rsid w:val="0011216D"/>
    <w:rsid w:val="001121C5"/>
    <w:rsid w:val="00112237"/>
    <w:rsid w:val="001122C5"/>
    <w:rsid w:val="001122E7"/>
    <w:rsid w:val="001122F9"/>
    <w:rsid w:val="00112343"/>
    <w:rsid w:val="0011254F"/>
    <w:rsid w:val="0011256D"/>
    <w:rsid w:val="001125FC"/>
    <w:rsid w:val="00112653"/>
    <w:rsid w:val="00112861"/>
    <w:rsid w:val="00112A1A"/>
    <w:rsid w:val="00112A28"/>
    <w:rsid w:val="00112BC7"/>
    <w:rsid w:val="00112C79"/>
    <w:rsid w:val="00112D63"/>
    <w:rsid w:val="00112E4E"/>
    <w:rsid w:val="00112E77"/>
    <w:rsid w:val="00112EAE"/>
    <w:rsid w:val="00112EF6"/>
    <w:rsid w:val="00112F05"/>
    <w:rsid w:val="00112F29"/>
    <w:rsid w:val="00112F48"/>
    <w:rsid w:val="00112FA4"/>
    <w:rsid w:val="00112FE4"/>
    <w:rsid w:val="0011309C"/>
    <w:rsid w:val="00113336"/>
    <w:rsid w:val="00113469"/>
    <w:rsid w:val="001134F4"/>
    <w:rsid w:val="00113589"/>
    <w:rsid w:val="0011359C"/>
    <w:rsid w:val="001135B6"/>
    <w:rsid w:val="0011360D"/>
    <w:rsid w:val="0011363B"/>
    <w:rsid w:val="001137E4"/>
    <w:rsid w:val="0011381F"/>
    <w:rsid w:val="00113852"/>
    <w:rsid w:val="00113886"/>
    <w:rsid w:val="00113944"/>
    <w:rsid w:val="00113AE0"/>
    <w:rsid w:val="00113B58"/>
    <w:rsid w:val="00113CCD"/>
    <w:rsid w:val="00113E69"/>
    <w:rsid w:val="00113F39"/>
    <w:rsid w:val="00113FA8"/>
    <w:rsid w:val="00113FD1"/>
    <w:rsid w:val="001140E4"/>
    <w:rsid w:val="00114136"/>
    <w:rsid w:val="00114205"/>
    <w:rsid w:val="00114432"/>
    <w:rsid w:val="001145F0"/>
    <w:rsid w:val="00114848"/>
    <w:rsid w:val="001149A6"/>
    <w:rsid w:val="00114A0A"/>
    <w:rsid w:val="00114BA3"/>
    <w:rsid w:val="00114BF2"/>
    <w:rsid w:val="00114BF3"/>
    <w:rsid w:val="00114C08"/>
    <w:rsid w:val="00114E6B"/>
    <w:rsid w:val="00114EB5"/>
    <w:rsid w:val="00114F86"/>
    <w:rsid w:val="00114FEB"/>
    <w:rsid w:val="0011508D"/>
    <w:rsid w:val="001150A9"/>
    <w:rsid w:val="001151E4"/>
    <w:rsid w:val="0011521E"/>
    <w:rsid w:val="00115251"/>
    <w:rsid w:val="0011525F"/>
    <w:rsid w:val="0011528C"/>
    <w:rsid w:val="00115306"/>
    <w:rsid w:val="00115369"/>
    <w:rsid w:val="00115434"/>
    <w:rsid w:val="00115438"/>
    <w:rsid w:val="001154CD"/>
    <w:rsid w:val="001156FC"/>
    <w:rsid w:val="0011571D"/>
    <w:rsid w:val="0011581F"/>
    <w:rsid w:val="00115902"/>
    <w:rsid w:val="001159D9"/>
    <w:rsid w:val="00115A77"/>
    <w:rsid w:val="00115B1C"/>
    <w:rsid w:val="00115B70"/>
    <w:rsid w:val="00115FED"/>
    <w:rsid w:val="0011603A"/>
    <w:rsid w:val="00116047"/>
    <w:rsid w:val="001162A2"/>
    <w:rsid w:val="001162B6"/>
    <w:rsid w:val="00116373"/>
    <w:rsid w:val="001163C2"/>
    <w:rsid w:val="001164B3"/>
    <w:rsid w:val="00116865"/>
    <w:rsid w:val="001168CE"/>
    <w:rsid w:val="00116931"/>
    <w:rsid w:val="001169B3"/>
    <w:rsid w:val="00116AB6"/>
    <w:rsid w:val="00116B51"/>
    <w:rsid w:val="00116B73"/>
    <w:rsid w:val="00116BDC"/>
    <w:rsid w:val="00116C47"/>
    <w:rsid w:val="00116CEA"/>
    <w:rsid w:val="00116D3C"/>
    <w:rsid w:val="00116DC7"/>
    <w:rsid w:val="00116DD4"/>
    <w:rsid w:val="00117039"/>
    <w:rsid w:val="00117049"/>
    <w:rsid w:val="0011707D"/>
    <w:rsid w:val="001170A6"/>
    <w:rsid w:val="001170CD"/>
    <w:rsid w:val="00117218"/>
    <w:rsid w:val="0011739C"/>
    <w:rsid w:val="0011745C"/>
    <w:rsid w:val="001174E0"/>
    <w:rsid w:val="001174FC"/>
    <w:rsid w:val="001176D2"/>
    <w:rsid w:val="001176D8"/>
    <w:rsid w:val="001178A6"/>
    <w:rsid w:val="001178DF"/>
    <w:rsid w:val="00117B3A"/>
    <w:rsid w:val="00117BEB"/>
    <w:rsid w:val="00117BEE"/>
    <w:rsid w:val="00117C2D"/>
    <w:rsid w:val="00117C32"/>
    <w:rsid w:val="00117DDB"/>
    <w:rsid w:val="00117E9C"/>
    <w:rsid w:val="00117FA7"/>
    <w:rsid w:val="00120054"/>
    <w:rsid w:val="00120062"/>
    <w:rsid w:val="0012007B"/>
    <w:rsid w:val="001201AD"/>
    <w:rsid w:val="001202A6"/>
    <w:rsid w:val="0012043F"/>
    <w:rsid w:val="00120608"/>
    <w:rsid w:val="00120631"/>
    <w:rsid w:val="00120775"/>
    <w:rsid w:val="001207EC"/>
    <w:rsid w:val="001209BD"/>
    <w:rsid w:val="00120B31"/>
    <w:rsid w:val="00120C1A"/>
    <w:rsid w:val="00120CE3"/>
    <w:rsid w:val="00120E6C"/>
    <w:rsid w:val="00120FEE"/>
    <w:rsid w:val="00121019"/>
    <w:rsid w:val="0012113F"/>
    <w:rsid w:val="00121215"/>
    <w:rsid w:val="00121295"/>
    <w:rsid w:val="00121312"/>
    <w:rsid w:val="00121605"/>
    <w:rsid w:val="001218AE"/>
    <w:rsid w:val="00121927"/>
    <w:rsid w:val="001219A7"/>
    <w:rsid w:val="001219E2"/>
    <w:rsid w:val="00121BCE"/>
    <w:rsid w:val="00121C66"/>
    <w:rsid w:val="00121D87"/>
    <w:rsid w:val="0012200C"/>
    <w:rsid w:val="00122021"/>
    <w:rsid w:val="001220CD"/>
    <w:rsid w:val="001221D0"/>
    <w:rsid w:val="001222B9"/>
    <w:rsid w:val="001223D3"/>
    <w:rsid w:val="00122418"/>
    <w:rsid w:val="0012245F"/>
    <w:rsid w:val="00122546"/>
    <w:rsid w:val="00122790"/>
    <w:rsid w:val="001227C5"/>
    <w:rsid w:val="00122A6F"/>
    <w:rsid w:val="00122AE4"/>
    <w:rsid w:val="00122BD9"/>
    <w:rsid w:val="00122BE6"/>
    <w:rsid w:val="00122D3B"/>
    <w:rsid w:val="00122D86"/>
    <w:rsid w:val="00122DA4"/>
    <w:rsid w:val="00122DFA"/>
    <w:rsid w:val="00122F49"/>
    <w:rsid w:val="00123104"/>
    <w:rsid w:val="00123136"/>
    <w:rsid w:val="0012329F"/>
    <w:rsid w:val="001232F4"/>
    <w:rsid w:val="0012348B"/>
    <w:rsid w:val="001235AF"/>
    <w:rsid w:val="0012360C"/>
    <w:rsid w:val="00123635"/>
    <w:rsid w:val="00123648"/>
    <w:rsid w:val="0012364F"/>
    <w:rsid w:val="0012367D"/>
    <w:rsid w:val="00123835"/>
    <w:rsid w:val="00123900"/>
    <w:rsid w:val="001239D6"/>
    <w:rsid w:val="00123A5C"/>
    <w:rsid w:val="00123B4A"/>
    <w:rsid w:val="00123C02"/>
    <w:rsid w:val="00123C4B"/>
    <w:rsid w:val="00123C75"/>
    <w:rsid w:val="00123D2D"/>
    <w:rsid w:val="00123D4F"/>
    <w:rsid w:val="00123EEA"/>
    <w:rsid w:val="001240A1"/>
    <w:rsid w:val="001240C1"/>
    <w:rsid w:val="001240D9"/>
    <w:rsid w:val="0012419A"/>
    <w:rsid w:val="0012421C"/>
    <w:rsid w:val="0012423D"/>
    <w:rsid w:val="0012427D"/>
    <w:rsid w:val="0012428A"/>
    <w:rsid w:val="001242BB"/>
    <w:rsid w:val="001242F1"/>
    <w:rsid w:val="001242FF"/>
    <w:rsid w:val="00124305"/>
    <w:rsid w:val="00124395"/>
    <w:rsid w:val="0012452C"/>
    <w:rsid w:val="00124725"/>
    <w:rsid w:val="001247AB"/>
    <w:rsid w:val="001247C2"/>
    <w:rsid w:val="001247D6"/>
    <w:rsid w:val="001247E4"/>
    <w:rsid w:val="00124AEB"/>
    <w:rsid w:val="00124C40"/>
    <w:rsid w:val="00124CD9"/>
    <w:rsid w:val="00124D91"/>
    <w:rsid w:val="00124DBA"/>
    <w:rsid w:val="00124EBC"/>
    <w:rsid w:val="00124F69"/>
    <w:rsid w:val="00125073"/>
    <w:rsid w:val="001251D1"/>
    <w:rsid w:val="0012521C"/>
    <w:rsid w:val="00125344"/>
    <w:rsid w:val="0012540B"/>
    <w:rsid w:val="00125467"/>
    <w:rsid w:val="001254DD"/>
    <w:rsid w:val="0012561C"/>
    <w:rsid w:val="00125C49"/>
    <w:rsid w:val="00125C7D"/>
    <w:rsid w:val="00125C91"/>
    <w:rsid w:val="00125D2A"/>
    <w:rsid w:val="00125E3D"/>
    <w:rsid w:val="00125E52"/>
    <w:rsid w:val="00125E92"/>
    <w:rsid w:val="00125EF1"/>
    <w:rsid w:val="00125F69"/>
    <w:rsid w:val="00125F97"/>
    <w:rsid w:val="0012604F"/>
    <w:rsid w:val="00126246"/>
    <w:rsid w:val="00126425"/>
    <w:rsid w:val="00126480"/>
    <w:rsid w:val="00126513"/>
    <w:rsid w:val="00126522"/>
    <w:rsid w:val="001266C0"/>
    <w:rsid w:val="001267D8"/>
    <w:rsid w:val="00126824"/>
    <w:rsid w:val="00126A29"/>
    <w:rsid w:val="00126B4A"/>
    <w:rsid w:val="00126BD3"/>
    <w:rsid w:val="00126BDA"/>
    <w:rsid w:val="00126CD9"/>
    <w:rsid w:val="00126F93"/>
    <w:rsid w:val="00127005"/>
    <w:rsid w:val="0012700C"/>
    <w:rsid w:val="00127108"/>
    <w:rsid w:val="001271AA"/>
    <w:rsid w:val="00127240"/>
    <w:rsid w:val="00127281"/>
    <w:rsid w:val="00127333"/>
    <w:rsid w:val="0012733A"/>
    <w:rsid w:val="001273CC"/>
    <w:rsid w:val="001273E3"/>
    <w:rsid w:val="00127514"/>
    <w:rsid w:val="00127969"/>
    <w:rsid w:val="0012798A"/>
    <w:rsid w:val="00127B27"/>
    <w:rsid w:val="00127B82"/>
    <w:rsid w:val="00127BFA"/>
    <w:rsid w:val="00127D61"/>
    <w:rsid w:val="00127DF3"/>
    <w:rsid w:val="00127F92"/>
    <w:rsid w:val="00127FE0"/>
    <w:rsid w:val="0013020A"/>
    <w:rsid w:val="00130309"/>
    <w:rsid w:val="001305AE"/>
    <w:rsid w:val="001306F0"/>
    <w:rsid w:val="00130717"/>
    <w:rsid w:val="001307DA"/>
    <w:rsid w:val="0013085E"/>
    <w:rsid w:val="001308DA"/>
    <w:rsid w:val="001309A0"/>
    <w:rsid w:val="001309EA"/>
    <w:rsid w:val="00130ABE"/>
    <w:rsid w:val="00130AD3"/>
    <w:rsid w:val="00130B56"/>
    <w:rsid w:val="00130B9A"/>
    <w:rsid w:val="00130CF6"/>
    <w:rsid w:val="00130D23"/>
    <w:rsid w:val="00130DE8"/>
    <w:rsid w:val="00130E78"/>
    <w:rsid w:val="00130E96"/>
    <w:rsid w:val="00130F54"/>
    <w:rsid w:val="00131074"/>
    <w:rsid w:val="0013107C"/>
    <w:rsid w:val="001310B0"/>
    <w:rsid w:val="001312FB"/>
    <w:rsid w:val="00131398"/>
    <w:rsid w:val="0013145A"/>
    <w:rsid w:val="00131603"/>
    <w:rsid w:val="00131832"/>
    <w:rsid w:val="001318F7"/>
    <w:rsid w:val="001319AE"/>
    <w:rsid w:val="00131A8D"/>
    <w:rsid w:val="00131C4B"/>
    <w:rsid w:val="00131C5C"/>
    <w:rsid w:val="00131D05"/>
    <w:rsid w:val="00131D49"/>
    <w:rsid w:val="00131D7A"/>
    <w:rsid w:val="00131DC3"/>
    <w:rsid w:val="00131E26"/>
    <w:rsid w:val="00131E97"/>
    <w:rsid w:val="00131EED"/>
    <w:rsid w:val="001320A2"/>
    <w:rsid w:val="00132104"/>
    <w:rsid w:val="00132533"/>
    <w:rsid w:val="0013262E"/>
    <w:rsid w:val="0013279A"/>
    <w:rsid w:val="0013285F"/>
    <w:rsid w:val="001328D4"/>
    <w:rsid w:val="00132A54"/>
    <w:rsid w:val="00132AD5"/>
    <w:rsid w:val="00132B26"/>
    <w:rsid w:val="00132B7C"/>
    <w:rsid w:val="00132C33"/>
    <w:rsid w:val="00132CAD"/>
    <w:rsid w:val="00132D5B"/>
    <w:rsid w:val="00133077"/>
    <w:rsid w:val="00133099"/>
    <w:rsid w:val="001332B8"/>
    <w:rsid w:val="0013331D"/>
    <w:rsid w:val="00133508"/>
    <w:rsid w:val="0013352E"/>
    <w:rsid w:val="0013356D"/>
    <w:rsid w:val="00133683"/>
    <w:rsid w:val="001336D0"/>
    <w:rsid w:val="001336F9"/>
    <w:rsid w:val="0013377D"/>
    <w:rsid w:val="001338C5"/>
    <w:rsid w:val="00133A8A"/>
    <w:rsid w:val="00133AA2"/>
    <w:rsid w:val="00133AB1"/>
    <w:rsid w:val="00133C99"/>
    <w:rsid w:val="00133CA0"/>
    <w:rsid w:val="00133D5E"/>
    <w:rsid w:val="00133D6E"/>
    <w:rsid w:val="00133D84"/>
    <w:rsid w:val="00133DDD"/>
    <w:rsid w:val="00133E5E"/>
    <w:rsid w:val="00134118"/>
    <w:rsid w:val="00134160"/>
    <w:rsid w:val="001341BE"/>
    <w:rsid w:val="0013424F"/>
    <w:rsid w:val="001343A0"/>
    <w:rsid w:val="0013449B"/>
    <w:rsid w:val="001344EA"/>
    <w:rsid w:val="0013455E"/>
    <w:rsid w:val="00134575"/>
    <w:rsid w:val="001345BB"/>
    <w:rsid w:val="0013460A"/>
    <w:rsid w:val="00134717"/>
    <w:rsid w:val="00134852"/>
    <w:rsid w:val="001349CB"/>
    <w:rsid w:val="00134A40"/>
    <w:rsid w:val="00134AB2"/>
    <w:rsid w:val="00134C06"/>
    <w:rsid w:val="00134D8F"/>
    <w:rsid w:val="00134DE5"/>
    <w:rsid w:val="00134E63"/>
    <w:rsid w:val="001350FC"/>
    <w:rsid w:val="00135105"/>
    <w:rsid w:val="001353C0"/>
    <w:rsid w:val="0013572C"/>
    <w:rsid w:val="00135911"/>
    <w:rsid w:val="001359DD"/>
    <w:rsid w:val="00135ADE"/>
    <w:rsid w:val="00135B85"/>
    <w:rsid w:val="00135C43"/>
    <w:rsid w:val="00135C91"/>
    <w:rsid w:val="00135D18"/>
    <w:rsid w:val="00135D1F"/>
    <w:rsid w:val="00135DAA"/>
    <w:rsid w:val="00135E4C"/>
    <w:rsid w:val="00135E70"/>
    <w:rsid w:val="00136082"/>
    <w:rsid w:val="00136185"/>
    <w:rsid w:val="001361BC"/>
    <w:rsid w:val="00136262"/>
    <w:rsid w:val="00136279"/>
    <w:rsid w:val="00136396"/>
    <w:rsid w:val="0013639A"/>
    <w:rsid w:val="00136498"/>
    <w:rsid w:val="001365B4"/>
    <w:rsid w:val="001365EE"/>
    <w:rsid w:val="0013667F"/>
    <w:rsid w:val="0013672C"/>
    <w:rsid w:val="00136756"/>
    <w:rsid w:val="001367B8"/>
    <w:rsid w:val="001367BF"/>
    <w:rsid w:val="00136ADE"/>
    <w:rsid w:val="00136B7F"/>
    <w:rsid w:val="00136B8F"/>
    <w:rsid w:val="00136BB0"/>
    <w:rsid w:val="00136C06"/>
    <w:rsid w:val="00136C22"/>
    <w:rsid w:val="00136DF9"/>
    <w:rsid w:val="00137040"/>
    <w:rsid w:val="001370F7"/>
    <w:rsid w:val="0013711E"/>
    <w:rsid w:val="0013713A"/>
    <w:rsid w:val="001373E1"/>
    <w:rsid w:val="001373F5"/>
    <w:rsid w:val="00137421"/>
    <w:rsid w:val="0013756F"/>
    <w:rsid w:val="001375B6"/>
    <w:rsid w:val="001376BE"/>
    <w:rsid w:val="001376C0"/>
    <w:rsid w:val="001376C9"/>
    <w:rsid w:val="00137706"/>
    <w:rsid w:val="001377B6"/>
    <w:rsid w:val="0013793A"/>
    <w:rsid w:val="0013793B"/>
    <w:rsid w:val="0013795C"/>
    <w:rsid w:val="00137B6C"/>
    <w:rsid w:val="00137BC3"/>
    <w:rsid w:val="00137BFA"/>
    <w:rsid w:val="00137CB1"/>
    <w:rsid w:val="00137D58"/>
    <w:rsid w:val="00137D9B"/>
    <w:rsid w:val="00137DB3"/>
    <w:rsid w:val="00137E2B"/>
    <w:rsid w:val="00140278"/>
    <w:rsid w:val="001402EF"/>
    <w:rsid w:val="00140300"/>
    <w:rsid w:val="0014038A"/>
    <w:rsid w:val="001404A3"/>
    <w:rsid w:val="001404B0"/>
    <w:rsid w:val="00140559"/>
    <w:rsid w:val="0014066C"/>
    <w:rsid w:val="001409C0"/>
    <w:rsid w:val="001409C3"/>
    <w:rsid w:val="001409FB"/>
    <w:rsid w:val="00140BD0"/>
    <w:rsid w:val="00140BD9"/>
    <w:rsid w:val="00140BE0"/>
    <w:rsid w:val="00140D11"/>
    <w:rsid w:val="00140E34"/>
    <w:rsid w:val="00140FF9"/>
    <w:rsid w:val="00140FFC"/>
    <w:rsid w:val="001410A6"/>
    <w:rsid w:val="001410E6"/>
    <w:rsid w:val="001411B6"/>
    <w:rsid w:val="0014128B"/>
    <w:rsid w:val="0014138F"/>
    <w:rsid w:val="001415B6"/>
    <w:rsid w:val="001416E1"/>
    <w:rsid w:val="00141755"/>
    <w:rsid w:val="0014188F"/>
    <w:rsid w:val="00141BF4"/>
    <w:rsid w:val="00141C0B"/>
    <w:rsid w:val="00141C8B"/>
    <w:rsid w:val="00141CCD"/>
    <w:rsid w:val="00141D3E"/>
    <w:rsid w:val="00141D9A"/>
    <w:rsid w:val="00141DDA"/>
    <w:rsid w:val="00141F68"/>
    <w:rsid w:val="001421C2"/>
    <w:rsid w:val="001421F5"/>
    <w:rsid w:val="00142236"/>
    <w:rsid w:val="001422BD"/>
    <w:rsid w:val="001422C7"/>
    <w:rsid w:val="00142350"/>
    <w:rsid w:val="00142394"/>
    <w:rsid w:val="001423A4"/>
    <w:rsid w:val="00142418"/>
    <w:rsid w:val="0014241F"/>
    <w:rsid w:val="001424A3"/>
    <w:rsid w:val="001424AE"/>
    <w:rsid w:val="001424C1"/>
    <w:rsid w:val="001424D2"/>
    <w:rsid w:val="001425AF"/>
    <w:rsid w:val="0014265D"/>
    <w:rsid w:val="00142665"/>
    <w:rsid w:val="001426B9"/>
    <w:rsid w:val="0014289F"/>
    <w:rsid w:val="00142A70"/>
    <w:rsid w:val="00142C22"/>
    <w:rsid w:val="00142C96"/>
    <w:rsid w:val="00142CCA"/>
    <w:rsid w:val="00142E24"/>
    <w:rsid w:val="00142E26"/>
    <w:rsid w:val="00142E46"/>
    <w:rsid w:val="00142EB8"/>
    <w:rsid w:val="00142F8D"/>
    <w:rsid w:val="0014324B"/>
    <w:rsid w:val="00143355"/>
    <w:rsid w:val="001434E0"/>
    <w:rsid w:val="001435C3"/>
    <w:rsid w:val="0014367E"/>
    <w:rsid w:val="001436EA"/>
    <w:rsid w:val="001436F1"/>
    <w:rsid w:val="001439DF"/>
    <w:rsid w:val="00143AF4"/>
    <w:rsid w:val="00143B4F"/>
    <w:rsid w:val="00143B79"/>
    <w:rsid w:val="00143B8C"/>
    <w:rsid w:val="00143C23"/>
    <w:rsid w:val="00143C7E"/>
    <w:rsid w:val="00143F7D"/>
    <w:rsid w:val="001440DE"/>
    <w:rsid w:val="001441FB"/>
    <w:rsid w:val="00144458"/>
    <w:rsid w:val="001444C1"/>
    <w:rsid w:val="001444D1"/>
    <w:rsid w:val="0014455C"/>
    <w:rsid w:val="00144761"/>
    <w:rsid w:val="00144841"/>
    <w:rsid w:val="00144AF4"/>
    <w:rsid w:val="00144DCB"/>
    <w:rsid w:val="00144DFE"/>
    <w:rsid w:val="00144F22"/>
    <w:rsid w:val="00144F4C"/>
    <w:rsid w:val="00144F91"/>
    <w:rsid w:val="00145001"/>
    <w:rsid w:val="00145080"/>
    <w:rsid w:val="001450E9"/>
    <w:rsid w:val="00145155"/>
    <w:rsid w:val="00145181"/>
    <w:rsid w:val="0014520D"/>
    <w:rsid w:val="0014535B"/>
    <w:rsid w:val="00145519"/>
    <w:rsid w:val="0014553B"/>
    <w:rsid w:val="001455A3"/>
    <w:rsid w:val="0014569F"/>
    <w:rsid w:val="001456FD"/>
    <w:rsid w:val="00145745"/>
    <w:rsid w:val="00145847"/>
    <w:rsid w:val="001458E0"/>
    <w:rsid w:val="00145974"/>
    <w:rsid w:val="001459B6"/>
    <w:rsid w:val="001459DB"/>
    <w:rsid w:val="001459E0"/>
    <w:rsid w:val="00145A31"/>
    <w:rsid w:val="00145B96"/>
    <w:rsid w:val="00145BBB"/>
    <w:rsid w:val="00145CAF"/>
    <w:rsid w:val="00145D66"/>
    <w:rsid w:val="00145E91"/>
    <w:rsid w:val="00145EF0"/>
    <w:rsid w:val="00145F1C"/>
    <w:rsid w:val="00146002"/>
    <w:rsid w:val="00146104"/>
    <w:rsid w:val="001461A1"/>
    <w:rsid w:val="001461B5"/>
    <w:rsid w:val="001461D8"/>
    <w:rsid w:val="0014627F"/>
    <w:rsid w:val="001462A3"/>
    <w:rsid w:val="001462DB"/>
    <w:rsid w:val="00146382"/>
    <w:rsid w:val="00146460"/>
    <w:rsid w:val="00146577"/>
    <w:rsid w:val="00146592"/>
    <w:rsid w:val="001466AB"/>
    <w:rsid w:val="001467B3"/>
    <w:rsid w:val="001467F1"/>
    <w:rsid w:val="0014683E"/>
    <w:rsid w:val="001468F7"/>
    <w:rsid w:val="0014691F"/>
    <w:rsid w:val="00146B5A"/>
    <w:rsid w:val="00146E2B"/>
    <w:rsid w:val="00146E40"/>
    <w:rsid w:val="00146E44"/>
    <w:rsid w:val="00146E4B"/>
    <w:rsid w:val="00146E97"/>
    <w:rsid w:val="00146F53"/>
    <w:rsid w:val="00146F55"/>
    <w:rsid w:val="00146FB3"/>
    <w:rsid w:val="00146FBA"/>
    <w:rsid w:val="00147015"/>
    <w:rsid w:val="0014702E"/>
    <w:rsid w:val="00147093"/>
    <w:rsid w:val="001471B8"/>
    <w:rsid w:val="0014720F"/>
    <w:rsid w:val="00147483"/>
    <w:rsid w:val="00147601"/>
    <w:rsid w:val="0014764A"/>
    <w:rsid w:val="001476A6"/>
    <w:rsid w:val="001477FF"/>
    <w:rsid w:val="00147882"/>
    <w:rsid w:val="0014791A"/>
    <w:rsid w:val="001479BB"/>
    <w:rsid w:val="00147CC3"/>
    <w:rsid w:val="00147D77"/>
    <w:rsid w:val="00147D87"/>
    <w:rsid w:val="00147F6C"/>
    <w:rsid w:val="00150006"/>
    <w:rsid w:val="0015025D"/>
    <w:rsid w:val="001502E3"/>
    <w:rsid w:val="0015041E"/>
    <w:rsid w:val="001504AC"/>
    <w:rsid w:val="0015052D"/>
    <w:rsid w:val="001505EA"/>
    <w:rsid w:val="001506BE"/>
    <w:rsid w:val="00150867"/>
    <w:rsid w:val="001508BF"/>
    <w:rsid w:val="00150B4E"/>
    <w:rsid w:val="00150B86"/>
    <w:rsid w:val="00150C34"/>
    <w:rsid w:val="00150CD6"/>
    <w:rsid w:val="00150D21"/>
    <w:rsid w:val="00150F3E"/>
    <w:rsid w:val="001511C7"/>
    <w:rsid w:val="0015121C"/>
    <w:rsid w:val="00151328"/>
    <w:rsid w:val="00151569"/>
    <w:rsid w:val="001515FD"/>
    <w:rsid w:val="00151699"/>
    <w:rsid w:val="001516DB"/>
    <w:rsid w:val="0015174E"/>
    <w:rsid w:val="00151778"/>
    <w:rsid w:val="00151824"/>
    <w:rsid w:val="00151AB1"/>
    <w:rsid w:val="00151C8C"/>
    <w:rsid w:val="00151CCC"/>
    <w:rsid w:val="00151D6D"/>
    <w:rsid w:val="00151D6E"/>
    <w:rsid w:val="00151DC8"/>
    <w:rsid w:val="00151E73"/>
    <w:rsid w:val="0015212D"/>
    <w:rsid w:val="0015212E"/>
    <w:rsid w:val="00152165"/>
    <w:rsid w:val="001521FC"/>
    <w:rsid w:val="001522D0"/>
    <w:rsid w:val="001522E7"/>
    <w:rsid w:val="00152469"/>
    <w:rsid w:val="001524E1"/>
    <w:rsid w:val="001524FC"/>
    <w:rsid w:val="001525C3"/>
    <w:rsid w:val="00152703"/>
    <w:rsid w:val="00152898"/>
    <w:rsid w:val="00152A45"/>
    <w:rsid w:val="00152C19"/>
    <w:rsid w:val="00152C9E"/>
    <w:rsid w:val="00152D20"/>
    <w:rsid w:val="00152DC3"/>
    <w:rsid w:val="00152EB9"/>
    <w:rsid w:val="00153052"/>
    <w:rsid w:val="00153200"/>
    <w:rsid w:val="00153209"/>
    <w:rsid w:val="0015324F"/>
    <w:rsid w:val="00153313"/>
    <w:rsid w:val="001533B0"/>
    <w:rsid w:val="0015342D"/>
    <w:rsid w:val="001534A0"/>
    <w:rsid w:val="001534F3"/>
    <w:rsid w:val="001535DE"/>
    <w:rsid w:val="001535EE"/>
    <w:rsid w:val="00153847"/>
    <w:rsid w:val="001538FD"/>
    <w:rsid w:val="00153996"/>
    <w:rsid w:val="00153A61"/>
    <w:rsid w:val="00153A97"/>
    <w:rsid w:val="00153AB9"/>
    <w:rsid w:val="00153B3D"/>
    <w:rsid w:val="00153B79"/>
    <w:rsid w:val="00153C5A"/>
    <w:rsid w:val="00153CFE"/>
    <w:rsid w:val="00153DC2"/>
    <w:rsid w:val="00153DCB"/>
    <w:rsid w:val="00153E00"/>
    <w:rsid w:val="00153EDE"/>
    <w:rsid w:val="00154108"/>
    <w:rsid w:val="0015413E"/>
    <w:rsid w:val="00154200"/>
    <w:rsid w:val="00154231"/>
    <w:rsid w:val="00154261"/>
    <w:rsid w:val="00154344"/>
    <w:rsid w:val="0015457E"/>
    <w:rsid w:val="00154588"/>
    <w:rsid w:val="001545B5"/>
    <w:rsid w:val="00154707"/>
    <w:rsid w:val="001547B8"/>
    <w:rsid w:val="001547FA"/>
    <w:rsid w:val="00154847"/>
    <w:rsid w:val="00154A5C"/>
    <w:rsid w:val="00154AF5"/>
    <w:rsid w:val="00154B39"/>
    <w:rsid w:val="00154B3C"/>
    <w:rsid w:val="00154B47"/>
    <w:rsid w:val="00154D0C"/>
    <w:rsid w:val="00154D34"/>
    <w:rsid w:val="00154D7B"/>
    <w:rsid w:val="00154EBE"/>
    <w:rsid w:val="00154FF9"/>
    <w:rsid w:val="0015505E"/>
    <w:rsid w:val="001550BE"/>
    <w:rsid w:val="00155153"/>
    <w:rsid w:val="00155307"/>
    <w:rsid w:val="0015548D"/>
    <w:rsid w:val="001555DE"/>
    <w:rsid w:val="001556EE"/>
    <w:rsid w:val="00155715"/>
    <w:rsid w:val="001557C6"/>
    <w:rsid w:val="001558ED"/>
    <w:rsid w:val="00155AA2"/>
    <w:rsid w:val="00155B62"/>
    <w:rsid w:val="00155C1A"/>
    <w:rsid w:val="00155CAD"/>
    <w:rsid w:val="00155FEC"/>
    <w:rsid w:val="00156129"/>
    <w:rsid w:val="00156188"/>
    <w:rsid w:val="0015628C"/>
    <w:rsid w:val="00156295"/>
    <w:rsid w:val="00156305"/>
    <w:rsid w:val="00156337"/>
    <w:rsid w:val="00156364"/>
    <w:rsid w:val="0015657F"/>
    <w:rsid w:val="00156647"/>
    <w:rsid w:val="00156678"/>
    <w:rsid w:val="001567FE"/>
    <w:rsid w:val="0015686A"/>
    <w:rsid w:val="00156A29"/>
    <w:rsid w:val="00156B93"/>
    <w:rsid w:val="00156DB9"/>
    <w:rsid w:val="00156DF1"/>
    <w:rsid w:val="00156E06"/>
    <w:rsid w:val="00156F07"/>
    <w:rsid w:val="00157038"/>
    <w:rsid w:val="0015706A"/>
    <w:rsid w:val="00157316"/>
    <w:rsid w:val="001573B1"/>
    <w:rsid w:val="001573F4"/>
    <w:rsid w:val="00157482"/>
    <w:rsid w:val="001574C0"/>
    <w:rsid w:val="00157581"/>
    <w:rsid w:val="001575C6"/>
    <w:rsid w:val="00157606"/>
    <w:rsid w:val="0015762E"/>
    <w:rsid w:val="001577AA"/>
    <w:rsid w:val="001578EB"/>
    <w:rsid w:val="00157ABB"/>
    <w:rsid w:val="00157BCF"/>
    <w:rsid w:val="00157D2C"/>
    <w:rsid w:val="00157D6D"/>
    <w:rsid w:val="00157DD0"/>
    <w:rsid w:val="00157E76"/>
    <w:rsid w:val="00160065"/>
    <w:rsid w:val="001601C4"/>
    <w:rsid w:val="00160282"/>
    <w:rsid w:val="00160303"/>
    <w:rsid w:val="001605C9"/>
    <w:rsid w:val="00160615"/>
    <w:rsid w:val="001606CF"/>
    <w:rsid w:val="0016071B"/>
    <w:rsid w:val="001607EB"/>
    <w:rsid w:val="00160878"/>
    <w:rsid w:val="0016087B"/>
    <w:rsid w:val="0016092C"/>
    <w:rsid w:val="001609C8"/>
    <w:rsid w:val="00160BA6"/>
    <w:rsid w:val="00160BBC"/>
    <w:rsid w:val="00160F1F"/>
    <w:rsid w:val="00160F70"/>
    <w:rsid w:val="00161056"/>
    <w:rsid w:val="001611C5"/>
    <w:rsid w:val="0016128D"/>
    <w:rsid w:val="001613E6"/>
    <w:rsid w:val="0016148F"/>
    <w:rsid w:val="001614B7"/>
    <w:rsid w:val="00161504"/>
    <w:rsid w:val="00161858"/>
    <w:rsid w:val="00161A91"/>
    <w:rsid w:val="00161B4C"/>
    <w:rsid w:val="00161C1B"/>
    <w:rsid w:val="00161CB4"/>
    <w:rsid w:val="00161D20"/>
    <w:rsid w:val="00161DAE"/>
    <w:rsid w:val="00161EAF"/>
    <w:rsid w:val="00161EB8"/>
    <w:rsid w:val="00161ED7"/>
    <w:rsid w:val="0016211F"/>
    <w:rsid w:val="00162244"/>
    <w:rsid w:val="001622D3"/>
    <w:rsid w:val="001623BA"/>
    <w:rsid w:val="00162537"/>
    <w:rsid w:val="00162544"/>
    <w:rsid w:val="001625A0"/>
    <w:rsid w:val="00162612"/>
    <w:rsid w:val="00162702"/>
    <w:rsid w:val="001627DC"/>
    <w:rsid w:val="0016292C"/>
    <w:rsid w:val="0016299D"/>
    <w:rsid w:val="001629CF"/>
    <w:rsid w:val="00162B3C"/>
    <w:rsid w:val="00162B3F"/>
    <w:rsid w:val="00162BA1"/>
    <w:rsid w:val="00162D60"/>
    <w:rsid w:val="00162F97"/>
    <w:rsid w:val="00163032"/>
    <w:rsid w:val="0016313F"/>
    <w:rsid w:val="0016315B"/>
    <w:rsid w:val="0016316E"/>
    <w:rsid w:val="0016324D"/>
    <w:rsid w:val="0016327C"/>
    <w:rsid w:val="0016338E"/>
    <w:rsid w:val="001633FD"/>
    <w:rsid w:val="00163566"/>
    <w:rsid w:val="001635DB"/>
    <w:rsid w:val="0016361C"/>
    <w:rsid w:val="00163632"/>
    <w:rsid w:val="001637CD"/>
    <w:rsid w:val="001638EA"/>
    <w:rsid w:val="00163966"/>
    <w:rsid w:val="00163A27"/>
    <w:rsid w:val="00163A65"/>
    <w:rsid w:val="00163AEA"/>
    <w:rsid w:val="00163B2C"/>
    <w:rsid w:val="00163BBB"/>
    <w:rsid w:val="00163D49"/>
    <w:rsid w:val="00163E60"/>
    <w:rsid w:val="00163ED3"/>
    <w:rsid w:val="00163F86"/>
    <w:rsid w:val="001640AA"/>
    <w:rsid w:val="0016415C"/>
    <w:rsid w:val="001642FC"/>
    <w:rsid w:val="0016445C"/>
    <w:rsid w:val="001644EC"/>
    <w:rsid w:val="0016458D"/>
    <w:rsid w:val="00164599"/>
    <w:rsid w:val="0016466B"/>
    <w:rsid w:val="00164783"/>
    <w:rsid w:val="00164797"/>
    <w:rsid w:val="0016481B"/>
    <w:rsid w:val="001648AE"/>
    <w:rsid w:val="0016492E"/>
    <w:rsid w:val="00164A0C"/>
    <w:rsid w:val="00164B5C"/>
    <w:rsid w:val="00164BF1"/>
    <w:rsid w:val="00164C5B"/>
    <w:rsid w:val="00164D18"/>
    <w:rsid w:val="00164D29"/>
    <w:rsid w:val="00164D2D"/>
    <w:rsid w:val="00165011"/>
    <w:rsid w:val="001650F8"/>
    <w:rsid w:val="001651E3"/>
    <w:rsid w:val="0016520B"/>
    <w:rsid w:val="001652E6"/>
    <w:rsid w:val="00165348"/>
    <w:rsid w:val="00165398"/>
    <w:rsid w:val="0016569B"/>
    <w:rsid w:val="001656AD"/>
    <w:rsid w:val="0016576F"/>
    <w:rsid w:val="001659AB"/>
    <w:rsid w:val="00165C2A"/>
    <w:rsid w:val="00165CB1"/>
    <w:rsid w:val="00165D14"/>
    <w:rsid w:val="00165DBD"/>
    <w:rsid w:val="00165EE8"/>
    <w:rsid w:val="00165F70"/>
    <w:rsid w:val="00165FEA"/>
    <w:rsid w:val="001660ED"/>
    <w:rsid w:val="00166143"/>
    <w:rsid w:val="00166612"/>
    <w:rsid w:val="0016663A"/>
    <w:rsid w:val="001666CE"/>
    <w:rsid w:val="001667E1"/>
    <w:rsid w:val="001667FF"/>
    <w:rsid w:val="00166942"/>
    <w:rsid w:val="00166A00"/>
    <w:rsid w:val="00166A22"/>
    <w:rsid w:val="00166AB5"/>
    <w:rsid w:val="00166BBF"/>
    <w:rsid w:val="00166BC4"/>
    <w:rsid w:val="00166CB4"/>
    <w:rsid w:val="00166D55"/>
    <w:rsid w:val="00166F7F"/>
    <w:rsid w:val="00167047"/>
    <w:rsid w:val="0016726B"/>
    <w:rsid w:val="001672AF"/>
    <w:rsid w:val="0016733F"/>
    <w:rsid w:val="00167428"/>
    <w:rsid w:val="001674DB"/>
    <w:rsid w:val="0016752D"/>
    <w:rsid w:val="001676D0"/>
    <w:rsid w:val="001679FB"/>
    <w:rsid w:val="00167C5F"/>
    <w:rsid w:val="00167CAA"/>
    <w:rsid w:val="00167CAC"/>
    <w:rsid w:val="00167CBF"/>
    <w:rsid w:val="00167D3D"/>
    <w:rsid w:val="00167E3C"/>
    <w:rsid w:val="00167E5A"/>
    <w:rsid w:val="0017000B"/>
    <w:rsid w:val="00170269"/>
    <w:rsid w:val="00170445"/>
    <w:rsid w:val="001705FA"/>
    <w:rsid w:val="00170790"/>
    <w:rsid w:val="0017089D"/>
    <w:rsid w:val="001708E4"/>
    <w:rsid w:val="00170968"/>
    <w:rsid w:val="00170A0A"/>
    <w:rsid w:val="00170A1A"/>
    <w:rsid w:val="00170CD8"/>
    <w:rsid w:val="00170D27"/>
    <w:rsid w:val="00170D2D"/>
    <w:rsid w:val="00170ECA"/>
    <w:rsid w:val="00170FCD"/>
    <w:rsid w:val="0017106F"/>
    <w:rsid w:val="001710CA"/>
    <w:rsid w:val="001710D9"/>
    <w:rsid w:val="00171175"/>
    <w:rsid w:val="001711E4"/>
    <w:rsid w:val="0017122E"/>
    <w:rsid w:val="001712F7"/>
    <w:rsid w:val="001713B6"/>
    <w:rsid w:val="001714D7"/>
    <w:rsid w:val="001714F8"/>
    <w:rsid w:val="001716E1"/>
    <w:rsid w:val="0017170A"/>
    <w:rsid w:val="00171828"/>
    <w:rsid w:val="0017199F"/>
    <w:rsid w:val="001719DD"/>
    <w:rsid w:val="00171A67"/>
    <w:rsid w:val="00171AC8"/>
    <w:rsid w:val="00171B50"/>
    <w:rsid w:val="00171C4B"/>
    <w:rsid w:val="00171D3C"/>
    <w:rsid w:val="00171D55"/>
    <w:rsid w:val="00171FE0"/>
    <w:rsid w:val="00172114"/>
    <w:rsid w:val="001721F9"/>
    <w:rsid w:val="0017223D"/>
    <w:rsid w:val="001724AB"/>
    <w:rsid w:val="0017253C"/>
    <w:rsid w:val="00172680"/>
    <w:rsid w:val="0017283D"/>
    <w:rsid w:val="00172869"/>
    <w:rsid w:val="00172884"/>
    <w:rsid w:val="001728F5"/>
    <w:rsid w:val="0017298F"/>
    <w:rsid w:val="00172A82"/>
    <w:rsid w:val="00172B33"/>
    <w:rsid w:val="00172C87"/>
    <w:rsid w:val="00172C9D"/>
    <w:rsid w:val="00172D50"/>
    <w:rsid w:val="0017317E"/>
    <w:rsid w:val="0017318B"/>
    <w:rsid w:val="001732B7"/>
    <w:rsid w:val="001733CC"/>
    <w:rsid w:val="0017347E"/>
    <w:rsid w:val="001734CF"/>
    <w:rsid w:val="001734D3"/>
    <w:rsid w:val="0017355D"/>
    <w:rsid w:val="0017366E"/>
    <w:rsid w:val="00173681"/>
    <w:rsid w:val="001737C5"/>
    <w:rsid w:val="001737EB"/>
    <w:rsid w:val="0017398A"/>
    <w:rsid w:val="00173A15"/>
    <w:rsid w:val="00173A1D"/>
    <w:rsid w:val="00173A2B"/>
    <w:rsid w:val="00173A3C"/>
    <w:rsid w:val="00173ABD"/>
    <w:rsid w:val="00173B90"/>
    <w:rsid w:val="00173BCC"/>
    <w:rsid w:val="00173D91"/>
    <w:rsid w:val="0017408D"/>
    <w:rsid w:val="0017416E"/>
    <w:rsid w:val="00174182"/>
    <w:rsid w:val="0017418A"/>
    <w:rsid w:val="00174245"/>
    <w:rsid w:val="001742E1"/>
    <w:rsid w:val="001742E2"/>
    <w:rsid w:val="001742F4"/>
    <w:rsid w:val="001743B5"/>
    <w:rsid w:val="00174594"/>
    <w:rsid w:val="00174625"/>
    <w:rsid w:val="001746A8"/>
    <w:rsid w:val="00174853"/>
    <w:rsid w:val="001748A9"/>
    <w:rsid w:val="0017493A"/>
    <w:rsid w:val="00174B05"/>
    <w:rsid w:val="00174C5A"/>
    <w:rsid w:val="00174CAC"/>
    <w:rsid w:val="00174D28"/>
    <w:rsid w:val="00174E8D"/>
    <w:rsid w:val="00174E90"/>
    <w:rsid w:val="00174EA6"/>
    <w:rsid w:val="001750EF"/>
    <w:rsid w:val="00175161"/>
    <w:rsid w:val="0017517F"/>
    <w:rsid w:val="00175645"/>
    <w:rsid w:val="0017586B"/>
    <w:rsid w:val="00175B9A"/>
    <w:rsid w:val="00175BDF"/>
    <w:rsid w:val="00175C5D"/>
    <w:rsid w:val="00175C83"/>
    <w:rsid w:val="00175DA8"/>
    <w:rsid w:val="00175F30"/>
    <w:rsid w:val="00176142"/>
    <w:rsid w:val="001761E8"/>
    <w:rsid w:val="0017633E"/>
    <w:rsid w:val="00176596"/>
    <w:rsid w:val="00176690"/>
    <w:rsid w:val="0017669B"/>
    <w:rsid w:val="00176735"/>
    <w:rsid w:val="0017676D"/>
    <w:rsid w:val="00176950"/>
    <w:rsid w:val="0017696F"/>
    <w:rsid w:val="001769AA"/>
    <w:rsid w:val="001769CE"/>
    <w:rsid w:val="00176BC6"/>
    <w:rsid w:val="00176C02"/>
    <w:rsid w:val="00176CB6"/>
    <w:rsid w:val="00176EDE"/>
    <w:rsid w:val="00176F96"/>
    <w:rsid w:val="0017735A"/>
    <w:rsid w:val="001773FF"/>
    <w:rsid w:val="0017752B"/>
    <w:rsid w:val="0017755C"/>
    <w:rsid w:val="001775B4"/>
    <w:rsid w:val="001775ED"/>
    <w:rsid w:val="001777A1"/>
    <w:rsid w:val="001778CF"/>
    <w:rsid w:val="00177905"/>
    <w:rsid w:val="00177A85"/>
    <w:rsid w:val="00177AD5"/>
    <w:rsid w:val="00177C12"/>
    <w:rsid w:val="00177D52"/>
    <w:rsid w:val="00177E91"/>
    <w:rsid w:val="00177F0B"/>
    <w:rsid w:val="00177F1C"/>
    <w:rsid w:val="00177FBD"/>
    <w:rsid w:val="00180026"/>
    <w:rsid w:val="00180147"/>
    <w:rsid w:val="001801C7"/>
    <w:rsid w:val="001801DA"/>
    <w:rsid w:val="00180257"/>
    <w:rsid w:val="00180550"/>
    <w:rsid w:val="001805A8"/>
    <w:rsid w:val="001805E2"/>
    <w:rsid w:val="0018069B"/>
    <w:rsid w:val="001806A8"/>
    <w:rsid w:val="00180726"/>
    <w:rsid w:val="001807E7"/>
    <w:rsid w:val="00180847"/>
    <w:rsid w:val="00180927"/>
    <w:rsid w:val="001809F1"/>
    <w:rsid w:val="00180B0E"/>
    <w:rsid w:val="00180C00"/>
    <w:rsid w:val="00180C08"/>
    <w:rsid w:val="00180DCF"/>
    <w:rsid w:val="00180E41"/>
    <w:rsid w:val="00181034"/>
    <w:rsid w:val="0018108F"/>
    <w:rsid w:val="001811C5"/>
    <w:rsid w:val="001812B4"/>
    <w:rsid w:val="001812CE"/>
    <w:rsid w:val="00181575"/>
    <w:rsid w:val="001815BA"/>
    <w:rsid w:val="0018168D"/>
    <w:rsid w:val="00181701"/>
    <w:rsid w:val="001817D7"/>
    <w:rsid w:val="0018189C"/>
    <w:rsid w:val="001819F5"/>
    <w:rsid w:val="00181BC4"/>
    <w:rsid w:val="00181C92"/>
    <w:rsid w:val="00181D83"/>
    <w:rsid w:val="00181EAD"/>
    <w:rsid w:val="00181EF7"/>
    <w:rsid w:val="00181FE7"/>
    <w:rsid w:val="0018206D"/>
    <w:rsid w:val="001820E6"/>
    <w:rsid w:val="001820E7"/>
    <w:rsid w:val="001821ED"/>
    <w:rsid w:val="0018225D"/>
    <w:rsid w:val="001822F3"/>
    <w:rsid w:val="0018240E"/>
    <w:rsid w:val="001824B1"/>
    <w:rsid w:val="00182528"/>
    <w:rsid w:val="001825DA"/>
    <w:rsid w:val="0018270E"/>
    <w:rsid w:val="00182786"/>
    <w:rsid w:val="001827A7"/>
    <w:rsid w:val="0018286A"/>
    <w:rsid w:val="00182923"/>
    <w:rsid w:val="00182AE9"/>
    <w:rsid w:val="00182BDB"/>
    <w:rsid w:val="00182C46"/>
    <w:rsid w:val="00182E6C"/>
    <w:rsid w:val="00182FF2"/>
    <w:rsid w:val="0018301B"/>
    <w:rsid w:val="00183025"/>
    <w:rsid w:val="00183165"/>
    <w:rsid w:val="001831DD"/>
    <w:rsid w:val="001832B7"/>
    <w:rsid w:val="001833CF"/>
    <w:rsid w:val="00183412"/>
    <w:rsid w:val="001834B5"/>
    <w:rsid w:val="00183529"/>
    <w:rsid w:val="001835B9"/>
    <w:rsid w:val="0018363B"/>
    <w:rsid w:val="00183655"/>
    <w:rsid w:val="00183686"/>
    <w:rsid w:val="00183798"/>
    <w:rsid w:val="001837F9"/>
    <w:rsid w:val="001838DB"/>
    <w:rsid w:val="00183A13"/>
    <w:rsid w:val="00183A2D"/>
    <w:rsid w:val="00183AC2"/>
    <w:rsid w:val="00183AC6"/>
    <w:rsid w:val="00183AED"/>
    <w:rsid w:val="00183D1C"/>
    <w:rsid w:val="00183D33"/>
    <w:rsid w:val="00183D5E"/>
    <w:rsid w:val="00183E54"/>
    <w:rsid w:val="0018401A"/>
    <w:rsid w:val="001840C9"/>
    <w:rsid w:val="00184107"/>
    <w:rsid w:val="00184133"/>
    <w:rsid w:val="0018425A"/>
    <w:rsid w:val="0018426F"/>
    <w:rsid w:val="001842A9"/>
    <w:rsid w:val="001844CB"/>
    <w:rsid w:val="001846ED"/>
    <w:rsid w:val="00184875"/>
    <w:rsid w:val="001848A5"/>
    <w:rsid w:val="001848C3"/>
    <w:rsid w:val="001849D8"/>
    <w:rsid w:val="00184A42"/>
    <w:rsid w:val="00184A8F"/>
    <w:rsid w:val="00184AEF"/>
    <w:rsid w:val="00184B7A"/>
    <w:rsid w:val="00184BA6"/>
    <w:rsid w:val="00184D9C"/>
    <w:rsid w:val="00184F9F"/>
    <w:rsid w:val="00185053"/>
    <w:rsid w:val="001850BD"/>
    <w:rsid w:val="00185103"/>
    <w:rsid w:val="00185399"/>
    <w:rsid w:val="0018575F"/>
    <w:rsid w:val="00185795"/>
    <w:rsid w:val="001857D8"/>
    <w:rsid w:val="0018582C"/>
    <w:rsid w:val="0018589A"/>
    <w:rsid w:val="001859BB"/>
    <w:rsid w:val="001859DC"/>
    <w:rsid w:val="00185A0B"/>
    <w:rsid w:val="00185E00"/>
    <w:rsid w:val="00185F29"/>
    <w:rsid w:val="00185FAA"/>
    <w:rsid w:val="00186036"/>
    <w:rsid w:val="00186136"/>
    <w:rsid w:val="0018617E"/>
    <w:rsid w:val="0018620F"/>
    <w:rsid w:val="0018623F"/>
    <w:rsid w:val="001862D8"/>
    <w:rsid w:val="00186302"/>
    <w:rsid w:val="0018635F"/>
    <w:rsid w:val="00186452"/>
    <w:rsid w:val="001865DE"/>
    <w:rsid w:val="001865E0"/>
    <w:rsid w:val="001867F8"/>
    <w:rsid w:val="001868B4"/>
    <w:rsid w:val="00186954"/>
    <w:rsid w:val="001869C3"/>
    <w:rsid w:val="001869E4"/>
    <w:rsid w:val="00186A90"/>
    <w:rsid w:val="00186A97"/>
    <w:rsid w:val="00186B3D"/>
    <w:rsid w:val="00186B9E"/>
    <w:rsid w:val="00186CD0"/>
    <w:rsid w:val="00186D20"/>
    <w:rsid w:val="00186F35"/>
    <w:rsid w:val="00186FDF"/>
    <w:rsid w:val="00186FFF"/>
    <w:rsid w:val="00187391"/>
    <w:rsid w:val="0018745C"/>
    <w:rsid w:val="0018752D"/>
    <w:rsid w:val="001875D3"/>
    <w:rsid w:val="001876C6"/>
    <w:rsid w:val="001877AA"/>
    <w:rsid w:val="00187819"/>
    <w:rsid w:val="00187896"/>
    <w:rsid w:val="001878B2"/>
    <w:rsid w:val="00187A1C"/>
    <w:rsid w:val="00187C2F"/>
    <w:rsid w:val="00187CC0"/>
    <w:rsid w:val="00187D3C"/>
    <w:rsid w:val="00187DF4"/>
    <w:rsid w:val="00187E4C"/>
    <w:rsid w:val="00187EC7"/>
    <w:rsid w:val="00190047"/>
    <w:rsid w:val="001902ED"/>
    <w:rsid w:val="00190381"/>
    <w:rsid w:val="001903E1"/>
    <w:rsid w:val="001903F5"/>
    <w:rsid w:val="00190483"/>
    <w:rsid w:val="001904C6"/>
    <w:rsid w:val="001904F5"/>
    <w:rsid w:val="001906EB"/>
    <w:rsid w:val="001906F3"/>
    <w:rsid w:val="001907F9"/>
    <w:rsid w:val="0019089F"/>
    <w:rsid w:val="001909A7"/>
    <w:rsid w:val="001909AA"/>
    <w:rsid w:val="00190B9F"/>
    <w:rsid w:val="00190C3E"/>
    <w:rsid w:val="00190C71"/>
    <w:rsid w:val="00190C7E"/>
    <w:rsid w:val="00190CAB"/>
    <w:rsid w:val="00190D01"/>
    <w:rsid w:val="00190D22"/>
    <w:rsid w:val="00190DC7"/>
    <w:rsid w:val="00190F8B"/>
    <w:rsid w:val="0019101A"/>
    <w:rsid w:val="00191078"/>
    <w:rsid w:val="00191092"/>
    <w:rsid w:val="001911A7"/>
    <w:rsid w:val="00191216"/>
    <w:rsid w:val="001912B0"/>
    <w:rsid w:val="0019131E"/>
    <w:rsid w:val="001914CB"/>
    <w:rsid w:val="0019162C"/>
    <w:rsid w:val="00191642"/>
    <w:rsid w:val="00191684"/>
    <w:rsid w:val="001916B4"/>
    <w:rsid w:val="0019179A"/>
    <w:rsid w:val="0019181A"/>
    <w:rsid w:val="00191841"/>
    <w:rsid w:val="00191AD1"/>
    <w:rsid w:val="00191B29"/>
    <w:rsid w:val="00191B38"/>
    <w:rsid w:val="00191B3A"/>
    <w:rsid w:val="00191B84"/>
    <w:rsid w:val="00191BD1"/>
    <w:rsid w:val="00191C49"/>
    <w:rsid w:val="00191CFE"/>
    <w:rsid w:val="00191EE4"/>
    <w:rsid w:val="00192394"/>
    <w:rsid w:val="00192479"/>
    <w:rsid w:val="001925D3"/>
    <w:rsid w:val="0019266C"/>
    <w:rsid w:val="001926E4"/>
    <w:rsid w:val="0019276A"/>
    <w:rsid w:val="0019278E"/>
    <w:rsid w:val="0019282F"/>
    <w:rsid w:val="00192954"/>
    <w:rsid w:val="00192A9B"/>
    <w:rsid w:val="00192C56"/>
    <w:rsid w:val="00192CBA"/>
    <w:rsid w:val="00192DA0"/>
    <w:rsid w:val="00192DF3"/>
    <w:rsid w:val="00192FB6"/>
    <w:rsid w:val="0019303B"/>
    <w:rsid w:val="00193070"/>
    <w:rsid w:val="00193137"/>
    <w:rsid w:val="001931A5"/>
    <w:rsid w:val="001931E4"/>
    <w:rsid w:val="00193243"/>
    <w:rsid w:val="00193266"/>
    <w:rsid w:val="00193319"/>
    <w:rsid w:val="00193389"/>
    <w:rsid w:val="001933A7"/>
    <w:rsid w:val="00193476"/>
    <w:rsid w:val="00193483"/>
    <w:rsid w:val="001934B1"/>
    <w:rsid w:val="00193579"/>
    <w:rsid w:val="0019359F"/>
    <w:rsid w:val="001937DF"/>
    <w:rsid w:val="00193865"/>
    <w:rsid w:val="001938CF"/>
    <w:rsid w:val="001939B4"/>
    <w:rsid w:val="00193ACA"/>
    <w:rsid w:val="00193C18"/>
    <w:rsid w:val="00193D17"/>
    <w:rsid w:val="00193EFC"/>
    <w:rsid w:val="00193F08"/>
    <w:rsid w:val="00193F55"/>
    <w:rsid w:val="00194229"/>
    <w:rsid w:val="00194513"/>
    <w:rsid w:val="001945BA"/>
    <w:rsid w:val="001946DF"/>
    <w:rsid w:val="00194723"/>
    <w:rsid w:val="0019476C"/>
    <w:rsid w:val="0019480D"/>
    <w:rsid w:val="001948FC"/>
    <w:rsid w:val="00194937"/>
    <w:rsid w:val="001949C3"/>
    <w:rsid w:val="00194A08"/>
    <w:rsid w:val="00194BB2"/>
    <w:rsid w:val="00194C06"/>
    <w:rsid w:val="00194C12"/>
    <w:rsid w:val="00194EFA"/>
    <w:rsid w:val="00194F73"/>
    <w:rsid w:val="00195144"/>
    <w:rsid w:val="001951CE"/>
    <w:rsid w:val="001952AA"/>
    <w:rsid w:val="00195322"/>
    <w:rsid w:val="001953D1"/>
    <w:rsid w:val="00195456"/>
    <w:rsid w:val="001954D2"/>
    <w:rsid w:val="001954DF"/>
    <w:rsid w:val="00195509"/>
    <w:rsid w:val="001955E6"/>
    <w:rsid w:val="001956ED"/>
    <w:rsid w:val="001957A8"/>
    <w:rsid w:val="0019580B"/>
    <w:rsid w:val="001958FF"/>
    <w:rsid w:val="00195919"/>
    <w:rsid w:val="001959CA"/>
    <w:rsid w:val="00195A19"/>
    <w:rsid w:val="00195A5B"/>
    <w:rsid w:val="00195BCE"/>
    <w:rsid w:val="00195BFE"/>
    <w:rsid w:val="00195C72"/>
    <w:rsid w:val="00195C8E"/>
    <w:rsid w:val="00195C96"/>
    <w:rsid w:val="00195CBF"/>
    <w:rsid w:val="00195DC3"/>
    <w:rsid w:val="00195EA6"/>
    <w:rsid w:val="00195ED8"/>
    <w:rsid w:val="00196242"/>
    <w:rsid w:val="001963C0"/>
    <w:rsid w:val="001963D4"/>
    <w:rsid w:val="00196494"/>
    <w:rsid w:val="00196646"/>
    <w:rsid w:val="001966AC"/>
    <w:rsid w:val="001966B9"/>
    <w:rsid w:val="00196751"/>
    <w:rsid w:val="001968D4"/>
    <w:rsid w:val="001968EC"/>
    <w:rsid w:val="00196A12"/>
    <w:rsid w:val="00196B2E"/>
    <w:rsid w:val="00196BA6"/>
    <w:rsid w:val="00196C48"/>
    <w:rsid w:val="00196D8A"/>
    <w:rsid w:val="00196ECA"/>
    <w:rsid w:val="00196F4C"/>
    <w:rsid w:val="0019718C"/>
    <w:rsid w:val="001972D0"/>
    <w:rsid w:val="001972D2"/>
    <w:rsid w:val="0019735B"/>
    <w:rsid w:val="00197361"/>
    <w:rsid w:val="00197497"/>
    <w:rsid w:val="00197533"/>
    <w:rsid w:val="00197586"/>
    <w:rsid w:val="001975A8"/>
    <w:rsid w:val="001975E9"/>
    <w:rsid w:val="00197722"/>
    <w:rsid w:val="00197861"/>
    <w:rsid w:val="001978C8"/>
    <w:rsid w:val="00197908"/>
    <w:rsid w:val="00197978"/>
    <w:rsid w:val="00197AC4"/>
    <w:rsid w:val="00197ACD"/>
    <w:rsid w:val="00197AD3"/>
    <w:rsid w:val="00197E0E"/>
    <w:rsid w:val="00197EB2"/>
    <w:rsid w:val="00197FEF"/>
    <w:rsid w:val="001A0049"/>
    <w:rsid w:val="001A0063"/>
    <w:rsid w:val="001A00BE"/>
    <w:rsid w:val="001A01C5"/>
    <w:rsid w:val="001A01F8"/>
    <w:rsid w:val="001A0291"/>
    <w:rsid w:val="001A02E7"/>
    <w:rsid w:val="001A0312"/>
    <w:rsid w:val="001A0338"/>
    <w:rsid w:val="001A0364"/>
    <w:rsid w:val="001A03B3"/>
    <w:rsid w:val="001A04AA"/>
    <w:rsid w:val="001A05AC"/>
    <w:rsid w:val="001A05B9"/>
    <w:rsid w:val="001A05C0"/>
    <w:rsid w:val="001A0690"/>
    <w:rsid w:val="001A07DE"/>
    <w:rsid w:val="001A0916"/>
    <w:rsid w:val="001A0A0E"/>
    <w:rsid w:val="001A0B47"/>
    <w:rsid w:val="001A0B6D"/>
    <w:rsid w:val="001A0C71"/>
    <w:rsid w:val="001A0D26"/>
    <w:rsid w:val="001A0D86"/>
    <w:rsid w:val="001A0EB6"/>
    <w:rsid w:val="001A0EDC"/>
    <w:rsid w:val="001A0F20"/>
    <w:rsid w:val="001A115A"/>
    <w:rsid w:val="001A1204"/>
    <w:rsid w:val="001A1261"/>
    <w:rsid w:val="001A1408"/>
    <w:rsid w:val="001A16D6"/>
    <w:rsid w:val="001A16E7"/>
    <w:rsid w:val="001A17C9"/>
    <w:rsid w:val="001A17D1"/>
    <w:rsid w:val="001A18BF"/>
    <w:rsid w:val="001A1989"/>
    <w:rsid w:val="001A1A2E"/>
    <w:rsid w:val="001A1A95"/>
    <w:rsid w:val="001A1AEA"/>
    <w:rsid w:val="001A1B1D"/>
    <w:rsid w:val="001A1BEA"/>
    <w:rsid w:val="001A1DE6"/>
    <w:rsid w:val="001A22F4"/>
    <w:rsid w:val="001A2427"/>
    <w:rsid w:val="001A2496"/>
    <w:rsid w:val="001A2694"/>
    <w:rsid w:val="001A26AE"/>
    <w:rsid w:val="001A26D4"/>
    <w:rsid w:val="001A2707"/>
    <w:rsid w:val="001A2713"/>
    <w:rsid w:val="001A2745"/>
    <w:rsid w:val="001A27FA"/>
    <w:rsid w:val="001A295D"/>
    <w:rsid w:val="001A2962"/>
    <w:rsid w:val="001A29C8"/>
    <w:rsid w:val="001A2C9C"/>
    <w:rsid w:val="001A2DCF"/>
    <w:rsid w:val="001A2DEF"/>
    <w:rsid w:val="001A2DFE"/>
    <w:rsid w:val="001A3021"/>
    <w:rsid w:val="001A3059"/>
    <w:rsid w:val="001A307A"/>
    <w:rsid w:val="001A30DE"/>
    <w:rsid w:val="001A3198"/>
    <w:rsid w:val="001A3358"/>
    <w:rsid w:val="001A35AA"/>
    <w:rsid w:val="001A35FA"/>
    <w:rsid w:val="001A360C"/>
    <w:rsid w:val="001A3A08"/>
    <w:rsid w:val="001A3BAE"/>
    <w:rsid w:val="001A3C28"/>
    <w:rsid w:val="001A3D70"/>
    <w:rsid w:val="001A3DB2"/>
    <w:rsid w:val="001A3E29"/>
    <w:rsid w:val="001A3E50"/>
    <w:rsid w:val="001A3ED8"/>
    <w:rsid w:val="001A3F85"/>
    <w:rsid w:val="001A40E5"/>
    <w:rsid w:val="001A4128"/>
    <w:rsid w:val="001A4174"/>
    <w:rsid w:val="001A4279"/>
    <w:rsid w:val="001A4444"/>
    <w:rsid w:val="001A44DE"/>
    <w:rsid w:val="001A4602"/>
    <w:rsid w:val="001A4618"/>
    <w:rsid w:val="001A476E"/>
    <w:rsid w:val="001A47A9"/>
    <w:rsid w:val="001A48EF"/>
    <w:rsid w:val="001A4A9D"/>
    <w:rsid w:val="001A4AA4"/>
    <w:rsid w:val="001A4B89"/>
    <w:rsid w:val="001A50AA"/>
    <w:rsid w:val="001A51F0"/>
    <w:rsid w:val="001A5202"/>
    <w:rsid w:val="001A5352"/>
    <w:rsid w:val="001A53A0"/>
    <w:rsid w:val="001A5473"/>
    <w:rsid w:val="001A54A8"/>
    <w:rsid w:val="001A54BB"/>
    <w:rsid w:val="001A55AB"/>
    <w:rsid w:val="001A561C"/>
    <w:rsid w:val="001A570B"/>
    <w:rsid w:val="001A5741"/>
    <w:rsid w:val="001A57FF"/>
    <w:rsid w:val="001A581C"/>
    <w:rsid w:val="001A58B4"/>
    <w:rsid w:val="001A5A9D"/>
    <w:rsid w:val="001A5C31"/>
    <w:rsid w:val="001A5CA6"/>
    <w:rsid w:val="001A5CF1"/>
    <w:rsid w:val="001A5E29"/>
    <w:rsid w:val="001A5E6A"/>
    <w:rsid w:val="001A5E9C"/>
    <w:rsid w:val="001A5F66"/>
    <w:rsid w:val="001A5FAE"/>
    <w:rsid w:val="001A6047"/>
    <w:rsid w:val="001A60B7"/>
    <w:rsid w:val="001A60E1"/>
    <w:rsid w:val="001A658A"/>
    <w:rsid w:val="001A6608"/>
    <w:rsid w:val="001A67A9"/>
    <w:rsid w:val="001A684F"/>
    <w:rsid w:val="001A68EF"/>
    <w:rsid w:val="001A6A90"/>
    <w:rsid w:val="001A6B6F"/>
    <w:rsid w:val="001A6CA0"/>
    <w:rsid w:val="001A6D0D"/>
    <w:rsid w:val="001A6D14"/>
    <w:rsid w:val="001A6D1B"/>
    <w:rsid w:val="001A6D74"/>
    <w:rsid w:val="001A6E60"/>
    <w:rsid w:val="001A6E7F"/>
    <w:rsid w:val="001A6E97"/>
    <w:rsid w:val="001A6EC2"/>
    <w:rsid w:val="001A6EC5"/>
    <w:rsid w:val="001A7056"/>
    <w:rsid w:val="001A7086"/>
    <w:rsid w:val="001A7158"/>
    <w:rsid w:val="001A7187"/>
    <w:rsid w:val="001A71AF"/>
    <w:rsid w:val="001A71BF"/>
    <w:rsid w:val="001A7221"/>
    <w:rsid w:val="001A7273"/>
    <w:rsid w:val="001A73D7"/>
    <w:rsid w:val="001A7616"/>
    <w:rsid w:val="001A76EE"/>
    <w:rsid w:val="001A7978"/>
    <w:rsid w:val="001A7AF9"/>
    <w:rsid w:val="001A7BA1"/>
    <w:rsid w:val="001A7C18"/>
    <w:rsid w:val="001A7C72"/>
    <w:rsid w:val="001A7CC6"/>
    <w:rsid w:val="001A7DA6"/>
    <w:rsid w:val="001A7DFF"/>
    <w:rsid w:val="001A7E9A"/>
    <w:rsid w:val="001A7F47"/>
    <w:rsid w:val="001B0035"/>
    <w:rsid w:val="001B0122"/>
    <w:rsid w:val="001B0346"/>
    <w:rsid w:val="001B03AA"/>
    <w:rsid w:val="001B04EE"/>
    <w:rsid w:val="001B0620"/>
    <w:rsid w:val="001B0631"/>
    <w:rsid w:val="001B0733"/>
    <w:rsid w:val="001B0B33"/>
    <w:rsid w:val="001B0B4A"/>
    <w:rsid w:val="001B0E27"/>
    <w:rsid w:val="001B0F1A"/>
    <w:rsid w:val="001B0F25"/>
    <w:rsid w:val="001B0F8E"/>
    <w:rsid w:val="001B0F9D"/>
    <w:rsid w:val="001B10E0"/>
    <w:rsid w:val="001B1158"/>
    <w:rsid w:val="001B1172"/>
    <w:rsid w:val="001B11D1"/>
    <w:rsid w:val="001B129E"/>
    <w:rsid w:val="001B138B"/>
    <w:rsid w:val="001B138D"/>
    <w:rsid w:val="001B1409"/>
    <w:rsid w:val="001B1444"/>
    <w:rsid w:val="001B15A5"/>
    <w:rsid w:val="001B164A"/>
    <w:rsid w:val="001B1832"/>
    <w:rsid w:val="001B184E"/>
    <w:rsid w:val="001B18E1"/>
    <w:rsid w:val="001B19DB"/>
    <w:rsid w:val="001B19EC"/>
    <w:rsid w:val="001B1A2E"/>
    <w:rsid w:val="001B1AF2"/>
    <w:rsid w:val="001B1B13"/>
    <w:rsid w:val="001B1CD2"/>
    <w:rsid w:val="001B1EEB"/>
    <w:rsid w:val="001B1F98"/>
    <w:rsid w:val="001B1FE2"/>
    <w:rsid w:val="001B2016"/>
    <w:rsid w:val="001B20A3"/>
    <w:rsid w:val="001B20EC"/>
    <w:rsid w:val="001B23A8"/>
    <w:rsid w:val="001B25B3"/>
    <w:rsid w:val="001B25C0"/>
    <w:rsid w:val="001B26F3"/>
    <w:rsid w:val="001B29ED"/>
    <w:rsid w:val="001B2B34"/>
    <w:rsid w:val="001B2BB6"/>
    <w:rsid w:val="001B2CA1"/>
    <w:rsid w:val="001B2EA6"/>
    <w:rsid w:val="001B2F06"/>
    <w:rsid w:val="001B2FEF"/>
    <w:rsid w:val="001B3036"/>
    <w:rsid w:val="001B306E"/>
    <w:rsid w:val="001B3218"/>
    <w:rsid w:val="001B32CB"/>
    <w:rsid w:val="001B32F9"/>
    <w:rsid w:val="001B334A"/>
    <w:rsid w:val="001B3355"/>
    <w:rsid w:val="001B3468"/>
    <w:rsid w:val="001B3535"/>
    <w:rsid w:val="001B3675"/>
    <w:rsid w:val="001B36BB"/>
    <w:rsid w:val="001B38E2"/>
    <w:rsid w:val="001B3B0B"/>
    <w:rsid w:val="001B3C99"/>
    <w:rsid w:val="001B3E90"/>
    <w:rsid w:val="001B414E"/>
    <w:rsid w:val="001B41D9"/>
    <w:rsid w:val="001B4242"/>
    <w:rsid w:val="001B43B8"/>
    <w:rsid w:val="001B44AE"/>
    <w:rsid w:val="001B45C8"/>
    <w:rsid w:val="001B4679"/>
    <w:rsid w:val="001B46CD"/>
    <w:rsid w:val="001B474E"/>
    <w:rsid w:val="001B4772"/>
    <w:rsid w:val="001B47CB"/>
    <w:rsid w:val="001B47D7"/>
    <w:rsid w:val="001B4806"/>
    <w:rsid w:val="001B486D"/>
    <w:rsid w:val="001B48BE"/>
    <w:rsid w:val="001B48E5"/>
    <w:rsid w:val="001B4B9F"/>
    <w:rsid w:val="001B4C21"/>
    <w:rsid w:val="001B4C55"/>
    <w:rsid w:val="001B4C9D"/>
    <w:rsid w:val="001B4CDF"/>
    <w:rsid w:val="001B4D7F"/>
    <w:rsid w:val="001B4EAC"/>
    <w:rsid w:val="001B4F47"/>
    <w:rsid w:val="001B500D"/>
    <w:rsid w:val="001B50D7"/>
    <w:rsid w:val="001B5265"/>
    <w:rsid w:val="001B5332"/>
    <w:rsid w:val="001B5561"/>
    <w:rsid w:val="001B5977"/>
    <w:rsid w:val="001B59B7"/>
    <w:rsid w:val="001B5A45"/>
    <w:rsid w:val="001B5C4E"/>
    <w:rsid w:val="001B5E6A"/>
    <w:rsid w:val="001B6086"/>
    <w:rsid w:val="001B613B"/>
    <w:rsid w:val="001B6279"/>
    <w:rsid w:val="001B62BF"/>
    <w:rsid w:val="001B633D"/>
    <w:rsid w:val="001B6496"/>
    <w:rsid w:val="001B66DC"/>
    <w:rsid w:val="001B66EA"/>
    <w:rsid w:val="001B68AA"/>
    <w:rsid w:val="001B6BA6"/>
    <w:rsid w:val="001B6C25"/>
    <w:rsid w:val="001B6C49"/>
    <w:rsid w:val="001B6C84"/>
    <w:rsid w:val="001B6C86"/>
    <w:rsid w:val="001B6CC9"/>
    <w:rsid w:val="001B710A"/>
    <w:rsid w:val="001B7258"/>
    <w:rsid w:val="001B7347"/>
    <w:rsid w:val="001B7365"/>
    <w:rsid w:val="001B73DC"/>
    <w:rsid w:val="001B7481"/>
    <w:rsid w:val="001B75FB"/>
    <w:rsid w:val="001B7643"/>
    <w:rsid w:val="001B7682"/>
    <w:rsid w:val="001B786F"/>
    <w:rsid w:val="001B7939"/>
    <w:rsid w:val="001B79A7"/>
    <w:rsid w:val="001B79D4"/>
    <w:rsid w:val="001B7A04"/>
    <w:rsid w:val="001B7A1D"/>
    <w:rsid w:val="001B7A6D"/>
    <w:rsid w:val="001B7CB8"/>
    <w:rsid w:val="001B7DDF"/>
    <w:rsid w:val="001B7E5C"/>
    <w:rsid w:val="001B7EB6"/>
    <w:rsid w:val="001B7ED5"/>
    <w:rsid w:val="001B7FC6"/>
    <w:rsid w:val="001C009B"/>
    <w:rsid w:val="001C00CA"/>
    <w:rsid w:val="001C00CC"/>
    <w:rsid w:val="001C01EE"/>
    <w:rsid w:val="001C0267"/>
    <w:rsid w:val="001C0449"/>
    <w:rsid w:val="001C04C3"/>
    <w:rsid w:val="001C0503"/>
    <w:rsid w:val="001C067A"/>
    <w:rsid w:val="001C073E"/>
    <w:rsid w:val="001C0881"/>
    <w:rsid w:val="001C088A"/>
    <w:rsid w:val="001C089F"/>
    <w:rsid w:val="001C090F"/>
    <w:rsid w:val="001C09ED"/>
    <w:rsid w:val="001C0AE1"/>
    <w:rsid w:val="001C0B2D"/>
    <w:rsid w:val="001C0B6F"/>
    <w:rsid w:val="001C0C97"/>
    <w:rsid w:val="001C0E1D"/>
    <w:rsid w:val="001C0F20"/>
    <w:rsid w:val="001C113F"/>
    <w:rsid w:val="001C1218"/>
    <w:rsid w:val="001C135D"/>
    <w:rsid w:val="001C1450"/>
    <w:rsid w:val="001C151D"/>
    <w:rsid w:val="001C16C9"/>
    <w:rsid w:val="001C1792"/>
    <w:rsid w:val="001C17F9"/>
    <w:rsid w:val="001C17FA"/>
    <w:rsid w:val="001C1823"/>
    <w:rsid w:val="001C18DE"/>
    <w:rsid w:val="001C1924"/>
    <w:rsid w:val="001C1929"/>
    <w:rsid w:val="001C193D"/>
    <w:rsid w:val="001C1AE8"/>
    <w:rsid w:val="001C1BF3"/>
    <w:rsid w:val="001C1C96"/>
    <w:rsid w:val="001C1DE5"/>
    <w:rsid w:val="001C1E32"/>
    <w:rsid w:val="001C1EE1"/>
    <w:rsid w:val="001C1F17"/>
    <w:rsid w:val="001C1F59"/>
    <w:rsid w:val="001C1F67"/>
    <w:rsid w:val="001C2049"/>
    <w:rsid w:val="001C2069"/>
    <w:rsid w:val="001C20D6"/>
    <w:rsid w:val="001C20F9"/>
    <w:rsid w:val="001C21BF"/>
    <w:rsid w:val="001C2239"/>
    <w:rsid w:val="001C2253"/>
    <w:rsid w:val="001C227C"/>
    <w:rsid w:val="001C23B7"/>
    <w:rsid w:val="001C2445"/>
    <w:rsid w:val="001C2487"/>
    <w:rsid w:val="001C25F0"/>
    <w:rsid w:val="001C2658"/>
    <w:rsid w:val="001C26CB"/>
    <w:rsid w:val="001C2772"/>
    <w:rsid w:val="001C28F0"/>
    <w:rsid w:val="001C2A27"/>
    <w:rsid w:val="001C2A81"/>
    <w:rsid w:val="001C2C07"/>
    <w:rsid w:val="001C2D09"/>
    <w:rsid w:val="001C2D6F"/>
    <w:rsid w:val="001C2E6C"/>
    <w:rsid w:val="001C2E80"/>
    <w:rsid w:val="001C2EB7"/>
    <w:rsid w:val="001C2F36"/>
    <w:rsid w:val="001C3119"/>
    <w:rsid w:val="001C3167"/>
    <w:rsid w:val="001C3174"/>
    <w:rsid w:val="001C320A"/>
    <w:rsid w:val="001C3300"/>
    <w:rsid w:val="001C34B5"/>
    <w:rsid w:val="001C34E1"/>
    <w:rsid w:val="001C3504"/>
    <w:rsid w:val="001C3575"/>
    <w:rsid w:val="001C358D"/>
    <w:rsid w:val="001C35C9"/>
    <w:rsid w:val="001C35D1"/>
    <w:rsid w:val="001C3617"/>
    <w:rsid w:val="001C3661"/>
    <w:rsid w:val="001C3741"/>
    <w:rsid w:val="001C3804"/>
    <w:rsid w:val="001C381D"/>
    <w:rsid w:val="001C3832"/>
    <w:rsid w:val="001C3869"/>
    <w:rsid w:val="001C395D"/>
    <w:rsid w:val="001C39EC"/>
    <w:rsid w:val="001C39F8"/>
    <w:rsid w:val="001C3AE8"/>
    <w:rsid w:val="001C3B7C"/>
    <w:rsid w:val="001C3B84"/>
    <w:rsid w:val="001C3DB3"/>
    <w:rsid w:val="001C3DC0"/>
    <w:rsid w:val="001C3EFE"/>
    <w:rsid w:val="001C3F25"/>
    <w:rsid w:val="001C3F75"/>
    <w:rsid w:val="001C3F98"/>
    <w:rsid w:val="001C4000"/>
    <w:rsid w:val="001C40A0"/>
    <w:rsid w:val="001C41B7"/>
    <w:rsid w:val="001C42B4"/>
    <w:rsid w:val="001C4583"/>
    <w:rsid w:val="001C465E"/>
    <w:rsid w:val="001C482C"/>
    <w:rsid w:val="001C4831"/>
    <w:rsid w:val="001C4989"/>
    <w:rsid w:val="001C4A1B"/>
    <w:rsid w:val="001C4A50"/>
    <w:rsid w:val="001C4AB6"/>
    <w:rsid w:val="001C4B84"/>
    <w:rsid w:val="001C4BCB"/>
    <w:rsid w:val="001C4C6B"/>
    <w:rsid w:val="001C4C74"/>
    <w:rsid w:val="001C5089"/>
    <w:rsid w:val="001C50D2"/>
    <w:rsid w:val="001C50F5"/>
    <w:rsid w:val="001C5140"/>
    <w:rsid w:val="001C514F"/>
    <w:rsid w:val="001C51C3"/>
    <w:rsid w:val="001C5259"/>
    <w:rsid w:val="001C54EC"/>
    <w:rsid w:val="001C5861"/>
    <w:rsid w:val="001C59CC"/>
    <w:rsid w:val="001C59FF"/>
    <w:rsid w:val="001C5B89"/>
    <w:rsid w:val="001C5BA1"/>
    <w:rsid w:val="001C5BAC"/>
    <w:rsid w:val="001C5DB7"/>
    <w:rsid w:val="001C5E7B"/>
    <w:rsid w:val="001C5FD4"/>
    <w:rsid w:val="001C600C"/>
    <w:rsid w:val="001C60B2"/>
    <w:rsid w:val="001C60E5"/>
    <w:rsid w:val="001C612F"/>
    <w:rsid w:val="001C61AE"/>
    <w:rsid w:val="001C640E"/>
    <w:rsid w:val="001C642B"/>
    <w:rsid w:val="001C6464"/>
    <w:rsid w:val="001C64BC"/>
    <w:rsid w:val="001C6533"/>
    <w:rsid w:val="001C659D"/>
    <w:rsid w:val="001C6629"/>
    <w:rsid w:val="001C6719"/>
    <w:rsid w:val="001C67BD"/>
    <w:rsid w:val="001C67E7"/>
    <w:rsid w:val="001C688F"/>
    <w:rsid w:val="001C694B"/>
    <w:rsid w:val="001C6A27"/>
    <w:rsid w:val="001C6AD7"/>
    <w:rsid w:val="001C6B3E"/>
    <w:rsid w:val="001C6C43"/>
    <w:rsid w:val="001C6C55"/>
    <w:rsid w:val="001C6C6B"/>
    <w:rsid w:val="001C6C8A"/>
    <w:rsid w:val="001C6D43"/>
    <w:rsid w:val="001C6EC9"/>
    <w:rsid w:val="001C7007"/>
    <w:rsid w:val="001C7024"/>
    <w:rsid w:val="001C705D"/>
    <w:rsid w:val="001C70B8"/>
    <w:rsid w:val="001C70D7"/>
    <w:rsid w:val="001C7157"/>
    <w:rsid w:val="001C730A"/>
    <w:rsid w:val="001C730C"/>
    <w:rsid w:val="001C7321"/>
    <w:rsid w:val="001C7402"/>
    <w:rsid w:val="001C74B8"/>
    <w:rsid w:val="001C7539"/>
    <w:rsid w:val="001C7658"/>
    <w:rsid w:val="001C772D"/>
    <w:rsid w:val="001C78CD"/>
    <w:rsid w:val="001C7A32"/>
    <w:rsid w:val="001C7B61"/>
    <w:rsid w:val="001C7B86"/>
    <w:rsid w:val="001C7B9D"/>
    <w:rsid w:val="001C7CF4"/>
    <w:rsid w:val="001C7D1A"/>
    <w:rsid w:val="001C7D80"/>
    <w:rsid w:val="001C7DD7"/>
    <w:rsid w:val="001C7F1A"/>
    <w:rsid w:val="001D0057"/>
    <w:rsid w:val="001D010E"/>
    <w:rsid w:val="001D011A"/>
    <w:rsid w:val="001D0182"/>
    <w:rsid w:val="001D0440"/>
    <w:rsid w:val="001D05B8"/>
    <w:rsid w:val="001D064F"/>
    <w:rsid w:val="001D0680"/>
    <w:rsid w:val="001D0746"/>
    <w:rsid w:val="001D0750"/>
    <w:rsid w:val="001D087C"/>
    <w:rsid w:val="001D0A7F"/>
    <w:rsid w:val="001D0C3A"/>
    <w:rsid w:val="001D0C81"/>
    <w:rsid w:val="001D0E14"/>
    <w:rsid w:val="001D0EC5"/>
    <w:rsid w:val="001D0EF8"/>
    <w:rsid w:val="001D0F43"/>
    <w:rsid w:val="001D0F4A"/>
    <w:rsid w:val="001D1108"/>
    <w:rsid w:val="001D1144"/>
    <w:rsid w:val="001D1380"/>
    <w:rsid w:val="001D13E7"/>
    <w:rsid w:val="001D141C"/>
    <w:rsid w:val="001D169E"/>
    <w:rsid w:val="001D170C"/>
    <w:rsid w:val="001D1893"/>
    <w:rsid w:val="001D18C4"/>
    <w:rsid w:val="001D196B"/>
    <w:rsid w:val="001D1978"/>
    <w:rsid w:val="001D1B9B"/>
    <w:rsid w:val="001D1C65"/>
    <w:rsid w:val="001D1D35"/>
    <w:rsid w:val="001D1D4E"/>
    <w:rsid w:val="001D1DB4"/>
    <w:rsid w:val="001D1DCE"/>
    <w:rsid w:val="001D1F06"/>
    <w:rsid w:val="001D2039"/>
    <w:rsid w:val="001D205D"/>
    <w:rsid w:val="001D20E0"/>
    <w:rsid w:val="001D2279"/>
    <w:rsid w:val="001D22C2"/>
    <w:rsid w:val="001D258D"/>
    <w:rsid w:val="001D2627"/>
    <w:rsid w:val="001D2987"/>
    <w:rsid w:val="001D2AE3"/>
    <w:rsid w:val="001D2B67"/>
    <w:rsid w:val="001D2B90"/>
    <w:rsid w:val="001D2BB6"/>
    <w:rsid w:val="001D2C8C"/>
    <w:rsid w:val="001D2D65"/>
    <w:rsid w:val="001D2EF5"/>
    <w:rsid w:val="001D2F80"/>
    <w:rsid w:val="001D30DA"/>
    <w:rsid w:val="001D313F"/>
    <w:rsid w:val="001D32A6"/>
    <w:rsid w:val="001D32EB"/>
    <w:rsid w:val="001D3329"/>
    <w:rsid w:val="001D332F"/>
    <w:rsid w:val="001D3346"/>
    <w:rsid w:val="001D367D"/>
    <w:rsid w:val="001D368B"/>
    <w:rsid w:val="001D36E2"/>
    <w:rsid w:val="001D37C5"/>
    <w:rsid w:val="001D38E4"/>
    <w:rsid w:val="001D3AB6"/>
    <w:rsid w:val="001D3BA7"/>
    <w:rsid w:val="001D3C41"/>
    <w:rsid w:val="001D3CD4"/>
    <w:rsid w:val="001D3DF3"/>
    <w:rsid w:val="001D4160"/>
    <w:rsid w:val="001D41C9"/>
    <w:rsid w:val="001D43F6"/>
    <w:rsid w:val="001D4511"/>
    <w:rsid w:val="001D452F"/>
    <w:rsid w:val="001D46D3"/>
    <w:rsid w:val="001D477F"/>
    <w:rsid w:val="001D4AC2"/>
    <w:rsid w:val="001D4B60"/>
    <w:rsid w:val="001D4BCC"/>
    <w:rsid w:val="001D4D38"/>
    <w:rsid w:val="001D4E4D"/>
    <w:rsid w:val="001D4E8A"/>
    <w:rsid w:val="001D4EDA"/>
    <w:rsid w:val="001D4F88"/>
    <w:rsid w:val="001D4FCA"/>
    <w:rsid w:val="001D51CC"/>
    <w:rsid w:val="001D5209"/>
    <w:rsid w:val="001D5235"/>
    <w:rsid w:val="001D527D"/>
    <w:rsid w:val="001D5314"/>
    <w:rsid w:val="001D578B"/>
    <w:rsid w:val="001D57B1"/>
    <w:rsid w:val="001D5822"/>
    <w:rsid w:val="001D583A"/>
    <w:rsid w:val="001D5843"/>
    <w:rsid w:val="001D58B2"/>
    <w:rsid w:val="001D591E"/>
    <w:rsid w:val="001D5B99"/>
    <w:rsid w:val="001D5CEC"/>
    <w:rsid w:val="001D5DFD"/>
    <w:rsid w:val="001D5E01"/>
    <w:rsid w:val="001D5EA4"/>
    <w:rsid w:val="001D5F88"/>
    <w:rsid w:val="001D6046"/>
    <w:rsid w:val="001D60A5"/>
    <w:rsid w:val="001D6237"/>
    <w:rsid w:val="001D630F"/>
    <w:rsid w:val="001D64B6"/>
    <w:rsid w:val="001D6517"/>
    <w:rsid w:val="001D658F"/>
    <w:rsid w:val="001D66D8"/>
    <w:rsid w:val="001D66F9"/>
    <w:rsid w:val="001D67D8"/>
    <w:rsid w:val="001D6946"/>
    <w:rsid w:val="001D6968"/>
    <w:rsid w:val="001D6A9A"/>
    <w:rsid w:val="001D6B16"/>
    <w:rsid w:val="001D6B32"/>
    <w:rsid w:val="001D6B7E"/>
    <w:rsid w:val="001D6BC3"/>
    <w:rsid w:val="001D6C64"/>
    <w:rsid w:val="001D6C76"/>
    <w:rsid w:val="001D704C"/>
    <w:rsid w:val="001D70AB"/>
    <w:rsid w:val="001D71D4"/>
    <w:rsid w:val="001D71EA"/>
    <w:rsid w:val="001D72B2"/>
    <w:rsid w:val="001D72B8"/>
    <w:rsid w:val="001D73BB"/>
    <w:rsid w:val="001D73BE"/>
    <w:rsid w:val="001D73CF"/>
    <w:rsid w:val="001D775E"/>
    <w:rsid w:val="001D776A"/>
    <w:rsid w:val="001D77DD"/>
    <w:rsid w:val="001D78DA"/>
    <w:rsid w:val="001D7A17"/>
    <w:rsid w:val="001D7B34"/>
    <w:rsid w:val="001D7C56"/>
    <w:rsid w:val="001D7CBE"/>
    <w:rsid w:val="001D7E0B"/>
    <w:rsid w:val="001D7EFB"/>
    <w:rsid w:val="001D7F34"/>
    <w:rsid w:val="001E0025"/>
    <w:rsid w:val="001E00B2"/>
    <w:rsid w:val="001E00F2"/>
    <w:rsid w:val="001E011E"/>
    <w:rsid w:val="001E01CF"/>
    <w:rsid w:val="001E0220"/>
    <w:rsid w:val="001E0436"/>
    <w:rsid w:val="001E04CA"/>
    <w:rsid w:val="001E0593"/>
    <w:rsid w:val="001E05B9"/>
    <w:rsid w:val="001E05CE"/>
    <w:rsid w:val="001E0717"/>
    <w:rsid w:val="001E0848"/>
    <w:rsid w:val="001E0BCC"/>
    <w:rsid w:val="001E0DBB"/>
    <w:rsid w:val="001E0EF2"/>
    <w:rsid w:val="001E0F33"/>
    <w:rsid w:val="001E0F3D"/>
    <w:rsid w:val="001E0F8F"/>
    <w:rsid w:val="001E1056"/>
    <w:rsid w:val="001E1254"/>
    <w:rsid w:val="001E12E5"/>
    <w:rsid w:val="001E13C3"/>
    <w:rsid w:val="001E1426"/>
    <w:rsid w:val="001E1485"/>
    <w:rsid w:val="001E1522"/>
    <w:rsid w:val="001E16C5"/>
    <w:rsid w:val="001E17D6"/>
    <w:rsid w:val="001E18F7"/>
    <w:rsid w:val="001E1A4F"/>
    <w:rsid w:val="001E1AF7"/>
    <w:rsid w:val="001E1B4B"/>
    <w:rsid w:val="001E1B8D"/>
    <w:rsid w:val="001E1BEF"/>
    <w:rsid w:val="001E1BFD"/>
    <w:rsid w:val="001E1CA4"/>
    <w:rsid w:val="001E1D53"/>
    <w:rsid w:val="001E1E3D"/>
    <w:rsid w:val="001E1E81"/>
    <w:rsid w:val="001E1F27"/>
    <w:rsid w:val="001E1F2C"/>
    <w:rsid w:val="001E2027"/>
    <w:rsid w:val="001E20EC"/>
    <w:rsid w:val="001E2282"/>
    <w:rsid w:val="001E236F"/>
    <w:rsid w:val="001E251C"/>
    <w:rsid w:val="001E26FF"/>
    <w:rsid w:val="001E27BF"/>
    <w:rsid w:val="001E2830"/>
    <w:rsid w:val="001E288B"/>
    <w:rsid w:val="001E28A2"/>
    <w:rsid w:val="001E28E7"/>
    <w:rsid w:val="001E291D"/>
    <w:rsid w:val="001E29CB"/>
    <w:rsid w:val="001E29E3"/>
    <w:rsid w:val="001E2E36"/>
    <w:rsid w:val="001E2E5A"/>
    <w:rsid w:val="001E3166"/>
    <w:rsid w:val="001E31E9"/>
    <w:rsid w:val="001E3210"/>
    <w:rsid w:val="001E3212"/>
    <w:rsid w:val="001E34B8"/>
    <w:rsid w:val="001E363B"/>
    <w:rsid w:val="001E368B"/>
    <w:rsid w:val="001E36D1"/>
    <w:rsid w:val="001E36F9"/>
    <w:rsid w:val="001E376D"/>
    <w:rsid w:val="001E3C1A"/>
    <w:rsid w:val="001E3C68"/>
    <w:rsid w:val="001E3D47"/>
    <w:rsid w:val="001E3E9C"/>
    <w:rsid w:val="001E3F87"/>
    <w:rsid w:val="001E401C"/>
    <w:rsid w:val="001E4053"/>
    <w:rsid w:val="001E42D1"/>
    <w:rsid w:val="001E452B"/>
    <w:rsid w:val="001E45F4"/>
    <w:rsid w:val="001E46B2"/>
    <w:rsid w:val="001E46C6"/>
    <w:rsid w:val="001E46CC"/>
    <w:rsid w:val="001E49F9"/>
    <w:rsid w:val="001E4A5B"/>
    <w:rsid w:val="001E4AC0"/>
    <w:rsid w:val="001E4B63"/>
    <w:rsid w:val="001E4BF4"/>
    <w:rsid w:val="001E4C71"/>
    <w:rsid w:val="001E4CCB"/>
    <w:rsid w:val="001E4D04"/>
    <w:rsid w:val="001E4DDB"/>
    <w:rsid w:val="001E4F76"/>
    <w:rsid w:val="001E4F94"/>
    <w:rsid w:val="001E4FEF"/>
    <w:rsid w:val="001E509D"/>
    <w:rsid w:val="001E5145"/>
    <w:rsid w:val="001E517D"/>
    <w:rsid w:val="001E51A1"/>
    <w:rsid w:val="001E51FD"/>
    <w:rsid w:val="001E5331"/>
    <w:rsid w:val="001E53C0"/>
    <w:rsid w:val="001E57D5"/>
    <w:rsid w:val="001E57E2"/>
    <w:rsid w:val="001E594F"/>
    <w:rsid w:val="001E597E"/>
    <w:rsid w:val="001E59F3"/>
    <w:rsid w:val="001E59F9"/>
    <w:rsid w:val="001E5B12"/>
    <w:rsid w:val="001E5BB8"/>
    <w:rsid w:val="001E5DE8"/>
    <w:rsid w:val="001E5E84"/>
    <w:rsid w:val="001E5FBF"/>
    <w:rsid w:val="001E5FD3"/>
    <w:rsid w:val="001E5FEC"/>
    <w:rsid w:val="001E6026"/>
    <w:rsid w:val="001E60A3"/>
    <w:rsid w:val="001E60E1"/>
    <w:rsid w:val="001E61A5"/>
    <w:rsid w:val="001E6262"/>
    <w:rsid w:val="001E6323"/>
    <w:rsid w:val="001E648C"/>
    <w:rsid w:val="001E659F"/>
    <w:rsid w:val="001E664F"/>
    <w:rsid w:val="001E6664"/>
    <w:rsid w:val="001E669C"/>
    <w:rsid w:val="001E6882"/>
    <w:rsid w:val="001E6929"/>
    <w:rsid w:val="001E698B"/>
    <w:rsid w:val="001E6AC0"/>
    <w:rsid w:val="001E6B22"/>
    <w:rsid w:val="001E6B26"/>
    <w:rsid w:val="001E6BFF"/>
    <w:rsid w:val="001E6C1A"/>
    <w:rsid w:val="001E6CFB"/>
    <w:rsid w:val="001E6D84"/>
    <w:rsid w:val="001E6E12"/>
    <w:rsid w:val="001E6E19"/>
    <w:rsid w:val="001E716F"/>
    <w:rsid w:val="001E74D3"/>
    <w:rsid w:val="001E7539"/>
    <w:rsid w:val="001E7674"/>
    <w:rsid w:val="001E774D"/>
    <w:rsid w:val="001E7759"/>
    <w:rsid w:val="001E778D"/>
    <w:rsid w:val="001E77D1"/>
    <w:rsid w:val="001E77D2"/>
    <w:rsid w:val="001E7811"/>
    <w:rsid w:val="001E783B"/>
    <w:rsid w:val="001E79DB"/>
    <w:rsid w:val="001E7A49"/>
    <w:rsid w:val="001E7A8F"/>
    <w:rsid w:val="001E7AAA"/>
    <w:rsid w:val="001E7E45"/>
    <w:rsid w:val="001E7E56"/>
    <w:rsid w:val="001E7E73"/>
    <w:rsid w:val="001E7EDB"/>
    <w:rsid w:val="001E7FF2"/>
    <w:rsid w:val="001F01A1"/>
    <w:rsid w:val="001F0208"/>
    <w:rsid w:val="001F0280"/>
    <w:rsid w:val="001F02AD"/>
    <w:rsid w:val="001F036E"/>
    <w:rsid w:val="001F038B"/>
    <w:rsid w:val="001F0572"/>
    <w:rsid w:val="001F076B"/>
    <w:rsid w:val="001F086C"/>
    <w:rsid w:val="001F08C4"/>
    <w:rsid w:val="001F099A"/>
    <w:rsid w:val="001F0A2A"/>
    <w:rsid w:val="001F0AAE"/>
    <w:rsid w:val="001F0B24"/>
    <w:rsid w:val="001F0C3D"/>
    <w:rsid w:val="001F0C96"/>
    <w:rsid w:val="001F0D54"/>
    <w:rsid w:val="001F0DCA"/>
    <w:rsid w:val="001F0DF3"/>
    <w:rsid w:val="001F0E8F"/>
    <w:rsid w:val="001F1037"/>
    <w:rsid w:val="001F109B"/>
    <w:rsid w:val="001F10E1"/>
    <w:rsid w:val="001F1124"/>
    <w:rsid w:val="001F1130"/>
    <w:rsid w:val="001F1289"/>
    <w:rsid w:val="001F1346"/>
    <w:rsid w:val="001F15E4"/>
    <w:rsid w:val="001F164D"/>
    <w:rsid w:val="001F16AD"/>
    <w:rsid w:val="001F1803"/>
    <w:rsid w:val="001F187A"/>
    <w:rsid w:val="001F1AA9"/>
    <w:rsid w:val="001F1B27"/>
    <w:rsid w:val="001F1BEB"/>
    <w:rsid w:val="001F1C16"/>
    <w:rsid w:val="001F1CAA"/>
    <w:rsid w:val="001F1D20"/>
    <w:rsid w:val="001F1E3A"/>
    <w:rsid w:val="001F1EB5"/>
    <w:rsid w:val="001F1FF7"/>
    <w:rsid w:val="001F2195"/>
    <w:rsid w:val="001F22A1"/>
    <w:rsid w:val="001F23B4"/>
    <w:rsid w:val="001F2477"/>
    <w:rsid w:val="001F24D5"/>
    <w:rsid w:val="001F2586"/>
    <w:rsid w:val="001F25C1"/>
    <w:rsid w:val="001F2646"/>
    <w:rsid w:val="001F27F8"/>
    <w:rsid w:val="001F2820"/>
    <w:rsid w:val="001F28E1"/>
    <w:rsid w:val="001F2A55"/>
    <w:rsid w:val="001F2B68"/>
    <w:rsid w:val="001F2B76"/>
    <w:rsid w:val="001F2B83"/>
    <w:rsid w:val="001F2F49"/>
    <w:rsid w:val="001F2FB9"/>
    <w:rsid w:val="001F2FF9"/>
    <w:rsid w:val="001F3009"/>
    <w:rsid w:val="001F3365"/>
    <w:rsid w:val="001F343D"/>
    <w:rsid w:val="001F3576"/>
    <w:rsid w:val="001F364F"/>
    <w:rsid w:val="001F366B"/>
    <w:rsid w:val="001F3672"/>
    <w:rsid w:val="001F36A2"/>
    <w:rsid w:val="001F38EE"/>
    <w:rsid w:val="001F39E8"/>
    <w:rsid w:val="001F3ABA"/>
    <w:rsid w:val="001F3AEA"/>
    <w:rsid w:val="001F3B65"/>
    <w:rsid w:val="001F3DA9"/>
    <w:rsid w:val="001F3E84"/>
    <w:rsid w:val="001F3EE4"/>
    <w:rsid w:val="001F3F89"/>
    <w:rsid w:val="001F3FF2"/>
    <w:rsid w:val="001F40B7"/>
    <w:rsid w:val="001F4257"/>
    <w:rsid w:val="001F4272"/>
    <w:rsid w:val="001F4377"/>
    <w:rsid w:val="001F43F2"/>
    <w:rsid w:val="001F4436"/>
    <w:rsid w:val="001F454E"/>
    <w:rsid w:val="001F4573"/>
    <w:rsid w:val="001F46ED"/>
    <w:rsid w:val="001F47DD"/>
    <w:rsid w:val="001F48BB"/>
    <w:rsid w:val="001F4B45"/>
    <w:rsid w:val="001F4B5C"/>
    <w:rsid w:val="001F4B71"/>
    <w:rsid w:val="001F4C05"/>
    <w:rsid w:val="001F4C07"/>
    <w:rsid w:val="001F4C73"/>
    <w:rsid w:val="001F4D82"/>
    <w:rsid w:val="001F4DB7"/>
    <w:rsid w:val="001F4F26"/>
    <w:rsid w:val="001F52E0"/>
    <w:rsid w:val="001F56D7"/>
    <w:rsid w:val="001F5BC0"/>
    <w:rsid w:val="001F5DA2"/>
    <w:rsid w:val="001F5DB2"/>
    <w:rsid w:val="001F5FE9"/>
    <w:rsid w:val="001F6062"/>
    <w:rsid w:val="001F6095"/>
    <w:rsid w:val="001F60ED"/>
    <w:rsid w:val="001F621A"/>
    <w:rsid w:val="001F62CB"/>
    <w:rsid w:val="001F630D"/>
    <w:rsid w:val="001F641C"/>
    <w:rsid w:val="001F64DE"/>
    <w:rsid w:val="001F66AE"/>
    <w:rsid w:val="001F66C2"/>
    <w:rsid w:val="001F6716"/>
    <w:rsid w:val="001F67E8"/>
    <w:rsid w:val="001F697B"/>
    <w:rsid w:val="001F6989"/>
    <w:rsid w:val="001F6B60"/>
    <w:rsid w:val="001F6B67"/>
    <w:rsid w:val="001F6D1F"/>
    <w:rsid w:val="001F6DA2"/>
    <w:rsid w:val="001F6DC1"/>
    <w:rsid w:val="001F6E8E"/>
    <w:rsid w:val="001F70C5"/>
    <w:rsid w:val="001F7162"/>
    <w:rsid w:val="001F7299"/>
    <w:rsid w:val="001F7381"/>
    <w:rsid w:val="001F75DE"/>
    <w:rsid w:val="001F78E0"/>
    <w:rsid w:val="001F791C"/>
    <w:rsid w:val="001F79F8"/>
    <w:rsid w:val="001F7A3A"/>
    <w:rsid w:val="001F7A4C"/>
    <w:rsid w:val="001F7BB2"/>
    <w:rsid w:val="001F7E6E"/>
    <w:rsid w:val="001F7FB1"/>
    <w:rsid w:val="00200140"/>
    <w:rsid w:val="002001B2"/>
    <w:rsid w:val="0020027B"/>
    <w:rsid w:val="00200356"/>
    <w:rsid w:val="0020048E"/>
    <w:rsid w:val="002004EB"/>
    <w:rsid w:val="00200500"/>
    <w:rsid w:val="00200558"/>
    <w:rsid w:val="00200635"/>
    <w:rsid w:val="00200642"/>
    <w:rsid w:val="002006A7"/>
    <w:rsid w:val="00200712"/>
    <w:rsid w:val="00200768"/>
    <w:rsid w:val="0020079A"/>
    <w:rsid w:val="0020089D"/>
    <w:rsid w:val="002009AE"/>
    <w:rsid w:val="00200AA0"/>
    <w:rsid w:val="00200B42"/>
    <w:rsid w:val="00200B48"/>
    <w:rsid w:val="00200BCC"/>
    <w:rsid w:val="00200F08"/>
    <w:rsid w:val="00200FAA"/>
    <w:rsid w:val="002012B3"/>
    <w:rsid w:val="0020133D"/>
    <w:rsid w:val="002013B1"/>
    <w:rsid w:val="00201510"/>
    <w:rsid w:val="00201861"/>
    <w:rsid w:val="00201B2B"/>
    <w:rsid w:val="00201B42"/>
    <w:rsid w:val="00201B9E"/>
    <w:rsid w:val="00201F46"/>
    <w:rsid w:val="0020206E"/>
    <w:rsid w:val="00202099"/>
    <w:rsid w:val="002020D6"/>
    <w:rsid w:val="00202487"/>
    <w:rsid w:val="002024C2"/>
    <w:rsid w:val="0020260B"/>
    <w:rsid w:val="00202617"/>
    <w:rsid w:val="00202646"/>
    <w:rsid w:val="002026CB"/>
    <w:rsid w:val="0020282E"/>
    <w:rsid w:val="00202875"/>
    <w:rsid w:val="002028E5"/>
    <w:rsid w:val="00202A18"/>
    <w:rsid w:val="00202AFD"/>
    <w:rsid w:val="00202C78"/>
    <w:rsid w:val="00202CCA"/>
    <w:rsid w:val="00202EA8"/>
    <w:rsid w:val="002032DC"/>
    <w:rsid w:val="002034EC"/>
    <w:rsid w:val="00203519"/>
    <w:rsid w:val="002035F9"/>
    <w:rsid w:val="00203649"/>
    <w:rsid w:val="00203682"/>
    <w:rsid w:val="00203707"/>
    <w:rsid w:val="00203794"/>
    <w:rsid w:val="0020395C"/>
    <w:rsid w:val="002039E1"/>
    <w:rsid w:val="002039E3"/>
    <w:rsid w:val="00203A79"/>
    <w:rsid w:val="00203D39"/>
    <w:rsid w:val="00203D55"/>
    <w:rsid w:val="00203DF4"/>
    <w:rsid w:val="00203E6A"/>
    <w:rsid w:val="00203E6C"/>
    <w:rsid w:val="00203EE2"/>
    <w:rsid w:val="00203EF4"/>
    <w:rsid w:val="00203F4C"/>
    <w:rsid w:val="00203FF5"/>
    <w:rsid w:val="00204042"/>
    <w:rsid w:val="002041CE"/>
    <w:rsid w:val="002041DA"/>
    <w:rsid w:val="00204301"/>
    <w:rsid w:val="0020432A"/>
    <w:rsid w:val="00204406"/>
    <w:rsid w:val="002044C5"/>
    <w:rsid w:val="002045D5"/>
    <w:rsid w:val="002046F0"/>
    <w:rsid w:val="0020470B"/>
    <w:rsid w:val="002048F3"/>
    <w:rsid w:val="00204913"/>
    <w:rsid w:val="002049B9"/>
    <w:rsid w:val="00204A35"/>
    <w:rsid w:val="00204A39"/>
    <w:rsid w:val="00204B2D"/>
    <w:rsid w:val="00204B6F"/>
    <w:rsid w:val="00204B77"/>
    <w:rsid w:val="00204D00"/>
    <w:rsid w:val="00204D7C"/>
    <w:rsid w:val="00204F3C"/>
    <w:rsid w:val="002050A2"/>
    <w:rsid w:val="00205199"/>
    <w:rsid w:val="0020530E"/>
    <w:rsid w:val="00205398"/>
    <w:rsid w:val="0020547C"/>
    <w:rsid w:val="002054F6"/>
    <w:rsid w:val="0020564F"/>
    <w:rsid w:val="00205690"/>
    <w:rsid w:val="0020574E"/>
    <w:rsid w:val="0020581A"/>
    <w:rsid w:val="00205825"/>
    <w:rsid w:val="002058D3"/>
    <w:rsid w:val="00205933"/>
    <w:rsid w:val="002059AE"/>
    <w:rsid w:val="00205A56"/>
    <w:rsid w:val="00205A80"/>
    <w:rsid w:val="00205D0C"/>
    <w:rsid w:val="00205D60"/>
    <w:rsid w:val="00205E10"/>
    <w:rsid w:val="00205EBB"/>
    <w:rsid w:val="00205F9E"/>
    <w:rsid w:val="00205FFE"/>
    <w:rsid w:val="0020623C"/>
    <w:rsid w:val="002062AB"/>
    <w:rsid w:val="002063D6"/>
    <w:rsid w:val="002064C3"/>
    <w:rsid w:val="00206539"/>
    <w:rsid w:val="0020654E"/>
    <w:rsid w:val="002069B9"/>
    <w:rsid w:val="00206B85"/>
    <w:rsid w:val="00206CAE"/>
    <w:rsid w:val="00206D54"/>
    <w:rsid w:val="00206D57"/>
    <w:rsid w:val="00206D72"/>
    <w:rsid w:val="00206D9C"/>
    <w:rsid w:val="00206FDC"/>
    <w:rsid w:val="0020710A"/>
    <w:rsid w:val="00207126"/>
    <w:rsid w:val="002071B1"/>
    <w:rsid w:val="002071DD"/>
    <w:rsid w:val="002071F6"/>
    <w:rsid w:val="00207351"/>
    <w:rsid w:val="002073B4"/>
    <w:rsid w:val="00207460"/>
    <w:rsid w:val="00207489"/>
    <w:rsid w:val="002075D5"/>
    <w:rsid w:val="0020769F"/>
    <w:rsid w:val="00207733"/>
    <w:rsid w:val="00207751"/>
    <w:rsid w:val="002077B5"/>
    <w:rsid w:val="002078DB"/>
    <w:rsid w:val="0020792A"/>
    <w:rsid w:val="0020794E"/>
    <w:rsid w:val="00207A05"/>
    <w:rsid w:val="00207A36"/>
    <w:rsid w:val="00207A53"/>
    <w:rsid w:val="00207B36"/>
    <w:rsid w:val="00207C00"/>
    <w:rsid w:val="00207C1A"/>
    <w:rsid w:val="00207C49"/>
    <w:rsid w:val="00207CC1"/>
    <w:rsid w:val="00207D32"/>
    <w:rsid w:val="00207D7B"/>
    <w:rsid w:val="00207E2E"/>
    <w:rsid w:val="00207E9D"/>
    <w:rsid w:val="00207F5D"/>
    <w:rsid w:val="00207FB9"/>
    <w:rsid w:val="002101B9"/>
    <w:rsid w:val="002101C1"/>
    <w:rsid w:val="0021021C"/>
    <w:rsid w:val="00210267"/>
    <w:rsid w:val="002102E9"/>
    <w:rsid w:val="00210333"/>
    <w:rsid w:val="00210343"/>
    <w:rsid w:val="00210479"/>
    <w:rsid w:val="002105CA"/>
    <w:rsid w:val="0021073E"/>
    <w:rsid w:val="00210836"/>
    <w:rsid w:val="002108D8"/>
    <w:rsid w:val="00210929"/>
    <w:rsid w:val="00210C42"/>
    <w:rsid w:val="00210D6A"/>
    <w:rsid w:val="00210D6E"/>
    <w:rsid w:val="00210E5A"/>
    <w:rsid w:val="00210F4E"/>
    <w:rsid w:val="0021100B"/>
    <w:rsid w:val="002110AA"/>
    <w:rsid w:val="002110B6"/>
    <w:rsid w:val="00211106"/>
    <w:rsid w:val="00211159"/>
    <w:rsid w:val="00211164"/>
    <w:rsid w:val="002111DB"/>
    <w:rsid w:val="002111EB"/>
    <w:rsid w:val="002113AA"/>
    <w:rsid w:val="002115A0"/>
    <w:rsid w:val="002116A1"/>
    <w:rsid w:val="002116A3"/>
    <w:rsid w:val="002116F5"/>
    <w:rsid w:val="00211A4C"/>
    <w:rsid w:val="00211A86"/>
    <w:rsid w:val="00211A99"/>
    <w:rsid w:val="00211B55"/>
    <w:rsid w:val="00211C3E"/>
    <w:rsid w:val="00211C83"/>
    <w:rsid w:val="00211C93"/>
    <w:rsid w:val="00211E67"/>
    <w:rsid w:val="00212017"/>
    <w:rsid w:val="002120AD"/>
    <w:rsid w:val="00212143"/>
    <w:rsid w:val="00212147"/>
    <w:rsid w:val="00212151"/>
    <w:rsid w:val="002121EB"/>
    <w:rsid w:val="0021225F"/>
    <w:rsid w:val="0021230D"/>
    <w:rsid w:val="002123C0"/>
    <w:rsid w:val="002124A6"/>
    <w:rsid w:val="002125F5"/>
    <w:rsid w:val="0021265E"/>
    <w:rsid w:val="0021283C"/>
    <w:rsid w:val="00212A0F"/>
    <w:rsid w:val="00212A4E"/>
    <w:rsid w:val="00212A67"/>
    <w:rsid w:val="00212A85"/>
    <w:rsid w:val="00212C4C"/>
    <w:rsid w:val="00212E22"/>
    <w:rsid w:val="00212E7F"/>
    <w:rsid w:val="00212EEF"/>
    <w:rsid w:val="00212F2D"/>
    <w:rsid w:val="00212FA8"/>
    <w:rsid w:val="0021313C"/>
    <w:rsid w:val="00213247"/>
    <w:rsid w:val="002133EC"/>
    <w:rsid w:val="0021356D"/>
    <w:rsid w:val="00213630"/>
    <w:rsid w:val="00213718"/>
    <w:rsid w:val="00213727"/>
    <w:rsid w:val="0021378E"/>
    <w:rsid w:val="00213823"/>
    <w:rsid w:val="002139E4"/>
    <w:rsid w:val="00213B0F"/>
    <w:rsid w:val="00213B22"/>
    <w:rsid w:val="00213B9B"/>
    <w:rsid w:val="00213BAE"/>
    <w:rsid w:val="00213C2C"/>
    <w:rsid w:val="00213C66"/>
    <w:rsid w:val="00213CB0"/>
    <w:rsid w:val="00213CD1"/>
    <w:rsid w:val="00213DBC"/>
    <w:rsid w:val="00213EAD"/>
    <w:rsid w:val="00213EC0"/>
    <w:rsid w:val="00213F18"/>
    <w:rsid w:val="00213F44"/>
    <w:rsid w:val="00214006"/>
    <w:rsid w:val="002140E3"/>
    <w:rsid w:val="00214131"/>
    <w:rsid w:val="00214134"/>
    <w:rsid w:val="0021416F"/>
    <w:rsid w:val="00214267"/>
    <w:rsid w:val="0021428F"/>
    <w:rsid w:val="00214456"/>
    <w:rsid w:val="002144D0"/>
    <w:rsid w:val="002144F0"/>
    <w:rsid w:val="00214744"/>
    <w:rsid w:val="00214864"/>
    <w:rsid w:val="00214A03"/>
    <w:rsid w:val="00214B04"/>
    <w:rsid w:val="00214D6A"/>
    <w:rsid w:val="00214E80"/>
    <w:rsid w:val="00214F02"/>
    <w:rsid w:val="00214F59"/>
    <w:rsid w:val="002150D1"/>
    <w:rsid w:val="00215207"/>
    <w:rsid w:val="00215270"/>
    <w:rsid w:val="002153E1"/>
    <w:rsid w:val="002153F3"/>
    <w:rsid w:val="002155D7"/>
    <w:rsid w:val="00215681"/>
    <w:rsid w:val="0021575A"/>
    <w:rsid w:val="00215809"/>
    <w:rsid w:val="0021582F"/>
    <w:rsid w:val="00215851"/>
    <w:rsid w:val="0021586C"/>
    <w:rsid w:val="0021592D"/>
    <w:rsid w:val="0021596D"/>
    <w:rsid w:val="00215A43"/>
    <w:rsid w:val="00215B18"/>
    <w:rsid w:val="00215B1A"/>
    <w:rsid w:val="00215B95"/>
    <w:rsid w:val="00215D5F"/>
    <w:rsid w:val="00215EFD"/>
    <w:rsid w:val="00215FF5"/>
    <w:rsid w:val="00215FFC"/>
    <w:rsid w:val="00216024"/>
    <w:rsid w:val="002160B5"/>
    <w:rsid w:val="0021616F"/>
    <w:rsid w:val="00216268"/>
    <w:rsid w:val="002162A5"/>
    <w:rsid w:val="002162AA"/>
    <w:rsid w:val="00216357"/>
    <w:rsid w:val="002163A2"/>
    <w:rsid w:val="002163A6"/>
    <w:rsid w:val="002166BD"/>
    <w:rsid w:val="0021677E"/>
    <w:rsid w:val="002167D5"/>
    <w:rsid w:val="00216805"/>
    <w:rsid w:val="002168D6"/>
    <w:rsid w:val="00216908"/>
    <w:rsid w:val="00216988"/>
    <w:rsid w:val="00216B36"/>
    <w:rsid w:val="00216BB1"/>
    <w:rsid w:val="00216CDE"/>
    <w:rsid w:val="00216E91"/>
    <w:rsid w:val="00217191"/>
    <w:rsid w:val="002171A0"/>
    <w:rsid w:val="002171E0"/>
    <w:rsid w:val="00217281"/>
    <w:rsid w:val="002172D2"/>
    <w:rsid w:val="00217327"/>
    <w:rsid w:val="00217348"/>
    <w:rsid w:val="002173C1"/>
    <w:rsid w:val="00217411"/>
    <w:rsid w:val="002174EC"/>
    <w:rsid w:val="002176B3"/>
    <w:rsid w:val="00217793"/>
    <w:rsid w:val="0021787E"/>
    <w:rsid w:val="00217889"/>
    <w:rsid w:val="00217991"/>
    <w:rsid w:val="00217A0D"/>
    <w:rsid w:val="00217AA5"/>
    <w:rsid w:val="00217C9E"/>
    <w:rsid w:val="00217CD9"/>
    <w:rsid w:val="00217D5B"/>
    <w:rsid w:val="00217DBD"/>
    <w:rsid w:val="00217EAB"/>
    <w:rsid w:val="00217F88"/>
    <w:rsid w:val="00220122"/>
    <w:rsid w:val="002202F1"/>
    <w:rsid w:val="00220398"/>
    <w:rsid w:val="00220423"/>
    <w:rsid w:val="002205FA"/>
    <w:rsid w:val="00220674"/>
    <w:rsid w:val="002206A3"/>
    <w:rsid w:val="00220745"/>
    <w:rsid w:val="00220750"/>
    <w:rsid w:val="0022086F"/>
    <w:rsid w:val="002208A7"/>
    <w:rsid w:val="002208CA"/>
    <w:rsid w:val="002208EF"/>
    <w:rsid w:val="0022093E"/>
    <w:rsid w:val="0022095B"/>
    <w:rsid w:val="00220971"/>
    <w:rsid w:val="00220AA2"/>
    <w:rsid w:val="00220C55"/>
    <w:rsid w:val="00220CCD"/>
    <w:rsid w:val="00220FF4"/>
    <w:rsid w:val="00221011"/>
    <w:rsid w:val="002210B3"/>
    <w:rsid w:val="002211C8"/>
    <w:rsid w:val="002211D6"/>
    <w:rsid w:val="00221209"/>
    <w:rsid w:val="0022124E"/>
    <w:rsid w:val="00221254"/>
    <w:rsid w:val="002212BC"/>
    <w:rsid w:val="00221361"/>
    <w:rsid w:val="0022153E"/>
    <w:rsid w:val="00221716"/>
    <w:rsid w:val="002217A8"/>
    <w:rsid w:val="002217C6"/>
    <w:rsid w:val="002218D5"/>
    <w:rsid w:val="002218EF"/>
    <w:rsid w:val="00221985"/>
    <w:rsid w:val="00221B8B"/>
    <w:rsid w:val="00221BB8"/>
    <w:rsid w:val="00221CBD"/>
    <w:rsid w:val="00221CE9"/>
    <w:rsid w:val="00221D97"/>
    <w:rsid w:val="00221EAB"/>
    <w:rsid w:val="00221EC0"/>
    <w:rsid w:val="00221F79"/>
    <w:rsid w:val="00222095"/>
    <w:rsid w:val="00222097"/>
    <w:rsid w:val="00222255"/>
    <w:rsid w:val="00222264"/>
    <w:rsid w:val="00222367"/>
    <w:rsid w:val="00222570"/>
    <w:rsid w:val="00222584"/>
    <w:rsid w:val="00222642"/>
    <w:rsid w:val="00222685"/>
    <w:rsid w:val="00222877"/>
    <w:rsid w:val="00222A44"/>
    <w:rsid w:val="00222A9C"/>
    <w:rsid w:val="00222AAB"/>
    <w:rsid w:val="00222AC0"/>
    <w:rsid w:val="00222AF2"/>
    <w:rsid w:val="00222BE4"/>
    <w:rsid w:val="00222C27"/>
    <w:rsid w:val="00222C94"/>
    <w:rsid w:val="00222CCC"/>
    <w:rsid w:val="0022316C"/>
    <w:rsid w:val="002233C7"/>
    <w:rsid w:val="00223414"/>
    <w:rsid w:val="0022344A"/>
    <w:rsid w:val="00223531"/>
    <w:rsid w:val="00223631"/>
    <w:rsid w:val="002236A5"/>
    <w:rsid w:val="002236D5"/>
    <w:rsid w:val="0022372F"/>
    <w:rsid w:val="002239A4"/>
    <w:rsid w:val="002239E2"/>
    <w:rsid w:val="00223A5E"/>
    <w:rsid w:val="00223A7B"/>
    <w:rsid w:val="00223AF1"/>
    <w:rsid w:val="00223B91"/>
    <w:rsid w:val="00223DED"/>
    <w:rsid w:val="00223E19"/>
    <w:rsid w:val="00223ECD"/>
    <w:rsid w:val="00223F58"/>
    <w:rsid w:val="00223F8E"/>
    <w:rsid w:val="00223FF4"/>
    <w:rsid w:val="0022404A"/>
    <w:rsid w:val="002240CA"/>
    <w:rsid w:val="0022411B"/>
    <w:rsid w:val="00224197"/>
    <w:rsid w:val="002241DB"/>
    <w:rsid w:val="002241DE"/>
    <w:rsid w:val="002241E1"/>
    <w:rsid w:val="00224212"/>
    <w:rsid w:val="00224236"/>
    <w:rsid w:val="0022427E"/>
    <w:rsid w:val="00224377"/>
    <w:rsid w:val="00224390"/>
    <w:rsid w:val="00224449"/>
    <w:rsid w:val="00224601"/>
    <w:rsid w:val="0022464B"/>
    <w:rsid w:val="00224658"/>
    <w:rsid w:val="002247E6"/>
    <w:rsid w:val="00224A33"/>
    <w:rsid w:val="00224AF1"/>
    <w:rsid w:val="00224BE6"/>
    <w:rsid w:val="00224D10"/>
    <w:rsid w:val="00224E51"/>
    <w:rsid w:val="00224EB4"/>
    <w:rsid w:val="00224F23"/>
    <w:rsid w:val="00224FFC"/>
    <w:rsid w:val="00225216"/>
    <w:rsid w:val="0022522C"/>
    <w:rsid w:val="00225243"/>
    <w:rsid w:val="0022538E"/>
    <w:rsid w:val="002254FB"/>
    <w:rsid w:val="00225581"/>
    <w:rsid w:val="0022558C"/>
    <w:rsid w:val="00225627"/>
    <w:rsid w:val="00225631"/>
    <w:rsid w:val="00225649"/>
    <w:rsid w:val="00225689"/>
    <w:rsid w:val="00225778"/>
    <w:rsid w:val="0022587E"/>
    <w:rsid w:val="00225883"/>
    <w:rsid w:val="002258EF"/>
    <w:rsid w:val="00225920"/>
    <w:rsid w:val="00225948"/>
    <w:rsid w:val="00225A54"/>
    <w:rsid w:val="00225AF4"/>
    <w:rsid w:val="00225D6F"/>
    <w:rsid w:val="00225EF6"/>
    <w:rsid w:val="00226194"/>
    <w:rsid w:val="00226363"/>
    <w:rsid w:val="002264FB"/>
    <w:rsid w:val="00226527"/>
    <w:rsid w:val="002265C7"/>
    <w:rsid w:val="002265CD"/>
    <w:rsid w:val="002265D6"/>
    <w:rsid w:val="002265F4"/>
    <w:rsid w:val="002265F9"/>
    <w:rsid w:val="002266C3"/>
    <w:rsid w:val="00226714"/>
    <w:rsid w:val="00226A90"/>
    <w:rsid w:val="00226AC6"/>
    <w:rsid w:val="00226C7D"/>
    <w:rsid w:val="00226D33"/>
    <w:rsid w:val="00226D52"/>
    <w:rsid w:val="00226E35"/>
    <w:rsid w:val="00226E9D"/>
    <w:rsid w:val="00226EAA"/>
    <w:rsid w:val="00226EAC"/>
    <w:rsid w:val="00226ECB"/>
    <w:rsid w:val="00226F0C"/>
    <w:rsid w:val="00226F4A"/>
    <w:rsid w:val="00226FD8"/>
    <w:rsid w:val="0022719B"/>
    <w:rsid w:val="002271EF"/>
    <w:rsid w:val="002272E9"/>
    <w:rsid w:val="002273AC"/>
    <w:rsid w:val="002273D4"/>
    <w:rsid w:val="00227400"/>
    <w:rsid w:val="0022744C"/>
    <w:rsid w:val="0022757C"/>
    <w:rsid w:val="0022759C"/>
    <w:rsid w:val="00227736"/>
    <w:rsid w:val="002278B3"/>
    <w:rsid w:val="002279C4"/>
    <w:rsid w:val="002279E6"/>
    <w:rsid w:val="00227C82"/>
    <w:rsid w:val="00227C8D"/>
    <w:rsid w:val="00227D4A"/>
    <w:rsid w:val="00227DA4"/>
    <w:rsid w:val="00227E00"/>
    <w:rsid w:val="00227E03"/>
    <w:rsid w:val="00227E38"/>
    <w:rsid w:val="00227FBD"/>
    <w:rsid w:val="00230010"/>
    <w:rsid w:val="0023003B"/>
    <w:rsid w:val="00230043"/>
    <w:rsid w:val="002300BA"/>
    <w:rsid w:val="00230161"/>
    <w:rsid w:val="002301A2"/>
    <w:rsid w:val="002301BF"/>
    <w:rsid w:val="002301F6"/>
    <w:rsid w:val="002301FB"/>
    <w:rsid w:val="002302CC"/>
    <w:rsid w:val="0023037A"/>
    <w:rsid w:val="002303C5"/>
    <w:rsid w:val="00230444"/>
    <w:rsid w:val="00230465"/>
    <w:rsid w:val="002304C4"/>
    <w:rsid w:val="00230527"/>
    <w:rsid w:val="0023054D"/>
    <w:rsid w:val="00230678"/>
    <w:rsid w:val="0023068F"/>
    <w:rsid w:val="00230770"/>
    <w:rsid w:val="00230841"/>
    <w:rsid w:val="0023091D"/>
    <w:rsid w:val="00230B84"/>
    <w:rsid w:val="00230C26"/>
    <w:rsid w:val="00230CC9"/>
    <w:rsid w:val="00230CF9"/>
    <w:rsid w:val="00230E47"/>
    <w:rsid w:val="00230F4D"/>
    <w:rsid w:val="00230FA3"/>
    <w:rsid w:val="00231049"/>
    <w:rsid w:val="002310FA"/>
    <w:rsid w:val="00231162"/>
    <w:rsid w:val="00231168"/>
    <w:rsid w:val="00231226"/>
    <w:rsid w:val="0023127C"/>
    <w:rsid w:val="002312CC"/>
    <w:rsid w:val="0023135B"/>
    <w:rsid w:val="00231499"/>
    <w:rsid w:val="002314D2"/>
    <w:rsid w:val="00231526"/>
    <w:rsid w:val="002315D6"/>
    <w:rsid w:val="00231649"/>
    <w:rsid w:val="00231668"/>
    <w:rsid w:val="002316A6"/>
    <w:rsid w:val="00231707"/>
    <w:rsid w:val="00231835"/>
    <w:rsid w:val="00231837"/>
    <w:rsid w:val="00231851"/>
    <w:rsid w:val="00231854"/>
    <w:rsid w:val="00231924"/>
    <w:rsid w:val="002319E1"/>
    <w:rsid w:val="00231AF4"/>
    <w:rsid w:val="00231B2E"/>
    <w:rsid w:val="00231B4E"/>
    <w:rsid w:val="00231BED"/>
    <w:rsid w:val="00231C7A"/>
    <w:rsid w:val="00231D4A"/>
    <w:rsid w:val="00231DA2"/>
    <w:rsid w:val="00231DAA"/>
    <w:rsid w:val="00231DB5"/>
    <w:rsid w:val="00231DC5"/>
    <w:rsid w:val="00231DFE"/>
    <w:rsid w:val="00231E22"/>
    <w:rsid w:val="00231F4D"/>
    <w:rsid w:val="00231F66"/>
    <w:rsid w:val="00231F68"/>
    <w:rsid w:val="00232264"/>
    <w:rsid w:val="002322D2"/>
    <w:rsid w:val="002322DA"/>
    <w:rsid w:val="002322FD"/>
    <w:rsid w:val="0023240E"/>
    <w:rsid w:val="002324C0"/>
    <w:rsid w:val="002324EC"/>
    <w:rsid w:val="0023250F"/>
    <w:rsid w:val="002325D9"/>
    <w:rsid w:val="0023263D"/>
    <w:rsid w:val="002326DF"/>
    <w:rsid w:val="002328BC"/>
    <w:rsid w:val="002328BE"/>
    <w:rsid w:val="002328F8"/>
    <w:rsid w:val="0023295B"/>
    <w:rsid w:val="00232A42"/>
    <w:rsid w:val="00232AF5"/>
    <w:rsid w:val="00232AFA"/>
    <w:rsid w:val="00232C02"/>
    <w:rsid w:val="00232C41"/>
    <w:rsid w:val="00232DED"/>
    <w:rsid w:val="00232F77"/>
    <w:rsid w:val="00232F98"/>
    <w:rsid w:val="00232F99"/>
    <w:rsid w:val="0023305C"/>
    <w:rsid w:val="0023307C"/>
    <w:rsid w:val="00233133"/>
    <w:rsid w:val="0023314D"/>
    <w:rsid w:val="00233298"/>
    <w:rsid w:val="002334CA"/>
    <w:rsid w:val="002335A9"/>
    <w:rsid w:val="002336A2"/>
    <w:rsid w:val="00233811"/>
    <w:rsid w:val="00233AFE"/>
    <w:rsid w:val="00233B88"/>
    <w:rsid w:val="00233C3D"/>
    <w:rsid w:val="00233DC5"/>
    <w:rsid w:val="00233DE0"/>
    <w:rsid w:val="00233EC4"/>
    <w:rsid w:val="00233ED2"/>
    <w:rsid w:val="00233F7E"/>
    <w:rsid w:val="002340D9"/>
    <w:rsid w:val="002340EA"/>
    <w:rsid w:val="002340FD"/>
    <w:rsid w:val="00234172"/>
    <w:rsid w:val="00234209"/>
    <w:rsid w:val="0023437E"/>
    <w:rsid w:val="002343EA"/>
    <w:rsid w:val="00234461"/>
    <w:rsid w:val="002344D3"/>
    <w:rsid w:val="00234511"/>
    <w:rsid w:val="00234530"/>
    <w:rsid w:val="0023457C"/>
    <w:rsid w:val="002345C4"/>
    <w:rsid w:val="002345C6"/>
    <w:rsid w:val="0023461C"/>
    <w:rsid w:val="002346B0"/>
    <w:rsid w:val="0023479D"/>
    <w:rsid w:val="002347C7"/>
    <w:rsid w:val="002347F1"/>
    <w:rsid w:val="00234824"/>
    <w:rsid w:val="002349E0"/>
    <w:rsid w:val="00234AC5"/>
    <w:rsid w:val="00234C39"/>
    <w:rsid w:val="00234E1C"/>
    <w:rsid w:val="00234E26"/>
    <w:rsid w:val="00234E54"/>
    <w:rsid w:val="00234E89"/>
    <w:rsid w:val="00234FA9"/>
    <w:rsid w:val="00234FCF"/>
    <w:rsid w:val="002350BE"/>
    <w:rsid w:val="00235164"/>
    <w:rsid w:val="002352AF"/>
    <w:rsid w:val="00235368"/>
    <w:rsid w:val="00235385"/>
    <w:rsid w:val="0023544E"/>
    <w:rsid w:val="002354AD"/>
    <w:rsid w:val="00235530"/>
    <w:rsid w:val="002355AE"/>
    <w:rsid w:val="0023566E"/>
    <w:rsid w:val="00235779"/>
    <w:rsid w:val="00235813"/>
    <w:rsid w:val="00235883"/>
    <w:rsid w:val="0023598A"/>
    <w:rsid w:val="00235AFC"/>
    <w:rsid w:val="00235BF4"/>
    <w:rsid w:val="00235D76"/>
    <w:rsid w:val="00235D9F"/>
    <w:rsid w:val="00235E85"/>
    <w:rsid w:val="0023600B"/>
    <w:rsid w:val="002361B3"/>
    <w:rsid w:val="002362E8"/>
    <w:rsid w:val="0023631B"/>
    <w:rsid w:val="0023636C"/>
    <w:rsid w:val="0023637C"/>
    <w:rsid w:val="0023643E"/>
    <w:rsid w:val="00236530"/>
    <w:rsid w:val="00236636"/>
    <w:rsid w:val="00236659"/>
    <w:rsid w:val="002366D0"/>
    <w:rsid w:val="002366F2"/>
    <w:rsid w:val="00236877"/>
    <w:rsid w:val="00236938"/>
    <w:rsid w:val="00236979"/>
    <w:rsid w:val="00236A65"/>
    <w:rsid w:val="00236BD7"/>
    <w:rsid w:val="00236CA6"/>
    <w:rsid w:val="00236D79"/>
    <w:rsid w:val="00236D9A"/>
    <w:rsid w:val="00236DD5"/>
    <w:rsid w:val="00236EC5"/>
    <w:rsid w:val="00236F9D"/>
    <w:rsid w:val="0023703C"/>
    <w:rsid w:val="002370FB"/>
    <w:rsid w:val="0023716E"/>
    <w:rsid w:val="00237178"/>
    <w:rsid w:val="002371E9"/>
    <w:rsid w:val="0023721D"/>
    <w:rsid w:val="00237266"/>
    <w:rsid w:val="00237569"/>
    <w:rsid w:val="002376B7"/>
    <w:rsid w:val="0023774B"/>
    <w:rsid w:val="002379DF"/>
    <w:rsid w:val="00237BCA"/>
    <w:rsid w:val="00237C86"/>
    <w:rsid w:val="00237CD2"/>
    <w:rsid w:val="00237DE5"/>
    <w:rsid w:val="00237FEB"/>
    <w:rsid w:val="0024012F"/>
    <w:rsid w:val="00240137"/>
    <w:rsid w:val="00240222"/>
    <w:rsid w:val="00240228"/>
    <w:rsid w:val="0024035A"/>
    <w:rsid w:val="002404FF"/>
    <w:rsid w:val="00240539"/>
    <w:rsid w:val="00240557"/>
    <w:rsid w:val="00240649"/>
    <w:rsid w:val="0024071C"/>
    <w:rsid w:val="0024078B"/>
    <w:rsid w:val="0024080A"/>
    <w:rsid w:val="0024094A"/>
    <w:rsid w:val="00240C20"/>
    <w:rsid w:val="00240C40"/>
    <w:rsid w:val="00240D6E"/>
    <w:rsid w:val="00240E4B"/>
    <w:rsid w:val="00240F4C"/>
    <w:rsid w:val="00240F57"/>
    <w:rsid w:val="00240F6E"/>
    <w:rsid w:val="00240FD2"/>
    <w:rsid w:val="0024109E"/>
    <w:rsid w:val="002410B5"/>
    <w:rsid w:val="0024123C"/>
    <w:rsid w:val="00241253"/>
    <w:rsid w:val="0024125D"/>
    <w:rsid w:val="00241264"/>
    <w:rsid w:val="00241279"/>
    <w:rsid w:val="002412A5"/>
    <w:rsid w:val="00241314"/>
    <w:rsid w:val="00241367"/>
    <w:rsid w:val="0024148B"/>
    <w:rsid w:val="00241521"/>
    <w:rsid w:val="00241549"/>
    <w:rsid w:val="002415BC"/>
    <w:rsid w:val="0024168F"/>
    <w:rsid w:val="002416F3"/>
    <w:rsid w:val="00241756"/>
    <w:rsid w:val="00241857"/>
    <w:rsid w:val="00241881"/>
    <w:rsid w:val="002419BA"/>
    <w:rsid w:val="00241A08"/>
    <w:rsid w:val="00241A63"/>
    <w:rsid w:val="00241AC6"/>
    <w:rsid w:val="00241E21"/>
    <w:rsid w:val="00241E69"/>
    <w:rsid w:val="00241FF5"/>
    <w:rsid w:val="0024212E"/>
    <w:rsid w:val="002423F2"/>
    <w:rsid w:val="00242559"/>
    <w:rsid w:val="002425D6"/>
    <w:rsid w:val="002426A8"/>
    <w:rsid w:val="0024274A"/>
    <w:rsid w:val="00242829"/>
    <w:rsid w:val="0024294C"/>
    <w:rsid w:val="002429C2"/>
    <w:rsid w:val="00242B93"/>
    <w:rsid w:val="00242C3C"/>
    <w:rsid w:val="00242C94"/>
    <w:rsid w:val="00242E32"/>
    <w:rsid w:val="00242E80"/>
    <w:rsid w:val="00242F70"/>
    <w:rsid w:val="00242FB8"/>
    <w:rsid w:val="00243044"/>
    <w:rsid w:val="00243535"/>
    <w:rsid w:val="00243588"/>
    <w:rsid w:val="002435BF"/>
    <w:rsid w:val="00243603"/>
    <w:rsid w:val="0024375E"/>
    <w:rsid w:val="0024378A"/>
    <w:rsid w:val="0024388A"/>
    <w:rsid w:val="00243AB9"/>
    <w:rsid w:val="00243CD0"/>
    <w:rsid w:val="00243D2C"/>
    <w:rsid w:val="00243DAE"/>
    <w:rsid w:val="00243DF7"/>
    <w:rsid w:val="00243E1D"/>
    <w:rsid w:val="00243F25"/>
    <w:rsid w:val="0024401E"/>
    <w:rsid w:val="0024405D"/>
    <w:rsid w:val="002440F9"/>
    <w:rsid w:val="002441AD"/>
    <w:rsid w:val="00244398"/>
    <w:rsid w:val="002443C6"/>
    <w:rsid w:val="00244425"/>
    <w:rsid w:val="0024447F"/>
    <w:rsid w:val="00244555"/>
    <w:rsid w:val="0024461C"/>
    <w:rsid w:val="00244643"/>
    <w:rsid w:val="002447C1"/>
    <w:rsid w:val="002447DE"/>
    <w:rsid w:val="00244879"/>
    <w:rsid w:val="002448B2"/>
    <w:rsid w:val="002448B8"/>
    <w:rsid w:val="002448F5"/>
    <w:rsid w:val="002449D9"/>
    <w:rsid w:val="00244A36"/>
    <w:rsid w:val="00244AD8"/>
    <w:rsid w:val="00244C54"/>
    <w:rsid w:val="00244C68"/>
    <w:rsid w:val="00244CB0"/>
    <w:rsid w:val="00244D5C"/>
    <w:rsid w:val="00244FDC"/>
    <w:rsid w:val="00245047"/>
    <w:rsid w:val="002450EE"/>
    <w:rsid w:val="002451E4"/>
    <w:rsid w:val="002451EB"/>
    <w:rsid w:val="002451F4"/>
    <w:rsid w:val="00245394"/>
    <w:rsid w:val="002453E6"/>
    <w:rsid w:val="0024545C"/>
    <w:rsid w:val="002457C0"/>
    <w:rsid w:val="00245832"/>
    <w:rsid w:val="00245906"/>
    <w:rsid w:val="0024597F"/>
    <w:rsid w:val="00245B34"/>
    <w:rsid w:val="00245B46"/>
    <w:rsid w:val="00245C19"/>
    <w:rsid w:val="00245CA7"/>
    <w:rsid w:val="00245CDC"/>
    <w:rsid w:val="00245EC5"/>
    <w:rsid w:val="00245F7A"/>
    <w:rsid w:val="00245FBB"/>
    <w:rsid w:val="00246050"/>
    <w:rsid w:val="002460A9"/>
    <w:rsid w:val="002460F0"/>
    <w:rsid w:val="002461BA"/>
    <w:rsid w:val="002461FC"/>
    <w:rsid w:val="002462F8"/>
    <w:rsid w:val="0024638D"/>
    <w:rsid w:val="002463A5"/>
    <w:rsid w:val="002466AE"/>
    <w:rsid w:val="002467B6"/>
    <w:rsid w:val="002467B9"/>
    <w:rsid w:val="0024683F"/>
    <w:rsid w:val="00246885"/>
    <w:rsid w:val="00246920"/>
    <w:rsid w:val="002469BC"/>
    <w:rsid w:val="00246ACE"/>
    <w:rsid w:val="00246C08"/>
    <w:rsid w:val="00246C25"/>
    <w:rsid w:val="00246D00"/>
    <w:rsid w:val="00246D71"/>
    <w:rsid w:val="00246F5C"/>
    <w:rsid w:val="00246FEE"/>
    <w:rsid w:val="00247008"/>
    <w:rsid w:val="00247065"/>
    <w:rsid w:val="00247142"/>
    <w:rsid w:val="002471C2"/>
    <w:rsid w:val="002472AC"/>
    <w:rsid w:val="002472DC"/>
    <w:rsid w:val="00247353"/>
    <w:rsid w:val="002474EA"/>
    <w:rsid w:val="00247503"/>
    <w:rsid w:val="00247527"/>
    <w:rsid w:val="002475A4"/>
    <w:rsid w:val="002475BE"/>
    <w:rsid w:val="0024763E"/>
    <w:rsid w:val="00247739"/>
    <w:rsid w:val="0024787A"/>
    <w:rsid w:val="00247951"/>
    <w:rsid w:val="00247A23"/>
    <w:rsid w:val="00247ADA"/>
    <w:rsid w:val="00247B80"/>
    <w:rsid w:val="00247B86"/>
    <w:rsid w:val="00247B8B"/>
    <w:rsid w:val="00247CAD"/>
    <w:rsid w:val="00247CDB"/>
    <w:rsid w:val="00247D2F"/>
    <w:rsid w:val="00247F57"/>
    <w:rsid w:val="00250096"/>
    <w:rsid w:val="002500A8"/>
    <w:rsid w:val="002500C1"/>
    <w:rsid w:val="002500D6"/>
    <w:rsid w:val="00250230"/>
    <w:rsid w:val="0025038E"/>
    <w:rsid w:val="0025040E"/>
    <w:rsid w:val="00250420"/>
    <w:rsid w:val="00250466"/>
    <w:rsid w:val="0025046F"/>
    <w:rsid w:val="002505C1"/>
    <w:rsid w:val="002505F5"/>
    <w:rsid w:val="0025060C"/>
    <w:rsid w:val="00250647"/>
    <w:rsid w:val="00250690"/>
    <w:rsid w:val="0025070E"/>
    <w:rsid w:val="00250873"/>
    <w:rsid w:val="0025096A"/>
    <w:rsid w:val="00250C14"/>
    <w:rsid w:val="00250C22"/>
    <w:rsid w:val="00250D3C"/>
    <w:rsid w:val="00250D60"/>
    <w:rsid w:val="00250D7E"/>
    <w:rsid w:val="00250EF8"/>
    <w:rsid w:val="00250FA2"/>
    <w:rsid w:val="00250FC6"/>
    <w:rsid w:val="00251036"/>
    <w:rsid w:val="002510A2"/>
    <w:rsid w:val="00251117"/>
    <w:rsid w:val="00251309"/>
    <w:rsid w:val="00251357"/>
    <w:rsid w:val="0025142F"/>
    <w:rsid w:val="002515E1"/>
    <w:rsid w:val="002515EB"/>
    <w:rsid w:val="00251614"/>
    <w:rsid w:val="002516A0"/>
    <w:rsid w:val="002516BD"/>
    <w:rsid w:val="00251833"/>
    <w:rsid w:val="002518E2"/>
    <w:rsid w:val="002518F9"/>
    <w:rsid w:val="002519BD"/>
    <w:rsid w:val="00251AEE"/>
    <w:rsid w:val="00251B45"/>
    <w:rsid w:val="00251B4F"/>
    <w:rsid w:val="00251B58"/>
    <w:rsid w:val="00251DA1"/>
    <w:rsid w:val="00251EEF"/>
    <w:rsid w:val="00251EF1"/>
    <w:rsid w:val="00251FA4"/>
    <w:rsid w:val="00252031"/>
    <w:rsid w:val="00252060"/>
    <w:rsid w:val="002521CA"/>
    <w:rsid w:val="002522EE"/>
    <w:rsid w:val="002522F0"/>
    <w:rsid w:val="00252426"/>
    <w:rsid w:val="0025245D"/>
    <w:rsid w:val="00252469"/>
    <w:rsid w:val="002525FC"/>
    <w:rsid w:val="0025261C"/>
    <w:rsid w:val="0025270D"/>
    <w:rsid w:val="002527F5"/>
    <w:rsid w:val="00252906"/>
    <w:rsid w:val="00252924"/>
    <w:rsid w:val="00252974"/>
    <w:rsid w:val="00252ABB"/>
    <w:rsid w:val="00252B71"/>
    <w:rsid w:val="00252CAB"/>
    <w:rsid w:val="00252D06"/>
    <w:rsid w:val="00252EFF"/>
    <w:rsid w:val="0025311D"/>
    <w:rsid w:val="002532F9"/>
    <w:rsid w:val="002536A4"/>
    <w:rsid w:val="002536FC"/>
    <w:rsid w:val="002537B9"/>
    <w:rsid w:val="00253803"/>
    <w:rsid w:val="0025380B"/>
    <w:rsid w:val="002538F7"/>
    <w:rsid w:val="00253BA1"/>
    <w:rsid w:val="00253BB6"/>
    <w:rsid w:val="00253D37"/>
    <w:rsid w:val="00253F16"/>
    <w:rsid w:val="00253F44"/>
    <w:rsid w:val="002541BB"/>
    <w:rsid w:val="002541EC"/>
    <w:rsid w:val="00254288"/>
    <w:rsid w:val="00254323"/>
    <w:rsid w:val="00254370"/>
    <w:rsid w:val="002543D8"/>
    <w:rsid w:val="002544CA"/>
    <w:rsid w:val="00254548"/>
    <w:rsid w:val="00254667"/>
    <w:rsid w:val="002547EB"/>
    <w:rsid w:val="0025498F"/>
    <w:rsid w:val="002549A5"/>
    <w:rsid w:val="00254A06"/>
    <w:rsid w:val="00254B80"/>
    <w:rsid w:val="00254BFF"/>
    <w:rsid w:val="00254CEF"/>
    <w:rsid w:val="00255050"/>
    <w:rsid w:val="00255151"/>
    <w:rsid w:val="002551B8"/>
    <w:rsid w:val="002551E2"/>
    <w:rsid w:val="00255458"/>
    <w:rsid w:val="0025545D"/>
    <w:rsid w:val="00255545"/>
    <w:rsid w:val="00255553"/>
    <w:rsid w:val="0025557C"/>
    <w:rsid w:val="002555E3"/>
    <w:rsid w:val="002555F7"/>
    <w:rsid w:val="0025566A"/>
    <w:rsid w:val="0025570C"/>
    <w:rsid w:val="0025587E"/>
    <w:rsid w:val="002559D5"/>
    <w:rsid w:val="00255A42"/>
    <w:rsid w:val="00255AA5"/>
    <w:rsid w:val="00255B1D"/>
    <w:rsid w:val="00255D58"/>
    <w:rsid w:val="00255D7C"/>
    <w:rsid w:val="00255DBD"/>
    <w:rsid w:val="00255DE9"/>
    <w:rsid w:val="00255EC3"/>
    <w:rsid w:val="0025600C"/>
    <w:rsid w:val="0025612D"/>
    <w:rsid w:val="0025652F"/>
    <w:rsid w:val="00256543"/>
    <w:rsid w:val="002565E8"/>
    <w:rsid w:val="002566F6"/>
    <w:rsid w:val="002567D3"/>
    <w:rsid w:val="00256830"/>
    <w:rsid w:val="0025686C"/>
    <w:rsid w:val="00256BFF"/>
    <w:rsid w:val="00256C21"/>
    <w:rsid w:val="00256C4A"/>
    <w:rsid w:val="00256ECF"/>
    <w:rsid w:val="00256EE5"/>
    <w:rsid w:val="00256FE3"/>
    <w:rsid w:val="00257061"/>
    <w:rsid w:val="00257113"/>
    <w:rsid w:val="00257114"/>
    <w:rsid w:val="00257567"/>
    <w:rsid w:val="00257635"/>
    <w:rsid w:val="0025763C"/>
    <w:rsid w:val="002576D5"/>
    <w:rsid w:val="00257A96"/>
    <w:rsid w:val="00257CE9"/>
    <w:rsid w:val="00257DA3"/>
    <w:rsid w:val="00257DAD"/>
    <w:rsid w:val="00257E14"/>
    <w:rsid w:val="00257E6A"/>
    <w:rsid w:val="0026001F"/>
    <w:rsid w:val="002600A7"/>
    <w:rsid w:val="0026010B"/>
    <w:rsid w:val="0026011C"/>
    <w:rsid w:val="0026017D"/>
    <w:rsid w:val="002601D2"/>
    <w:rsid w:val="0026033B"/>
    <w:rsid w:val="0026045B"/>
    <w:rsid w:val="002604DD"/>
    <w:rsid w:val="002604EF"/>
    <w:rsid w:val="00260502"/>
    <w:rsid w:val="0026059D"/>
    <w:rsid w:val="00260638"/>
    <w:rsid w:val="0026087C"/>
    <w:rsid w:val="002608F1"/>
    <w:rsid w:val="00260906"/>
    <w:rsid w:val="00260962"/>
    <w:rsid w:val="00260B7A"/>
    <w:rsid w:val="00260BC2"/>
    <w:rsid w:val="00260BCF"/>
    <w:rsid w:val="00260CC4"/>
    <w:rsid w:val="00260FF8"/>
    <w:rsid w:val="00261086"/>
    <w:rsid w:val="002610C9"/>
    <w:rsid w:val="0026112B"/>
    <w:rsid w:val="002611A8"/>
    <w:rsid w:val="0026150B"/>
    <w:rsid w:val="0026153C"/>
    <w:rsid w:val="0026153E"/>
    <w:rsid w:val="00261602"/>
    <w:rsid w:val="00261662"/>
    <w:rsid w:val="002617C1"/>
    <w:rsid w:val="002617CB"/>
    <w:rsid w:val="0026186F"/>
    <w:rsid w:val="00261870"/>
    <w:rsid w:val="00261899"/>
    <w:rsid w:val="002618A3"/>
    <w:rsid w:val="00261A76"/>
    <w:rsid w:val="00261C12"/>
    <w:rsid w:val="00261E1A"/>
    <w:rsid w:val="00261EA4"/>
    <w:rsid w:val="00261EFA"/>
    <w:rsid w:val="00261F40"/>
    <w:rsid w:val="00261FC1"/>
    <w:rsid w:val="00262117"/>
    <w:rsid w:val="00262130"/>
    <w:rsid w:val="00262256"/>
    <w:rsid w:val="00262273"/>
    <w:rsid w:val="002622E6"/>
    <w:rsid w:val="002623E2"/>
    <w:rsid w:val="00262419"/>
    <w:rsid w:val="0026245E"/>
    <w:rsid w:val="00262579"/>
    <w:rsid w:val="00262582"/>
    <w:rsid w:val="0026268D"/>
    <w:rsid w:val="00262793"/>
    <w:rsid w:val="00262820"/>
    <w:rsid w:val="00262953"/>
    <w:rsid w:val="00262BB5"/>
    <w:rsid w:val="00262BD1"/>
    <w:rsid w:val="00262C0F"/>
    <w:rsid w:val="00262C9F"/>
    <w:rsid w:val="00262CC8"/>
    <w:rsid w:val="00262D0E"/>
    <w:rsid w:val="00262D9D"/>
    <w:rsid w:val="00262E8D"/>
    <w:rsid w:val="00262F18"/>
    <w:rsid w:val="00262FF5"/>
    <w:rsid w:val="0026303B"/>
    <w:rsid w:val="002630BC"/>
    <w:rsid w:val="00263178"/>
    <w:rsid w:val="00263191"/>
    <w:rsid w:val="00263199"/>
    <w:rsid w:val="002631D9"/>
    <w:rsid w:val="0026335F"/>
    <w:rsid w:val="002633ED"/>
    <w:rsid w:val="0026347C"/>
    <w:rsid w:val="002636E7"/>
    <w:rsid w:val="0026371B"/>
    <w:rsid w:val="00263919"/>
    <w:rsid w:val="0026396A"/>
    <w:rsid w:val="00263A08"/>
    <w:rsid w:val="00263A69"/>
    <w:rsid w:val="00263B6C"/>
    <w:rsid w:val="00263B7F"/>
    <w:rsid w:val="00263BBF"/>
    <w:rsid w:val="00263C01"/>
    <w:rsid w:val="00263D23"/>
    <w:rsid w:val="00263DEB"/>
    <w:rsid w:val="00263FBB"/>
    <w:rsid w:val="00263FD2"/>
    <w:rsid w:val="00264121"/>
    <w:rsid w:val="0026427E"/>
    <w:rsid w:val="002642D2"/>
    <w:rsid w:val="0026437C"/>
    <w:rsid w:val="00264473"/>
    <w:rsid w:val="002644CA"/>
    <w:rsid w:val="002645FB"/>
    <w:rsid w:val="00264772"/>
    <w:rsid w:val="00264876"/>
    <w:rsid w:val="00264951"/>
    <w:rsid w:val="00264993"/>
    <w:rsid w:val="00264994"/>
    <w:rsid w:val="00264A23"/>
    <w:rsid w:val="00264CD9"/>
    <w:rsid w:val="00264D16"/>
    <w:rsid w:val="00264D21"/>
    <w:rsid w:val="00264DAF"/>
    <w:rsid w:val="00264F21"/>
    <w:rsid w:val="00264F87"/>
    <w:rsid w:val="00264F91"/>
    <w:rsid w:val="00265017"/>
    <w:rsid w:val="00265064"/>
    <w:rsid w:val="00265081"/>
    <w:rsid w:val="0026540A"/>
    <w:rsid w:val="002655A4"/>
    <w:rsid w:val="0026563B"/>
    <w:rsid w:val="002656E5"/>
    <w:rsid w:val="00265926"/>
    <w:rsid w:val="002659FA"/>
    <w:rsid w:val="00265AC1"/>
    <w:rsid w:val="00265AF2"/>
    <w:rsid w:val="00265B55"/>
    <w:rsid w:val="00265C56"/>
    <w:rsid w:val="00265C61"/>
    <w:rsid w:val="00265CFF"/>
    <w:rsid w:val="00265D2B"/>
    <w:rsid w:val="00265DD6"/>
    <w:rsid w:val="00265E9E"/>
    <w:rsid w:val="00265F08"/>
    <w:rsid w:val="00265FEC"/>
    <w:rsid w:val="002660B7"/>
    <w:rsid w:val="002661DC"/>
    <w:rsid w:val="00266297"/>
    <w:rsid w:val="002662BD"/>
    <w:rsid w:val="00266307"/>
    <w:rsid w:val="002665AA"/>
    <w:rsid w:val="002665BF"/>
    <w:rsid w:val="00266697"/>
    <w:rsid w:val="0026672F"/>
    <w:rsid w:val="0026686D"/>
    <w:rsid w:val="002669EC"/>
    <w:rsid w:val="00266AA4"/>
    <w:rsid w:val="00266AAE"/>
    <w:rsid w:val="00266CFE"/>
    <w:rsid w:val="00266EDE"/>
    <w:rsid w:val="00266F20"/>
    <w:rsid w:val="00267039"/>
    <w:rsid w:val="00267264"/>
    <w:rsid w:val="002672D3"/>
    <w:rsid w:val="00267412"/>
    <w:rsid w:val="00267642"/>
    <w:rsid w:val="00267650"/>
    <w:rsid w:val="00267933"/>
    <w:rsid w:val="002679F9"/>
    <w:rsid w:val="00267A4F"/>
    <w:rsid w:val="00267A88"/>
    <w:rsid w:val="00267ADD"/>
    <w:rsid w:val="00267AF6"/>
    <w:rsid w:val="00267C6F"/>
    <w:rsid w:val="00267E30"/>
    <w:rsid w:val="00267F50"/>
    <w:rsid w:val="00267FE1"/>
    <w:rsid w:val="0027001E"/>
    <w:rsid w:val="00270041"/>
    <w:rsid w:val="00270226"/>
    <w:rsid w:val="002702BC"/>
    <w:rsid w:val="002702E8"/>
    <w:rsid w:val="00270377"/>
    <w:rsid w:val="0027039F"/>
    <w:rsid w:val="002703C8"/>
    <w:rsid w:val="002703D1"/>
    <w:rsid w:val="0027059B"/>
    <w:rsid w:val="00270620"/>
    <w:rsid w:val="00270760"/>
    <w:rsid w:val="002707A5"/>
    <w:rsid w:val="0027085C"/>
    <w:rsid w:val="002708A4"/>
    <w:rsid w:val="002708C1"/>
    <w:rsid w:val="00270BD7"/>
    <w:rsid w:val="00270BF9"/>
    <w:rsid w:val="00270C04"/>
    <w:rsid w:val="00270D47"/>
    <w:rsid w:val="00270F11"/>
    <w:rsid w:val="00270F22"/>
    <w:rsid w:val="00270F45"/>
    <w:rsid w:val="00270F8C"/>
    <w:rsid w:val="00270F94"/>
    <w:rsid w:val="00271095"/>
    <w:rsid w:val="0027113F"/>
    <w:rsid w:val="002711C0"/>
    <w:rsid w:val="002714C4"/>
    <w:rsid w:val="002714C5"/>
    <w:rsid w:val="0027153E"/>
    <w:rsid w:val="002716CA"/>
    <w:rsid w:val="00271791"/>
    <w:rsid w:val="0027180C"/>
    <w:rsid w:val="0027191B"/>
    <w:rsid w:val="00271986"/>
    <w:rsid w:val="002719DD"/>
    <w:rsid w:val="00271A6F"/>
    <w:rsid w:val="00271A78"/>
    <w:rsid w:val="00271B2F"/>
    <w:rsid w:val="00271B79"/>
    <w:rsid w:val="00271BEB"/>
    <w:rsid w:val="00271DD5"/>
    <w:rsid w:val="00271E73"/>
    <w:rsid w:val="00271F3E"/>
    <w:rsid w:val="00271FCE"/>
    <w:rsid w:val="002720DD"/>
    <w:rsid w:val="00272108"/>
    <w:rsid w:val="0027218B"/>
    <w:rsid w:val="002724A0"/>
    <w:rsid w:val="002724F9"/>
    <w:rsid w:val="00272517"/>
    <w:rsid w:val="002728AC"/>
    <w:rsid w:val="00272939"/>
    <w:rsid w:val="00272A58"/>
    <w:rsid w:val="00272B09"/>
    <w:rsid w:val="00272BBE"/>
    <w:rsid w:val="00272C79"/>
    <w:rsid w:val="00272C83"/>
    <w:rsid w:val="00272DA6"/>
    <w:rsid w:val="002730E2"/>
    <w:rsid w:val="0027310A"/>
    <w:rsid w:val="00273152"/>
    <w:rsid w:val="0027324A"/>
    <w:rsid w:val="002732CA"/>
    <w:rsid w:val="00273385"/>
    <w:rsid w:val="002733B1"/>
    <w:rsid w:val="002733F2"/>
    <w:rsid w:val="002735B6"/>
    <w:rsid w:val="0027362E"/>
    <w:rsid w:val="0027383C"/>
    <w:rsid w:val="002738A5"/>
    <w:rsid w:val="00273A3A"/>
    <w:rsid w:val="00273A3F"/>
    <w:rsid w:val="00273BD1"/>
    <w:rsid w:val="00273D01"/>
    <w:rsid w:val="00273D5B"/>
    <w:rsid w:val="00273DED"/>
    <w:rsid w:val="00273F09"/>
    <w:rsid w:val="00273F81"/>
    <w:rsid w:val="00273FF3"/>
    <w:rsid w:val="0027401A"/>
    <w:rsid w:val="00274163"/>
    <w:rsid w:val="00274170"/>
    <w:rsid w:val="002741AE"/>
    <w:rsid w:val="00274379"/>
    <w:rsid w:val="0027437B"/>
    <w:rsid w:val="00274389"/>
    <w:rsid w:val="002743C9"/>
    <w:rsid w:val="0027447D"/>
    <w:rsid w:val="002744C0"/>
    <w:rsid w:val="002744E9"/>
    <w:rsid w:val="00274593"/>
    <w:rsid w:val="002745A0"/>
    <w:rsid w:val="00274600"/>
    <w:rsid w:val="002747B8"/>
    <w:rsid w:val="002747C6"/>
    <w:rsid w:val="00274812"/>
    <w:rsid w:val="0027482C"/>
    <w:rsid w:val="00274958"/>
    <w:rsid w:val="00274A82"/>
    <w:rsid w:val="00274B03"/>
    <w:rsid w:val="00274D8E"/>
    <w:rsid w:val="00274DD8"/>
    <w:rsid w:val="00274E76"/>
    <w:rsid w:val="00274FB2"/>
    <w:rsid w:val="002750D3"/>
    <w:rsid w:val="0027513C"/>
    <w:rsid w:val="0027517C"/>
    <w:rsid w:val="00275190"/>
    <w:rsid w:val="002752D5"/>
    <w:rsid w:val="002753E1"/>
    <w:rsid w:val="002753E7"/>
    <w:rsid w:val="00275749"/>
    <w:rsid w:val="00275764"/>
    <w:rsid w:val="0027586C"/>
    <w:rsid w:val="0027588E"/>
    <w:rsid w:val="002758A5"/>
    <w:rsid w:val="0027590B"/>
    <w:rsid w:val="002759F1"/>
    <w:rsid w:val="00275BC9"/>
    <w:rsid w:val="00275C5B"/>
    <w:rsid w:val="00275C77"/>
    <w:rsid w:val="00275D02"/>
    <w:rsid w:val="00275DD1"/>
    <w:rsid w:val="00275F82"/>
    <w:rsid w:val="002762A3"/>
    <w:rsid w:val="002763B8"/>
    <w:rsid w:val="00276488"/>
    <w:rsid w:val="002764EB"/>
    <w:rsid w:val="002766F1"/>
    <w:rsid w:val="00276715"/>
    <w:rsid w:val="002769EF"/>
    <w:rsid w:val="00276A3D"/>
    <w:rsid w:val="00276BB3"/>
    <w:rsid w:val="00276C20"/>
    <w:rsid w:val="00276E60"/>
    <w:rsid w:val="00276EB0"/>
    <w:rsid w:val="00276ED2"/>
    <w:rsid w:val="00276EE0"/>
    <w:rsid w:val="00276F86"/>
    <w:rsid w:val="00277286"/>
    <w:rsid w:val="002773C7"/>
    <w:rsid w:val="00277480"/>
    <w:rsid w:val="002774FF"/>
    <w:rsid w:val="002778A1"/>
    <w:rsid w:val="002778DD"/>
    <w:rsid w:val="002778F3"/>
    <w:rsid w:val="00277B03"/>
    <w:rsid w:val="00277B68"/>
    <w:rsid w:val="00277B77"/>
    <w:rsid w:val="00277C15"/>
    <w:rsid w:val="00277C1B"/>
    <w:rsid w:val="00277C9E"/>
    <w:rsid w:val="00277CA7"/>
    <w:rsid w:val="00277CBC"/>
    <w:rsid w:val="00277EB3"/>
    <w:rsid w:val="00277EE9"/>
    <w:rsid w:val="00280000"/>
    <w:rsid w:val="00280043"/>
    <w:rsid w:val="002800EF"/>
    <w:rsid w:val="00280384"/>
    <w:rsid w:val="002803C0"/>
    <w:rsid w:val="002803D1"/>
    <w:rsid w:val="00280449"/>
    <w:rsid w:val="0028056D"/>
    <w:rsid w:val="002805EF"/>
    <w:rsid w:val="00280747"/>
    <w:rsid w:val="002807A5"/>
    <w:rsid w:val="002807E7"/>
    <w:rsid w:val="002807EA"/>
    <w:rsid w:val="00280874"/>
    <w:rsid w:val="00280A33"/>
    <w:rsid w:val="00280B0A"/>
    <w:rsid w:val="00280BF0"/>
    <w:rsid w:val="00280D9E"/>
    <w:rsid w:val="00280E69"/>
    <w:rsid w:val="00281076"/>
    <w:rsid w:val="002810A9"/>
    <w:rsid w:val="0028115D"/>
    <w:rsid w:val="002811B7"/>
    <w:rsid w:val="0028127C"/>
    <w:rsid w:val="0028131F"/>
    <w:rsid w:val="00281341"/>
    <w:rsid w:val="00281627"/>
    <w:rsid w:val="0028167B"/>
    <w:rsid w:val="00281702"/>
    <w:rsid w:val="00281724"/>
    <w:rsid w:val="002817FA"/>
    <w:rsid w:val="00281844"/>
    <w:rsid w:val="0028187A"/>
    <w:rsid w:val="0028191E"/>
    <w:rsid w:val="00281A1E"/>
    <w:rsid w:val="00281AAC"/>
    <w:rsid w:val="00281C9E"/>
    <w:rsid w:val="00281D45"/>
    <w:rsid w:val="00281D6F"/>
    <w:rsid w:val="002820F0"/>
    <w:rsid w:val="00282131"/>
    <w:rsid w:val="002821E3"/>
    <w:rsid w:val="002822F0"/>
    <w:rsid w:val="00282321"/>
    <w:rsid w:val="002823DA"/>
    <w:rsid w:val="002823E5"/>
    <w:rsid w:val="00282454"/>
    <w:rsid w:val="00282477"/>
    <w:rsid w:val="00282591"/>
    <w:rsid w:val="002825CE"/>
    <w:rsid w:val="002825DA"/>
    <w:rsid w:val="00282696"/>
    <w:rsid w:val="002826FD"/>
    <w:rsid w:val="002827FB"/>
    <w:rsid w:val="00282963"/>
    <w:rsid w:val="00282998"/>
    <w:rsid w:val="002829D1"/>
    <w:rsid w:val="00282A7E"/>
    <w:rsid w:val="00282A93"/>
    <w:rsid w:val="00282CE3"/>
    <w:rsid w:val="00282D34"/>
    <w:rsid w:val="00282D5E"/>
    <w:rsid w:val="00282E30"/>
    <w:rsid w:val="00282EA6"/>
    <w:rsid w:val="00282EBF"/>
    <w:rsid w:val="00282F2F"/>
    <w:rsid w:val="0028305F"/>
    <w:rsid w:val="002830AC"/>
    <w:rsid w:val="00283161"/>
    <w:rsid w:val="002831FF"/>
    <w:rsid w:val="002832D8"/>
    <w:rsid w:val="00283439"/>
    <w:rsid w:val="002834E6"/>
    <w:rsid w:val="00283530"/>
    <w:rsid w:val="00283660"/>
    <w:rsid w:val="00283664"/>
    <w:rsid w:val="00283693"/>
    <w:rsid w:val="00283749"/>
    <w:rsid w:val="00283910"/>
    <w:rsid w:val="00283DD5"/>
    <w:rsid w:val="00283E30"/>
    <w:rsid w:val="00283E50"/>
    <w:rsid w:val="00283EF9"/>
    <w:rsid w:val="0028404C"/>
    <w:rsid w:val="002840A3"/>
    <w:rsid w:val="002841BF"/>
    <w:rsid w:val="002843AE"/>
    <w:rsid w:val="002844C2"/>
    <w:rsid w:val="0028461B"/>
    <w:rsid w:val="002846C2"/>
    <w:rsid w:val="00284923"/>
    <w:rsid w:val="002849F6"/>
    <w:rsid w:val="00284A8F"/>
    <w:rsid w:val="00284BAF"/>
    <w:rsid w:val="00284BB4"/>
    <w:rsid w:val="00284C1A"/>
    <w:rsid w:val="00284DC0"/>
    <w:rsid w:val="00284F6A"/>
    <w:rsid w:val="0028503B"/>
    <w:rsid w:val="002851F7"/>
    <w:rsid w:val="00285232"/>
    <w:rsid w:val="0028525A"/>
    <w:rsid w:val="002852D5"/>
    <w:rsid w:val="002853AB"/>
    <w:rsid w:val="00285411"/>
    <w:rsid w:val="002854EC"/>
    <w:rsid w:val="002856CC"/>
    <w:rsid w:val="0028582B"/>
    <w:rsid w:val="00285888"/>
    <w:rsid w:val="00285969"/>
    <w:rsid w:val="002859F7"/>
    <w:rsid w:val="00285BA4"/>
    <w:rsid w:val="00285BF5"/>
    <w:rsid w:val="00285C90"/>
    <w:rsid w:val="00285CCA"/>
    <w:rsid w:val="00285CD1"/>
    <w:rsid w:val="00285D31"/>
    <w:rsid w:val="00285DB5"/>
    <w:rsid w:val="00285F67"/>
    <w:rsid w:val="0028604E"/>
    <w:rsid w:val="0028605B"/>
    <w:rsid w:val="0028607D"/>
    <w:rsid w:val="0028632B"/>
    <w:rsid w:val="002863A7"/>
    <w:rsid w:val="002863EF"/>
    <w:rsid w:val="0028657F"/>
    <w:rsid w:val="002865CA"/>
    <w:rsid w:val="00286621"/>
    <w:rsid w:val="00286721"/>
    <w:rsid w:val="00286A3A"/>
    <w:rsid w:val="00286AA4"/>
    <w:rsid w:val="00286AF5"/>
    <w:rsid w:val="00286B83"/>
    <w:rsid w:val="00286C7D"/>
    <w:rsid w:val="00286D5E"/>
    <w:rsid w:val="00286E84"/>
    <w:rsid w:val="00286FF0"/>
    <w:rsid w:val="0028703B"/>
    <w:rsid w:val="00287101"/>
    <w:rsid w:val="0028725F"/>
    <w:rsid w:val="00287475"/>
    <w:rsid w:val="00287682"/>
    <w:rsid w:val="0028769B"/>
    <w:rsid w:val="002876C8"/>
    <w:rsid w:val="0028776F"/>
    <w:rsid w:val="00287785"/>
    <w:rsid w:val="002877A0"/>
    <w:rsid w:val="00287877"/>
    <w:rsid w:val="002878A8"/>
    <w:rsid w:val="002878CC"/>
    <w:rsid w:val="002879CB"/>
    <w:rsid w:val="002879F0"/>
    <w:rsid w:val="00287AC8"/>
    <w:rsid w:val="00287BFB"/>
    <w:rsid w:val="00287E35"/>
    <w:rsid w:val="00287E54"/>
    <w:rsid w:val="00287ED8"/>
    <w:rsid w:val="00290092"/>
    <w:rsid w:val="002900CF"/>
    <w:rsid w:val="002901FE"/>
    <w:rsid w:val="00290236"/>
    <w:rsid w:val="002902FA"/>
    <w:rsid w:val="00290316"/>
    <w:rsid w:val="002903B8"/>
    <w:rsid w:val="002903C4"/>
    <w:rsid w:val="00290511"/>
    <w:rsid w:val="002905EA"/>
    <w:rsid w:val="00290A8A"/>
    <w:rsid w:val="00290C74"/>
    <w:rsid w:val="00290DFF"/>
    <w:rsid w:val="00290E3C"/>
    <w:rsid w:val="00290EC2"/>
    <w:rsid w:val="00290F54"/>
    <w:rsid w:val="00290FBC"/>
    <w:rsid w:val="00290FFC"/>
    <w:rsid w:val="0029100C"/>
    <w:rsid w:val="002910D9"/>
    <w:rsid w:val="00291162"/>
    <w:rsid w:val="0029130C"/>
    <w:rsid w:val="002913F1"/>
    <w:rsid w:val="0029153D"/>
    <w:rsid w:val="0029156A"/>
    <w:rsid w:val="0029157B"/>
    <w:rsid w:val="0029159C"/>
    <w:rsid w:val="0029172C"/>
    <w:rsid w:val="002918A8"/>
    <w:rsid w:val="002918D6"/>
    <w:rsid w:val="002918E2"/>
    <w:rsid w:val="00291924"/>
    <w:rsid w:val="00291A1B"/>
    <w:rsid w:val="00291C97"/>
    <w:rsid w:val="00291CAC"/>
    <w:rsid w:val="00291CCE"/>
    <w:rsid w:val="00291D3C"/>
    <w:rsid w:val="00291D72"/>
    <w:rsid w:val="00291EAE"/>
    <w:rsid w:val="00291ECD"/>
    <w:rsid w:val="00291F0D"/>
    <w:rsid w:val="00291FCE"/>
    <w:rsid w:val="0029205F"/>
    <w:rsid w:val="0029208A"/>
    <w:rsid w:val="002920F5"/>
    <w:rsid w:val="00292131"/>
    <w:rsid w:val="00292137"/>
    <w:rsid w:val="0029215B"/>
    <w:rsid w:val="002921B0"/>
    <w:rsid w:val="002922E9"/>
    <w:rsid w:val="002923F1"/>
    <w:rsid w:val="00292573"/>
    <w:rsid w:val="002925BB"/>
    <w:rsid w:val="002927C0"/>
    <w:rsid w:val="002927E5"/>
    <w:rsid w:val="0029281D"/>
    <w:rsid w:val="00292847"/>
    <w:rsid w:val="002928CF"/>
    <w:rsid w:val="002928F4"/>
    <w:rsid w:val="00292909"/>
    <w:rsid w:val="00292959"/>
    <w:rsid w:val="002929A7"/>
    <w:rsid w:val="002929FF"/>
    <w:rsid w:val="00292A81"/>
    <w:rsid w:val="00292AA3"/>
    <w:rsid w:val="00292AC6"/>
    <w:rsid w:val="00292B44"/>
    <w:rsid w:val="00292B4A"/>
    <w:rsid w:val="00292B62"/>
    <w:rsid w:val="00292BF4"/>
    <w:rsid w:val="00292C0B"/>
    <w:rsid w:val="00292C72"/>
    <w:rsid w:val="00292CA6"/>
    <w:rsid w:val="00292CAB"/>
    <w:rsid w:val="00292F17"/>
    <w:rsid w:val="002930CE"/>
    <w:rsid w:val="0029314F"/>
    <w:rsid w:val="002931F5"/>
    <w:rsid w:val="002932F1"/>
    <w:rsid w:val="002932F6"/>
    <w:rsid w:val="002932FF"/>
    <w:rsid w:val="00293355"/>
    <w:rsid w:val="002936A7"/>
    <w:rsid w:val="002937EE"/>
    <w:rsid w:val="0029383E"/>
    <w:rsid w:val="00293A0A"/>
    <w:rsid w:val="00293A64"/>
    <w:rsid w:val="00293B1C"/>
    <w:rsid w:val="00293C3C"/>
    <w:rsid w:val="00293C56"/>
    <w:rsid w:val="00293D19"/>
    <w:rsid w:val="00293E29"/>
    <w:rsid w:val="00293F91"/>
    <w:rsid w:val="00294027"/>
    <w:rsid w:val="002940BE"/>
    <w:rsid w:val="002940D0"/>
    <w:rsid w:val="0029412B"/>
    <w:rsid w:val="0029413A"/>
    <w:rsid w:val="002941EE"/>
    <w:rsid w:val="002942CC"/>
    <w:rsid w:val="002943A6"/>
    <w:rsid w:val="0029440B"/>
    <w:rsid w:val="00294434"/>
    <w:rsid w:val="002945BA"/>
    <w:rsid w:val="0029466F"/>
    <w:rsid w:val="0029476F"/>
    <w:rsid w:val="00294775"/>
    <w:rsid w:val="0029478D"/>
    <w:rsid w:val="0029494B"/>
    <w:rsid w:val="00294981"/>
    <w:rsid w:val="002949F2"/>
    <w:rsid w:val="00294B32"/>
    <w:rsid w:val="00294BA5"/>
    <w:rsid w:val="00294BDB"/>
    <w:rsid w:val="00294C32"/>
    <w:rsid w:val="00294C3C"/>
    <w:rsid w:val="00294D73"/>
    <w:rsid w:val="00294DEC"/>
    <w:rsid w:val="00294DF5"/>
    <w:rsid w:val="00294F16"/>
    <w:rsid w:val="00294FBF"/>
    <w:rsid w:val="00295020"/>
    <w:rsid w:val="00295042"/>
    <w:rsid w:val="00295077"/>
    <w:rsid w:val="00295155"/>
    <w:rsid w:val="002951EE"/>
    <w:rsid w:val="002953AA"/>
    <w:rsid w:val="002954E7"/>
    <w:rsid w:val="00295635"/>
    <w:rsid w:val="0029573D"/>
    <w:rsid w:val="002957A6"/>
    <w:rsid w:val="002957B4"/>
    <w:rsid w:val="00295AF6"/>
    <w:rsid w:val="00295B30"/>
    <w:rsid w:val="00295D30"/>
    <w:rsid w:val="00295D7F"/>
    <w:rsid w:val="00295D99"/>
    <w:rsid w:val="00295E6A"/>
    <w:rsid w:val="00295EA1"/>
    <w:rsid w:val="00296028"/>
    <w:rsid w:val="002960C6"/>
    <w:rsid w:val="0029613E"/>
    <w:rsid w:val="0029622A"/>
    <w:rsid w:val="0029623F"/>
    <w:rsid w:val="002962A6"/>
    <w:rsid w:val="002963A1"/>
    <w:rsid w:val="002963BB"/>
    <w:rsid w:val="0029656F"/>
    <w:rsid w:val="0029676C"/>
    <w:rsid w:val="0029677B"/>
    <w:rsid w:val="002967D2"/>
    <w:rsid w:val="0029680F"/>
    <w:rsid w:val="00296AB4"/>
    <w:rsid w:val="00296B31"/>
    <w:rsid w:val="00296B34"/>
    <w:rsid w:val="00296BB1"/>
    <w:rsid w:val="00296C89"/>
    <w:rsid w:val="00296E3B"/>
    <w:rsid w:val="00296E8F"/>
    <w:rsid w:val="00296E95"/>
    <w:rsid w:val="00297294"/>
    <w:rsid w:val="002972DF"/>
    <w:rsid w:val="00297375"/>
    <w:rsid w:val="002973C9"/>
    <w:rsid w:val="00297408"/>
    <w:rsid w:val="0029747F"/>
    <w:rsid w:val="00297561"/>
    <w:rsid w:val="0029756F"/>
    <w:rsid w:val="002975D7"/>
    <w:rsid w:val="002976C1"/>
    <w:rsid w:val="002976C7"/>
    <w:rsid w:val="00297763"/>
    <w:rsid w:val="00297800"/>
    <w:rsid w:val="00297853"/>
    <w:rsid w:val="00297929"/>
    <w:rsid w:val="00297958"/>
    <w:rsid w:val="002979BD"/>
    <w:rsid w:val="00297A7F"/>
    <w:rsid w:val="00297BAE"/>
    <w:rsid w:val="00297DDC"/>
    <w:rsid w:val="00297DE3"/>
    <w:rsid w:val="00297E20"/>
    <w:rsid w:val="00297E53"/>
    <w:rsid w:val="00297EDC"/>
    <w:rsid w:val="00297EF7"/>
    <w:rsid w:val="00297F00"/>
    <w:rsid w:val="00297F8A"/>
    <w:rsid w:val="00297F8F"/>
    <w:rsid w:val="00297FD0"/>
    <w:rsid w:val="00297FF2"/>
    <w:rsid w:val="002A0015"/>
    <w:rsid w:val="002A00CD"/>
    <w:rsid w:val="002A013D"/>
    <w:rsid w:val="002A01E3"/>
    <w:rsid w:val="002A0228"/>
    <w:rsid w:val="002A022F"/>
    <w:rsid w:val="002A02C1"/>
    <w:rsid w:val="002A0342"/>
    <w:rsid w:val="002A0425"/>
    <w:rsid w:val="002A05E8"/>
    <w:rsid w:val="002A0641"/>
    <w:rsid w:val="002A07BE"/>
    <w:rsid w:val="002A0977"/>
    <w:rsid w:val="002A0A00"/>
    <w:rsid w:val="002A0A56"/>
    <w:rsid w:val="002A0B59"/>
    <w:rsid w:val="002A0BC1"/>
    <w:rsid w:val="002A0CCD"/>
    <w:rsid w:val="002A0D30"/>
    <w:rsid w:val="002A0EE1"/>
    <w:rsid w:val="002A0F54"/>
    <w:rsid w:val="002A0F61"/>
    <w:rsid w:val="002A0FF0"/>
    <w:rsid w:val="002A1095"/>
    <w:rsid w:val="002A10DB"/>
    <w:rsid w:val="002A125E"/>
    <w:rsid w:val="002A12F9"/>
    <w:rsid w:val="002A1339"/>
    <w:rsid w:val="002A133A"/>
    <w:rsid w:val="002A1478"/>
    <w:rsid w:val="002A1562"/>
    <w:rsid w:val="002A1647"/>
    <w:rsid w:val="002A16D1"/>
    <w:rsid w:val="002A175B"/>
    <w:rsid w:val="002A182A"/>
    <w:rsid w:val="002A18CE"/>
    <w:rsid w:val="002A1A07"/>
    <w:rsid w:val="002A1AA8"/>
    <w:rsid w:val="002A1B4F"/>
    <w:rsid w:val="002A1C15"/>
    <w:rsid w:val="002A1F03"/>
    <w:rsid w:val="002A1F26"/>
    <w:rsid w:val="002A1FF1"/>
    <w:rsid w:val="002A20C3"/>
    <w:rsid w:val="002A234A"/>
    <w:rsid w:val="002A235C"/>
    <w:rsid w:val="002A2391"/>
    <w:rsid w:val="002A23F6"/>
    <w:rsid w:val="002A2488"/>
    <w:rsid w:val="002A248D"/>
    <w:rsid w:val="002A25B8"/>
    <w:rsid w:val="002A2655"/>
    <w:rsid w:val="002A28B2"/>
    <w:rsid w:val="002A292B"/>
    <w:rsid w:val="002A2998"/>
    <w:rsid w:val="002A2A5E"/>
    <w:rsid w:val="002A2AF6"/>
    <w:rsid w:val="002A2AFA"/>
    <w:rsid w:val="002A2B1C"/>
    <w:rsid w:val="002A2C06"/>
    <w:rsid w:val="002A3048"/>
    <w:rsid w:val="002A3090"/>
    <w:rsid w:val="002A3211"/>
    <w:rsid w:val="002A32B1"/>
    <w:rsid w:val="002A32D9"/>
    <w:rsid w:val="002A3340"/>
    <w:rsid w:val="002A34F5"/>
    <w:rsid w:val="002A3509"/>
    <w:rsid w:val="002A36A5"/>
    <w:rsid w:val="002A370E"/>
    <w:rsid w:val="002A389C"/>
    <w:rsid w:val="002A38BD"/>
    <w:rsid w:val="002A38CC"/>
    <w:rsid w:val="002A3930"/>
    <w:rsid w:val="002A3937"/>
    <w:rsid w:val="002A3B47"/>
    <w:rsid w:val="002A3B57"/>
    <w:rsid w:val="002A3C12"/>
    <w:rsid w:val="002A3EAB"/>
    <w:rsid w:val="002A3F61"/>
    <w:rsid w:val="002A3F73"/>
    <w:rsid w:val="002A3FE3"/>
    <w:rsid w:val="002A4147"/>
    <w:rsid w:val="002A4247"/>
    <w:rsid w:val="002A424B"/>
    <w:rsid w:val="002A429B"/>
    <w:rsid w:val="002A42C0"/>
    <w:rsid w:val="002A42FB"/>
    <w:rsid w:val="002A4379"/>
    <w:rsid w:val="002A440B"/>
    <w:rsid w:val="002A4426"/>
    <w:rsid w:val="002A4469"/>
    <w:rsid w:val="002A446D"/>
    <w:rsid w:val="002A465F"/>
    <w:rsid w:val="002A48B4"/>
    <w:rsid w:val="002A4A05"/>
    <w:rsid w:val="002A4A06"/>
    <w:rsid w:val="002A4A48"/>
    <w:rsid w:val="002A4A73"/>
    <w:rsid w:val="002A4A95"/>
    <w:rsid w:val="002A4AD0"/>
    <w:rsid w:val="002A4B49"/>
    <w:rsid w:val="002A4C5F"/>
    <w:rsid w:val="002A4C82"/>
    <w:rsid w:val="002A4CF5"/>
    <w:rsid w:val="002A4FBF"/>
    <w:rsid w:val="002A50A8"/>
    <w:rsid w:val="002A52DE"/>
    <w:rsid w:val="002A53B1"/>
    <w:rsid w:val="002A53ED"/>
    <w:rsid w:val="002A54B6"/>
    <w:rsid w:val="002A5812"/>
    <w:rsid w:val="002A58E7"/>
    <w:rsid w:val="002A5918"/>
    <w:rsid w:val="002A596D"/>
    <w:rsid w:val="002A5989"/>
    <w:rsid w:val="002A5B6A"/>
    <w:rsid w:val="002A5BE9"/>
    <w:rsid w:val="002A5C8D"/>
    <w:rsid w:val="002A5CB2"/>
    <w:rsid w:val="002A5E15"/>
    <w:rsid w:val="002A5F33"/>
    <w:rsid w:val="002A5F9D"/>
    <w:rsid w:val="002A60A3"/>
    <w:rsid w:val="002A6144"/>
    <w:rsid w:val="002A6160"/>
    <w:rsid w:val="002A61A9"/>
    <w:rsid w:val="002A6357"/>
    <w:rsid w:val="002A6514"/>
    <w:rsid w:val="002A65B2"/>
    <w:rsid w:val="002A65FE"/>
    <w:rsid w:val="002A6696"/>
    <w:rsid w:val="002A66FE"/>
    <w:rsid w:val="002A686B"/>
    <w:rsid w:val="002A6989"/>
    <w:rsid w:val="002A6BC1"/>
    <w:rsid w:val="002A6C2E"/>
    <w:rsid w:val="002A6CC6"/>
    <w:rsid w:val="002A6CE0"/>
    <w:rsid w:val="002A6D46"/>
    <w:rsid w:val="002A6F8A"/>
    <w:rsid w:val="002A7042"/>
    <w:rsid w:val="002A70D9"/>
    <w:rsid w:val="002A7182"/>
    <w:rsid w:val="002A7189"/>
    <w:rsid w:val="002A721F"/>
    <w:rsid w:val="002A7379"/>
    <w:rsid w:val="002A7473"/>
    <w:rsid w:val="002A74E7"/>
    <w:rsid w:val="002A74EF"/>
    <w:rsid w:val="002A7528"/>
    <w:rsid w:val="002A752D"/>
    <w:rsid w:val="002A759A"/>
    <w:rsid w:val="002A7618"/>
    <w:rsid w:val="002A777C"/>
    <w:rsid w:val="002A7A10"/>
    <w:rsid w:val="002A7A31"/>
    <w:rsid w:val="002A7BBC"/>
    <w:rsid w:val="002A7C18"/>
    <w:rsid w:val="002A7CF5"/>
    <w:rsid w:val="002A7D25"/>
    <w:rsid w:val="002A7D3E"/>
    <w:rsid w:val="002A7DF8"/>
    <w:rsid w:val="002A7F00"/>
    <w:rsid w:val="002A7F55"/>
    <w:rsid w:val="002B0086"/>
    <w:rsid w:val="002B00D2"/>
    <w:rsid w:val="002B00E6"/>
    <w:rsid w:val="002B0173"/>
    <w:rsid w:val="002B0314"/>
    <w:rsid w:val="002B0347"/>
    <w:rsid w:val="002B03F2"/>
    <w:rsid w:val="002B0473"/>
    <w:rsid w:val="002B0713"/>
    <w:rsid w:val="002B07D6"/>
    <w:rsid w:val="002B07DE"/>
    <w:rsid w:val="002B07EC"/>
    <w:rsid w:val="002B083B"/>
    <w:rsid w:val="002B095F"/>
    <w:rsid w:val="002B0B7D"/>
    <w:rsid w:val="002B0C60"/>
    <w:rsid w:val="002B0E9C"/>
    <w:rsid w:val="002B0FFB"/>
    <w:rsid w:val="002B1224"/>
    <w:rsid w:val="002B133C"/>
    <w:rsid w:val="002B136C"/>
    <w:rsid w:val="002B13C1"/>
    <w:rsid w:val="002B1661"/>
    <w:rsid w:val="002B1697"/>
    <w:rsid w:val="002B16EA"/>
    <w:rsid w:val="002B172B"/>
    <w:rsid w:val="002B1749"/>
    <w:rsid w:val="002B1796"/>
    <w:rsid w:val="002B1826"/>
    <w:rsid w:val="002B1845"/>
    <w:rsid w:val="002B18A6"/>
    <w:rsid w:val="002B18B7"/>
    <w:rsid w:val="002B1B0C"/>
    <w:rsid w:val="002B1BEA"/>
    <w:rsid w:val="002B1C0A"/>
    <w:rsid w:val="002B1C35"/>
    <w:rsid w:val="002B1C3F"/>
    <w:rsid w:val="002B1CB9"/>
    <w:rsid w:val="002B1D7F"/>
    <w:rsid w:val="002B1E85"/>
    <w:rsid w:val="002B2139"/>
    <w:rsid w:val="002B2207"/>
    <w:rsid w:val="002B2394"/>
    <w:rsid w:val="002B23C5"/>
    <w:rsid w:val="002B2512"/>
    <w:rsid w:val="002B2573"/>
    <w:rsid w:val="002B26EE"/>
    <w:rsid w:val="002B26F0"/>
    <w:rsid w:val="002B277D"/>
    <w:rsid w:val="002B2B6C"/>
    <w:rsid w:val="002B2C8B"/>
    <w:rsid w:val="002B2DB2"/>
    <w:rsid w:val="002B2E11"/>
    <w:rsid w:val="002B2E75"/>
    <w:rsid w:val="002B2F0C"/>
    <w:rsid w:val="002B2FED"/>
    <w:rsid w:val="002B307D"/>
    <w:rsid w:val="002B3327"/>
    <w:rsid w:val="002B347B"/>
    <w:rsid w:val="002B356C"/>
    <w:rsid w:val="002B357C"/>
    <w:rsid w:val="002B35D4"/>
    <w:rsid w:val="002B367C"/>
    <w:rsid w:val="002B36FA"/>
    <w:rsid w:val="002B3791"/>
    <w:rsid w:val="002B3823"/>
    <w:rsid w:val="002B3829"/>
    <w:rsid w:val="002B382F"/>
    <w:rsid w:val="002B383C"/>
    <w:rsid w:val="002B3AE6"/>
    <w:rsid w:val="002B3DB7"/>
    <w:rsid w:val="002B3E19"/>
    <w:rsid w:val="002B3F6F"/>
    <w:rsid w:val="002B4036"/>
    <w:rsid w:val="002B40F5"/>
    <w:rsid w:val="002B41B2"/>
    <w:rsid w:val="002B4325"/>
    <w:rsid w:val="002B442E"/>
    <w:rsid w:val="002B44A7"/>
    <w:rsid w:val="002B45DB"/>
    <w:rsid w:val="002B4665"/>
    <w:rsid w:val="002B4720"/>
    <w:rsid w:val="002B47F0"/>
    <w:rsid w:val="002B4928"/>
    <w:rsid w:val="002B499B"/>
    <w:rsid w:val="002B4A81"/>
    <w:rsid w:val="002B4B30"/>
    <w:rsid w:val="002B4CA5"/>
    <w:rsid w:val="002B5033"/>
    <w:rsid w:val="002B516D"/>
    <w:rsid w:val="002B5172"/>
    <w:rsid w:val="002B5257"/>
    <w:rsid w:val="002B5287"/>
    <w:rsid w:val="002B52B9"/>
    <w:rsid w:val="002B538C"/>
    <w:rsid w:val="002B53FA"/>
    <w:rsid w:val="002B548D"/>
    <w:rsid w:val="002B54DB"/>
    <w:rsid w:val="002B550B"/>
    <w:rsid w:val="002B555B"/>
    <w:rsid w:val="002B558B"/>
    <w:rsid w:val="002B5643"/>
    <w:rsid w:val="002B58B2"/>
    <w:rsid w:val="002B58DB"/>
    <w:rsid w:val="002B5962"/>
    <w:rsid w:val="002B5B02"/>
    <w:rsid w:val="002B5B92"/>
    <w:rsid w:val="002B5C5D"/>
    <w:rsid w:val="002B5C5E"/>
    <w:rsid w:val="002B5C75"/>
    <w:rsid w:val="002B5D9D"/>
    <w:rsid w:val="002B5DAA"/>
    <w:rsid w:val="002B5F43"/>
    <w:rsid w:val="002B5FD2"/>
    <w:rsid w:val="002B6081"/>
    <w:rsid w:val="002B625F"/>
    <w:rsid w:val="002B631E"/>
    <w:rsid w:val="002B63A7"/>
    <w:rsid w:val="002B640E"/>
    <w:rsid w:val="002B6429"/>
    <w:rsid w:val="002B6523"/>
    <w:rsid w:val="002B653B"/>
    <w:rsid w:val="002B65B0"/>
    <w:rsid w:val="002B65F8"/>
    <w:rsid w:val="002B663E"/>
    <w:rsid w:val="002B66E2"/>
    <w:rsid w:val="002B6740"/>
    <w:rsid w:val="002B679D"/>
    <w:rsid w:val="002B67BE"/>
    <w:rsid w:val="002B67E7"/>
    <w:rsid w:val="002B67F5"/>
    <w:rsid w:val="002B68BF"/>
    <w:rsid w:val="002B6931"/>
    <w:rsid w:val="002B699B"/>
    <w:rsid w:val="002B69F3"/>
    <w:rsid w:val="002B6AF4"/>
    <w:rsid w:val="002B6AFB"/>
    <w:rsid w:val="002B6B8A"/>
    <w:rsid w:val="002B6BC1"/>
    <w:rsid w:val="002B6C1A"/>
    <w:rsid w:val="002B6CD9"/>
    <w:rsid w:val="002B6E91"/>
    <w:rsid w:val="002B6F7B"/>
    <w:rsid w:val="002B71C6"/>
    <w:rsid w:val="002B72CE"/>
    <w:rsid w:val="002B739C"/>
    <w:rsid w:val="002B7482"/>
    <w:rsid w:val="002B75A7"/>
    <w:rsid w:val="002B781A"/>
    <w:rsid w:val="002B7874"/>
    <w:rsid w:val="002B7B40"/>
    <w:rsid w:val="002B7B4B"/>
    <w:rsid w:val="002B7C23"/>
    <w:rsid w:val="002B7E14"/>
    <w:rsid w:val="002B7E26"/>
    <w:rsid w:val="002B7EDF"/>
    <w:rsid w:val="002B7F18"/>
    <w:rsid w:val="002B7F74"/>
    <w:rsid w:val="002B7FA6"/>
    <w:rsid w:val="002C0039"/>
    <w:rsid w:val="002C009D"/>
    <w:rsid w:val="002C012A"/>
    <w:rsid w:val="002C0173"/>
    <w:rsid w:val="002C01BA"/>
    <w:rsid w:val="002C0255"/>
    <w:rsid w:val="002C0515"/>
    <w:rsid w:val="002C056B"/>
    <w:rsid w:val="002C0709"/>
    <w:rsid w:val="002C0772"/>
    <w:rsid w:val="002C07B5"/>
    <w:rsid w:val="002C081C"/>
    <w:rsid w:val="002C083D"/>
    <w:rsid w:val="002C0846"/>
    <w:rsid w:val="002C0899"/>
    <w:rsid w:val="002C098B"/>
    <w:rsid w:val="002C098C"/>
    <w:rsid w:val="002C0B13"/>
    <w:rsid w:val="002C0C84"/>
    <w:rsid w:val="002C0D1B"/>
    <w:rsid w:val="002C0E10"/>
    <w:rsid w:val="002C0F0A"/>
    <w:rsid w:val="002C1271"/>
    <w:rsid w:val="002C131D"/>
    <w:rsid w:val="002C1397"/>
    <w:rsid w:val="002C1401"/>
    <w:rsid w:val="002C141C"/>
    <w:rsid w:val="002C146D"/>
    <w:rsid w:val="002C14B0"/>
    <w:rsid w:val="002C1545"/>
    <w:rsid w:val="002C1552"/>
    <w:rsid w:val="002C15A4"/>
    <w:rsid w:val="002C15BB"/>
    <w:rsid w:val="002C1610"/>
    <w:rsid w:val="002C17FE"/>
    <w:rsid w:val="002C186D"/>
    <w:rsid w:val="002C18D0"/>
    <w:rsid w:val="002C18FF"/>
    <w:rsid w:val="002C1918"/>
    <w:rsid w:val="002C1AAC"/>
    <w:rsid w:val="002C1C3E"/>
    <w:rsid w:val="002C1C77"/>
    <w:rsid w:val="002C1CB5"/>
    <w:rsid w:val="002C1D49"/>
    <w:rsid w:val="002C1F99"/>
    <w:rsid w:val="002C1FAD"/>
    <w:rsid w:val="002C20FB"/>
    <w:rsid w:val="002C228E"/>
    <w:rsid w:val="002C22EF"/>
    <w:rsid w:val="002C230F"/>
    <w:rsid w:val="002C236E"/>
    <w:rsid w:val="002C24B3"/>
    <w:rsid w:val="002C24F1"/>
    <w:rsid w:val="002C25F1"/>
    <w:rsid w:val="002C2697"/>
    <w:rsid w:val="002C2747"/>
    <w:rsid w:val="002C295F"/>
    <w:rsid w:val="002C29CA"/>
    <w:rsid w:val="002C2A14"/>
    <w:rsid w:val="002C2A50"/>
    <w:rsid w:val="002C2AB2"/>
    <w:rsid w:val="002C2AC1"/>
    <w:rsid w:val="002C2BA0"/>
    <w:rsid w:val="002C2BB7"/>
    <w:rsid w:val="002C2C74"/>
    <w:rsid w:val="002C2CA9"/>
    <w:rsid w:val="002C2CD5"/>
    <w:rsid w:val="002C2E77"/>
    <w:rsid w:val="002C3005"/>
    <w:rsid w:val="002C3020"/>
    <w:rsid w:val="002C3062"/>
    <w:rsid w:val="002C31A7"/>
    <w:rsid w:val="002C324F"/>
    <w:rsid w:val="002C32AF"/>
    <w:rsid w:val="002C336E"/>
    <w:rsid w:val="002C3403"/>
    <w:rsid w:val="002C340A"/>
    <w:rsid w:val="002C3533"/>
    <w:rsid w:val="002C3561"/>
    <w:rsid w:val="002C35E0"/>
    <w:rsid w:val="002C369D"/>
    <w:rsid w:val="002C36A1"/>
    <w:rsid w:val="002C371F"/>
    <w:rsid w:val="002C3772"/>
    <w:rsid w:val="002C37CB"/>
    <w:rsid w:val="002C3A2C"/>
    <w:rsid w:val="002C3B2D"/>
    <w:rsid w:val="002C3B46"/>
    <w:rsid w:val="002C3B8B"/>
    <w:rsid w:val="002C3D37"/>
    <w:rsid w:val="002C3D99"/>
    <w:rsid w:val="002C3E8D"/>
    <w:rsid w:val="002C3EE7"/>
    <w:rsid w:val="002C3F79"/>
    <w:rsid w:val="002C4112"/>
    <w:rsid w:val="002C418C"/>
    <w:rsid w:val="002C41C2"/>
    <w:rsid w:val="002C4225"/>
    <w:rsid w:val="002C4255"/>
    <w:rsid w:val="002C4433"/>
    <w:rsid w:val="002C46B9"/>
    <w:rsid w:val="002C4783"/>
    <w:rsid w:val="002C47AA"/>
    <w:rsid w:val="002C47C5"/>
    <w:rsid w:val="002C4858"/>
    <w:rsid w:val="002C48CF"/>
    <w:rsid w:val="002C4A78"/>
    <w:rsid w:val="002C4BE7"/>
    <w:rsid w:val="002C4D3A"/>
    <w:rsid w:val="002C4D49"/>
    <w:rsid w:val="002C4E69"/>
    <w:rsid w:val="002C4FA8"/>
    <w:rsid w:val="002C4FAA"/>
    <w:rsid w:val="002C516C"/>
    <w:rsid w:val="002C518E"/>
    <w:rsid w:val="002C529C"/>
    <w:rsid w:val="002C52C6"/>
    <w:rsid w:val="002C5397"/>
    <w:rsid w:val="002C539C"/>
    <w:rsid w:val="002C53CB"/>
    <w:rsid w:val="002C5497"/>
    <w:rsid w:val="002C56AC"/>
    <w:rsid w:val="002C5744"/>
    <w:rsid w:val="002C593F"/>
    <w:rsid w:val="002C59B0"/>
    <w:rsid w:val="002C59DA"/>
    <w:rsid w:val="002C5A22"/>
    <w:rsid w:val="002C5A5D"/>
    <w:rsid w:val="002C5ABB"/>
    <w:rsid w:val="002C5B77"/>
    <w:rsid w:val="002C5B85"/>
    <w:rsid w:val="002C5B8D"/>
    <w:rsid w:val="002C5C04"/>
    <w:rsid w:val="002C5D0B"/>
    <w:rsid w:val="002C5DBE"/>
    <w:rsid w:val="002C5DF9"/>
    <w:rsid w:val="002C5F14"/>
    <w:rsid w:val="002C60D9"/>
    <w:rsid w:val="002C6127"/>
    <w:rsid w:val="002C6177"/>
    <w:rsid w:val="002C61A9"/>
    <w:rsid w:val="002C620B"/>
    <w:rsid w:val="002C642D"/>
    <w:rsid w:val="002C64CA"/>
    <w:rsid w:val="002C65B4"/>
    <w:rsid w:val="002C6702"/>
    <w:rsid w:val="002C6788"/>
    <w:rsid w:val="002C683F"/>
    <w:rsid w:val="002C68A4"/>
    <w:rsid w:val="002C6A1A"/>
    <w:rsid w:val="002C6BD2"/>
    <w:rsid w:val="002C705B"/>
    <w:rsid w:val="002C70F4"/>
    <w:rsid w:val="002C712B"/>
    <w:rsid w:val="002C72DD"/>
    <w:rsid w:val="002C72F7"/>
    <w:rsid w:val="002C732C"/>
    <w:rsid w:val="002C7500"/>
    <w:rsid w:val="002C7528"/>
    <w:rsid w:val="002C75B3"/>
    <w:rsid w:val="002C75ED"/>
    <w:rsid w:val="002C75F4"/>
    <w:rsid w:val="002C76C9"/>
    <w:rsid w:val="002C7703"/>
    <w:rsid w:val="002C79A1"/>
    <w:rsid w:val="002C7ADB"/>
    <w:rsid w:val="002C7B0F"/>
    <w:rsid w:val="002C7BC0"/>
    <w:rsid w:val="002C7C63"/>
    <w:rsid w:val="002C7D84"/>
    <w:rsid w:val="002D0106"/>
    <w:rsid w:val="002D01B3"/>
    <w:rsid w:val="002D022E"/>
    <w:rsid w:val="002D0251"/>
    <w:rsid w:val="002D02F1"/>
    <w:rsid w:val="002D0390"/>
    <w:rsid w:val="002D04C2"/>
    <w:rsid w:val="002D06A9"/>
    <w:rsid w:val="002D06C6"/>
    <w:rsid w:val="002D06CB"/>
    <w:rsid w:val="002D071C"/>
    <w:rsid w:val="002D07BC"/>
    <w:rsid w:val="002D097E"/>
    <w:rsid w:val="002D0C00"/>
    <w:rsid w:val="002D0E20"/>
    <w:rsid w:val="002D0E7C"/>
    <w:rsid w:val="002D110D"/>
    <w:rsid w:val="002D116C"/>
    <w:rsid w:val="002D11D8"/>
    <w:rsid w:val="002D1205"/>
    <w:rsid w:val="002D1363"/>
    <w:rsid w:val="002D139E"/>
    <w:rsid w:val="002D14AF"/>
    <w:rsid w:val="002D14B0"/>
    <w:rsid w:val="002D153D"/>
    <w:rsid w:val="002D1583"/>
    <w:rsid w:val="002D15B8"/>
    <w:rsid w:val="002D1788"/>
    <w:rsid w:val="002D1886"/>
    <w:rsid w:val="002D18A8"/>
    <w:rsid w:val="002D1AAE"/>
    <w:rsid w:val="002D1CFD"/>
    <w:rsid w:val="002D1D4B"/>
    <w:rsid w:val="002D1E21"/>
    <w:rsid w:val="002D1EA7"/>
    <w:rsid w:val="002D1F21"/>
    <w:rsid w:val="002D20E5"/>
    <w:rsid w:val="002D2121"/>
    <w:rsid w:val="002D21F4"/>
    <w:rsid w:val="002D231F"/>
    <w:rsid w:val="002D2405"/>
    <w:rsid w:val="002D240D"/>
    <w:rsid w:val="002D241F"/>
    <w:rsid w:val="002D259D"/>
    <w:rsid w:val="002D25DC"/>
    <w:rsid w:val="002D25DF"/>
    <w:rsid w:val="002D268D"/>
    <w:rsid w:val="002D2741"/>
    <w:rsid w:val="002D27CA"/>
    <w:rsid w:val="002D292B"/>
    <w:rsid w:val="002D29CC"/>
    <w:rsid w:val="002D2C81"/>
    <w:rsid w:val="002D2D45"/>
    <w:rsid w:val="002D2D6F"/>
    <w:rsid w:val="002D2D9C"/>
    <w:rsid w:val="002D2D9F"/>
    <w:rsid w:val="002D2E89"/>
    <w:rsid w:val="002D2ECC"/>
    <w:rsid w:val="002D2ECE"/>
    <w:rsid w:val="002D2EDB"/>
    <w:rsid w:val="002D2F41"/>
    <w:rsid w:val="002D3171"/>
    <w:rsid w:val="002D32B4"/>
    <w:rsid w:val="002D34A8"/>
    <w:rsid w:val="002D35EB"/>
    <w:rsid w:val="002D360C"/>
    <w:rsid w:val="002D36DD"/>
    <w:rsid w:val="002D36DE"/>
    <w:rsid w:val="002D37DD"/>
    <w:rsid w:val="002D3A3D"/>
    <w:rsid w:val="002D3A47"/>
    <w:rsid w:val="002D3BEC"/>
    <w:rsid w:val="002D3C43"/>
    <w:rsid w:val="002D3E4D"/>
    <w:rsid w:val="002D3F6B"/>
    <w:rsid w:val="002D411D"/>
    <w:rsid w:val="002D412D"/>
    <w:rsid w:val="002D422D"/>
    <w:rsid w:val="002D4442"/>
    <w:rsid w:val="002D4553"/>
    <w:rsid w:val="002D45EF"/>
    <w:rsid w:val="002D471B"/>
    <w:rsid w:val="002D481F"/>
    <w:rsid w:val="002D4831"/>
    <w:rsid w:val="002D483B"/>
    <w:rsid w:val="002D484A"/>
    <w:rsid w:val="002D4899"/>
    <w:rsid w:val="002D48F2"/>
    <w:rsid w:val="002D493C"/>
    <w:rsid w:val="002D495B"/>
    <w:rsid w:val="002D49AA"/>
    <w:rsid w:val="002D49E3"/>
    <w:rsid w:val="002D4A03"/>
    <w:rsid w:val="002D4B09"/>
    <w:rsid w:val="002D4B5F"/>
    <w:rsid w:val="002D4CD0"/>
    <w:rsid w:val="002D4D5D"/>
    <w:rsid w:val="002D4DC9"/>
    <w:rsid w:val="002D4E05"/>
    <w:rsid w:val="002D4E4B"/>
    <w:rsid w:val="002D4E81"/>
    <w:rsid w:val="002D4E82"/>
    <w:rsid w:val="002D4EB2"/>
    <w:rsid w:val="002D5001"/>
    <w:rsid w:val="002D5021"/>
    <w:rsid w:val="002D5139"/>
    <w:rsid w:val="002D5760"/>
    <w:rsid w:val="002D59A7"/>
    <w:rsid w:val="002D59AD"/>
    <w:rsid w:val="002D5A40"/>
    <w:rsid w:val="002D5B19"/>
    <w:rsid w:val="002D5B25"/>
    <w:rsid w:val="002D5DB0"/>
    <w:rsid w:val="002D5EA3"/>
    <w:rsid w:val="002D5EE2"/>
    <w:rsid w:val="002D5FD8"/>
    <w:rsid w:val="002D6005"/>
    <w:rsid w:val="002D612C"/>
    <w:rsid w:val="002D61CB"/>
    <w:rsid w:val="002D6205"/>
    <w:rsid w:val="002D6212"/>
    <w:rsid w:val="002D62FB"/>
    <w:rsid w:val="002D632D"/>
    <w:rsid w:val="002D6334"/>
    <w:rsid w:val="002D6381"/>
    <w:rsid w:val="002D6398"/>
    <w:rsid w:val="002D6567"/>
    <w:rsid w:val="002D6605"/>
    <w:rsid w:val="002D67D7"/>
    <w:rsid w:val="002D68C1"/>
    <w:rsid w:val="002D6C02"/>
    <w:rsid w:val="002D6C44"/>
    <w:rsid w:val="002D6D17"/>
    <w:rsid w:val="002D6E22"/>
    <w:rsid w:val="002D6E3E"/>
    <w:rsid w:val="002D718F"/>
    <w:rsid w:val="002D729D"/>
    <w:rsid w:val="002D7474"/>
    <w:rsid w:val="002D7515"/>
    <w:rsid w:val="002D7767"/>
    <w:rsid w:val="002D77ED"/>
    <w:rsid w:val="002D789A"/>
    <w:rsid w:val="002D78A5"/>
    <w:rsid w:val="002D7944"/>
    <w:rsid w:val="002D79F5"/>
    <w:rsid w:val="002D7AF9"/>
    <w:rsid w:val="002D7B54"/>
    <w:rsid w:val="002D7BD1"/>
    <w:rsid w:val="002D7C80"/>
    <w:rsid w:val="002D7C8E"/>
    <w:rsid w:val="002D7CD1"/>
    <w:rsid w:val="002D7D75"/>
    <w:rsid w:val="002D7D82"/>
    <w:rsid w:val="002D7E16"/>
    <w:rsid w:val="002D7E51"/>
    <w:rsid w:val="002D7F12"/>
    <w:rsid w:val="002D7F71"/>
    <w:rsid w:val="002E0099"/>
    <w:rsid w:val="002E00A8"/>
    <w:rsid w:val="002E022A"/>
    <w:rsid w:val="002E0351"/>
    <w:rsid w:val="002E035D"/>
    <w:rsid w:val="002E0360"/>
    <w:rsid w:val="002E03F0"/>
    <w:rsid w:val="002E0418"/>
    <w:rsid w:val="002E0448"/>
    <w:rsid w:val="002E0454"/>
    <w:rsid w:val="002E047F"/>
    <w:rsid w:val="002E04C2"/>
    <w:rsid w:val="002E0544"/>
    <w:rsid w:val="002E066C"/>
    <w:rsid w:val="002E06C5"/>
    <w:rsid w:val="002E0732"/>
    <w:rsid w:val="002E074B"/>
    <w:rsid w:val="002E07C3"/>
    <w:rsid w:val="002E084E"/>
    <w:rsid w:val="002E0885"/>
    <w:rsid w:val="002E0944"/>
    <w:rsid w:val="002E0947"/>
    <w:rsid w:val="002E0A5C"/>
    <w:rsid w:val="002E0A9D"/>
    <w:rsid w:val="002E0AAD"/>
    <w:rsid w:val="002E0AAF"/>
    <w:rsid w:val="002E0BE6"/>
    <w:rsid w:val="002E0CB8"/>
    <w:rsid w:val="002E0FAD"/>
    <w:rsid w:val="002E10E6"/>
    <w:rsid w:val="002E110A"/>
    <w:rsid w:val="002E1219"/>
    <w:rsid w:val="002E128E"/>
    <w:rsid w:val="002E12D0"/>
    <w:rsid w:val="002E1373"/>
    <w:rsid w:val="002E13A4"/>
    <w:rsid w:val="002E13E2"/>
    <w:rsid w:val="002E1463"/>
    <w:rsid w:val="002E1477"/>
    <w:rsid w:val="002E1486"/>
    <w:rsid w:val="002E16D3"/>
    <w:rsid w:val="002E16E9"/>
    <w:rsid w:val="002E183F"/>
    <w:rsid w:val="002E18B6"/>
    <w:rsid w:val="002E192D"/>
    <w:rsid w:val="002E1968"/>
    <w:rsid w:val="002E19BA"/>
    <w:rsid w:val="002E1B2A"/>
    <w:rsid w:val="002E1C55"/>
    <w:rsid w:val="002E1E4C"/>
    <w:rsid w:val="002E1E7C"/>
    <w:rsid w:val="002E1E88"/>
    <w:rsid w:val="002E1EB4"/>
    <w:rsid w:val="002E1F77"/>
    <w:rsid w:val="002E1FB3"/>
    <w:rsid w:val="002E1FB6"/>
    <w:rsid w:val="002E2048"/>
    <w:rsid w:val="002E204D"/>
    <w:rsid w:val="002E220D"/>
    <w:rsid w:val="002E2229"/>
    <w:rsid w:val="002E2252"/>
    <w:rsid w:val="002E2377"/>
    <w:rsid w:val="002E2386"/>
    <w:rsid w:val="002E2498"/>
    <w:rsid w:val="002E24D1"/>
    <w:rsid w:val="002E25C3"/>
    <w:rsid w:val="002E274B"/>
    <w:rsid w:val="002E2847"/>
    <w:rsid w:val="002E2870"/>
    <w:rsid w:val="002E2897"/>
    <w:rsid w:val="002E28FC"/>
    <w:rsid w:val="002E2939"/>
    <w:rsid w:val="002E293A"/>
    <w:rsid w:val="002E29EC"/>
    <w:rsid w:val="002E2A70"/>
    <w:rsid w:val="002E2B14"/>
    <w:rsid w:val="002E2C32"/>
    <w:rsid w:val="002E2FB9"/>
    <w:rsid w:val="002E2FCA"/>
    <w:rsid w:val="002E303C"/>
    <w:rsid w:val="002E3159"/>
    <w:rsid w:val="002E318A"/>
    <w:rsid w:val="002E321D"/>
    <w:rsid w:val="002E32DC"/>
    <w:rsid w:val="002E33A6"/>
    <w:rsid w:val="002E3543"/>
    <w:rsid w:val="002E357D"/>
    <w:rsid w:val="002E3643"/>
    <w:rsid w:val="002E36B5"/>
    <w:rsid w:val="002E3748"/>
    <w:rsid w:val="002E374A"/>
    <w:rsid w:val="002E3915"/>
    <w:rsid w:val="002E39F1"/>
    <w:rsid w:val="002E3A69"/>
    <w:rsid w:val="002E3BA9"/>
    <w:rsid w:val="002E3CB7"/>
    <w:rsid w:val="002E3D3F"/>
    <w:rsid w:val="002E3D5D"/>
    <w:rsid w:val="002E3D6B"/>
    <w:rsid w:val="002E3DC9"/>
    <w:rsid w:val="002E3EE2"/>
    <w:rsid w:val="002E3FBF"/>
    <w:rsid w:val="002E4072"/>
    <w:rsid w:val="002E4177"/>
    <w:rsid w:val="002E41F3"/>
    <w:rsid w:val="002E41F8"/>
    <w:rsid w:val="002E41FD"/>
    <w:rsid w:val="002E42FD"/>
    <w:rsid w:val="002E4334"/>
    <w:rsid w:val="002E441E"/>
    <w:rsid w:val="002E454C"/>
    <w:rsid w:val="002E46F0"/>
    <w:rsid w:val="002E4719"/>
    <w:rsid w:val="002E4793"/>
    <w:rsid w:val="002E4840"/>
    <w:rsid w:val="002E48C4"/>
    <w:rsid w:val="002E48CE"/>
    <w:rsid w:val="002E4938"/>
    <w:rsid w:val="002E49B0"/>
    <w:rsid w:val="002E49D0"/>
    <w:rsid w:val="002E4A05"/>
    <w:rsid w:val="002E4A8C"/>
    <w:rsid w:val="002E4AFA"/>
    <w:rsid w:val="002E4B10"/>
    <w:rsid w:val="002E4C70"/>
    <w:rsid w:val="002E4EFA"/>
    <w:rsid w:val="002E50A0"/>
    <w:rsid w:val="002E50AF"/>
    <w:rsid w:val="002E51B8"/>
    <w:rsid w:val="002E5311"/>
    <w:rsid w:val="002E5380"/>
    <w:rsid w:val="002E5399"/>
    <w:rsid w:val="002E545D"/>
    <w:rsid w:val="002E5499"/>
    <w:rsid w:val="002E5520"/>
    <w:rsid w:val="002E5551"/>
    <w:rsid w:val="002E55C7"/>
    <w:rsid w:val="002E55F3"/>
    <w:rsid w:val="002E5644"/>
    <w:rsid w:val="002E566D"/>
    <w:rsid w:val="002E577C"/>
    <w:rsid w:val="002E57DF"/>
    <w:rsid w:val="002E5836"/>
    <w:rsid w:val="002E587A"/>
    <w:rsid w:val="002E596D"/>
    <w:rsid w:val="002E5A01"/>
    <w:rsid w:val="002E5B10"/>
    <w:rsid w:val="002E5C46"/>
    <w:rsid w:val="002E5F2F"/>
    <w:rsid w:val="002E5F6C"/>
    <w:rsid w:val="002E5FD5"/>
    <w:rsid w:val="002E60AE"/>
    <w:rsid w:val="002E63A2"/>
    <w:rsid w:val="002E642C"/>
    <w:rsid w:val="002E655F"/>
    <w:rsid w:val="002E6702"/>
    <w:rsid w:val="002E673A"/>
    <w:rsid w:val="002E67CA"/>
    <w:rsid w:val="002E6825"/>
    <w:rsid w:val="002E6869"/>
    <w:rsid w:val="002E68DB"/>
    <w:rsid w:val="002E690E"/>
    <w:rsid w:val="002E6A11"/>
    <w:rsid w:val="002E6BEE"/>
    <w:rsid w:val="002E6C0C"/>
    <w:rsid w:val="002E6C1D"/>
    <w:rsid w:val="002E6D93"/>
    <w:rsid w:val="002E6EE3"/>
    <w:rsid w:val="002E6F2F"/>
    <w:rsid w:val="002E7110"/>
    <w:rsid w:val="002E728C"/>
    <w:rsid w:val="002E761B"/>
    <w:rsid w:val="002E76CF"/>
    <w:rsid w:val="002E7729"/>
    <w:rsid w:val="002E77B0"/>
    <w:rsid w:val="002E77B9"/>
    <w:rsid w:val="002E799B"/>
    <w:rsid w:val="002E7C56"/>
    <w:rsid w:val="002E7D09"/>
    <w:rsid w:val="002E7DC0"/>
    <w:rsid w:val="002E7E1F"/>
    <w:rsid w:val="002F007B"/>
    <w:rsid w:val="002F0288"/>
    <w:rsid w:val="002F02A8"/>
    <w:rsid w:val="002F02A9"/>
    <w:rsid w:val="002F02B8"/>
    <w:rsid w:val="002F02C4"/>
    <w:rsid w:val="002F02EB"/>
    <w:rsid w:val="002F03DF"/>
    <w:rsid w:val="002F0407"/>
    <w:rsid w:val="002F0412"/>
    <w:rsid w:val="002F05E9"/>
    <w:rsid w:val="002F0666"/>
    <w:rsid w:val="002F06BC"/>
    <w:rsid w:val="002F06DA"/>
    <w:rsid w:val="002F06F9"/>
    <w:rsid w:val="002F07BC"/>
    <w:rsid w:val="002F092D"/>
    <w:rsid w:val="002F0A11"/>
    <w:rsid w:val="002F0A1A"/>
    <w:rsid w:val="002F0A47"/>
    <w:rsid w:val="002F0A5A"/>
    <w:rsid w:val="002F0B91"/>
    <w:rsid w:val="002F0BAF"/>
    <w:rsid w:val="002F0CF7"/>
    <w:rsid w:val="002F0D72"/>
    <w:rsid w:val="002F0DB4"/>
    <w:rsid w:val="002F0E14"/>
    <w:rsid w:val="002F0E91"/>
    <w:rsid w:val="002F0EF4"/>
    <w:rsid w:val="002F1001"/>
    <w:rsid w:val="002F103B"/>
    <w:rsid w:val="002F1083"/>
    <w:rsid w:val="002F1146"/>
    <w:rsid w:val="002F115C"/>
    <w:rsid w:val="002F1230"/>
    <w:rsid w:val="002F1314"/>
    <w:rsid w:val="002F1446"/>
    <w:rsid w:val="002F1483"/>
    <w:rsid w:val="002F14C7"/>
    <w:rsid w:val="002F152C"/>
    <w:rsid w:val="002F1689"/>
    <w:rsid w:val="002F16CD"/>
    <w:rsid w:val="002F1705"/>
    <w:rsid w:val="002F174C"/>
    <w:rsid w:val="002F18CE"/>
    <w:rsid w:val="002F1A1E"/>
    <w:rsid w:val="002F1A8E"/>
    <w:rsid w:val="002F1D4C"/>
    <w:rsid w:val="002F1DC6"/>
    <w:rsid w:val="002F1DC8"/>
    <w:rsid w:val="002F1ED4"/>
    <w:rsid w:val="002F1EF3"/>
    <w:rsid w:val="002F1F40"/>
    <w:rsid w:val="002F1FDD"/>
    <w:rsid w:val="002F206B"/>
    <w:rsid w:val="002F20AF"/>
    <w:rsid w:val="002F21CD"/>
    <w:rsid w:val="002F22FB"/>
    <w:rsid w:val="002F2387"/>
    <w:rsid w:val="002F257D"/>
    <w:rsid w:val="002F25C2"/>
    <w:rsid w:val="002F2611"/>
    <w:rsid w:val="002F269F"/>
    <w:rsid w:val="002F26A5"/>
    <w:rsid w:val="002F287C"/>
    <w:rsid w:val="002F2883"/>
    <w:rsid w:val="002F289F"/>
    <w:rsid w:val="002F28C1"/>
    <w:rsid w:val="002F290E"/>
    <w:rsid w:val="002F2A70"/>
    <w:rsid w:val="002F2A95"/>
    <w:rsid w:val="002F2ABA"/>
    <w:rsid w:val="002F2B9A"/>
    <w:rsid w:val="002F2B9B"/>
    <w:rsid w:val="002F2BFA"/>
    <w:rsid w:val="002F2BFB"/>
    <w:rsid w:val="002F2C6B"/>
    <w:rsid w:val="002F2CCE"/>
    <w:rsid w:val="002F2D60"/>
    <w:rsid w:val="002F2DAD"/>
    <w:rsid w:val="002F2DEE"/>
    <w:rsid w:val="002F2E54"/>
    <w:rsid w:val="002F2E5A"/>
    <w:rsid w:val="002F2EAC"/>
    <w:rsid w:val="002F2F6C"/>
    <w:rsid w:val="002F318B"/>
    <w:rsid w:val="002F3304"/>
    <w:rsid w:val="002F33DA"/>
    <w:rsid w:val="002F33EE"/>
    <w:rsid w:val="002F33FA"/>
    <w:rsid w:val="002F340A"/>
    <w:rsid w:val="002F358D"/>
    <w:rsid w:val="002F3599"/>
    <w:rsid w:val="002F35E6"/>
    <w:rsid w:val="002F3616"/>
    <w:rsid w:val="002F3698"/>
    <w:rsid w:val="002F3707"/>
    <w:rsid w:val="002F3771"/>
    <w:rsid w:val="002F37D3"/>
    <w:rsid w:val="002F380A"/>
    <w:rsid w:val="002F3885"/>
    <w:rsid w:val="002F3922"/>
    <w:rsid w:val="002F395C"/>
    <w:rsid w:val="002F3978"/>
    <w:rsid w:val="002F3A05"/>
    <w:rsid w:val="002F3AD7"/>
    <w:rsid w:val="002F3ADC"/>
    <w:rsid w:val="002F3B1A"/>
    <w:rsid w:val="002F3BA0"/>
    <w:rsid w:val="002F3BCC"/>
    <w:rsid w:val="002F3C4B"/>
    <w:rsid w:val="002F3C6D"/>
    <w:rsid w:val="002F3F5A"/>
    <w:rsid w:val="002F3F5B"/>
    <w:rsid w:val="002F3FDE"/>
    <w:rsid w:val="002F400F"/>
    <w:rsid w:val="002F4019"/>
    <w:rsid w:val="002F40E7"/>
    <w:rsid w:val="002F4121"/>
    <w:rsid w:val="002F4176"/>
    <w:rsid w:val="002F42BC"/>
    <w:rsid w:val="002F4312"/>
    <w:rsid w:val="002F4316"/>
    <w:rsid w:val="002F431A"/>
    <w:rsid w:val="002F4392"/>
    <w:rsid w:val="002F43E3"/>
    <w:rsid w:val="002F445B"/>
    <w:rsid w:val="002F4605"/>
    <w:rsid w:val="002F4630"/>
    <w:rsid w:val="002F465F"/>
    <w:rsid w:val="002F467B"/>
    <w:rsid w:val="002F4752"/>
    <w:rsid w:val="002F47D2"/>
    <w:rsid w:val="002F4806"/>
    <w:rsid w:val="002F496B"/>
    <w:rsid w:val="002F4AFF"/>
    <w:rsid w:val="002F4B71"/>
    <w:rsid w:val="002F4C9D"/>
    <w:rsid w:val="002F4E53"/>
    <w:rsid w:val="002F50CF"/>
    <w:rsid w:val="002F5178"/>
    <w:rsid w:val="002F5366"/>
    <w:rsid w:val="002F577A"/>
    <w:rsid w:val="002F581E"/>
    <w:rsid w:val="002F58C9"/>
    <w:rsid w:val="002F5D0E"/>
    <w:rsid w:val="002F5D30"/>
    <w:rsid w:val="002F5F72"/>
    <w:rsid w:val="002F5F91"/>
    <w:rsid w:val="002F6093"/>
    <w:rsid w:val="002F616B"/>
    <w:rsid w:val="002F617F"/>
    <w:rsid w:val="002F6299"/>
    <w:rsid w:val="002F62F3"/>
    <w:rsid w:val="002F632D"/>
    <w:rsid w:val="002F6382"/>
    <w:rsid w:val="002F6474"/>
    <w:rsid w:val="002F6489"/>
    <w:rsid w:val="002F6587"/>
    <w:rsid w:val="002F67C5"/>
    <w:rsid w:val="002F6831"/>
    <w:rsid w:val="002F69B6"/>
    <w:rsid w:val="002F6A6B"/>
    <w:rsid w:val="002F6B48"/>
    <w:rsid w:val="002F6BEB"/>
    <w:rsid w:val="002F6C6C"/>
    <w:rsid w:val="002F6CA8"/>
    <w:rsid w:val="002F6CD7"/>
    <w:rsid w:val="002F6D3A"/>
    <w:rsid w:val="002F6D4F"/>
    <w:rsid w:val="002F72CC"/>
    <w:rsid w:val="002F72FF"/>
    <w:rsid w:val="002F741E"/>
    <w:rsid w:val="002F7547"/>
    <w:rsid w:val="002F7598"/>
    <w:rsid w:val="002F7764"/>
    <w:rsid w:val="002F7766"/>
    <w:rsid w:val="002F7783"/>
    <w:rsid w:val="002F7A0C"/>
    <w:rsid w:val="002F7AC6"/>
    <w:rsid w:val="002F7BE1"/>
    <w:rsid w:val="002F7C33"/>
    <w:rsid w:val="002F7D53"/>
    <w:rsid w:val="002F7F2F"/>
    <w:rsid w:val="00300109"/>
    <w:rsid w:val="00300302"/>
    <w:rsid w:val="003005A0"/>
    <w:rsid w:val="0030068E"/>
    <w:rsid w:val="0030070A"/>
    <w:rsid w:val="00300766"/>
    <w:rsid w:val="0030076E"/>
    <w:rsid w:val="00300B65"/>
    <w:rsid w:val="00300C3C"/>
    <w:rsid w:val="00300C9D"/>
    <w:rsid w:val="00300D85"/>
    <w:rsid w:val="00300D87"/>
    <w:rsid w:val="00300DF1"/>
    <w:rsid w:val="00300E50"/>
    <w:rsid w:val="00300EEF"/>
    <w:rsid w:val="00301041"/>
    <w:rsid w:val="003011DA"/>
    <w:rsid w:val="003011E4"/>
    <w:rsid w:val="0030123D"/>
    <w:rsid w:val="0030138D"/>
    <w:rsid w:val="00301438"/>
    <w:rsid w:val="00301466"/>
    <w:rsid w:val="0030148C"/>
    <w:rsid w:val="003014FC"/>
    <w:rsid w:val="00301569"/>
    <w:rsid w:val="003016CB"/>
    <w:rsid w:val="00301755"/>
    <w:rsid w:val="00301973"/>
    <w:rsid w:val="0030199D"/>
    <w:rsid w:val="00301A63"/>
    <w:rsid w:val="00301A6E"/>
    <w:rsid w:val="00301B8D"/>
    <w:rsid w:val="00301BD3"/>
    <w:rsid w:val="00301DCC"/>
    <w:rsid w:val="00301E43"/>
    <w:rsid w:val="00301F8F"/>
    <w:rsid w:val="0030200F"/>
    <w:rsid w:val="00302063"/>
    <w:rsid w:val="003021C0"/>
    <w:rsid w:val="003021C1"/>
    <w:rsid w:val="0030220F"/>
    <w:rsid w:val="00302235"/>
    <w:rsid w:val="0030226B"/>
    <w:rsid w:val="003022DD"/>
    <w:rsid w:val="003022DE"/>
    <w:rsid w:val="00302344"/>
    <w:rsid w:val="00302369"/>
    <w:rsid w:val="003023EF"/>
    <w:rsid w:val="00302446"/>
    <w:rsid w:val="0030257E"/>
    <w:rsid w:val="003025C9"/>
    <w:rsid w:val="0030268E"/>
    <w:rsid w:val="003029F7"/>
    <w:rsid w:val="00302AB9"/>
    <w:rsid w:val="00302CD2"/>
    <w:rsid w:val="00302DBB"/>
    <w:rsid w:val="00302EED"/>
    <w:rsid w:val="00302FBC"/>
    <w:rsid w:val="00303027"/>
    <w:rsid w:val="0030306A"/>
    <w:rsid w:val="00303109"/>
    <w:rsid w:val="00303122"/>
    <w:rsid w:val="00303128"/>
    <w:rsid w:val="003031FB"/>
    <w:rsid w:val="00303258"/>
    <w:rsid w:val="003032C7"/>
    <w:rsid w:val="003032E3"/>
    <w:rsid w:val="00303388"/>
    <w:rsid w:val="00303390"/>
    <w:rsid w:val="003033C6"/>
    <w:rsid w:val="003033FA"/>
    <w:rsid w:val="00303499"/>
    <w:rsid w:val="0030349E"/>
    <w:rsid w:val="003036A6"/>
    <w:rsid w:val="003037A6"/>
    <w:rsid w:val="003038C5"/>
    <w:rsid w:val="00303A37"/>
    <w:rsid w:val="00303B2D"/>
    <w:rsid w:val="00303BF2"/>
    <w:rsid w:val="00303CAC"/>
    <w:rsid w:val="00303E5A"/>
    <w:rsid w:val="00303F4D"/>
    <w:rsid w:val="0030418F"/>
    <w:rsid w:val="0030427C"/>
    <w:rsid w:val="003044AF"/>
    <w:rsid w:val="003044E5"/>
    <w:rsid w:val="00304590"/>
    <w:rsid w:val="00304A45"/>
    <w:rsid w:val="00304A7D"/>
    <w:rsid w:val="00304A82"/>
    <w:rsid w:val="00304A91"/>
    <w:rsid w:val="00304B51"/>
    <w:rsid w:val="00304B8E"/>
    <w:rsid w:val="00304B96"/>
    <w:rsid w:val="00304D8F"/>
    <w:rsid w:val="00304DD2"/>
    <w:rsid w:val="00304E41"/>
    <w:rsid w:val="00304F13"/>
    <w:rsid w:val="00304F3A"/>
    <w:rsid w:val="00304FBD"/>
    <w:rsid w:val="00305085"/>
    <w:rsid w:val="0030516C"/>
    <w:rsid w:val="003052A6"/>
    <w:rsid w:val="003052C0"/>
    <w:rsid w:val="00305378"/>
    <w:rsid w:val="003053CE"/>
    <w:rsid w:val="003053DF"/>
    <w:rsid w:val="00305498"/>
    <w:rsid w:val="003054A4"/>
    <w:rsid w:val="003054BB"/>
    <w:rsid w:val="003054F5"/>
    <w:rsid w:val="003056D6"/>
    <w:rsid w:val="00305787"/>
    <w:rsid w:val="00305799"/>
    <w:rsid w:val="003058A8"/>
    <w:rsid w:val="003058AA"/>
    <w:rsid w:val="003058C5"/>
    <w:rsid w:val="00305B47"/>
    <w:rsid w:val="00305B5F"/>
    <w:rsid w:val="00305B82"/>
    <w:rsid w:val="00305CC8"/>
    <w:rsid w:val="00305DDB"/>
    <w:rsid w:val="00305E0E"/>
    <w:rsid w:val="00305E17"/>
    <w:rsid w:val="00305F39"/>
    <w:rsid w:val="00305FC7"/>
    <w:rsid w:val="00306093"/>
    <w:rsid w:val="0030634B"/>
    <w:rsid w:val="003063FA"/>
    <w:rsid w:val="0030644B"/>
    <w:rsid w:val="003064E0"/>
    <w:rsid w:val="00306546"/>
    <w:rsid w:val="00306611"/>
    <w:rsid w:val="0030665E"/>
    <w:rsid w:val="003066CB"/>
    <w:rsid w:val="003066FC"/>
    <w:rsid w:val="00306764"/>
    <w:rsid w:val="00306791"/>
    <w:rsid w:val="003067F8"/>
    <w:rsid w:val="00306818"/>
    <w:rsid w:val="00306894"/>
    <w:rsid w:val="00306A57"/>
    <w:rsid w:val="00306BD2"/>
    <w:rsid w:val="00306C1C"/>
    <w:rsid w:val="00306CFB"/>
    <w:rsid w:val="00306D31"/>
    <w:rsid w:val="00306D58"/>
    <w:rsid w:val="00306EEE"/>
    <w:rsid w:val="00306FB6"/>
    <w:rsid w:val="00306FEF"/>
    <w:rsid w:val="00307098"/>
    <w:rsid w:val="0030714F"/>
    <w:rsid w:val="0030721D"/>
    <w:rsid w:val="00307260"/>
    <w:rsid w:val="00307369"/>
    <w:rsid w:val="003073F8"/>
    <w:rsid w:val="00307405"/>
    <w:rsid w:val="00307417"/>
    <w:rsid w:val="00307454"/>
    <w:rsid w:val="003074EF"/>
    <w:rsid w:val="003074FE"/>
    <w:rsid w:val="003076D9"/>
    <w:rsid w:val="003078C6"/>
    <w:rsid w:val="003079B8"/>
    <w:rsid w:val="003079FB"/>
    <w:rsid w:val="00307A69"/>
    <w:rsid w:val="00307A6A"/>
    <w:rsid w:val="00307C66"/>
    <w:rsid w:val="00307D2B"/>
    <w:rsid w:val="00310180"/>
    <w:rsid w:val="003101AC"/>
    <w:rsid w:val="003101CD"/>
    <w:rsid w:val="003102E9"/>
    <w:rsid w:val="00310404"/>
    <w:rsid w:val="00310440"/>
    <w:rsid w:val="00310678"/>
    <w:rsid w:val="0031068E"/>
    <w:rsid w:val="003108E7"/>
    <w:rsid w:val="003109AC"/>
    <w:rsid w:val="003109ED"/>
    <w:rsid w:val="00310A67"/>
    <w:rsid w:val="00310A8A"/>
    <w:rsid w:val="00310A92"/>
    <w:rsid w:val="00310AB7"/>
    <w:rsid w:val="00310B00"/>
    <w:rsid w:val="00310D99"/>
    <w:rsid w:val="00310E51"/>
    <w:rsid w:val="00310F00"/>
    <w:rsid w:val="00310F1D"/>
    <w:rsid w:val="00310F70"/>
    <w:rsid w:val="00310F8C"/>
    <w:rsid w:val="00311014"/>
    <w:rsid w:val="00311150"/>
    <w:rsid w:val="003111BB"/>
    <w:rsid w:val="00311202"/>
    <w:rsid w:val="0031132F"/>
    <w:rsid w:val="00311401"/>
    <w:rsid w:val="003114B4"/>
    <w:rsid w:val="003115EF"/>
    <w:rsid w:val="00311618"/>
    <w:rsid w:val="00311654"/>
    <w:rsid w:val="003116B5"/>
    <w:rsid w:val="00311746"/>
    <w:rsid w:val="003117DD"/>
    <w:rsid w:val="00311A21"/>
    <w:rsid w:val="00311AB3"/>
    <w:rsid w:val="00311D66"/>
    <w:rsid w:val="0031206D"/>
    <w:rsid w:val="003120A4"/>
    <w:rsid w:val="00312140"/>
    <w:rsid w:val="003122F4"/>
    <w:rsid w:val="0031234D"/>
    <w:rsid w:val="00312357"/>
    <w:rsid w:val="003123A2"/>
    <w:rsid w:val="003123A3"/>
    <w:rsid w:val="003123B2"/>
    <w:rsid w:val="003123FB"/>
    <w:rsid w:val="00312410"/>
    <w:rsid w:val="003124AA"/>
    <w:rsid w:val="003124B4"/>
    <w:rsid w:val="00312527"/>
    <w:rsid w:val="00312581"/>
    <w:rsid w:val="00312670"/>
    <w:rsid w:val="003126B6"/>
    <w:rsid w:val="00312710"/>
    <w:rsid w:val="00312819"/>
    <w:rsid w:val="0031290E"/>
    <w:rsid w:val="003129DA"/>
    <w:rsid w:val="00312A80"/>
    <w:rsid w:val="00312AEC"/>
    <w:rsid w:val="00312B50"/>
    <w:rsid w:val="00312C27"/>
    <w:rsid w:val="00312CD3"/>
    <w:rsid w:val="00312CD6"/>
    <w:rsid w:val="00312D1C"/>
    <w:rsid w:val="00312D39"/>
    <w:rsid w:val="00312E39"/>
    <w:rsid w:val="00312E71"/>
    <w:rsid w:val="00312EE2"/>
    <w:rsid w:val="00313061"/>
    <w:rsid w:val="0031316D"/>
    <w:rsid w:val="00313263"/>
    <w:rsid w:val="00313341"/>
    <w:rsid w:val="00313555"/>
    <w:rsid w:val="003136D5"/>
    <w:rsid w:val="003137DA"/>
    <w:rsid w:val="00313897"/>
    <w:rsid w:val="003138F0"/>
    <w:rsid w:val="003139E1"/>
    <w:rsid w:val="00313AE0"/>
    <w:rsid w:val="00313AE3"/>
    <w:rsid w:val="00313B00"/>
    <w:rsid w:val="00313B69"/>
    <w:rsid w:val="00313C38"/>
    <w:rsid w:val="00313D82"/>
    <w:rsid w:val="00313E56"/>
    <w:rsid w:val="00313F9B"/>
    <w:rsid w:val="0031418F"/>
    <w:rsid w:val="00314315"/>
    <w:rsid w:val="00314368"/>
    <w:rsid w:val="0031440D"/>
    <w:rsid w:val="003144F7"/>
    <w:rsid w:val="0031457D"/>
    <w:rsid w:val="0031475C"/>
    <w:rsid w:val="003147A1"/>
    <w:rsid w:val="00314875"/>
    <w:rsid w:val="00314914"/>
    <w:rsid w:val="00314956"/>
    <w:rsid w:val="003149D7"/>
    <w:rsid w:val="00314C22"/>
    <w:rsid w:val="00314D52"/>
    <w:rsid w:val="00314D58"/>
    <w:rsid w:val="00315080"/>
    <w:rsid w:val="0031515E"/>
    <w:rsid w:val="00315381"/>
    <w:rsid w:val="0031555F"/>
    <w:rsid w:val="00315567"/>
    <w:rsid w:val="003155D9"/>
    <w:rsid w:val="00315777"/>
    <w:rsid w:val="00315849"/>
    <w:rsid w:val="00315C86"/>
    <w:rsid w:val="00315CC3"/>
    <w:rsid w:val="00315D12"/>
    <w:rsid w:val="00315D90"/>
    <w:rsid w:val="00315DB0"/>
    <w:rsid w:val="00315E63"/>
    <w:rsid w:val="00315EC0"/>
    <w:rsid w:val="00315F36"/>
    <w:rsid w:val="00315FB0"/>
    <w:rsid w:val="00315FEE"/>
    <w:rsid w:val="0031603C"/>
    <w:rsid w:val="00316099"/>
    <w:rsid w:val="0031613F"/>
    <w:rsid w:val="003163F1"/>
    <w:rsid w:val="0031644A"/>
    <w:rsid w:val="003164BE"/>
    <w:rsid w:val="003166B7"/>
    <w:rsid w:val="00316721"/>
    <w:rsid w:val="003167DC"/>
    <w:rsid w:val="00316808"/>
    <w:rsid w:val="003168B8"/>
    <w:rsid w:val="0031696E"/>
    <w:rsid w:val="00316A63"/>
    <w:rsid w:val="00316A75"/>
    <w:rsid w:val="00316B01"/>
    <w:rsid w:val="00316BBB"/>
    <w:rsid w:val="00316C86"/>
    <w:rsid w:val="00316D36"/>
    <w:rsid w:val="00316D3B"/>
    <w:rsid w:val="00316DE5"/>
    <w:rsid w:val="00316E3E"/>
    <w:rsid w:val="00316E6E"/>
    <w:rsid w:val="00316EEF"/>
    <w:rsid w:val="00317029"/>
    <w:rsid w:val="00317066"/>
    <w:rsid w:val="003170EA"/>
    <w:rsid w:val="0031717C"/>
    <w:rsid w:val="00317184"/>
    <w:rsid w:val="003171AF"/>
    <w:rsid w:val="003171EF"/>
    <w:rsid w:val="00317231"/>
    <w:rsid w:val="0031727A"/>
    <w:rsid w:val="0031729F"/>
    <w:rsid w:val="00317441"/>
    <w:rsid w:val="0031745D"/>
    <w:rsid w:val="00317489"/>
    <w:rsid w:val="003175FC"/>
    <w:rsid w:val="0031763C"/>
    <w:rsid w:val="00317733"/>
    <w:rsid w:val="0031782A"/>
    <w:rsid w:val="00317856"/>
    <w:rsid w:val="0031786D"/>
    <w:rsid w:val="0031788C"/>
    <w:rsid w:val="00317939"/>
    <w:rsid w:val="00317A89"/>
    <w:rsid w:val="00317AAC"/>
    <w:rsid w:val="00317B00"/>
    <w:rsid w:val="00317CC9"/>
    <w:rsid w:val="00317D44"/>
    <w:rsid w:val="00317E8A"/>
    <w:rsid w:val="00317FDB"/>
    <w:rsid w:val="003200E9"/>
    <w:rsid w:val="00320289"/>
    <w:rsid w:val="00320334"/>
    <w:rsid w:val="00320355"/>
    <w:rsid w:val="003203A6"/>
    <w:rsid w:val="003203E4"/>
    <w:rsid w:val="003204A8"/>
    <w:rsid w:val="003205A3"/>
    <w:rsid w:val="003206AC"/>
    <w:rsid w:val="00320713"/>
    <w:rsid w:val="0032081E"/>
    <w:rsid w:val="00320915"/>
    <w:rsid w:val="00320967"/>
    <w:rsid w:val="003209B9"/>
    <w:rsid w:val="00320B98"/>
    <w:rsid w:val="00320C16"/>
    <w:rsid w:val="00320C18"/>
    <w:rsid w:val="00320E42"/>
    <w:rsid w:val="00320E73"/>
    <w:rsid w:val="00320EF4"/>
    <w:rsid w:val="00320F1C"/>
    <w:rsid w:val="0032105A"/>
    <w:rsid w:val="00321184"/>
    <w:rsid w:val="0032118E"/>
    <w:rsid w:val="003213C0"/>
    <w:rsid w:val="003213DE"/>
    <w:rsid w:val="00321431"/>
    <w:rsid w:val="00321466"/>
    <w:rsid w:val="0032146F"/>
    <w:rsid w:val="003214C3"/>
    <w:rsid w:val="00321634"/>
    <w:rsid w:val="0032185F"/>
    <w:rsid w:val="0032186B"/>
    <w:rsid w:val="0032189A"/>
    <w:rsid w:val="0032194E"/>
    <w:rsid w:val="00321976"/>
    <w:rsid w:val="00321AD2"/>
    <w:rsid w:val="00321C7E"/>
    <w:rsid w:val="00321E27"/>
    <w:rsid w:val="00321E38"/>
    <w:rsid w:val="00321E59"/>
    <w:rsid w:val="00321EE3"/>
    <w:rsid w:val="0032206D"/>
    <w:rsid w:val="00322093"/>
    <w:rsid w:val="003220E6"/>
    <w:rsid w:val="0032214A"/>
    <w:rsid w:val="0032226B"/>
    <w:rsid w:val="003222E1"/>
    <w:rsid w:val="00322342"/>
    <w:rsid w:val="0032242E"/>
    <w:rsid w:val="0032263D"/>
    <w:rsid w:val="003227AE"/>
    <w:rsid w:val="00322824"/>
    <w:rsid w:val="0032284A"/>
    <w:rsid w:val="00322A4F"/>
    <w:rsid w:val="00322A81"/>
    <w:rsid w:val="00322AAF"/>
    <w:rsid w:val="00322AD4"/>
    <w:rsid w:val="00322BBA"/>
    <w:rsid w:val="00322C0B"/>
    <w:rsid w:val="00322C76"/>
    <w:rsid w:val="00322CF2"/>
    <w:rsid w:val="00322D7A"/>
    <w:rsid w:val="00322DC4"/>
    <w:rsid w:val="00322E0B"/>
    <w:rsid w:val="00322EF3"/>
    <w:rsid w:val="00322F56"/>
    <w:rsid w:val="00323044"/>
    <w:rsid w:val="00323053"/>
    <w:rsid w:val="00323156"/>
    <w:rsid w:val="003231BD"/>
    <w:rsid w:val="003231E8"/>
    <w:rsid w:val="00323336"/>
    <w:rsid w:val="003233A1"/>
    <w:rsid w:val="003233C6"/>
    <w:rsid w:val="003233E9"/>
    <w:rsid w:val="00323661"/>
    <w:rsid w:val="0032378F"/>
    <w:rsid w:val="003237D8"/>
    <w:rsid w:val="003239B1"/>
    <w:rsid w:val="00323C27"/>
    <w:rsid w:val="00323DD0"/>
    <w:rsid w:val="00323F34"/>
    <w:rsid w:val="0032401B"/>
    <w:rsid w:val="0032408F"/>
    <w:rsid w:val="003241D0"/>
    <w:rsid w:val="00324271"/>
    <w:rsid w:val="003242BD"/>
    <w:rsid w:val="00324329"/>
    <w:rsid w:val="0032435F"/>
    <w:rsid w:val="00324395"/>
    <w:rsid w:val="003243AB"/>
    <w:rsid w:val="003243E7"/>
    <w:rsid w:val="0032443F"/>
    <w:rsid w:val="00324595"/>
    <w:rsid w:val="003245B1"/>
    <w:rsid w:val="0032471D"/>
    <w:rsid w:val="00324756"/>
    <w:rsid w:val="003248B1"/>
    <w:rsid w:val="00324B3F"/>
    <w:rsid w:val="00324B7C"/>
    <w:rsid w:val="00324DC8"/>
    <w:rsid w:val="00324DCB"/>
    <w:rsid w:val="00324E2B"/>
    <w:rsid w:val="00324EEB"/>
    <w:rsid w:val="00324F58"/>
    <w:rsid w:val="00325048"/>
    <w:rsid w:val="0032504E"/>
    <w:rsid w:val="00325101"/>
    <w:rsid w:val="0032513E"/>
    <w:rsid w:val="00325197"/>
    <w:rsid w:val="0032534B"/>
    <w:rsid w:val="00325397"/>
    <w:rsid w:val="0032539D"/>
    <w:rsid w:val="003254E1"/>
    <w:rsid w:val="00325766"/>
    <w:rsid w:val="00325792"/>
    <w:rsid w:val="00325900"/>
    <w:rsid w:val="00325937"/>
    <w:rsid w:val="003259CC"/>
    <w:rsid w:val="00325A62"/>
    <w:rsid w:val="00325C33"/>
    <w:rsid w:val="00325F28"/>
    <w:rsid w:val="00325FA7"/>
    <w:rsid w:val="003261D5"/>
    <w:rsid w:val="0032636C"/>
    <w:rsid w:val="00326387"/>
    <w:rsid w:val="003263E0"/>
    <w:rsid w:val="003264BF"/>
    <w:rsid w:val="003265E0"/>
    <w:rsid w:val="00326605"/>
    <w:rsid w:val="003267BA"/>
    <w:rsid w:val="0032689E"/>
    <w:rsid w:val="003268D5"/>
    <w:rsid w:val="0032694F"/>
    <w:rsid w:val="00326963"/>
    <w:rsid w:val="0032696D"/>
    <w:rsid w:val="00326979"/>
    <w:rsid w:val="0032699E"/>
    <w:rsid w:val="003269B2"/>
    <w:rsid w:val="00326A2E"/>
    <w:rsid w:val="00326A4B"/>
    <w:rsid w:val="00326CD5"/>
    <w:rsid w:val="00326D57"/>
    <w:rsid w:val="00326DE8"/>
    <w:rsid w:val="00326F34"/>
    <w:rsid w:val="00327059"/>
    <w:rsid w:val="0032708B"/>
    <w:rsid w:val="003271AB"/>
    <w:rsid w:val="0032729E"/>
    <w:rsid w:val="003272CD"/>
    <w:rsid w:val="00327373"/>
    <w:rsid w:val="003273FE"/>
    <w:rsid w:val="00327447"/>
    <w:rsid w:val="003274F6"/>
    <w:rsid w:val="00327527"/>
    <w:rsid w:val="00327584"/>
    <w:rsid w:val="0032766E"/>
    <w:rsid w:val="00327857"/>
    <w:rsid w:val="0032792F"/>
    <w:rsid w:val="00327AEC"/>
    <w:rsid w:val="00327B3C"/>
    <w:rsid w:val="00327B46"/>
    <w:rsid w:val="00327BA7"/>
    <w:rsid w:val="00327DCA"/>
    <w:rsid w:val="00327E04"/>
    <w:rsid w:val="00327ED0"/>
    <w:rsid w:val="003300F7"/>
    <w:rsid w:val="00330153"/>
    <w:rsid w:val="00330557"/>
    <w:rsid w:val="00330609"/>
    <w:rsid w:val="00330612"/>
    <w:rsid w:val="0033062D"/>
    <w:rsid w:val="00330634"/>
    <w:rsid w:val="0033066D"/>
    <w:rsid w:val="00330716"/>
    <w:rsid w:val="0033075F"/>
    <w:rsid w:val="00330760"/>
    <w:rsid w:val="003307B0"/>
    <w:rsid w:val="00330809"/>
    <w:rsid w:val="003309E4"/>
    <w:rsid w:val="00330A23"/>
    <w:rsid w:val="00330B31"/>
    <w:rsid w:val="00330C3F"/>
    <w:rsid w:val="00330C46"/>
    <w:rsid w:val="00330D75"/>
    <w:rsid w:val="00330ED1"/>
    <w:rsid w:val="00330EE7"/>
    <w:rsid w:val="003310A4"/>
    <w:rsid w:val="003310CC"/>
    <w:rsid w:val="003310F9"/>
    <w:rsid w:val="0033110D"/>
    <w:rsid w:val="003311C0"/>
    <w:rsid w:val="0033122C"/>
    <w:rsid w:val="00331688"/>
    <w:rsid w:val="003317E3"/>
    <w:rsid w:val="003317FC"/>
    <w:rsid w:val="00331841"/>
    <w:rsid w:val="0033196B"/>
    <w:rsid w:val="00331B4F"/>
    <w:rsid w:val="00331BED"/>
    <w:rsid w:val="00331BF9"/>
    <w:rsid w:val="00331C88"/>
    <w:rsid w:val="00331C8F"/>
    <w:rsid w:val="00331D5B"/>
    <w:rsid w:val="00331E17"/>
    <w:rsid w:val="00331EAF"/>
    <w:rsid w:val="00331ED6"/>
    <w:rsid w:val="00331F92"/>
    <w:rsid w:val="00332080"/>
    <w:rsid w:val="003320F4"/>
    <w:rsid w:val="00332113"/>
    <w:rsid w:val="00332230"/>
    <w:rsid w:val="00332243"/>
    <w:rsid w:val="003322C8"/>
    <w:rsid w:val="003322CA"/>
    <w:rsid w:val="0033250A"/>
    <w:rsid w:val="0033259B"/>
    <w:rsid w:val="00332773"/>
    <w:rsid w:val="0033277A"/>
    <w:rsid w:val="0033280C"/>
    <w:rsid w:val="00332825"/>
    <w:rsid w:val="0033282D"/>
    <w:rsid w:val="00332874"/>
    <w:rsid w:val="003328DC"/>
    <w:rsid w:val="00332A15"/>
    <w:rsid w:val="00332B38"/>
    <w:rsid w:val="00332CC5"/>
    <w:rsid w:val="00332D58"/>
    <w:rsid w:val="00332DCC"/>
    <w:rsid w:val="00332E5B"/>
    <w:rsid w:val="003330D6"/>
    <w:rsid w:val="00333116"/>
    <w:rsid w:val="003333AA"/>
    <w:rsid w:val="00333490"/>
    <w:rsid w:val="0033351B"/>
    <w:rsid w:val="0033358C"/>
    <w:rsid w:val="003335FD"/>
    <w:rsid w:val="00333727"/>
    <w:rsid w:val="00333778"/>
    <w:rsid w:val="003337D7"/>
    <w:rsid w:val="00333819"/>
    <w:rsid w:val="00333976"/>
    <w:rsid w:val="00333983"/>
    <w:rsid w:val="00333A34"/>
    <w:rsid w:val="00333A3F"/>
    <w:rsid w:val="00333ACF"/>
    <w:rsid w:val="00333B0E"/>
    <w:rsid w:val="00333BA9"/>
    <w:rsid w:val="00333C85"/>
    <w:rsid w:val="00333CC3"/>
    <w:rsid w:val="00333DC1"/>
    <w:rsid w:val="00333E1D"/>
    <w:rsid w:val="00333E32"/>
    <w:rsid w:val="00333FF4"/>
    <w:rsid w:val="00334034"/>
    <w:rsid w:val="0033409D"/>
    <w:rsid w:val="00334176"/>
    <w:rsid w:val="00334271"/>
    <w:rsid w:val="003342DD"/>
    <w:rsid w:val="0033436E"/>
    <w:rsid w:val="0033448A"/>
    <w:rsid w:val="00334535"/>
    <w:rsid w:val="00334637"/>
    <w:rsid w:val="0033469A"/>
    <w:rsid w:val="00334774"/>
    <w:rsid w:val="00334805"/>
    <w:rsid w:val="00334919"/>
    <w:rsid w:val="00334A25"/>
    <w:rsid w:val="00334A50"/>
    <w:rsid w:val="00334A71"/>
    <w:rsid w:val="00334AB9"/>
    <w:rsid w:val="00334B62"/>
    <w:rsid w:val="00334CA1"/>
    <w:rsid w:val="00334CF9"/>
    <w:rsid w:val="00334DD4"/>
    <w:rsid w:val="00334E48"/>
    <w:rsid w:val="00334ED3"/>
    <w:rsid w:val="00334FCA"/>
    <w:rsid w:val="00335043"/>
    <w:rsid w:val="00335081"/>
    <w:rsid w:val="00335104"/>
    <w:rsid w:val="00335136"/>
    <w:rsid w:val="0033538C"/>
    <w:rsid w:val="00335402"/>
    <w:rsid w:val="00335508"/>
    <w:rsid w:val="0033552E"/>
    <w:rsid w:val="00335576"/>
    <w:rsid w:val="003356B9"/>
    <w:rsid w:val="00335712"/>
    <w:rsid w:val="00335846"/>
    <w:rsid w:val="00335B24"/>
    <w:rsid w:val="00335BF6"/>
    <w:rsid w:val="00335C97"/>
    <w:rsid w:val="00335D0C"/>
    <w:rsid w:val="00335D7E"/>
    <w:rsid w:val="00335DFC"/>
    <w:rsid w:val="00335FD5"/>
    <w:rsid w:val="0033605A"/>
    <w:rsid w:val="003360E1"/>
    <w:rsid w:val="0033616F"/>
    <w:rsid w:val="00336217"/>
    <w:rsid w:val="003366C4"/>
    <w:rsid w:val="0033676C"/>
    <w:rsid w:val="003369F8"/>
    <w:rsid w:val="00336A41"/>
    <w:rsid w:val="00336AF3"/>
    <w:rsid w:val="00336C40"/>
    <w:rsid w:val="00336D63"/>
    <w:rsid w:val="00336D72"/>
    <w:rsid w:val="00336FDB"/>
    <w:rsid w:val="0033727E"/>
    <w:rsid w:val="003374E6"/>
    <w:rsid w:val="00337516"/>
    <w:rsid w:val="0033755F"/>
    <w:rsid w:val="0033765B"/>
    <w:rsid w:val="0033773E"/>
    <w:rsid w:val="003377D2"/>
    <w:rsid w:val="0033780E"/>
    <w:rsid w:val="00337875"/>
    <w:rsid w:val="00337883"/>
    <w:rsid w:val="00337885"/>
    <w:rsid w:val="003378F1"/>
    <w:rsid w:val="003379CE"/>
    <w:rsid w:val="00337A73"/>
    <w:rsid w:val="00337AC7"/>
    <w:rsid w:val="00337AD4"/>
    <w:rsid w:val="00337BFA"/>
    <w:rsid w:val="00337CC7"/>
    <w:rsid w:val="00337D42"/>
    <w:rsid w:val="00337DF1"/>
    <w:rsid w:val="0034019C"/>
    <w:rsid w:val="003401DF"/>
    <w:rsid w:val="00340216"/>
    <w:rsid w:val="0034024C"/>
    <w:rsid w:val="003402D4"/>
    <w:rsid w:val="003402DC"/>
    <w:rsid w:val="00340604"/>
    <w:rsid w:val="003408AB"/>
    <w:rsid w:val="003408F9"/>
    <w:rsid w:val="00340951"/>
    <w:rsid w:val="003409B1"/>
    <w:rsid w:val="00340AAA"/>
    <w:rsid w:val="00340C6B"/>
    <w:rsid w:val="00340CA5"/>
    <w:rsid w:val="00340CE0"/>
    <w:rsid w:val="00340CF1"/>
    <w:rsid w:val="00340D29"/>
    <w:rsid w:val="00340D6E"/>
    <w:rsid w:val="00340DAF"/>
    <w:rsid w:val="00340DC2"/>
    <w:rsid w:val="00340E59"/>
    <w:rsid w:val="00341018"/>
    <w:rsid w:val="0034129B"/>
    <w:rsid w:val="00341349"/>
    <w:rsid w:val="00341366"/>
    <w:rsid w:val="00341487"/>
    <w:rsid w:val="003414BC"/>
    <w:rsid w:val="0034168C"/>
    <w:rsid w:val="00341844"/>
    <w:rsid w:val="00341964"/>
    <w:rsid w:val="00341D06"/>
    <w:rsid w:val="00341FF9"/>
    <w:rsid w:val="0034207F"/>
    <w:rsid w:val="0034220A"/>
    <w:rsid w:val="0034222C"/>
    <w:rsid w:val="00342241"/>
    <w:rsid w:val="00342317"/>
    <w:rsid w:val="0034237B"/>
    <w:rsid w:val="00342450"/>
    <w:rsid w:val="00342488"/>
    <w:rsid w:val="00342557"/>
    <w:rsid w:val="003425E9"/>
    <w:rsid w:val="00342744"/>
    <w:rsid w:val="00342763"/>
    <w:rsid w:val="00342791"/>
    <w:rsid w:val="003427D1"/>
    <w:rsid w:val="0034288B"/>
    <w:rsid w:val="00342894"/>
    <w:rsid w:val="00342901"/>
    <w:rsid w:val="003429BC"/>
    <w:rsid w:val="003429D4"/>
    <w:rsid w:val="00342A6C"/>
    <w:rsid w:val="00342F0E"/>
    <w:rsid w:val="0034301C"/>
    <w:rsid w:val="00343121"/>
    <w:rsid w:val="00343187"/>
    <w:rsid w:val="003431C6"/>
    <w:rsid w:val="00343237"/>
    <w:rsid w:val="00343388"/>
    <w:rsid w:val="003433A1"/>
    <w:rsid w:val="003433B3"/>
    <w:rsid w:val="003433DA"/>
    <w:rsid w:val="003434B8"/>
    <w:rsid w:val="0034360C"/>
    <w:rsid w:val="00343739"/>
    <w:rsid w:val="003439BC"/>
    <w:rsid w:val="00343AB0"/>
    <w:rsid w:val="00343DC9"/>
    <w:rsid w:val="00343E0F"/>
    <w:rsid w:val="00343E6D"/>
    <w:rsid w:val="00343EFA"/>
    <w:rsid w:val="0034410D"/>
    <w:rsid w:val="00344153"/>
    <w:rsid w:val="003441B6"/>
    <w:rsid w:val="0034424D"/>
    <w:rsid w:val="003443AB"/>
    <w:rsid w:val="0034448B"/>
    <w:rsid w:val="0034449E"/>
    <w:rsid w:val="0034456B"/>
    <w:rsid w:val="0034458E"/>
    <w:rsid w:val="00344617"/>
    <w:rsid w:val="003446A2"/>
    <w:rsid w:val="003446C5"/>
    <w:rsid w:val="003447A2"/>
    <w:rsid w:val="00344870"/>
    <w:rsid w:val="003448F6"/>
    <w:rsid w:val="00344ABF"/>
    <w:rsid w:val="00344BB0"/>
    <w:rsid w:val="00344C92"/>
    <w:rsid w:val="00344D03"/>
    <w:rsid w:val="00344D67"/>
    <w:rsid w:val="00344D71"/>
    <w:rsid w:val="00344E2B"/>
    <w:rsid w:val="00344EAF"/>
    <w:rsid w:val="00344EC5"/>
    <w:rsid w:val="00344EE5"/>
    <w:rsid w:val="003450E7"/>
    <w:rsid w:val="003451A6"/>
    <w:rsid w:val="003451F2"/>
    <w:rsid w:val="0034527A"/>
    <w:rsid w:val="00345389"/>
    <w:rsid w:val="003453AA"/>
    <w:rsid w:val="00345424"/>
    <w:rsid w:val="003454A7"/>
    <w:rsid w:val="00345585"/>
    <w:rsid w:val="003455B0"/>
    <w:rsid w:val="003456E6"/>
    <w:rsid w:val="00345865"/>
    <w:rsid w:val="0034592A"/>
    <w:rsid w:val="00345986"/>
    <w:rsid w:val="003459FE"/>
    <w:rsid w:val="00345B4B"/>
    <w:rsid w:val="00345BC6"/>
    <w:rsid w:val="00345C38"/>
    <w:rsid w:val="00345C58"/>
    <w:rsid w:val="00345C6F"/>
    <w:rsid w:val="00345CCC"/>
    <w:rsid w:val="00345DEF"/>
    <w:rsid w:val="00345E22"/>
    <w:rsid w:val="00345F79"/>
    <w:rsid w:val="00345FC6"/>
    <w:rsid w:val="00345FDC"/>
    <w:rsid w:val="0034604F"/>
    <w:rsid w:val="003460CD"/>
    <w:rsid w:val="003460F6"/>
    <w:rsid w:val="00346103"/>
    <w:rsid w:val="0034615B"/>
    <w:rsid w:val="003461DC"/>
    <w:rsid w:val="00346210"/>
    <w:rsid w:val="003462DA"/>
    <w:rsid w:val="00346340"/>
    <w:rsid w:val="00346349"/>
    <w:rsid w:val="00346364"/>
    <w:rsid w:val="00346740"/>
    <w:rsid w:val="00346792"/>
    <w:rsid w:val="003467C0"/>
    <w:rsid w:val="003467DE"/>
    <w:rsid w:val="00346840"/>
    <w:rsid w:val="003469E9"/>
    <w:rsid w:val="00346B9E"/>
    <w:rsid w:val="00346C17"/>
    <w:rsid w:val="00346E45"/>
    <w:rsid w:val="00346EC7"/>
    <w:rsid w:val="00346F52"/>
    <w:rsid w:val="00346FFE"/>
    <w:rsid w:val="003470F1"/>
    <w:rsid w:val="0034726A"/>
    <w:rsid w:val="0034726F"/>
    <w:rsid w:val="0034730C"/>
    <w:rsid w:val="00347347"/>
    <w:rsid w:val="0034740D"/>
    <w:rsid w:val="003474AC"/>
    <w:rsid w:val="003475A2"/>
    <w:rsid w:val="003475A9"/>
    <w:rsid w:val="00347668"/>
    <w:rsid w:val="003477ED"/>
    <w:rsid w:val="0034783B"/>
    <w:rsid w:val="00347AF1"/>
    <w:rsid w:val="00347AF8"/>
    <w:rsid w:val="00347B38"/>
    <w:rsid w:val="00347BE3"/>
    <w:rsid w:val="00347C2A"/>
    <w:rsid w:val="00347F09"/>
    <w:rsid w:val="00347F15"/>
    <w:rsid w:val="0035005F"/>
    <w:rsid w:val="0035009A"/>
    <w:rsid w:val="003500A6"/>
    <w:rsid w:val="0035021D"/>
    <w:rsid w:val="003502D4"/>
    <w:rsid w:val="00350388"/>
    <w:rsid w:val="00350393"/>
    <w:rsid w:val="003503A4"/>
    <w:rsid w:val="003503E2"/>
    <w:rsid w:val="00350477"/>
    <w:rsid w:val="0035047D"/>
    <w:rsid w:val="003504C4"/>
    <w:rsid w:val="00350676"/>
    <w:rsid w:val="00350759"/>
    <w:rsid w:val="003508F2"/>
    <w:rsid w:val="003509AB"/>
    <w:rsid w:val="00350AB2"/>
    <w:rsid w:val="00350B6C"/>
    <w:rsid w:val="00350BFB"/>
    <w:rsid w:val="00350C06"/>
    <w:rsid w:val="00350C3D"/>
    <w:rsid w:val="00350CB9"/>
    <w:rsid w:val="00350EBA"/>
    <w:rsid w:val="00350F38"/>
    <w:rsid w:val="00350F9F"/>
    <w:rsid w:val="00351153"/>
    <w:rsid w:val="003513E8"/>
    <w:rsid w:val="00351417"/>
    <w:rsid w:val="00351483"/>
    <w:rsid w:val="003515B2"/>
    <w:rsid w:val="003515B3"/>
    <w:rsid w:val="0035167E"/>
    <w:rsid w:val="00351731"/>
    <w:rsid w:val="00351760"/>
    <w:rsid w:val="003518A7"/>
    <w:rsid w:val="00351CE1"/>
    <w:rsid w:val="00351D74"/>
    <w:rsid w:val="0035210A"/>
    <w:rsid w:val="0035221A"/>
    <w:rsid w:val="0035224E"/>
    <w:rsid w:val="003522D8"/>
    <w:rsid w:val="00352325"/>
    <w:rsid w:val="00352359"/>
    <w:rsid w:val="00352438"/>
    <w:rsid w:val="00352499"/>
    <w:rsid w:val="003524DB"/>
    <w:rsid w:val="00352735"/>
    <w:rsid w:val="0035282A"/>
    <w:rsid w:val="00352912"/>
    <w:rsid w:val="00352982"/>
    <w:rsid w:val="00352AAB"/>
    <w:rsid w:val="00352AD2"/>
    <w:rsid w:val="00352C91"/>
    <w:rsid w:val="00352CD6"/>
    <w:rsid w:val="00352DC8"/>
    <w:rsid w:val="00352E1D"/>
    <w:rsid w:val="00352F26"/>
    <w:rsid w:val="003530B5"/>
    <w:rsid w:val="003531B0"/>
    <w:rsid w:val="003531E5"/>
    <w:rsid w:val="0035322A"/>
    <w:rsid w:val="00353706"/>
    <w:rsid w:val="003537F6"/>
    <w:rsid w:val="003539B7"/>
    <w:rsid w:val="00353C07"/>
    <w:rsid w:val="00353C6F"/>
    <w:rsid w:val="00353D0D"/>
    <w:rsid w:val="00353DB3"/>
    <w:rsid w:val="00353F23"/>
    <w:rsid w:val="00354246"/>
    <w:rsid w:val="003543CB"/>
    <w:rsid w:val="003543CE"/>
    <w:rsid w:val="003543F2"/>
    <w:rsid w:val="003544BF"/>
    <w:rsid w:val="00354588"/>
    <w:rsid w:val="00354666"/>
    <w:rsid w:val="0035466C"/>
    <w:rsid w:val="003547A2"/>
    <w:rsid w:val="00354A2C"/>
    <w:rsid w:val="00354A31"/>
    <w:rsid w:val="00354A85"/>
    <w:rsid w:val="00354AA8"/>
    <w:rsid w:val="00354ADE"/>
    <w:rsid w:val="00354CDA"/>
    <w:rsid w:val="00354D27"/>
    <w:rsid w:val="00354E0F"/>
    <w:rsid w:val="00354F8A"/>
    <w:rsid w:val="00355164"/>
    <w:rsid w:val="00355371"/>
    <w:rsid w:val="0035540B"/>
    <w:rsid w:val="0035548C"/>
    <w:rsid w:val="003554C4"/>
    <w:rsid w:val="00355698"/>
    <w:rsid w:val="003557D9"/>
    <w:rsid w:val="003558EF"/>
    <w:rsid w:val="0035598B"/>
    <w:rsid w:val="00355B47"/>
    <w:rsid w:val="00355B5D"/>
    <w:rsid w:val="00355B8B"/>
    <w:rsid w:val="00355CEB"/>
    <w:rsid w:val="00355F5F"/>
    <w:rsid w:val="00356084"/>
    <w:rsid w:val="003561DA"/>
    <w:rsid w:val="00356537"/>
    <w:rsid w:val="0035678C"/>
    <w:rsid w:val="00356851"/>
    <w:rsid w:val="00356880"/>
    <w:rsid w:val="003568BA"/>
    <w:rsid w:val="00356923"/>
    <w:rsid w:val="00356944"/>
    <w:rsid w:val="0035695F"/>
    <w:rsid w:val="003569C9"/>
    <w:rsid w:val="003569F6"/>
    <w:rsid w:val="00356A08"/>
    <w:rsid w:val="00356A39"/>
    <w:rsid w:val="00356BB8"/>
    <w:rsid w:val="00356CA1"/>
    <w:rsid w:val="00356CF1"/>
    <w:rsid w:val="00356D02"/>
    <w:rsid w:val="00356D57"/>
    <w:rsid w:val="00356ECD"/>
    <w:rsid w:val="00357007"/>
    <w:rsid w:val="0035707B"/>
    <w:rsid w:val="00357175"/>
    <w:rsid w:val="003571B5"/>
    <w:rsid w:val="0035738A"/>
    <w:rsid w:val="003574AB"/>
    <w:rsid w:val="003574E5"/>
    <w:rsid w:val="00357549"/>
    <w:rsid w:val="003575E2"/>
    <w:rsid w:val="003575F3"/>
    <w:rsid w:val="00357635"/>
    <w:rsid w:val="0035767E"/>
    <w:rsid w:val="00357693"/>
    <w:rsid w:val="003577C0"/>
    <w:rsid w:val="00357878"/>
    <w:rsid w:val="00357895"/>
    <w:rsid w:val="0035795A"/>
    <w:rsid w:val="00357976"/>
    <w:rsid w:val="00357AAD"/>
    <w:rsid w:val="00357B5A"/>
    <w:rsid w:val="00357B86"/>
    <w:rsid w:val="00357BA8"/>
    <w:rsid w:val="00357BB2"/>
    <w:rsid w:val="00357CC2"/>
    <w:rsid w:val="00357D3D"/>
    <w:rsid w:val="00357DAD"/>
    <w:rsid w:val="00357E3D"/>
    <w:rsid w:val="00360002"/>
    <w:rsid w:val="00360025"/>
    <w:rsid w:val="003600AA"/>
    <w:rsid w:val="003600B6"/>
    <w:rsid w:val="003600D0"/>
    <w:rsid w:val="003600F2"/>
    <w:rsid w:val="0036015F"/>
    <w:rsid w:val="003601D7"/>
    <w:rsid w:val="0036039C"/>
    <w:rsid w:val="00360453"/>
    <w:rsid w:val="003604FA"/>
    <w:rsid w:val="0036065E"/>
    <w:rsid w:val="003606B3"/>
    <w:rsid w:val="003608C3"/>
    <w:rsid w:val="00360950"/>
    <w:rsid w:val="003609B4"/>
    <w:rsid w:val="003609B9"/>
    <w:rsid w:val="003609FE"/>
    <w:rsid w:val="00360A89"/>
    <w:rsid w:val="00360B95"/>
    <w:rsid w:val="00360BC7"/>
    <w:rsid w:val="00360D10"/>
    <w:rsid w:val="00360F25"/>
    <w:rsid w:val="00360F52"/>
    <w:rsid w:val="00360FD4"/>
    <w:rsid w:val="0036120F"/>
    <w:rsid w:val="003612BB"/>
    <w:rsid w:val="00361300"/>
    <w:rsid w:val="00361667"/>
    <w:rsid w:val="00361692"/>
    <w:rsid w:val="00361725"/>
    <w:rsid w:val="003617CF"/>
    <w:rsid w:val="00361838"/>
    <w:rsid w:val="0036187E"/>
    <w:rsid w:val="00361A1A"/>
    <w:rsid w:val="00361B31"/>
    <w:rsid w:val="00361C55"/>
    <w:rsid w:val="00361C8B"/>
    <w:rsid w:val="00362042"/>
    <w:rsid w:val="003620CB"/>
    <w:rsid w:val="003620D9"/>
    <w:rsid w:val="00362100"/>
    <w:rsid w:val="003621B8"/>
    <w:rsid w:val="003621D4"/>
    <w:rsid w:val="00362275"/>
    <w:rsid w:val="0036228B"/>
    <w:rsid w:val="003624A8"/>
    <w:rsid w:val="00362700"/>
    <w:rsid w:val="00362703"/>
    <w:rsid w:val="00362707"/>
    <w:rsid w:val="0036294F"/>
    <w:rsid w:val="00362996"/>
    <w:rsid w:val="00362A65"/>
    <w:rsid w:val="00362AF9"/>
    <w:rsid w:val="00362B2D"/>
    <w:rsid w:val="00362B54"/>
    <w:rsid w:val="00362B56"/>
    <w:rsid w:val="00362D1A"/>
    <w:rsid w:val="00362DD1"/>
    <w:rsid w:val="00362DF8"/>
    <w:rsid w:val="00362E44"/>
    <w:rsid w:val="00362E95"/>
    <w:rsid w:val="00362EFE"/>
    <w:rsid w:val="00362F54"/>
    <w:rsid w:val="00362FF7"/>
    <w:rsid w:val="0036305D"/>
    <w:rsid w:val="0036315D"/>
    <w:rsid w:val="0036320C"/>
    <w:rsid w:val="00363213"/>
    <w:rsid w:val="00363219"/>
    <w:rsid w:val="003632FE"/>
    <w:rsid w:val="00363350"/>
    <w:rsid w:val="003633D4"/>
    <w:rsid w:val="00363404"/>
    <w:rsid w:val="003635DA"/>
    <w:rsid w:val="00363710"/>
    <w:rsid w:val="00363A22"/>
    <w:rsid w:val="00363AD0"/>
    <w:rsid w:val="00363C37"/>
    <w:rsid w:val="00363CE4"/>
    <w:rsid w:val="00363D05"/>
    <w:rsid w:val="00363DAE"/>
    <w:rsid w:val="00363DB3"/>
    <w:rsid w:val="00363E91"/>
    <w:rsid w:val="00363EF0"/>
    <w:rsid w:val="00363FA0"/>
    <w:rsid w:val="0036401B"/>
    <w:rsid w:val="003641DF"/>
    <w:rsid w:val="00364229"/>
    <w:rsid w:val="00364474"/>
    <w:rsid w:val="00364548"/>
    <w:rsid w:val="00364797"/>
    <w:rsid w:val="00364830"/>
    <w:rsid w:val="0036488D"/>
    <w:rsid w:val="003649AE"/>
    <w:rsid w:val="00364BAF"/>
    <w:rsid w:val="00364C00"/>
    <w:rsid w:val="00364D07"/>
    <w:rsid w:val="00364D6F"/>
    <w:rsid w:val="00364DC9"/>
    <w:rsid w:val="00364F32"/>
    <w:rsid w:val="00364FE2"/>
    <w:rsid w:val="0036501C"/>
    <w:rsid w:val="003650A3"/>
    <w:rsid w:val="00365128"/>
    <w:rsid w:val="0036515A"/>
    <w:rsid w:val="003653DA"/>
    <w:rsid w:val="003655EE"/>
    <w:rsid w:val="003657B5"/>
    <w:rsid w:val="00365803"/>
    <w:rsid w:val="0036595A"/>
    <w:rsid w:val="00365A29"/>
    <w:rsid w:val="00365B37"/>
    <w:rsid w:val="00365C0B"/>
    <w:rsid w:val="00365CCB"/>
    <w:rsid w:val="00365D74"/>
    <w:rsid w:val="00365DBC"/>
    <w:rsid w:val="00365E86"/>
    <w:rsid w:val="00365F0C"/>
    <w:rsid w:val="00365F1B"/>
    <w:rsid w:val="003660CF"/>
    <w:rsid w:val="003660E9"/>
    <w:rsid w:val="00366125"/>
    <w:rsid w:val="00366503"/>
    <w:rsid w:val="00366540"/>
    <w:rsid w:val="003665AB"/>
    <w:rsid w:val="0036668C"/>
    <w:rsid w:val="003666C2"/>
    <w:rsid w:val="00366717"/>
    <w:rsid w:val="00366734"/>
    <w:rsid w:val="003667BB"/>
    <w:rsid w:val="003667E2"/>
    <w:rsid w:val="003668BC"/>
    <w:rsid w:val="003668ED"/>
    <w:rsid w:val="00366A45"/>
    <w:rsid w:val="00366B7C"/>
    <w:rsid w:val="00366B99"/>
    <w:rsid w:val="00366C3C"/>
    <w:rsid w:val="00366C92"/>
    <w:rsid w:val="00366C96"/>
    <w:rsid w:val="00366CE1"/>
    <w:rsid w:val="00366CEF"/>
    <w:rsid w:val="00366E76"/>
    <w:rsid w:val="00366FC1"/>
    <w:rsid w:val="0036702F"/>
    <w:rsid w:val="00367071"/>
    <w:rsid w:val="003670AA"/>
    <w:rsid w:val="00367151"/>
    <w:rsid w:val="0036719B"/>
    <w:rsid w:val="003671EE"/>
    <w:rsid w:val="0036758D"/>
    <w:rsid w:val="003675F0"/>
    <w:rsid w:val="003676B2"/>
    <w:rsid w:val="003676F3"/>
    <w:rsid w:val="0036775D"/>
    <w:rsid w:val="0036779F"/>
    <w:rsid w:val="003678E6"/>
    <w:rsid w:val="00367A26"/>
    <w:rsid w:val="00367B71"/>
    <w:rsid w:val="00367CD2"/>
    <w:rsid w:val="00367EC2"/>
    <w:rsid w:val="0037009B"/>
    <w:rsid w:val="003700BD"/>
    <w:rsid w:val="00370100"/>
    <w:rsid w:val="003701B6"/>
    <w:rsid w:val="003701D4"/>
    <w:rsid w:val="003701DD"/>
    <w:rsid w:val="003701FB"/>
    <w:rsid w:val="0037046E"/>
    <w:rsid w:val="003705A2"/>
    <w:rsid w:val="00370817"/>
    <w:rsid w:val="0037084D"/>
    <w:rsid w:val="0037088A"/>
    <w:rsid w:val="00370937"/>
    <w:rsid w:val="0037098B"/>
    <w:rsid w:val="00370A3E"/>
    <w:rsid w:val="00370AE3"/>
    <w:rsid w:val="00370DC4"/>
    <w:rsid w:val="00370E1E"/>
    <w:rsid w:val="00370E66"/>
    <w:rsid w:val="00371011"/>
    <w:rsid w:val="00371122"/>
    <w:rsid w:val="003711D6"/>
    <w:rsid w:val="0037120E"/>
    <w:rsid w:val="003712B8"/>
    <w:rsid w:val="0037140C"/>
    <w:rsid w:val="003714F0"/>
    <w:rsid w:val="003715C2"/>
    <w:rsid w:val="003717DB"/>
    <w:rsid w:val="003717EA"/>
    <w:rsid w:val="0037188B"/>
    <w:rsid w:val="003718EE"/>
    <w:rsid w:val="003719A1"/>
    <w:rsid w:val="00371A93"/>
    <w:rsid w:val="00371AAE"/>
    <w:rsid w:val="00371B2F"/>
    <w:rsid w:val="00371BBE"/>
    <w:rsid w:val="00371CC2"/>
    <w:rsid w:val="00371D50"/>
    <w:rsid w:val="00371DD2"/>
    <w:rsid w:val="00371E3A"/>
    <w:rsid w:val="00371F18"/>
    <w:rsid w:val="00371F56"/>
    <w:rsid w:val="00372189"/>
    <w:rsid w:val="003721CD"/>
    <w:rsid w:val="003722AA"/>
    <w:rsid w:val="0037237B"/>
    <w:rsid w:val="003724E0"/>
    <w:rsid w:val="003724F0"/>
    <w:rsid w:val="00372543"/>
    <w:rsid w:val="00372592"/>
    <w:rsid w:val="003726A0"/>
    <w:rsid w:val="003729B0"/>
    <w:rsid w:val="003729F4"/>
    <w:rsid w:val="00372A5C"/>
    <w:rsid w:val="00372A72"/>
    <w:rsid w:val="00372BD8"/>
    <w:rsid w:val="00372C96"/>
    <w:rsid w:val="00372D40"/>
    <w:rsid w:val="00372D80"/>
    <w:rsid w:val="00372D8E"/>
    <w:rsid w:val="00372ED8"/>
    <w:rsid w:val="00372FCC"/>
    <w:rsid w:val="00373052"/>
    <w:rsid w:val="00373182"/>
    <w:rsid w:val="003731D3"/>
    <w:rsid w:val="00373300"/>
    <w:rsid w:val="00373304"/>
    <w:rsid w:val="00373460"/>
    <w:rsid w:val="003734CE"/>
    <w:rsid w:val="003734F4"/>
    <w:rsid w:val="00373617"/>
    <w:rsid w:val="00373625"/>
    <w:rsid w:val="0037367D"/>
    <w:rsid w:val="00373789"/>
    <w:rsid w:val="00373794"/>
    <w:rsid w:val="00373853"/>
    <w:rsid w:val="00373861"/>
    <w:rsid w:val="00373A22"/>
    <w:rsid w:val="00373A4C"/>
    <w:rsid w:val="00373AB8"/>
    <w:rsid w:val="00373B69"/>
    <w:rsid w:val="00373BCB"/>
    <w:rsid w:val="00373BF7"/>
    <w:rsid w:val="00373CB3"/>
    <w:rsid w:val="0037409E"/>
    <w:rsid w:val="00374367"/>
    <w:rsid w:val="00374527"/>
    <w:rsid w:val="00374605"/>
    <w:rsid w:val="0037461D"/>
    <w:rsid w:val="00374654"/>
    <w:rsid w:val="00374808"/>
    <w:rsid w:val="00374948"/>
    <w:rsid w:val="003749E5"/>
    <w:rsid w:val="00374A4E"/>
    <w:rsid w:val="00374CB4"/>
    <w:rsid w:val="00374E48"/>
    <w:rsid w:val="00374FB7"/>
    <w:rsid w:val="00375021"/>
    <w:rsid w:val="0037515A"/>
    <w:rsid w:val="00375206"/>
    <w:rsid w:val="00375267"/>
    <w:rsid w:val="00375311"/>
    <w:rsid w:val="00375343"/>
    <w:rsid w:val="00375376"/>
    <w:rsid w:val="00375424"/>
    <w:rsid w:val="0037546E"/>
    <w:rsid w:val="003754CE"/>
    <w:rsid w:val="00375655"/>
    <w:rsid w:val="00375671"/>
    <w:rsid w:val="00375762"/>
    <w:rsid w:val="00375777"/>
    <w:rsid w:val="00375856"/>
    <w:rsid w:val="0037598C"/>
    <w:rsid w:val="003759B8"/>
    <w:rsid w:val="00375A71"/>
    <w:rsid w:val="00375B4F"/>
    <w:rsid w:val="00375DED"/>
    <w:rsid w:val="00375DF7"/>
    <w:rsid w:val="00375E5F"/>
    <w:rsid w:val="00376005"/>
    <w:rsid w:val="0037605B"/>
    <w:rsid w:val="0037607F"/>
    <w:rsid w:val="003762A7"/>
    <w:rsid w:val="00376416"/>
    <w:rsid w:val="00376418"/>
    <w:rsid w:val="003764CB"/>
    <w:rsid w:val="0037655C"/>
    <w:rsid w:val="00376600"/>
    <w:rsid w:val="003766DF"/>
    <w:rsid w:val="0037686E"/>
    <w:rsid w:val="003768E8"/>
    <w:rsid w:val="00376971"/>
    <w:rsid w:val="00376AAE"/>
    <w:rsid w:val="00376B11"/>
    <w:rsid w:val="00376B4D"/>
    <w:rsid w:val="00376CE0"/>
    <w:rsid w:val="00376D24"/>
    <w:rsid w:val="00376D32"/>
    <w:rsid w:val="00376D7F"/>
    <w:rsid w:val="00376DCF"/>
    <w:rsid w:val="00376DFE"/>
    <w:rsid w:val="00376E7F"/>
    <w:rsid w:val="00376E95"/>
    <w:rsid w:val="00376F44"/>
    <w:rsid w:val="00376FED"/>
    <w:rsid w:val="00377041"/>
    <w:rsid w:val="00377052"/>
    <w:rsid w:val="00377098"/>
    <w:rsid w:val="0037713B"/>
    <w:rsid w:val="00377184"/>
    <w:rsid w:val="003771B5"/>
    <w:rsid w:val="003771B7"/>
    <w:rsid w:val="003772C6"/>
    <w:rsid w:val="00377391"/>
    <w:rsid w:val="003773AF"/>
    <w:rsid w:val="003773EE"/>
    <w:rsid w:val="00377460"/>
    <w:rsid w:val="00377513"/>
    <w:rsid w:val="0037751F"/>
    <w:rsid w:val="00377665"/>
    <w:rsid w:val="003776C5"/>
    <w:rsid w:val="0037792C"/>
    <w:rsid w:val="003779B5"/>
    <w:rsid w:val="00377A41"/>
    <w:rsid w:val="00377B50"/>
    <w:rsid w:val="00377BCB"/>
    <w:rsid w:val="00377CE4"/>
    <w:rsid w:val="00377CF8"/>
    <w:rsid w:val="00377D46"/>
    <w:rsid w:val="00377E2E"/>
    <w:rsid w:val="00377E7A"/>
    <w:rsid w:val="00377FAA"/>
    <w:rsid w:val="00380062"/>
    <w:rsid w:val="00380069"/>
    <w:rsid w:val="00380159"/>
    <w:rsid w:val="00380160"/>
    <w:rsid w:val="0038038B"/>
    <w:rsid w:val="0038042F"/>
    <w:rsid w:val="00380442"/>
    <w:rsid w:val="003804B7"/>
    <w:rsid w:val="0038062D"/>
    <w:rsid w:val="0038067E"/>
    <w:rsid w:val="0038078D"/>
    <w:rsid w:val="00380790"/>
    <w:rsid w:val="003807DC"/>
    <w:rsid w:val="003807FC"/>
    <w:rsid w:val="00380833"/>
    <w:rsid w:val="003808D4"/>
    <w:rsid w:val="003809C1"/>
    <w:rsid w:val="00380A83"/>
    <w:rsid w:val="00380BF8"/>
    <w:rsid w:val="00380C39"/>
    <w:rsid w:val="00380C5C"/>
    <w:rsid w:val="00380C72"/>
    <w:rsid w:val="00380D03"/>
    <w:rsid w:val="0038102B"/>
    <w:rsid w:val="00381144"/>
    <w:rsid w:val="0038114C"/>
    <w:rsid w:val="003812C0"/>
    <w:rsid w:val="003812E6"/>
    <w:rsid w:val="00381405"/>
    <w:rsid w:val="0038151E"/>
    <w:rsid w:val="00381568"/>
    <w:rsid w:val="003815D7"/>
    <w:rsid w:val="003815F9"/>
    <w:rsid w:val="00381671"/>
    <w:rsid w:val="0038172E"/>
    <w:rsid w:val="003818B6"/>
    <w:rsid w:val="0038194E"/>
    <w:rsid w:val="00381A05"/>
    <w:rsid w:val="00381A2D"/>
    <w:rsid w:val="00381AAA"/>
    <w:rsid w:val="00381B04"/>
    <w:rsid w:val="00381BB5"/>
    <w:rsid w:val="00381C19"/>
    <w:rsid w:val="00381C2D"/>
    <w:rsid w:val="00381CC8"/>
    <w:rsid w:val="00381F70"/>
    <w:rsid w:val="00381FE9"/>
    <w:rsid w:val="0038200F"/>
    <w:rsid w:val="00382425"/>
    <w:rsid w:val="003824BE"/>
    <w:rsid w:val="00382515"/>
    <w:rsid w:val="00382725"/>
    <w:rsid w:val="003827D3"/>
    <w:rsid w:val="00382A1A"/>
    <w:rsid w:val="00382AD2"/>
    <w:rsid w:val="00382ADD"/>
    <w:rsid w:val="00382AF4"/>
    <w:rsid w:val="00382B08"/>
    <w:rsid w:val="00382BEA"/>
    <w:rsid w:val="00382BF7"/>
    <w:rsid w:val="00382CE4"/>
    <w:rsid w:val="00382D7E"/>
    <w:rsid w:val="00382E0E"/>
    <w:rsid w:val="00382FA0"/>
    <w:rsid w:val="003830AF"/>
    <w:rsid w:val="00383119"/>
    <w:rsid w:val="003831D1"/>
    <w:rsid w:val="00383245"/>
    <w:rsid w:val="0038324E"/>
    <w:rsid w:val="003832CF"/>
    <w:rsid w:val="00383307"/>
    <w:rsid w:val="00383397"/>
    <w:rsid w:val="003833FD"/>
    <w:rsid w:val="00383440"/>
    <w:rsid w:val="00383554"/>
    <w:rsid w:val="0038370A"/>
    <w:rsid w:val="0038372E"/>
    <w:rsid w:val="00383809"/>
    <w:rsid w:val="00383884"/>
    <w:rsid w:val="003839C3"/>
    <w:rsid w:val="00383AA1"/>
    <w:rsid w:val="00383AF9"/>
    <w:rsid w:val="00383BB5"/>
    <w:rsid w:val="00383C11"/>
    <w:rsid w:val="00383C76"/>
    <w:rsid w:val="00383D66"/>
    <w:rsid w:val="00383D83"/>
    <w:rsid w:val="00383F42"/>
    <w:rsid w:val="00384083"/>
    <w:rsid w:val="003840AD"/>
    <w:rsid w:val="003840DE"/>
    <w:rsid w:val="0038428B"/>
    <w:rsid w:val="003842E5"/>
    <w:rsid w:val="00384352"/>
    <w:rsid w:val="003844CB"/>
    <w:rsid w:val="003845A5"/>
    <w:rsid w:val="00384643"/>
    <w:rsid w:val="003846F5"/>
    <w:rsid w:val="0038472E"/>
    <w:rsid w:val="0038473E"/>
    <w:rsid w:val="00384A28"/>
    <w:rsid w:val="00384AC5"/>
    <w:rsid w:val="00384AF2"/>
    <w:rsid w:val="00384B1C"/>
    <w:rsid w:val="00384CE4"/>
    <w:rsid w:val="00384CF0"/>
    <w:rsid w:val="00385032"/>
    <w:rsid w:val="003850A4"/>
    <w:rsid w:val="003851CF"/>
    <w:rsid w:val="0038521A"/>
    <w:rsid w:val="003852BB"/>
    <w:rsid w:val="003853B0"/>
    <w:rsid w:val="003853D6"/>
    <w:rsid w:val="003853FE"/>
    <w:rsid w:val="0038546E"/>
    <w:rsid w:val="003854E4"/>
    <w:rsid w:val="003855CA"/>
    <w:rsid w:val="0038586C"/>
    <w:rsid w:val="003858A6"/>
    <w:rsid w:val="003859E6"/>
    <w:rsid w:val="00385A51"/>
    <w:rsid w:val="00385AFC"/>
    <w:rsid w:val="00385B5B"/>
    <w:rsid w:val="00385BBE"/>
    <w:rsid w:val="00385D16"/>
    <w:rsid w:val="00385D36"/>
    <w:rsid w:val="00385F4F"/>
    <w:rsid w:val="00385F5F"/>
    <w:rsid w:val="003860D2"/>
    <w:rsid w:val="0038614E"/>
    <w:rsid w:val="003863BA"/>
    <w:rsid w:val="003863BD"/>
    <w:rsid w:val="003863C2"/>
    <w:rsid w:val="003866AE"/>
    <w:rsid w:val="003866BD"/>
    <w:rsid w:val="003867D1"/>
    <w:rsid w:val="00386920"/>
    <w:rsid w:val="00386A09"/>
    <w:rsid w:val="00386A54"/>
    <w:rsid w:val="00386A88"/>
    <w:rsid w:val="00386AC3"/>
    <w:rsid w:val="00386AE0"/>
    <w:rsid w:val="00386CEA"/>
    <w:rsid w:val="00386E80"/>
    <w:rsid w:val="00386EAF"/>
    <w:rsid w:val="00386F2C"/>
    <w:rsid w:val="00386FC5"/>
    <w:rsid w:val="00386FFE"/>
    <w:rsid w:val="00387183"/>
    <w:rsid w:val="0038748A"/>
    <w:rsid w:val="003874E5"/>
    <w:rsid w:val="003874F2"/>
    <w:rsid w:val="00387585"/>
    <w:rsid w:val="003875A2"/>
    <w:rsid w:val="003875D9"/>
    <w:rsid w:val="003876ED"/>
    <w:rsid w:val="0038774A"/>
    <w:rsid w:val="00387779"/>
    <w:rsid w:val="00387800"/>
    <w:rsid w:val="003879A8"/>
    <w:rsid w:val="00387B00"/>
    <w:rsid w:val="00387BA0"/>
    <w:rsid w:val="00387BBF"/>
    <w:rsid w:val="00387EA7"/>
    <w:rsid w:val="00387FE6"/>
    <w:rsid w:val="0039007D"/>
    <w:rsid w:val="00390279"/>
    <w:rsid w:val="003903B0"/>
    <w:rsid w:val="003904C9"/>
    <w:rsid w:val="003904DF"/>
    <w:rsid w:val="0039055B"/>
    <w:rsid w:val="003908CA"/>
    <w:rsid w:val="003908EA"/>
    <w:rsid w:val="00390A29"/>
    <w:rsid w:val="00390A2B"/>
    <w:rsid w:val="00390A76"/>
    <w:rsid w:val="00390C50"/>
    <w:rsid w:val="00390D58"/>
    <w:rsid w:val="00390D82"/>
    <w:rsid w:val="00390F13"/>
    <w:rsid w:val="00390F3A"/>
    <w:rsid w:val="00390F55"/>
    <w:rsid w:val="00391110"/>
    <w:rsid w:val="00391177"/>
    <w:rsid w:val="00391250"/>
    <w:rsid w:val="0039135E"/>
    <w:rsid w:val="00391366"/>
    <w:rsid w:val="003913AC"/>
    <w:rsid w:val="0039150C"/>
    <w:rsid w:val="003916C5"/>
    <w:rsid w:val="0039180C"/>
    <w:rsid w:val="00391AFF"/>
    <w:rsid w:val="00391BE2"/>
    <w:rsid w:val="00391CA1"/>
    <w:rsid w:val="00391CEE"/>
    <w:rsid w:val="00391D29"/>
    <w:rsid w:val="00391D55"/>
    <w:rsid w:val="00391F42"/>
    <w:rsid w:val="00391F43"/>
    <w:rsid w:val="00391F7D"/>
    <w:rsid w:val="00391F83"/>
    <w:rsid w:val="00392049"/>
    <w:rsid w:val="00392087"/>
    <w:rsid w:val="00392223"/>
    <w:rsid w:val="00392296"/>
    <w:rsid w:val="003922F2"/>
    <w:rsid w:val="003923B0"/>
    <w:rsid w:val="003923C2"/>
    <w:rsid w:val="00392439"/>
    <w:rsid w:val="00392462"/>
    <w:rsid w:val="0039250C"/>
    <w:rsid w:val="003927CD"/>
    <w:rsid w:val="00392A3E"/>
    <w:rsid w:val="00392AE0"/>
    <w:rsid w:val="00392BA6"/>
    <w:rsid w:val="00392CED"/>
    <w:rsid w:val="00392DCC"/>
    <w:rsid w:val="00392E30"/>
    <w:rsid w:val="00392E40"/>
    <w:rsid w:val="00392F41"/>
    <w:rsid w:val="00392F88"/>
    <w:rsid w:val="00392F99"/>
    <w:rsid w:val="00393150"/>
    <w:rsid w:val="0039324F"/>
    <w:rsid w:val="003932DD"/>
    <w:rsid w:val="00393369"/>
    <w:rsid w:val="003933C7"/>
    <w:rsid w:val="003933EE"/>
    <w:rsid w:val="00393424"/>
    <w:rsid w:val="00393435"/>
    <w:rsid w:val="0039344C"/>
    <w:rsid w:val="0039359D"/>
    <w:rsid w:val="00393676"/>
    <w:rsid w:val="003936D4"/>
    <w:rsid w:val="003937B6"/>
    <w:rsid w:val="0039385A"/>
    <w:rsid w:val="00393A25"/>
    <w:rsid w:val="00393B1D"/>
    <w:rsid w:val="00393B53"/>
    <w:rsid w:val="00393B9F"/>
    <w:rsid w:val="00393C43"/>
    <w:rsid w:val="00393C7D"/>
    <w:rsid w:val="00393CE2"/>
    <w:rsid w:val="00393CFD"/>
    <w:rsid w:val="00393D4B"/>
    <w:rsid w:val="00393DBA"/>
    <w:rsid w:val="00393E16"/>
    <w:rsid w:val="00393E9E"/>
    <w:rsid w:val="00393F18"/>
    <w:rsid w:val="00393F4E"/>
    <w:rsid w:val="003940F6"/>
    <w:rsid w:val="00394127"/>
    <w:rsid w:val="003943BD"/>
    <w:rsid w:val="003943D8"/>
    <w:rsid w:val="00394528"/>
    <w:rsid w:val="003945BB"/>
    <w:rsid w:val="003946CB"/>
    <w:rsid w:val="00394777"/>
    <w:rsid w:val="00394849"/>
    <w:rsid w:val="0039489C"/>
    <w:rsid w:val="00394985"/>
    <w:rsid w:val="0039499E"/>
    <w:rsid w:val="003949F3"/>
    <w:rsid w:val="00394A7C"/>
    <w:rsid w:val="00394ABE"/>
    <w:rsid w:val="00394C62"/>
    <w:rsid w:val="00394CD3"/>
    <w:rsid w:val="00394CEB"/>
    <w:rsid w:val="00394D01"/>
    <w:rsid w:val="00394DB8"/>
    <w:rsid w:val="00394DC5"/>
    <w:rsid w:val="00394F83"/>
    <w:rsid w:val="0039501B"/>
    <w:rsid w:val="0039521B"/>
    <w:rsid w:val="00395379"/>
    <w:rsid w:val="00395406"/>
    <w:rsid w:val="00395413"/>
    <w:rsid w:val="00395428"/>
    <w:rsid w:val="0039548F"/>
    <w:rsid w:val="00395532"/>
    <w:rsid w:val="0039558F"/>
    <w:rsid w:val="003956CC"/>
    <w:rsid w:val="0039581C"/>
    <w:rsid w:val="0039583B"/>
    <w:rsid w:val="003958D0"/>
    <w:rsid w:val="003959C4"/>
    <w:rsid w:val="00395A57"/>
    <w:rsid w:val="00395ABC"/>
    <w:rsid w:val="00395BC5"/>
    <w:rsid w:val="00395C27"/>
    <w:rsid w:val="00395C91"/>
    <w:rsid w:val="00395D05"/>
    <w:rsid w:val="00395D09"/>
    <w:rsid w:val="00395D2F"/>
    <w:rsid w:val="00395EA5"/>
    <w:rsid w:val="00396362"/>
    <w:rsid w:val="0039653B"/>
    <w:rsid w:val="0039653F"/>
    <w:rsid w:val="003965DE"/>
    <w:rsid w:val="00396610"/>
    <w:rsid w:val="003967CD"/>
    <w:rsid w:val="00396808"/>
    <w:rsid w:val="0039686B"/>
    <w:rsid w:val="00396894"/>
    <w:rsid w:val="003969AE"/>
    <w:rsid w:val="00396A82"/>
    <w:rsid w:val="00396B90"/>
    <w:rsid w:val="00396C0B"/>
    <w:rsid w:val="00396C8A"/>
    <w:rsid w:val="00396ECC"/>
    <w:rsid w:val="00396F78"/>
    <w:rsid w:val="00396FCD"/>
    <w:rsid w:val="00396FE3"/>
    <w:rsid w:val="003971C1"/>
    <w:rsid w:val="00397225"/>
    <w:rsid w:val="00397274"/>
    <w:rsid w:val="00397339"/>
    <w:rsid w:val="00397425"/>
    <w:rsid w:val="00397451"/>
    <w:rsid w:val="00397475"/>
    <w:rsid w:val="00397493"/>
    <w:rsid w:val="003974EA"/>
    <w:rsid w:val="00397606"/>
    <w:rsid w:val="003977C9"/>
    <w:rsid w:val="0039785C"/>
    <w:rsid w:val="00397AEC"/>
    <w:rsid w:val="00397B2F"/>
    <w:rsid w:val="00397B69"/>
    <w:rsid w:val="00397BB5"/>
    <w:rsid w:val="00397CD8"/>
    <w:rsid w:val="00397D5F"/>
    <w:rsid w:val="00397DEB"/>
    <w:rsid w:val="00397EE4"/>
    <w:rsid w:val="00397F0A"/>
    <w:rsid w:val="00397F42"/>
    <w:rsid w:val="00397F4C"/>
    <w:rsid w:val="003A00B7"/>
    <w:rsid w:val="003A010C"/>
    <w:rsid w:val="003A0124"/>
    <w:rsid w:val="003A0137"/>
    <w:rsid w:val="003A0237"/>
    <w:rsid w:val="003A03A4"/>
    <w:rsid w:val="003A03E1"/>
    <w:rsid w:val="003A05A6"/>
    <w:rsid w:val="003A06B6"/>
    <w:rsid w:val="003A098B"/>
    <w:rsid w:val="003A09AE"/>
    <w:rsid w:val="003A0C6F"/>
    <w:rsid w:val="003A0CEE"/>
    <w:rsid w:val="003A0D8F"/>
    <w:rsid w:val="003A0F24"/>
    <w:rsid w:val="003A0F95"/>
    <w:rsid w:val="003A0FBD"/>
    <w:rsid w:val="003A10D8"/>
    <w:rsid w:val="003A1171"/>
    <w:rsid w:val="003A121B"/>
    <w:rsid w:val="003A1336"/>
    <w:rsid w:val="003A1387"/>
    <w:rsid w:val="003A146B"/>
    <w:rsid w:val="003A1490"/>
    <w:rsid w:val="003A160A"/>
    <w:rsid w:val="003A179F"/>
    <w:rsid w:val="003A1A7C"/>
    <w:rsid w:val="003A1BD3"/>
    <w:rsid w:val="003A1BF0"/>
    <w:rsid w:val="003A1C14"/>
    <w:rsid w:val="003A1D75"/>
    <w:rsid w:val="003A1DF3"/>
    <w:rsid w:val="003A1E07"/>
    <w:rsid w:val="003A1E4A"/>
    <w:rsid w:val="003A1EE9"/>
    <w:rsid w:val="003A1EF4"/>
    <w:rsid w:val="003A1F21"/>
    <w:rsid w:val="003A1F6C"/>
    <w:rsid w:val="003A2029"/>
    <w:rsid w:val="003A2045"/>
    <w:rsid w:val="003A20AA"/>
    <w:rsid w:val="003A2166"/>
    <w:rsid w:val="003A22E4"/>
    <w:rsid w:val="003A2300"/>
    <w:rsid w:val="003A244D"/>
    <w:rsid w:val="003A2457"/>
    <w:rsid w:val="003A2471"/>
    <w:rsid w:val="003A2530"/>
    <w:rsid w:val="003A254D"/>
    <w:rsid w:val="003A258E"/>
    <w:rsid w:val="003A25F4"/>
    <w:rsid w:val="003A2624"/>
    <w:rsid w:val="003A2669"/>
    <w:rsid w:val="003A26D0"/>
    <w:rsid w:val="003A284B"/>
    <w:rsid w:val="003A29AD"/>
    <w:rsid w:val="003A2B71"/>
    <w:rsid w:val="003A2BC4"/>
    <w:rsid w:val="003A2D69"/>
    <w:rsid w:val="003A2EEE"/>
    <w:rsid w:val="003A2F18"/>
    <w:rsid w:val="003A2FA8"/>
    <w:rsid w:val="003A3224"/>
    <w:rsid w:val="003A3387"/>
    <w:rsid w:val="003A3427"/>
    <w:rsid w:val="003A3498"/>
    <w:rsid w:val="003A34F1"/>
    <w:rsid w:val="003A3553"/>
    <w:rsid w:val="003A3605"/>
    <w:rsid w:val="003A3606"/>
    <w:rsid w:val="003A3694"/>
    <w:rsid w:val="003A37B6"/>
    <w:rsid w:val="003A38EB"/>
    <w:rsid w:val="003A3B2A"/>
    <w:rsid w:val="003A3C9E"/>
    <w:rsid w:val="003A3D05"/>
    <w:rsid w:val="003A3DC5"/>
    <w:rsid w:val="003A3F19"/>
    <w:rsid w:val="003A3F2E"/>
    <w:rsid w:val="003A3FF0"/>
    <w:rsid w:val="003A4023"/>
    <w:rsid w:val="003A411F"/>
    <w:rsid w:val="003A4193"/>
    <w:rsid w:val="003A4339"/>
    <w:rsid w:val="003A43C5"/>
    <w:rsid w:val="003A43C7"/>
    <w:rsid w:val="003A4419"/>
    <w:rsid w:val="003A4447"/>
    <w:rsid w:val="003A452D"/>
    <w:rsid w:val="003A4564"/>
    <w:rsid w:val="003A45A5"/>
    <w:rsid w:val="003A4604"/>
    <w:rsid w:val="003A46AE"/>
    <w:rsid w:val="003A47BC"/>
    <w:rsid w:val="003A4871"/>
    <w:rsid w:val="003A4A02"/>
    <w:rsid w:val="003A4D45"/>
    <w:rsid w:val="003A4DC3"/>
    <w:rsid w:val="003A4E49"/>
    <w:rsid w:val="003A4E7E"/>
    <w:rsid w:val="003A4F31"/>
    <w:rsid w:val="003A5041"/>
    <w:rsid w:val="003A506E"/>
    <w:rsid w:val="003A5077"/>
    <w:rsid w:val="003A5269"/>
    <w:rsid w:val="003A54D3"/>
    <w:rsid w:val="003A571C"/>
    <w:rsid w:val="003A576C"/>
    <w:rsid w:val="003A57CD"/>
    <w:rsid w:val="003A588A"/>
    <w:rsid w:val="003A59D4"/>
    <w:rsid w:val="003A5AD6"/>
    <w:rsid w:val="003A5B36"/>
    <w:rsid w:val="003A5B73"/>
    <w:rsid w:val="003A5BA2"/>
    <w:rsid w:val="003A5C01"/>
    <w:rsid w:val="003A5C5C"/>
    <w:rsid w:val="003A5DBF"/>
    <w:rsid w:val="003A5E91"/>
    <w:rsid w:val="003A6025"/>
    <w:rsid w:val="003A6048"/>
    <w:rsid w:val="003A606E"/>
    <w:rsid w:val="003A60BC"/>
    <w:rsid w:val="003A62DC"/>
    <w:rsid w:val="003A63B8"/>
    <w:rsid w:val="003A6446"/>
    <w:rsid w:val="003A644F"/>
    <w:rsid w:val="003A6462"/>
    <w:rsid w:val="003A646C"/>
    <w:rsid w:val="003A6472"/>
    <w:rsid w:val="003A65CE"/>
    <w:rsid w:val="003A669C"/>
    <w:rsid w:val="003A66EA"/>
    <w:rsid w:val="003A6719"/>
    <w:rsid w:val="003A67AE"/>
    <w:rsid w:val="003A6886"/>
    <w:rsid w:val="003A68C8"/>
    <w:rsid w:val="003A68E2"/>
    <w:rsid w:val="003A6967"/>
    <w:rsid w:val="003A6A32"/>
    <w:rsid w:val="003A6C50"/>
    <w:rsid w:val="003A6CD9"/>
    <w:rsid w:val="003A6CE5"/>
    <w:rsid w:val="003A6CEA"/>
    <w:rsid w:val="003A6D19"/>
    <w:rsid w:val="003A6FC9"/>
    <w:rsid w:val="003A7004"/>
    <w:rsid w:val="003A7091"/>
    <w:rsid w:val="003A71BA"/>
    <w:rsid w:val="003A71C9"/>
    <w:rsid w:val="003A74D1"/>
    <w:rsid w:val="003A766C"/>
    <w:rsid w:val="003A7792"/>
    <w:rsid w:val="003A77B0"/>
    <w:rsid w:val="003A79F6"/>
    <w:rsid w:val="003A7A5D"/>
    <w:rsid w:val="003A7B54"/>
    <w:rsid w:val="003A7C6B"/>
    <w:rsid w:val="003A7CC8"/>
    <w:rsid w:val="003A7CC9"/>
    <w:rsid w:val="003A7D37"/>
    <w:rsid w:val="003A7F4F"/>
    <w:rsid w:val="003B0113"/>
    <w:rsid w:val="003B0221"/>
    <w:rsid w:val="003B0254"/>
    <w:rsid w:val="003B0263"/>
    <w:rsid w:val="003B02D8"/>
    <w:rsid w:val="003B02E8"/>
    <w:rsid w:val="003B031D"/>
    <w:rsid w:val="003B04BA"/>
    <w:rsid w:val="003B051C"/>
    <w:rsid w:val="003B061C"/>
    <w:rsid w:val="003B074A"/>
    <w:rsid w:val="003B0851"/>
    <w:rsid w:val="003B08FC"/>
    <w:rsid w:val="003B09D4"/>
    <w:rsid w:val="003B0A52"/>
    <w:rsid w:val="003B0ACE"/>
    <w:rsid w:val="003B0B4A"/>
    <w:rsid w:val="003B0BA0"/>
    <w:rsid w:val="003B0D67"/>
    <w:rsid w:val="003B0FE0"/>
    <w:rsid w:val="003B0FEE"/>
    <w:rsid w:val="003B1175"/>
    <w:rsid w:val="003B11F2"/>
    <w:rsid w:val="003B1398"/>
    <w:rsid w:val="003B1414"/>
    <w:rsid w:val="003B153D"/>
    <w:rsid w:val="003B1692"/>
    <w:rsid w:val="003B1885"/>
    <w:rsid w:val="003B191C"/>
    <w:rsid w:val="003B1943"/>
    <w:rsid w:val="003B19C5"/>
    <w:rsid w:val="003B19E3"/>
    <w:rsid w:val="003B19EA"/>
    <w:rsid w:val="003B1A09"/>
    <w:rsid w:val="003B1A80"/>
    <w:rsid w:val="003B1B28"/>
    <w:rsid w:val="003B1BF9"/>
    <w:rsid w:val="003B1D2A"/>
    <w:rsid w:val="003B1D39"/>
    <w:rsid w:val="003B1E2C"/>
    <w:rsid w:val="003B1F72"/>
    <w:rsid w:val="003B1FBC"/>
    <w:rsid w:val="003B1FDD"/>
    <w:rsid w:val="003B205E"/>
    <w:rsid w:val="003B20F7"/>
    <w:rsid w:val="003B21C4"/>
    <w:rsid w:val="003B2286"/>
    <w:rsid w:val="003B22E1"/>
    <w:rsid w:val="003B235B"/>
    <w:rsid w:val="003B246C"/>
    <w:rsid w:val="003B26DE"/>
    <w:rsid w:val="003B2827"/>
    <w:rsid w:val="003B2894"/>
    <w:rsid w:val="003B297A"/>
    <w:rsid w:val="003B2AF1"/>
    <w:rsid w:val="003B2B35"/>
    <w:rsid w:val="003B2B3E"/>
    <w:rsid w:val="003B2CB6"/>
    <w:rsid w:val="003B2CF5"/>
    <w:rsid w:val="003B2D98"/>
    <w:rsid w:val="003B2F19"/>
    <w:rsid w:val="003B2F30"/>
    <w:rsid w:val="003B3001"/>
    <w:rsid w:val="003B3147"/>
    <w:rsid w:val="003B31AF"/>
    <w:rsid w:val="003B323B"/>
    <w:rsid w:val="003B327B"/>
    <w:rsid w:val="003B354B"/>
    <w:rsid w:val="003B359B"/>
    <w:rsid w:val="003B3649"/>
    <w:rsid w:val="003B3746"/>
    <w:rsid w:val="003B3774"/>
    <w:rsid w:val="003B3781"/>
    <w:rsid w:val="003B379D"/>
    <w:rsid w:val="003B3810"/>
    <w:rsid w:val="003B3869"/>
    <w:rsid w:val="003B3AD1"/>
    <w:rsid w:val="003B3B1C"/>
    <w:rsid w:val="003B3C49"/>
    <w:rsid w:val="003B3CF1"/>
    <w:rsid w:val="003B3D21"/>
    <w:rsid w:val="003B3D3A"/>
    <w:rsid w:val="003B3DF1"/>
    <w:rsid w:val="003B3E0F"/>
    <w:rsid w:val="003B3F2F"/>
    <w:rsid w:val="003B40A1"/>
    <w:rsid w:val="003B411D"/>
    <w:rsid w:val="003B41FE"/>
    <w:rsid w:val="003B4393"/>
    <w:rsid w:val="003B446B"/>
    <w:rsid w:val="003B452A"/>
    <w:rsid w:val="003B480A"/>
    <w:rsid w:val="003B4838"/>
    <w:rsid w:val="003B48AA"/>
    <w:rsid w:val="003B49E2"/>
    <w:rsid w:val="003B4A14"/>
    <w:rsid w:val="003B4AC0"/>
    <w:rsid w:val="003B4B84"/>
    <w:rsid w:val="003B4BE9"/>
    <w:rsid w:val="003B4D6F"/>
    <w:rsid w:val="003B5056"/>
    <w:rsid w:val="003B50E2"/>
    <w:rsid w:val="003B52A9"/>
    <w:rsid w:val="003B535C"/>
    <w:rsid w:val="003B55FC"/>
    <w:rsid w:val="003B573B"/>
    <w:rsid w:val="003B58C9"/>
    <w:rsid w:val="003B5965"/>
    <w:rsid w:val="003B5AAD"/>
    <w:rsid w:val="003B5ACD"/>
    <w:rsid w:val="003B5C7F"/>
    <w:rsid w:val="003B5E67"/>
    <w:rsid w:val="003B6025"/>
    <w:rsid w:val="003B609A"/>
    <w:rsid w:val="003B6182"/>
    <w:rsid w:val="003B6390"/>
    <w:rsid w:val="003B64D7"/>
    <w:rsid w:val="003B662E"/>
    <w:rsid w:val="003B67B5"/>
    <w:rsid w:val="003B6856"/>
    <w:rsid w:val="003B6A51"/>
    <w:rsid w:val="003B6A73"/>
    <w:rsid w:val="003B6C0C"/>
    <w:rsid w:val="003B6C5E"/>
    <w:rsid w:val="003B6C96"/>
    <w:rsid w:val="003B6CB3"/>
    <w:rsid w:val="003B6D7C"/>
    <w:rsid w:val="003B6D9E"/>
    <w:rsid w:val="003B6F94"/>
    <w:rsid w:val="003B7036"/>
    <w:rsid w:val="003B7087"/>
    <w:rsid w:val="003B70AA"/>
    <w:rsid w:val="003B719C"/>
    <w:rsid w:val="003B72F5"/>
    <w:rsid w:val="003B73D6"/>
    <w:rsid w:val="003B76FF"/>
    <w:rsid w:val="003B7711"/>
    <w:rsid w:val="003B7717"/>
    <w:rsid w:val="003B7738"/>
    <w:rsid w:val="003B778B"/>
    <w:rsid w:val="003B78CD"/>
    <w:rsid w:val="003B7907"/>
    <w:rsid w:val="003B79B5"/>
    <w:rsid w:val="003B7A6D"/>
    <w:rsid w:val="003B7B72"/>
    <w:rsid w:val="003B7BE9"/>
    <w:rsid w:val="003B7C5A"/>
    <w:rsid w:val="003B7E51"/>
    <w:rsid w:val="003B7F30"/>
    <w:rsid w:val="003B7F6F"/>
    <w:rsid w:val="003C0135"/>
    <w:rsid w:val="003C055D"/>
    <w:rsid w:val="003C076D"/>
    <w:rsid w:val="003C083F"/>
    <w:rsid w:val="003C0A46"/>
    <w:rsid w:val="003C0B22"/>
    <w:rsid w:val="003C0C21"/>
    <w:rsid w:val="003C0CBB"/>
    <w:rsid w:val="003C0E51"/>
    <w:rsid w:val="003C0ED5"/>
    <w:rsid w:val="003C0F41"/>
    <w:rsid w:val="003C111C"/>
    <w:rsid w:val="003C122A"/>
    <w:rsid w:val="003C123B"/>
    <w:rsid w:val="003C1321"/>
    <w:rsid w:val="003C13E8"/>
    <w:rsid w:val="003C1789"/>
    <w:rsid w:val="003C184D"/>
    <w:rsid w:val="003C1853"/>
    <w:rsid w:val="003C193C"/>
    <w:rsid w:val="003C196D"/>
    <w:rsid w:val="003C1AC6"/>
    <w:rsid w:val="003C1BE2"/>
    <w:rsid w:val="003C1C69"/>
    <w:rsid w:val="003C1C83"/>
    <w:rsid w:val="003C1CF5"/>
    <w:rsid w:val="003C1E17"/>
    <w:rsid w:val="003C1EAD"/>
    <w:rsid w:val="003C1FE8"/>
    <w:rsid w:val="003C2047"/>
    <w:rsid w:val="003C207E"/>
    <w:rsid w:val="003C2127"/>
    <w:rsid w:val="003C213C"/>
    <w:rsid w:val="003C2253"/>
    <w:rsid w:val="003C2309"/>
    <w:rsid w:val="003C239D"/>
    <w:rsid w:val="003C2480"/>
    <w:rsid w:val="003C24B4"/>
    <w:rsid w:val="003C2527"/>
    <w:rsid w:val="003C2532"/>
    <w:rsid w:val="003C256B"/>
    <w:rsid w:val="003C256C"/>
    <w:rsid w:val="003C25B4"/>
    <w:rsid w:val="003C2697"/>
    <w:rsid w:val="003C2769"/>
    <w:rsid w:val="003C28B6"/>
    <w:rsid w:val="003C28C0"/>
    <w:rsid w:val="003C2918"/>
    <w:rsid w:val="003C2946"/>
    <w:rsid w:val="003C29B1"/>
    <w:rsid w:val="003C29D6"/>
    <w:rsid w:val="003C2A4F"/>
    <w:rsid w:val="003C2A92"/>
    <w:rsid w:val="003C2B65"/>
    <w:rsid w:val="003C2F32"/>
    <w:rsid w:val="003C30C2"/>
    <w:rsid w:val="003C31C8"/>
    <w:rsid w:val="003C3289"/>
    <w:rsid w:val="003C330F"/>
    <w:rsid w:val="003C368D"/>
    <w:rsid w:val="003C381E"/>
    <w:rsid w:val="003C3848"/>
    <w:rsid w:val="003C3884"/>
    <w:rsid w:val="003C38FA"/>
    <w:rsid w:val="003C394E"/>
    <w:rsid w:val="003C397B"/>
    <w:rsid w:val="003C39C2"/>
    <w:rsid w:val="003C39D4"/>
    <w:rsid w:val="003C39EB"/>
    <w:rsid w:val="003C3B48"/>
    <w:rsid w:val="003C3B4C"/>
    <w:rsid w:val="003C3BAD"/>
    <w:rsid w:val="003C3C13"/>
    <w:rsid w:val="003C3D7C"/>
    <w:rsid w:val="003C3DCD"/>
    <w:rsid w:val="003C3F3B"/>
    <w:rsid w:val="003C3FF4"/>
    <w:rsid w:val="003C4007"/>
    <w:rsid w:val="003C4054"/>
    <w:rsid w:val="003C40D4"/>
    <w:rsid w:val="003C4322"/>
    <w:rsid w:val="003C4485"/>
    <w:rsid w:val="003C4490"/>
    <w:rsid w:val="003C4628"/>
    <w:rsid w:val="003C4700"/>
    <w:rsid w:val="003C480D"/>
    <w:rsid w:val="003C488D"/>
    <w:rsid w:val="003C48CD"/>
    <w:rsid w:val="003C48F4"/>
    <w:rsid w:val="003C4974"/>
    <w:rsid w:val="003C4997"/>
    <w:rsid w:val="003C4A34"/>
    <w:rsid w:val="003C4A76"/>
    <w:rsid w:val="003C4AA1"/>
    <w:rsid w:val="003C4B28"/>
    <w:rsid w:val="003C4C2D"/>
    <w:rsid w:val="003C4CBC"/>
    <w:rsid w:val="003C4CD1"/>
    <w:rsid w:val="003C4EC7"/>
    <w:rsid w:val="003C4F51"/>
    <w:rsid w:val="003C501D"/>
    <w:rsid w:val="003C5083"/>
    <w:rsid w:val="003C527A"/>
    <w:rsid w:val="003C5409"/>
    <w:rsid w:val="003C5456"/>
    <w:rsid w:val="003C5548"/>
    <w:rsid w:val="003C5599"/>
    <w:rsid w:val="003C5647"/>
    <w:rsid w:val="003C567B"/>
    <w:rsid w:val="003C56C1"/>
    <w:rsid w:val="003C580F"/>
    <w:rsid w:val="003C591D"/>
    <w:rsid w:val="003C5B1B"/>
    <w:rsid w:val="003C5B2E"/>
    <w:rsid w:val="003C5C54"/>
    <w:rsid w:val="003C5D39"/>
    <w:rsid w:val="003C5D95"/>
    <w:rsid w:val="003C5EC7"/>
    <w:rsid w:val="003C5F53"/>
    <w:rsid w:val="003C5FA7"/>
    <w:rsid w:val="003C6048"/>
    <w:rsid w:val="003C60AA"/>
    <w:rsid w:val="003C60CE"/>
    <w:rsid w:val="003C6107"/>
    <w:rsid w:val="003C6250"/>
    <w:rsid w:val="003C62A6"/>
    <w:rsid w:val="003C631F"/>
    <w:rsid w:val="003C6387"/>
    <w:rsid w:val="003C63D8"/>
    <w:rsid w:val="003C6402"/>
    <w:rsid w:val="003C642B"/>
    <w:rsid w:val="003C642C"/>
    <w:rsid w:val="003C643A"/>
    <w:rsid w:val="003C6501"/>
    <w:rsid w:val="003C6534"/>
    <w:rsid w:val="003C65E0"/>
    <w:rsid w:val="003C6651"/>
    <w:rsid w:val="003C6671"/>
    <w:rsid w:val="003C6756"/>
    <w:rsid w:val="003C689E"/>
    <w:rsid w:val="003C6A75"/>
    <w:rsid w:val="003C6AC2"/>
    <w:rsid w:val="003C6C9A"/>
    <w:rsid w:val="003C6D27"/>
    <w:rsid w:val="003C6D46"/>
    <w:rsid w:val="003C6D6E"/>
    <w:rsid w:val="003C6E86"/>
    <w:rsid w:val="003C6E9F"/>
    <w:rsid w:val="003C6EE8"/>
    <w:rsid w:val="003C6F62"/>
    <w:rsid w:val="003C6F72"/>
    <w:rsid w:val="003C701C"/>
    <w:rsid w:val="003C7048"/>
    <w:rsid w:val="003C705A"/>
    <w:rsid w:val="003C70CC"/>
    <w:rsid w:val="003C736E"/>
    <w:rsid w:val="003C738A"/>
    <w:rsid w:val="003C738F"/>
    <w:rsid w:val="003C73D5"/>
    <w:rsid w:val="003C7413"/>
    <w:rsid w:val="003C74A7"/>
    <w:rsid w:val="003C750F"/>
    <w:rsid w:val="003C7615"/>
    <w:rsid w:val="003C7619"/>
    <w:rsid w:val="003C76FA"/>
    <w:rsid w:val="003C7928"/>
    <w:rsid w:val="003C7A86"/>
    <w:rsid w:val="003C7B02"/>
    <w:rsid w:val="003C7B11"/>
    <w:rsid w:val="003C7BE0"/>
    <w:rsid w:val="003C7D41"/>
    <w:rsid w:val="003C7D54"/>
    <w:rsid w:val="003C7DBC"/>
    <w:rsid w:val="003C7DF0"/>
    <w:rsid w:val="003C7E1A"/>
    <w:rsid w:val="003C7EDB"/>
    <w:rsid w:val="003C7FA9"/>
    <w:rsid w:val="003D0036"/>
    <w:rsid w:val="003D0077"/>
    <w:rsid w:val="003D0160"/>
    <w:rsid w:val="003D061E"/>
    <w:rsid w:val="003D0726"/>
    <w:rsid w:val="003D078E"/>
    <w:rsid w:val="003D07E8"/>
    <w:rsid w:val="003D0A06"/>
    <w:rsid w:val="003D0A43"/>
    <w:rsid w:val="003D0AAD"/>
    <w:rsid w:val="003D0B20"/>
    <w:rsid w:val="003D0B71"/>
    <w:rsid w:val="003D0C56"/>
    <w:rsid w:val="003D0CC8"/>
    <w:rsid w:val="003D0CCB"/>
    <w:rsid w:val="003D0D26"/>
    <w:rsid w:val="003D0DFB"/>
    <w:rsid w:val="003D0E5D"/>
    <w:rsid w:val="003D0F06"/>
    <w:rsid w:val="003D0FAA"/>
    <w:rsid w:val="003D101E"/>
    <w:rsid w:val="003D102E"/>
    <w:rsid w:val="003D1146"/>
    <w:rsid w:val="003D11C4"/>
    <w:rsid w:val="003D1565"/>
    <w:rsid w:val="003D1569"/>
    <w:rsid w:val="003D1598"/>
    <w:rsid w:val="003D161D"/>
    <w:rsid w:val="003D163B"/>
    <w:rsid w:val="003D164E"/>
    <w:rsid w:val="003D1690"/>
    <w:rsid w:val="003D16D7"/>
    <w:rsid w:val="003D17DC"/>
    <w:rsid w:val="003D17F5"/>
    <w:rsid w:val="003D19B1"/>
    <w:rsid w:val="003D19D9"/>
    <w:rsid w:val="003D19ED"/>
    <w:rsid w:val="003D1A73"/>
    <w:rsid w:val="003D1ABA"/>
    <w:rsid w:val="003D1B6D"/>
    <w:rsid w:val="003D1B93"/>
    <w:rsid w:val="003D1D3E"/>
    <w:rsid w:val="003D1E58"/>
    <w:rsid w:val="003D1FA1"/>
    <w:rsid w:val="003D20E6"/>
    <w:rsid w:val="003D20FA"/>
    <w:rsid w:val="003D2140"/>
    <w:rsid w:val="003D2195"/>
    <w:rsid w:val="003D21F0"/>
    <w:rsid w:val="003D21FA"/>
    <w:rsid w:val="003D2456"/>
    <w:rsid w:val="003D25BF"/>
    <w:rsid w:val="003D25D7"/>
    <w:rsid w:val="003D261D"/>
    <w:rsid w:val="003D2695"/>
    <w:rsid w:val="003D26CD"/>
    <w:rsid w:val="003D29A4"/>
    <w:rsid w:val="003D2CD8"/>
    <w:rsid w:val="003D2E5F"/>
    <w:rsid w:val="003D301B"/>
    <w:rsid w:val="003D3151"/>
    <w:rsid w:val="003D3344"/>
    <w:rsid w:val="003D338D"/>
    <w:rsid w:val="003D353E"/>
    <w:rsid w:val="003D3600"/>
    <w:rsid w:val="003D3661"/>
    <w:rsid w:val="003D378B"/>
    <w:rsid w:val="003D378C"/>
    <w:rsid w:val="003D39C6"/>
    <w:rsid w:val="003D3BE7"/>
    <w:rsid w:val="003D3C80"/>
    <w:rsid w:val="003D3D70"/>
    <w:rsid w:val="003D3D9B"/>
    <w:rsid w:val="003D3F8F"/>
    <w:rsid w:val="003D41A8"/>
    <w:rsid w:val="003D449F"/>
    <w:rsid w:val="003D4567"/>
    <w:rsid w:val="003D465A"/>
    <w:rsid w:val="003D465C"/>
    <w:rsid w:val="003D47E2"/>
    <w:rsid w:val="003D4807"/>
    <w:rsid w:val="003D489F"/>
    <w:rsid w:val="003D4926"/>
    <w:rsid w:val="003D4929"/>
    <w:rsid w:val="003D4BBE"/>
    <w:rsid w:val="003D4C23"/>
    <w:rsid w:val="003D4DFE"/>
    <w:rsid w:val="003D4FC6"/>
    <w:rsid w:val="003D500D"/>
    <w:rsid w:val="003D5129"/>
    <w:rsid w:val="003D51B7"/>
    <w:rsid w:val="003D52B9"/>
    <w:rsid w:val="003D53E1"/>
    <w:rsid w:val="003D53E3"/>
    <w:rsid w:val="003D5420"/>
    <w:rsid w:val="003D57FD"/>
    <w:rsid w:val="003D5834"/>
    <w:rsid w:val="003D58A9"/>
    <w:rsid w:val="003D594E"/>
    <w:rsid w:val="003D5970"/>
    <w:rsid w:val="003D5A44"/>
    <w:rsid w:val="003D5AB7"/>
    <w:rsid w:val="003D5B14"/>
    <w:rsid w:val="003D5B3B"/>
    <w:rsid w:val="003D5B6D"/>
    <w:rsid w:val="003D5CAF"/>
    <w:rsid w:val="003D5E7E"/>
    <w:rsid w:val="003D5FAE"/>
    <w:rsid w:val="003D5FCA"/>
    <w:rsid w:val="003D5FDB"/>
    <w:rsid w:val="003D6079"/>
    <w:rsid w:val="003D60BB"/>
    <w:rsid w:val="003D6114"/>
    <w:rsid w:val="003D6201"/>
    <w:rsid w:val="003D622D"/>
    <w:rsid w:val="003D632C"/>
    <w:rsid w:val="003D6380"/>
    <w:rsid w:val="003D642F"/>
    <w:rsid w:val="003D65F4"/>
    <w:rsid w:val="003D685D"/>
    <w:rsid w:val="003D69F6"/>
    <w:rsid w:val="003D6A08"/>
    <w:rsid w:val="003D6A5B"/>
    <w:rsid w:val="003D6AD2"/>
    <w:rsid w:val="003D6B6F"/>
    <w:rsid w:val="003D6C47"/>
    <w:rsid w:val="003D6CB7"/>
    <w:rsid w:val="003D6D46"/>
    <w:rsid w:val="003D6E7D"/>
    <w:rsid w:val="003D6F42"/>
    <w:rsid w:val="003D6FD7"/>
    <w:rsid w:val="003D7088"/>
    <w:rsid w:val="003D7143"/>
    <w:rsid w:val="003D716E"/>
    <w:rsid w:val="003D718E"/>
    <w:rsid w:val="003D71C6"/>
    <w:rsid w:val="003D7218"/>
    <w:rsid w:val="003D733A"/>
    <w:rsid w:val="003D73C3"/>
    <w:rsid w:val="003D73C9"/>
    <w:rsid w:val="003D73D2"/>
    <w:rsid w:val="003D7421"/>
    <w:rsid w:val="003D74F7"/>
    <w:rsid w:val="003D78DE"/>
    <w:rsid w:val="003D7909"/>
    <w:rsid w:val="003D7A75"/>
    <w:rsid w:val="003D7BBD"/>
    <w:rsid w:val="003D7C16"/>
    <w:rsid w:val="003D7CE6"/>
    <w:rsid w:val="003D7D4E"/>
    <w:rsid w:val="003D7EC6"/>
    <w:rsid w:val="003D7EEE"/>
    <w:rsid w:val="003D7F26"/>
    <w:rsid w:val="003D7FE2"/>
    <w:rsid w:val="003E00C6"/>
    <w:rsid w:val="003E013D"/>
    <w:rsid w:val="003E021E"/>
    <w:rsid w:val="003E02EF"/>
    <w:rsid w:val="003E033E"/>
    <w:rsid w:val="003E0379"/>
    <w:rsid w:val="003E04A2"/>
    <w:rsid w:val="003E05A7"/>
    <w:rsid w:val="003E079D"/>
    <w:rsid w:val="003E07BE"/>
    <w:rsid w:val="003E0819"/>
    <w:rsid w:val="003E08A9"/>
    <w:rsid w:val="003E097E"/>
    <w:rsid w:val="003E0A76"/>
    <w:rsid w:val="003E0AF5"/>
    <w:rsid w:val="003E0C48"/>
    <w:rsid w:val="003E0CAF"/>
    <w:rsid w:val="003E0CC1"/>
    <w:rsid w:val="003E0CDD"/>
    <w:rsid w:val="003E0D66"/>
    <w:rsid w:val="003E0E04"/>
    <w:rsid w:val="003E0E2F"/>
    <w:rsid w:val="003E0E9E"/>
    <w:rsid w:val="003E0EA8"/>
    <w:rsid w:val="003E0EBC"/>
    <w:rsid w:val="003E0FEF"/>
    <w:rsid w:val="003E10A6"/>
    <w:rsid w:val="003E1218"/>
    <w:rsid w:val="003E1294"/>
    <w:rsid w:val="003E1380"/>
    <w:rsid w:val="003E163D"/>
    <w:rsid w:val="003E1816"/>
    <w:rsid w:val="003E18D2"/>
    <w:rsid w:val="003E18F4"/>
    <w:rsid w:val="003E1925"/>
    <w:rsid w:val="003E197E"/>
    <w:rsid w:val="003E19B8"/>
    <w:rsid w:val="003E19E3"/>
    <w:rsid w:val="003E1AFD"/>
    <w:rsid w:val="003E1B5B"/>
    <w:rsid w:val="003E1B8A"/>
    <w:rsid w:val="003E1C55"/>
    <w:rsid w:val="003E1D2F"/>
    <w:rsid w:val="003E1DA1"/>
    <w:rsid w:val="003E20D6"/>
    <w:rsid w:val="003E20D8"/>
    <w:rsid w:val="003E211E"/>
    <w:rsid w:val="003E2352"/>
    <w:rsid w:val="003E2365"/>
    <w:rsid w:val="003E244F"/>
    <w:rsid w:val="003E24FE"/>
    <w:rsid w:val="003E2567"/>
    <w:rsid w:val="003E261C"/>
    <w:rsid w:val="003E2678"/>
    <w:rsid w:val="003E28B0"/>
    <w:rsid w:val="003E297C"/>
    <w:rsid w:val="003E2C78"/>
    <w:rsid w:val="003E2D94"/>
    <w:rsid w:val="003E2DC3"/>
    <w:rsid w:val="003E2E02"/>
    <w:rsid w:val="003E2ECB"/>
    <w:rsid w:val="003E2F88"/>
    <w:rsid w:val="003E3122"/>
    <w:rsid w:val="003E31C3"/>
    <w:rsid w:val="003E31F5"/>
    <w:rsid w:val="003E3254"/>
    <w:rsid w:val="003E3609"/>
    <w:rsid w:val="003E360B"/>
    <w:rsid w:val="003E3618"/>
    <w:rsid w:val="003E3662"/>
    <w:rsid w:val="003E3758"/>
    <w:rsid w:val="003E3854"/>
    <w:rsid w:val="003E385D"/>
    <w:rsid w:val="003E394F"/>
    <w:rsid w:val="003E3993"/>
    <w:rsid w:val="003E3A63"/>
    <w:rsid w:val="003E3BDE"/>
    <w:rsid w:val="003E3C36"/>
    <w:rsid w:val="003E3C38"/>
    <w:rsid w:val="003E3C91"/>
    <w:rsid w:val="003E3CFC"/>
    <w:rsid w:val="003E3D34"/>
    <w:rsid w:val="003E3E44"/>
    <w:rsid w:val="003E4109"/>
    <w:rsid w:val="003E4114"/>
    <w:rsid w:val="003E4175"/>
    <w:rsid w:val="003E4241"/>
    <w:rsid w:val="003E4335"/>
    <w:rsid w:val="003E44ED"/>
    <w:rsid w:val="003E44F0"/>
    <w:rsid w:val="003E45A5"/>
    <w:rsid w:val="003E45FE"/>
    <w:rsid w:val="003E468A"/>
    <w:rsid w:val="003E473D"/>
    <w:rsid w:val="003E4766"/>
    <w:rsid w:val="003E47D2"/>
    <w:rsid w:val="003E47EE"/>
    <w:rsid w:val="003E4919"/>
    <w:rsid w:val="003E4945"/>
    <w:rsid w:val="003E49E6"/>
    <w:rsid w:val="003E4A78"/>
    <w:rsid w:val="003E4BAA"/>
    <w:rsid w:val="003E4C78"/>
    <w:rsid w:val="003E4CA1"/>
    <w:rsid w:val="003E4CD7"/>
    <w:rsid w:val="003E4D87"/>
    <w:rsid w:val="003E4E75"/>
    <w:rsid w:val="003E4F44"/>
    <w:rsid w:val="003E4FA3"/>
    <w:rsid w:val="003E505B"/>
    <w:rsid w:val="003E5097"/>
    <w:rsid w:val="003E50E2"/>
    <w:rsid w:val="003E5149"/>
    <w:rsid w:val="003E51E5"/>
    <w:rsid w:val="003E5222"/>
    <w:rsid w:val="003E5326"/>
    <w:rsid w:val="003E536E"/>
    <w:rsid w:val="003E5414"/>
    <w:rsid w:val="003E5537"/>
    <w:rsid w:val="003E5589"/>
    <w:rsid w:val="003E5653"/>
    <w:rsid w:val="003E5693"/>
    <w:rsid w:val="003E56DF"/>
    <w:rsid w:val="003E56FF"/>
    <w:rsid w:val="003E57C3"/>
    <w:rsid w:val="003E584F"/>
    <w:rsid w:val="003E5868"/>
    <w:rsid w:val="003E5871"/>
    <w:rsid w:val="003E5877"/>
    <w:rsid w:val="003E58AA"/>
    <w:rsid w:val="003E5A99"/>
    <w:rsid w:val="003E5B3F"/>
    <w:rsid w:val="003E5BA7"/>
    <w:rsid w:val="003E5C84"/>
    <w:rsid w:val="003E5C98"/>
    <w:rsid w:val="003E5D20"/>
    <w:rsid w:val="003E5D39"/>
    <w:rsid w:val="003E5D94"/>
    <w:rsid w:val="003E5FF5"/>
    <w:rsid w:val="003E618F"/>
    <w:rsid w:val="003E6258"/>
    <w:rsid w:val="003E633F"/>
    <w:rsid w:val="003E634A"/>
    <w:rsid w:val="003E6409"/>
    <w:rsid w:val="003E6425"/>
    <w:rsid w:val="003E642C"/>
    <w:rsid w:val="003E6462"/>
    <w:rsid w:val="003E64D4"/>
    <w:rsid w:val="003E6532"/>
    <w:rsid w:val="003E6618"/>
    <w:rsid w:val="003E6725"/>
    <w:rsid w:val="003E6845"/>
    <w:rsid w:val="003E68A1"/>
    <w:rsid w:val="003E69BB"/>
    <w:rsid w:val="003E6A5A"/>
    <w:rsid w:val="003E6B07"/>
    <w:rsid w:val="003E6B47"/>
    <w:rsid w:val="003E6B73"/>
    <w:rsid w:val="003E6B86"/>
    <w:rsid w:val="003E6D1B"/>
    <w:rsid w:val="003E6E15"/>
    <w:rsid w:val="003E6E57"/>
    <w:rsid w:val="003E6E84"/>
    <w:rsid w:val="003E6E8B"/>
    <w:rsid w:val="003E70B2"/>
    <w:rsid w:val="003E7103"/>
    <w:rsid w:val="003E7249"/>
    <w:rsid w:val="003E72FF"/>
    <w:rsid w:val="003E7541"/>
    <w:rsid w:val="003E7571"/>
    <w:rsid w:val="003E762C"/>
    <w:rsid w:val="003E76F6"/>
    <w:rsid w:val="003E78BE"/>
    <w:rsid w:val="003E7934"/>
    <w:rsid w:val="003E7953"/>
    <w:rsid w:val="003E79B8"/>
    <w:rsid w:val="003E7A9F"/>
    <w:rsid w:val="003E7B65"/>
    <w:rsid w:val="003E7C8C"/>
    <w:rsid w:val="003E7D47"/>
    <w:rsid w:val="003E7DCD"/>
    <w:rsid w:val="003F01F1"/>
    <w:rsid w:val="003F02F0"/>
    <w:rsid w:val="003F02F2"/>
    <w:rsid w:val="003F035F"/>
    <w:rsid w:val="003F03B1"/>
    <w:rsid w:val="003F03B3"/>
    <w:rsid w:val="003F0573"/>
    <w:rsid w:val="003F0634"/>
    <w:rsid w:val="003F06B5"/>
    <w:rsid w:val="003F07CD"/>
    <w:rsid w:val="003F0882"/>
    <w:rsid w:val="003F08D4"/>
    <w:rsid w:val="003F0B6F"/>
    <w:rsid w:val="003F0D1F"/>
    <w:rsid w:val="003F0D8C"/>
    <w:rsid w:val="003F0E17"/>
    <w:rsid w:val="003F0E7D"/>
    <w:rsid w:val="003F0FA1"/>
    <w:rsid w:val="003F119A"/>
    <w:rsid w:val="003F11FA"/>
    <w:rsid w:val="003F120A"/>
    <w:rsid w:val="003F1329"/>
    <w:rsid w:val="003F139C"/>
    <w:rsid w:val="003F1417"/>
    <w:rsid w:val="003F1429"/>
    <w:rsid w:val="003F14C0"/>
    <w:rsid w:val="003F1788"/>
    <w:rsid w:val="003F1888"/>
    <w:rsid w:val="003F19F6"/>
    <w:rsid w:val="003F1AD0"/>
    <w:rsid w:val="003F1ADF"/>
    <w:rsid w:val="003F1CA8"/>
    <w:rsid w:val="003F1E06"/>
    <w:rsid w:val="003F1E0C"/>
    <w:rsid w:val="003F1E81"/>
    <w:rsid w:val="003F1F19"/>
    <w:rsid w:val="003F1F30"/>
    <w:rsid w:val="003F20AC"/>
    <w:rsid w:val="003F212E"/>
    <w:rsid w:val="003F21A8"/>
    <w:rsid w:val="003F21C1"/>
    <w:rsid w:val="003F230C"/>
    <w:rsid w:val="003F23AB"/>
    <w:rsid w:val="003F242B"/>
    <w:rsid w:val="003F248A"/>
    <w:rsid w:val="003F24EB"/>
    <w:rsid w:val="003F2525"/>
    <w:rsid w:val="003F25D6"/>
    <w:rsid w:val="003F2608"/>
    <w:rsid w:val="003F262C"/>
    <w:rsid w:val="003F2694"/>
    <w:rsid w:val="003F269E"/>
    <w:rsid w:val="003F26FC"/>
    <w:rsid w:val="003F27BC"/>
    <w:rsid w:val="003F2890"/>
    <w:rsid w:val="003F28BE"/>
    <w:rsid w:val="003F29BB"/>
    <w:rsid w:val="003F2F45"/>
    <w:rsid w:val="003F2F66"/>
    <w:rsid w:val="003F2F82"/>
    <w:rsid w:val="003F2FB8"/>
    <w:rsid w:val="003F30B7"/>
    <w:rsid w:val="003F317C"/>
    <w:rsid w:val="003F3336"/>
    <w:rsid w:val="003F333A"/>
    <w:rsid w:val="003F3459"/>
    <w:rsid w:val="003F35A0"/>
    <w:rsid w:val="003F35AA"/>
    <w:rsid w:val="003F3616"/>
    <w:rsid w:val="003F366E"/>
    <w:rsid w:val="003F3681"/>
    <w:rsid w:val="003F3742"/>
    <w:rsid w:val="003F3757"/>
    <w:rsid w:val="003F3A87"/>
    <w:rsid w:val="003F3CC2"/>
    <w:rsid w:val="003F3EB6"/>
    <w:rsid w:val="003F3EBF"/>
    <w:rsid w:val="003F3F25"/>
    <w:rsid w:val="003F4177"/>
    <w:rsid w:val="003F41E4"/>
    <w:rsid w:val="003F4263"/>
    <w:rsid w:val="003F4411"/>
    <w:rsid w:val="003F445A"/>
    <w:rsid w:val="003F44C8"/>
    <w:rsid w:val="003F45E3"/>
    <w:rsid w:val="003F464F"/>
    <w:rsid w:val="003F46DD"/>
    <w:rsid w:val="003F4755"/>
    <w:rsid w:val="003F48F5"/>
    <w:rsid w:val="003F4BEA"/>
    <w:rsid w:val="003F4BF4"/>
    <w:rsid w:val="003F4C21"/>
    <w:rsid w:val="003F518B"/>
    <w:rsid w:val="003F519D"/>
    <w:rsid w:val="003F51A2"/>
    <w:rsid w:val="003F51A9"/>
    <w:rsid w:val="003F53CA"/>
    <w:rsid w:val="003F5753"/>
    <w:rsid w:val="003F5856"/>
    <w:rsid w:val="003F585C"/>
    <w:rsid w:val="003F5895"/>
    <w:rsid w:val="003F591A"/>
    <w:rsid w:val="003F5AB1"/>
    <w:rsid w:val="003F5B90"/>
    <w:rsid w:val="003F5BD7"/>
    <w:rsid w:val="003F5CAB"/>
    <w:rsid w:val="003F5D72"/>
    <w:rsid w:val="003F5DE5"/>
    <w:rsid w:val="003F5E20"/>
    <w:rsid w:val="003F5E9F"/>
    <w:rsid w:val="003F6382"/>
    <w:rsid w:val="003F63BB"/>
    <w:rsid w:val="003F6473"/>
    <w:rsid w:val="003F64C1"/>
    <w:rsid w:val="003F6571"/>
    <w:rsid w:val="003F65CC"/>
    <w:rsid w:val="003F6751"/>
    <w:rsid w:val="003F6805"/>
    <w:rsid w:val="003F6837"/>
    <w:rsid w:val="003F6AC5"/>
    <w:rsid w:val="003F6B84"/>
    <w:rsid w:val="003F6D08"/>
    <w:rsid w:val="003F6DDC"/>
    <w:rsid w:val="003F6EDB"/>
    <w:rsid w:val="003F6F43"/>
    <w:rsid w:val="003F6FEE"/>
    <w:rsid w:val="003F708B"/>
    <w:rsid w:val="003F70DB"/>
    <w:rsid w:val="003F7236"/>
    <w:rsid w:val="003F7363"/>
    <w:rsid w:val="003F73E4"/>
    <w:rsid w:val="003F74EE"/>
    <w:rsid w:val="003F7511"/>
    <w:rsid w:val="003F760B"/>
    <w:rsid w:val="003F762F"/>
    <w:rsid w:val="003F7743"/>
    <w:rsid w:val="003F789A"/>
    <w:rsid w:val="003F7948"/>
    <w:rsid w:val="003F7954"/>
    <w:rsid w:val="003F79A2"/>
    <w:rsid w:val="003F79D7"/>
    <w:rsid w:val="003F7A58"/>
    <w:rsid w:val="003F7A7B"/>
    <w:rsid w:val="003F7A94"/>
    <w:rsid w:val="003F7AA4"/>
    <w:rsid w:val="003F7AD6"/>
    <w:rsid w:val="003F7B34"/>
    <w:rsid w:val="003F7BB1"/>
    <w:rsid w:val="003F7C2D"/>
    <w:rsid w:val="003F7C74"/>
    <w:rsid w:val="003F7E9B"/>
    <w:rsid w:val="003F7EE9"/>
    <w:rsid w:val="003F7EF2"/>
    <w:rsid w:val="003F7F10"/>
    <w:rsid w:val="003F7F61"/>
    <w:rsid w:val="00400003"/>
    <w:rsid w:val="00400012"/>
    <w:rsid w:val="0040009C"/>
    <w:rsid w:val="004000A6"/>
    <w:rsid w:val="00400108"/>
    <w:rsid w:val="0040013D"/>
    <w:rsid w:val="004001B1"/>
    <w:rsid w:val="0040031F"/>
    <w:rsid w:val="00400328"/>
    <w:rsid w:val="00400382"/>
    <w:rsid w:val="00400432"/>
    <w:rsid w:val="004004E3"/>
    <w:rsid w:val="00400518"/>
    <w:rsid w:val="004007D1"/>
    <w:rsid w:val="004008B7"/>
    <w:rsid w:val="004009E5"/>
    <w:rsid w:val="00400A48"/>
    <w:rsid w:val="00400AA6"/>
    <w:rsid w:val="00400AB6"/>
    <w:rsid w:val="00400C14"/>
    <w:rsid w:val="00400C8D"/>
    <w:rsid w:val="00400D5D"/>
    <w:rsid w:val="00400F07"/>
    <w:rsid w:val="00400FFF"/>
    <w:rsid w:val="00401082"/>
    <w:rsid w:val="0040110F"/>
    <w:rsid w:val="004011E8"/>
    <w:rsid w:val="004011E9"/>
    <w:rsid w:val="004012BF"/>
    <w:rsid w:val="00401394"/>
    <w:rsid w:val="004013C5"/>
    <w:rsid w:val="00401407"/>
    <w:rsid w:val="004014A7"/>
    <w:rsid w:val="004016A3"/>
    <w:rsid w:val="004016DA"/>
    <w:rsid w:val="004017B1"/>
    <w:rsid w:val="00401907"/>
    <w:rsid w:val="0040190B"/>
    <w:rsid w:val="00401A55"/>
    <w:rsid w:val="00401A5A"/>
    <w:rsid w:val="00401AD1"/>
    <w:rsid w:val="00401C83"/>
    <w:rsid w:val="00401DD1"/>
    <w:rsid w:val="00401DF6"/>
    <w:rsid w:val="00401E26"/>
    <w:rsid w:val="00401EEE"/>
    <w:rsid w:val="00402052"/>
    <w:rsid w:val="0040211E"/>
    <w:rsid w:val="00402162"/>
    <w:rsid w:val="00402261"/>
    <w:rsid w:val="0040229C"/>
    <w:rsid w:val="004022A7"/>
    <w:rsid w:val="00402384"/>
    <w:rsid w:val="004023A4"/>
    <w:rsid w:val="00402617"/>
    <w:rsid w:val="0040261F"/>
    <w:rsid w:val="00402622"/>
    <w:rsid w:val="004026FD"/>
    <w:rsid w:val="00402787"/>
    <w:rsid w:val="004027BE"/>
    <w:rsid w:val="004029B4"/>
    <w:rsid w:val="00402BA9"/>
    <w:rsid w:val="00402BE4"/>
    <w:rsid w:val="00402C88"/>
    <w:rsid w:val="00402CF3"/>
    <w:rsid w:val="00402D21"/>
    <w:rsid w:val="00402D2F"/>
    <w:rsid w:val="00402D6F"/>
    <w:rsid w:val="00402DC5"/>
    <w:rsid w:val="00402E7B"/>
    <w:rsid w:val="00402F76"/>
    <w:rsid w:val="00402FE7"/>
    <w:rsid w:val="00403008"/>
    <w:rsid w:val="0040300E"/>
    <w:rsid w:val="0040301F"/>
    <w:rsid w:val="0040304A"/>
    <w:rsid w:val="00403504"/>
    <w:rsid w:val="004035DA"/>
    <w:rsid w:val="004036EC"/>
    <w:rsid w:val="0040378A"/>
    <w:rsid w:val="004038E9"/>
    <w:rsid w:val="00403963"/>
    <w:rsid w:val="0040396E"/>
    <w:rsid w:val="004039BA"/>
    <w:rsid w:val="00403A64"/>
    <w:rsid w:val="00403AE6"/>
    <w:rsid w:val="00403DCA"/>
    <w:rsid w:val="00403E9F"/>
    <w:rsid w:val="00404034"/>
    <w:rsid w:val="00404082"/>
    <w:rsid w:val="004040E8"/>
    <w:rsid w:val="00404365"/>
    <w:rsid w:val="004043EE"/>
    <w:rsid w:val="00404598"/>
    <w:rsid w:val="00404611"/>
    <w:rsid w:val="00404691"/>
    <w:rsid w:val="0040480E"/>
    <w:rsid w:val="00404823"/>
    <w:rsid w:val="0040482F"/>
    <w:rsid w:val="00404863"/>
    <w:rsid w:val="004049FD"/>
    <w:rsid w:val="00404A88"/>
    <w:rsid w:val="00404C0C"/>
    <w:rsid w:val="00404C43"/>
    <w:rsid w:val="00404D76"/>
    <w:rsid w:val="00404E8E"/>
    <w:rsid w:val="00404F7C"/>
    <w:rsid w:val="0040516E"/>
    <w:rsid w:val="00405182"/>
    <w:rsid w:val="004051B6"/>
    <w:rsid w:val="004051D3"/>
    <w:rsid w:val="00405246"/>
    <w:rsid w:val="0040534A"/>
    <w:rsid w:val="0040536D"/>
    <w:rsid w:val="0040548B"/>
    <w:rsid w:val="004056B4"/>
    <w:rsid w:val="004056FD"/>
    <w:rsid w:val="0040571F"/>
    <w:rsid w:val="00405778"/>
    <w:rsid w:val="0040581C"/>
    <w:rsid w:val="00405827"/>
    <w:rsid w:val="00405909"/>
    <w:rsid w:val="0040594C"/>
    <w:rsid w:val="00405966"/>
    <w:rsid w:val="00405988"/>
    <w:rsid w:val="004059A4"/>
    <w:rsid w:val="00405B6D"/>
    <w:rsid w:val="00405BE3"/>
    <w:rsid w:val="00405BE5"/>
    <w:rsid w:val="00405CAF"/>
    <w:rsid w:val="00405E52"/>
    <w:rsid w:val="00405EE4"/>
    <w:rsid w:val="00405F10"/>
    <w:rsid w:val="00406001"/>
    <w:rsid w:val="004060F0"/>
    <w:rsid w:val="00406155"/>
    <w:rsid w:val="004064A3"/>
    <w:rsid w:val="00406548"/>
    <w:rsid w:val="0040659F"/>
    <w:rsid w:val="00406612"/>
    <w:rsid w:val="00406657"/>
    <w:rsid w:val="0040668C"/>
    <w:rsid w:val="004066F9"/>
    <w:rsid w:val="0040679B"/>
    <w:rsid w:val="004069EC"/>
    <w:rsid w:val="00406A6D"/>
    <w:rsid w:val="00406AD7"/>
    <w:rsid w:val="00406AE7"/>
    <w:rsid w:val="00406B95"/>
    <w:rsid w:val="00406CBF"/>
    <w:rsid w:val="00406D69"/>
    <w:rsid w:val="00406D6D"/>
    <w:rsid w:val="00406FC7"/>
    <w:rsid w:val="00407150"/>
    <w:rsid w:val="0040718D"/>
    <w:rsid w:val="00407279"/>
    <w:rsid w:val="00407283"/>
    <w:rsid w:val="004073B8"/>
    <w:rsid w:val="004073FC"/>
    <w:rsid w:val="0040741A"/>
    <w:rsid w:val="004074CE"/>
    <w:rsid w:val="00407543"/>
    <w:rsid w:val="004075F6"/>
    <w:rsid w:val="0040763A"/>
    <w:rsid w:val="00407644"/>
    <w:rsid w:val="004078D7"/>
    <w:rsid w:val="00407A9C"/>
    <w:rsid w:val="00407B91"/>
    <w:rsid w:val="00407BD3"/>
    <w:rsid w:val="00407C2D"/>
    <w:rsid w:val="00407C60"/>
    <w:rsid w:val="00407C73"/>
    <w:rsid w:val="00407C93"/>
    <w:rsid w:val="00407CE3"/>
    <w:rsid w:val="00407F0D"/>
    <w:rsid w:val="00407F2F"/>
    <w:rsid w:val="00407FE0"/>
    <w:rsid w:val="00407FFD"/>
    <w:rsid w:val="00410049"/>
    <w:rsid w:val="00410180"/>
    <w:rsid w:val="00410247"/>
    <w:rsid w:val="004102B3"/>
    <w:rsid w:val="004102F6"/>
    <w:rsid w:val="00410311"/>
    <w:rsid w:val="00410416"/>
    <w:rsid w:val="004104AF"/>
    <w:rsid w:val="0041051F"/>
    <w:rsid w:val="0041055D"/>
    <w:rsid w:val="00410819"/>
    <w:rsid w:val="0041091C"/>
    <w:rsid w:val="00410B73"/>
    <w:rsid w:val="00410BA1"/>
    <w:rsid w:val="00410C19"/>
    <w:rsid w:val="00410C4A"/>
    <w:rsid w:val="00410CAB"/>
    <w:rsid w:val="00410CB7"/>
    <w:rsid w:val="00410CEF"/>
    <w:rsid w:val="00410ED4"/>
    <w:rsid w:val="00410EE9"/>
    <w:rsid w:val="00410EEC"/>
    <w:rsid w:val="00410EF5"/>
    <w:rsid w:val="004110EC"/>
    <w:rsid w:val="0041122E"/>
    <w:rsid w:val="0041129C"/>
    <w:rsid w:val="0041141D"/>
    <w:rsid w:val="00411542"/>
    <w:rsid w:val="00411546"/>
    <w:rsid w:val="0041154C"/>
    <w:rsid w:val="004115E1"/>
    <w:rsid w:val="00411652"/>
    <w:rsid w:val="004116C1"/>
    <w:rsid w:val="004116E2"/>
    <w:rsid w:val="00411706"/>
    <w:rsid w:val="00411722"/>
    <w:rsid w:val="0041173F"/>
    <w:rsid w:val="004117ED"/>
    <w:rsid w:val="00411817"/>
    <w:rsid w:val="0041191C"/>
    <w:rsid w:val="00411A24"/>
    <w:rsid w:val="00411AC6"/>
    <w:rsid w:val="00411AEB"/>
    <w:rsid w:val="00411CCA"/>
    <w:rsid w:val="00411D2F"/>
    <w:rsid w:val="00411DB2"/>
    <w:rsid w:val="00412059"/>
    <w:rsid w:val="0041207B"/>
    <w:rsid w:val="00412094"/>
    <w:rsid w:val="00412099"/>
    <w:rsid w:val="0041211A"/>
    <w:rsid w:val="00412369"/>
    <w:rsid w:val="0041241B"/>
    <w:rsid w:val="0041247F"/>
    <w:rsid w:val="004124FC"/>
    <w:rsid w:val="00412515"/>
    <w:rsid w:val="004125AD"/>
    <w:rsid w:val="00412858"/>
    <w:rsid w:val="004128FD"/>
    <w:rsid w:val="004129DB"/>
    <w:rsid w:val="004129FD"/>
    <w:rsid w:val="00412AD9"/>
    <w:rsid w:val="00412DD8"/>
    <w:rsid w:val="00412E0F"/>
    <w:rsid w:val="00412F67"/>
    <w:rsid w:val="00412FBC"/>
    <w:rsid w:val="004130AF"/>
    <w:rsid w:val="0041326A"/>
    <w:rsid w:val="00413438"/>
    <w:rsid w:val="004134C2"/>
    <w:rsid w:val="004134F0"/>
    <w:rsid w:val="0041371D"/>
    <w:rsid w:val="00413741"/>
    <w:rsid w:val="00413853"/>
    <w:rsid w:val="00413921"/>
    <w:rsid w:val="00413B7A"/>
    <w:rsid w:val="00413C9C"/>
    <w:rsid w:val="00413D26"/>
    <w:rsid w:val="00413D42"/>
    <w:rsid w:val="00413DB2"/>
    <w:rsid w:val="00413E47"/>
    <w:rsid w:val="00413E95"/>
    <w:rsid w:val="00413EE7"/>
    <w:rsid w:val="00413F9F"/>
    <w:rsid w:val="00413FE4"/>
    <w:rsid w:val="004143A0"/>
    <w:rsid w:val="004143C8"/>
    <w:rsid w:val="00414476"/>
    <w:rsid w:val="0041452D"/>
    <w:rsid w:val="004145A7"/>
    <w:rsid w:val="004145E2"/>
    <w:rsid w:val="00414623"/>
    <w:rsid w:val="0041463E"/>
    <w:rsid w:val="00414695"/>
    <w:rsid w:val="00414728"/>
    <w:rsid w:val="004147BD"/>
    <w:rsid w:val="004147C3"/>
    <w:rsid w:val="004148AA"/>
    <w:rsid w:val="00414A37"/>
    <w:rsid w:val="00414AB3"/>
    <w:rsid w:val="00414B83"/>
    <w:rsid w:val="00414BC6"/>
    <w:rsid w:val="00414CA5"/>
    <w:rsid w:val="00414CCA"/>
    <w:rsid w:val="00414EC7"/>
    <w:rsid w:val="00414F27"/>
    <w:rsid w:val="00414F89"/>
    <w:rsid w:val="00414FE5"/>
    <w:rsid w:val="0041505A"/>
    <w:rsid w:val="00415138"/>
    <w:rsid w:val="004151E0"/>
    <w:rsid w:val="00415221"/>
    <w:rsid w:val="0041533B"/>
    <w:rsid w:val="004153E2"/>
    <w:rsid w:val="0041556F"/>
    <w:rsid w:val="004156D1"/>
    <w:rsid w:val="0041578A"/>
    <w:rsid w:val="004157E5"/>
    <w:rsid w:val="00415883"/>
    <w:rsid w:val="00415896"/>
    <w:rsid w:val="00415947"/>
    <w:rsid w:val="00415A1C"/>
    <w:rsid w:val="00415AD1"/>
    <w:rsid w:val="00415B00"/>
    <w:rsid w:val="00415B2F"/>
    <w:rsid w:val="00415C5C"/>
    <w:rsid w:val="00415E94"/>
    <w:rsid w:val="00415F9B"/>
    <w:rsid w:val="00415FDC"/>
    <w:rsid w:val="00416180"/>
    <w:rsid w:val="0041619F"/>
    <w:rsid w:val="004161DA"/>
    <w:rsid w:val="00416234"/>
    <w:rsid w:val="004162EE"/>
    <w:rsid w:val="00416363"/>
    <w:rsid w:val="004163F1"/>
    <w:rsid w:val="0041643E"/>
    <w:rsid w:val="0041654F"/>
    <w:rsid w:val="004165BD"/>
    <w:rsid w:val="00416699"/>
    <w:rsid w:val="00416709"/>
    <w:rsid w:val="00416759"/>
    <w:rsid w:val="00416762"/>
    <w:rsid w:val="00416772"/>
    <w:rsid w:val="004167D7"/>
    <w:rsid w:val="0041685A"/>
    <w:rsid w:val="004168E4"/>
    <w:rsid w:val="00416B18"/>
    <w:rsid w:val="00416B24"/>
    <w:rsid w:val="00416C60"/>
    <w:rsid w:val="00416E55"/>
    <w:rsid w:val="00417044"/>
    <w:rsid w:val="0041704E"/>
    <w:rsid w:val="0041705E"/>
    <w:rsid w:val="00417136"/>
    <w:rsid w:val="0041726F"/>
    <w:rsid w:val="004173D2"/>
    <w:rsid w:val="004173F1"/>
    <w:rsid w:val="00417498"/>
    <w:rsid w:val="004174C7"/>
    <w:rsid w:val="0041764B"/>
    <w:rsid w:val="0041767F"/>
    <w:rsid w:val="00417845"/>
    <w:rsid w:val="004178C1"/>
    <w:rsid w:val="00417967"/>
    <w:rsid w:val="004179C6"/>
    <w:rsid w:val="00417AB0"/>
    <w:rsid w:val="00417B18"/>
    <w:rsid w:val="00417B4B"/>
    <w:rsid w:val="00417B66"/>
    <w:rsid w:val="00417B81"/>
    <w:rsid w:val="00417C5B"/>
    <w:rsid w:val="00417D60"/>
    <w:rsid w:val="00417DA0"/>
    <w:rsid w:val="00417E2E"/>
    <w:rsid w:val="00417E43"/>
    <w:rsid w:val="00417F01"/>
    <w:rsid w:val="00417F10"/>
    <w:rsid w:val="00417F98"/>
    <w:rsid w:val="00417FC9"/>
    <w:rsid w:val="00420108"/>
    <w:rsid w:val="0042016D"/>
    <w:rsid w:val="004201A1"/>
    <w:rsid w:val="004201DF"/>
    <w:rsid w:val="00420262"/>
    <w:rsid w:val="004202E7"/>
    <w:rsid w:val="004205B0"/>
    <w:rsid w:val="00420703"/>
    <w:rsid w:val="00420712"/>
    <w:rsid w:val="00420776"/>
    <w:rsid w:val="004207B4"/>
    <w:rsid w:val="004207C0"/>
    <w:rsid w:val="00420B24"/>
    <w:rsid w:val="00420B3C"/>
    <w:rsid w:val="00420DE8"/>
    <w:rsid w:val="00420DE9"/>
    <w:rsid w:val="00420EEB"/>
    <w:rsid w:val="004210A2"/>
    <w:rsid w:val="004210A7"/>
    <w:rsid w:val="0042121F"/>
    <w:rsid w:val="0042131B"/>
    <w:rsid w:val="00421383"/>
    <w:rsid w:val="004214A6"/>
    <w:rsid w:val="004214D4"/>
    <w:rsid w:val="0042165D"/>
    <w:rsid w:val="004218AD"/>
    <w:rsid w:val="004218ED"/>
    <w:rsid w:val="00421916"/>
    <w:rsid w:val="00421955"/>
    <w:rsid w:val="0042199C"/>
    <w:rsid w:val="00421C83"/>
    <w:rsid w:val="00421CDE"/>
    <w:rsid w:val="00421D76"/>
    <w:rsid w:val="0042207F"/>
    <w:rsid w:val="004220D9"/>
    <w:rsid w:val="0042223C"/>
    <w:rsid w:val="004223A8"/>
    <w:rsid w:val="00422465"/>
    <w:rsid w:val="0042257B"/>
    <w:rsid w:val="0042271E"/>
    <w:rsid w:val="00422760"/>
    <w:rsid w:val="004227B6"/>
    <w:rsid w:val="004227E4"/>
    <w:rsid w:val="0042281A"/>
    <w:rsid w:val="00422907"/>
    <w:rsid w:val="00422975"/>
    <w:rsid w:val="00422A92"/>
    <w:rsid w:val="00422A96"/>
    <w:rsid w:val="00422B95"/>
    <w:rsid w:val="00422D3A"/>
    <w:rsid w:val="0042305C"/>
    <w:rsid w:val="00423117"/>
    <w:rsid w:val="0042313B"/>
    <w:rsid w:val="004231CE"/>
    <w:rsid w:val="004232CB"/>
    <w:rsid w:val="00423378"/>
    <w:rsid w:val="004233EB"/>
    <w:rsid w:val="004233F3"/>
    <w:rsid w:val="004234FE"/>
    <w:rsid w:val="004235CF"/>
    <w:rsid w:val="00423667"/>
    <w:rsid w:val="004237FA"/>
    <w:rsid w:val="00423957"/>
    <w:rsid w:val="004239C8"/>
    <w:rsid w:val="00423A5D"/>
    <w:rsid w:val="00423AF1"/>
    <w:rsid w:val="00423B36"/>
    <w:rsid w:val="00423BEE"/>
    <w:rsid w:val="00423C92"/>
    <w:rsid w:val="00423D11"/>
    <w:rsid w:val="00423D51"/>
    <w:rsid w:val="00423DCB"/>
    <w:rsid w:val="00423DED"/>
    <w:rsid w:val="00423EFD"/>
    <w:rsid w:val="00423F4C"/>
    <w:rsid w:val="00424036"/>
    <w:rsid w:val="0042410D"/>
    <w:rsid w:val="00424144"/>
    <w:rsid w:val="004243DF"/>
    <w:rsid w:val="00424441"/>
    <w:rsid w:val="00424447"/>
    <w:rsid w:val="0042445E"/>
    <w:rsid w:val="00424485"/>
    <w:rsid w:val="00424520"/>
    <w:rsid w:val="0042468F"/>
    <w:rsid w:val="004247B7"/>
    <w:rsid w:val="00424827"/>
    <w:rsid w:val="00424859"/>
    <w:rsid w:val="00424B38"/>
    <w:rsid w:val="00424BF0"/>
    <w:rsid w:val="00424C01"/>
    <w:rsid w:val="00424CE2"/>
    <w:rsid w:val="00424D45"/>
    <w:rsid w:val="00424DF6"/>
    <w:rsid w:val="00424E72"/>
    <w:rsid w:val="00424F88"/>
    <w:rsid w:val="0042505C"/>
    <w:rsid w:val="00425169"/>
    <w:rsid w:val="0042518A"/>
    <w:rsid w:val="00425231"/>
    <w:rsid w:val="0042528E"/>
    <w:rsid w:val="004252A1"/>
    <w:rsid w:val="004252D2"/>
    <w:rsid w:val="0042530E"/>
    <w:rsid w:val="0042544B"/>
    <w:rsid w:val="00425580"/>
    <w:rsid w:val="004255F0"/>
    <w:rsid w:val="00425612"/>
    <w:rsid w:val="00425618"/>
    <w:rsid w:val="0042562B"/>
    <w:rsid w:val="004256AF"/>
    <w:rsid w:val="00425730"/>
    <w:rsid w:val="004257DE"/>
    <w:rsid w:val="004257E4"/>
    <w:rsid w:val="0042585E"/>
    <w:rsid w:val="0042595A"/>
    <w:rsid w:val="00425964"/>
    <w:rsid w:val="00425A5C"/>
    <w:rsid w:val="00425B0E"/>
    <w:rsid w:val="00425CB1"/>
    <w:rsid w:val="00425DC1"/>
    <w:rsid w:val="00425F32"/>
    <w:rsid w:val="00425F3C"/>
    <w:rsid w:val="004260A2"/>
    <w:rsid w:val="004260AE"/>
    <w:rsid w:val="0042627D"/>
    <w:rsid w:val="00426338"/>
    <w:rsid w:val="00426433"/>
    <w:rsid w:val="00426459"/>
    <w:rsid w:val="00426469"/>
    <w:rsid w:val="004266B1"/>
    <w:rsid w:val="004266B3"/>
    <w:rsid w:val="00426765"/>
    <w:rsid w:val="00426879"/>
    <w:rsid w:val="00426909"/>
    <w:rsid w:val="00426986"/>
    <w:rsid w:val="004269CE"/>
    <w:rsid w:val="00426A07"/>
    <w:rsid w:val="00426B28"/>
    <w:rsid w:val="00426B4A"/>
    <w:rsid w:val="00426B57"/>
    <w:rsid w:val="00426B66"/>
    <w:rsid w:val="00426CBE"/>
    <w:rsid w:val="00426CCE"/>
    <w:rsid w:val="00426D47"/>
    <w:rsid w:val="00426F4C"/>
    <w:rsid w:val="004270E3"/>
    <w:rsid w:val="0042719E"/>
    <w:rsid w:val="0042731D"/>
    <w:rsid w:val="004273D4"/>
    <w:rsid w:val="00427479"/>
    <w:rsid w:val="00427510"/>
    <w:rsid w:val="00427511"/>
    <w:rsid w:val="00427673"/>
    <w:rsid w:val="004276A0"/>
    <w:rsid w:val="004276E3"/>
    <w:rsid w:val="0042773F"/>
    <w:rsid w:val="00427772"/>
    <w:rsid w:val="00427861"/>
    <w:rsid w:val="0042797D"/>
    <w:rsid w:val="00427991"/>
    <w:rsid w:val="004279EC"/>
    <w:rsid w:val="00427AB5"/>
    <w:rsid w:val="00427ACF"/>
    <w:rsid w:val="00427AEB"/>
    <w:rsid w:val="00427AF4"/>
    <w:rsid w:val="00427B84"/>
    <w:rsid w:val="00427EBD"/>
    <w:rsid w:val="00427ED1"/>
    <w:rsid w:val="00427F00"/>
    <w:rsid w:val="00427F2E"/>
    <w:rsid w:val="00427F6E"/>
    <w:rsid w:val="004300F6"/>
    <w:rsid w:val="0043016E"/>
    <w:rsid w:val="0043041A"/>
    <w:rsid w:val="004304AD"/>
    <w:rsid w:val="00430641"/>
    <w:rsid w:val="00430679"/>
    <w:rsid w:val="004306BD"/>
    <w:rsid w:val="004306EA"/>
    <w:rsid w:val="004307D0"/>
    <w:rsid w:val="004307ED"/>
    <w:rsid w:val="00430934"/>
    <w:rsid w:val="00430943"/>
    <w:rsid w:val="00430C92"/>
    <w:rsid w:val="00430D72"/>
    <w:rsid w:val="00430D9E"/>
    <w:rsid w:val="00430DF0"/>
    <w:rsid w:val="00430EBD"/>
    <w:rsid w:val="00430FAB"/>
    <w:rsid w:val="00431203"/>
    <w:rsid w:val="004312B9"/>
    <w:rsid w:val="0043146C"/>
    <w:rsid w:val="0043148B"/>
    <w:rsid w:val="00431596"/>
    <w:rsid w:val="00431632"/>
    <w:rsid w:val="00431758"/>
    <w:rsid w:val="00431796"/>
    <w:rsid w:val="00431833"/>
    <w:rsid w:val="0043192C"/>
    <w:rsid w:val="004319B5"/>
    <w:rsid w:val="00431B47"/>
    <w:rsid w:val="00431C16"/>
    <w:rsid w:val="00431C28"/>
    <w:rsid w:val="00431DBF"/>
    <w:rsid w:val="00431DC0"/>
    <w:rsid w:val="00431E5F"/>
    <w:rsid w:val="00431ECA"/>
    <w:rsid w:val="004320B8"/>
    <w:rsid w:val="00432274"/>
    <w:rsid w:val="0043228D"/>
    <w:rsid w:val="0043233B"/>
    <w:rsid w:val="00432427"/>
    <w:rsid w:val="00432574"/>
    <w:rsid w:val="00432650"/>
    <w:rsid w:val="00432673"/>
    <w:rsid w:val="004326F8"/>
    <w:rsid w:val="00432729"/>
    <w:rsid w:val="00432747"/>
    <w:rsid w:val="004327B9"/>
    <w:rsid w:val="004327CA"/>
    <w:rsid w:val="00432828"/>
    <w:rsid w:val="00432886"/>
    <w:rsid w:val="004329AF"/>
    <w:rsid w:val="00432C41"/>
    <w:rsid w:val="00432E1C"/>
    <w:rsid w:val="00432E44"/>
    <w:rsid w:val="00432E47"/>
    <w:rsid w:val="00432E7B"/>
    <w:rsid w:val="00432EF5"/>
    <w:rsid w:val="00433036"/>
    <w:rsid w:val="004331ED"/>
    <w:rsid w:val="00433409"/>
    <w:rsid w:val="0043347B"/>
    <w:rsid w:val="004334F6"/>
    <w:rsid w:val="00433667"/>
    <w:rsid w:val="004336AB"/>
    <w:rsid w:val="00433712"/>
    <w:rsid w:val="00433730"/>
    <w:rsid w:val="0043398F"/>
    <w:rsid w:val="00433ACB"/>
    <w:rsid w:val="00433C50"/>
    <w:rsid w:val="00433C5B"/>
    <w:rsid w:val="00433C8E"/>
    <w:rsid w:val="00433CD4"/>
    <w:rsid w:val="00433D25"/>
    <w:rsid w:val="00433D8B"/>
    <w:rsid w:val="00433E1E"/>
    <w:rsid w:val="00433EF0"/>
    <w:rsid w:val="00433FDD"/>
    <w:rsid w:val="00434087"/>
    <w:rsid w:val="0043413F"/>
    <w:rsid w:val="0043416C"/>
    <w:rsid w:val="00434262"/>
    <w:rsid w:val="004342B8"/>
    <w:rsid w:val="00434492"/>
    <w:rsid w:val="004344C6"/>
    <w:rsid w:val="00434524"/>
    <w:rsid w:val="004346C7"/>
    <w:rsid w:val="00434804"/>
    <w:rsid w:val="00434866"/>
    <w:rsid w:val="004348A3"/>
    <w:rsid w:val="00434BAE"/>
    <w:rsid w:val="00434C53"/>
    <w:rsid w:val="00434D13"/>
    <w:rsid w:val="00434D34"/>
    <w:rsid w:val="00434D57"/>
    <w:rsid w:val="00434D63"/>
    <w:rsid w:val="00434DB8"/>
    <w:rsid w:val="00435007"/>
    <w:rsid w:val="00435046"/>
    <w:rsid w:val="004350DD"/>
    <w:rsid w:val="00435107"/>
    <w:rsid w:val="0043513A"/>
    <w:rsid w:val="0043513E"/>
    <w:rsid w:val="0043553C"/>
    <w:rsid w:val="00435567"/>
    <w:rsid w:val="004356DF"/>
    <w:rsid w:val="00435869"/>
    <w:rsid w:val="004358A6"/>
    <w:rsid w:val="004358CC"/>
    <w:rsid w:val="0043599A"/>
    <w:rsid w:val="004359E4"/>
    <w:rsid w:val="00435AB4"/>
    <w:rsid w:val="00435B5B"/>
    <w:rsid w:val="00435C78"/>
    <w:rsid w:val="00435CA5"/>
    <w:rsid w:val="00435E67"/>
    <w:rsid w:val="00435F19"/>
    <w:rsid w:val="004360DA"/>
    <w:rsid w:val="00436130"/>
    <w:rsid w:val="00436139"/>
    <w:rsid w:val="00436152"/>
    <w:rsid w:val="004362B6"/>
    <w:rsid w:val="00436470"/>
    <w:rsid w:val="00436488"/>
    <w:rsid w:val="00436582"/>
    <w:rsid w:val="004367A5"/>
    <w:rsid w:val="00436804"/>
    <w:rsid w:val="00436835"/>
    <w:rsid w:val="0043685D"/>
    <w:rsid w:val="004368C9"/>
    <w:rsid w:val="00436BC7"/>
    <w:rsid w:val="00436BFA"/>
    <w:rsid w:val="00436D41"/>
    <w:rsid w:val="00436D5E"/>
    <w:rsid w:val="00436D79"/>
    <w:rsid w:val="00436D9D"/>
    <w:rsid w:val="00436DCA"/>
    <w:rsid w:val="00436DF6"/>
    <w:rsid w:val="00436DFB"/>
    <w:rsid w:val="00436E41"/>
    <w:rsid w:val="00436F4D"/>
    <w:rsid w:val="00436FE3"/>
    <w:rsid w:val="00437109"/>
    <w:rsid w:val="0043736C"/>
    <w:rsid w:val="004373A8"/>
    <w:rsid w:val="0043743B"/>
    <w:rsid w:val="004374FF"/>
    <w:rsid w:val="0043751F"/>
    <w:rsid w:val="0043754B"/>
    <w:rsid w:val="004375CB"/>
    <w:rsid w:val="004376A4"/>
    <w:rsid w:val="0043778B"/>
    <w:rsid w:val="004377EA"/>
    <w:rsid w:val="0043781D"/>
    <w:rsid w:val="00437961"/>
    <w:rsid w:val="00437AEA"/>
    <w:rsid w:val="00437B74"/>
    <w:rsid w:val="00437C7E"/>
    <w:rsid w:val="00437CFE"/>
    <w:rsid w:val="00437E5E"/>
    <w:rsid w:val="00437EE9"/>
    <w:rsid w:val="00440131"/>
    <w:rsid w:val="0044017A"/>
    <w:rsid w:val="00440265"/>
    <w:rsid w:val="00440294"/>
    <w:rsid w:val="004402B0"/>
    <w:rsid w:val="0044058F"/>
    <w:rsid w:val="004407DF"/>
    <w:rsid w:val="0044086F"/>
    <w:rsid w:val="00440902"/>
    <w:rsid w:val="00440BB0"/>
    <w:rsid w:val="00440BFF"/>
    <w:rsid w:val="00440C09"/>
    <w:rsid w:val="00440CAC"/>
    <w:rsid w:val="0044103D"/>
    <w:rsid w:val="00441072"/>
    <w:rsid w:val="00441137"/>
    <w:rsid w:val="004412B6"/>
    <w:rsid w:val="004412C5"/>
    <w:rsid w:val="004412F4"/>
    <w:rsid w:val="00441452"/>
    <w:rsid w:val="0044146D"/>
    <w:rsid w:val="004414F8"/>
    <w:rsid w:val="00441516"/>
    <w:rsid w:val="0044179D"/>
    <w:rsid w:val="004417BB"/>
    <w:rsid w:val="0044186E"/>
    <w:rsid w:val="004418B1"/>
    <w:rsid w:val="00441A00"/>
    <w:rsid w:val="00441B07"/>
    <w:rsid w:val="00441B7E"/>
    <w:rsid w:val="00441C33"/>
    <w:rsid w:val="00441DFB"/>
    <w:rsid w:val="00441ED5"/>
    <w:rsid w:val="00441F0C"/>
    <w:rsid w:val="00442045"/>
    <w:rsid w:val="00442060"/>
    <w:rsid w:val="0044206B"/>
    <w:rsid w:val="00442128"/>
    <w:rsid w:val="00442175"/>
    <w:rsid w:val="00442376"/>
    <w:rsid w:val="0044250B"/>
    <w:rsid w:val="0044261D"/>
    <w:rsid w:val="00442623"/>
    <w:rsid w:val="004426F9"/>
    <w:rsid w:val="00442763"/>
    <w:rsid w:val="004429AC"/>
    <w:rsid w:val="00442ABB"/>
    <w:rsid w:val="00442C17"/>
    <w:rsid w:val="00442D80"/>
    <w:rsid w:val="00442E23"/>
    <w:rsid w:val="00442E37"/>
    <w:rsid w:val="00442E86"/>
    <w:rsid w:val="00442E8D"/>
    <w:rsid w:val="00442EFC"/>
    <w:rsid w:val="00442FF7"/>
    <w:rsid w:val="00443093"/>
    <w:rsid w:val="004431AF"/>
    <w:rsid w:val="004432BD"/>
    <w:rsid w:val="00443610"/>
    <w:rsid w:val="0044361A"/>
    <w:rsid w:val="004436C4"/>
    <w:rsid w:val="00443711"/>
    <w:rsid w:val="004438EA"/>
    <w:rsid w:val="00443994"/>
    <w:rsid w:val="00443A41"/>
    <w:rsid w:val="00443ACE"/>
    <w:rsid w:val="00443AE0"/>
    <w:rsid w:val="00443B32"/>
    <w:rsid w:val="00443BB9"/>
    <w:rsid w:val="00443C83"/>
    <w:rsid w:val="00443E45"/>
    <w:rsid w:val="00443E46"/>
    <w:rsid w:val="00443F0A"/>
    <w:rsid w:val="00443F14"/>
    <w:rsid w:val="00443F66"/>
    <w:rsid w:val="00443F8B"/>
    <w:rsid w:val="0044403B"/>
    <w:rsid w:val="0044411A"/>
    <w:rsid w:val="0044412E"/>
    <w:rsid w:val="004441A7"/>
    <w:rsid w:val="004444EC"/>
    <w:rsid w:val="00444588"/>
    <w:rsid w:val="004445FB"/>
    <w:rsid w:val="00444663"/>
    <w:rsid w:val="00444668"/>
    <w:rsid w:val="004447DB"/>
    <w:rsid w:val="00444807"/>
    <w:rsid w:val="0044486D"/>
    <w:rsid w:val="00444875"/>
    <w:rsid w:val="00444938"/>
    <w:rsid w:val="0044498F"/>
    <w:rsid w:val="00444A63"/>
    <w:rsid w:val="00444BB7"/>
    <w:rsid w:val="00444CFB"/>
    <w:rsid w:val="00444DEC"/>
    <w:rsid w:val="00444EAD"/>
    <w:rsid w:val="00444ED2"/>
    <w:rsid w:val="00444F09"/>
    <w:rsid w:val="00444F1F"/>
    <w:rsid w:val="00444F75"/>
    <w:rsid w:val="0044517A"/>
    <w:rsid w:val="004451A9"/>
    <w:rsid w:val="00445265"/>
    <w:rsid w:val="00445268"/>
    <w:rsid w:val="00445289"/>
    <w:rsid w:val="00445397"/>
    <w:rsid w:val="00445410"/>
    <w:rsid w:val="00445498"/>
    <w:rsid w:val="004454AE"/>
    <w:rsid w:val="004454BF"/>
    <w:rsid w:val="004454EA"/>
    <w:rsid w:val="004454EF"/>
    <w:rsid w:val="00445569"/>
    <w:rsid w:val="004455D8"/>
    <w:rsid w:val="00445609"/>
    <w:rsid w:val="0044578B"/>
    <w:rsid w:val="0044586D"/>
    <w:rsid w:val="004458B3"/>
    <w:rsid w:val="00445943"/>
    <w:rsid w:val="0044595E"/>
    <w:rsid w:val="004459CB"/>
    <w:rsid w:val="00445A30"/>
    <w:rsid w:val="00445D17"/>
    <w:rsid w:val="00445E40"/>
    <w:rsid w:val="00446003"/>
    <w:rsid w:val="00446048"/>
    <w:rsid w:val="0044615E"/>
    <w:rsid w:val="00446170"/>
    <w:rsid w:val="004461F8"/>
    <w:rsid w:val="004462E8"/>
    <w:rsid w:val="004462F0"/>
    <w:rsid w:val="004464C4"/>
    <w:rsid w:val="004464FE"/>
    <w:rsid w:val="0044656A"/>
    <w:rsid w:val="00446574"/>
    <w:rsid w:val="00446775"/>
    <w:rsid w:val="00446781"/>
    <w:rsid w:val="0044679F"/>
    <w:rsid w:val="004469BC"/>
    <w:rsid w:val="004469FC"/>
    <w:rsid w:val="00446B89"/>
    <w:rsid w:val="00446BB1"/>
    <w:rsid w:val="00446C7F"/>
    <w:rsid w:val="00446CFC"/>
    <w:rsid w:val="00446D3E"/>
    <w:rsid w:val="00446F12"/>
    <w:rsid w:val="00446F7F"/>
    <w:rsid w:val="0044706F"/>
    <w:rsid w:val="0044707E"/>
    <w:rsid w:val="0044709B"/>
    <w:rsid w:val="0044734C"/>
    <w:rsid w:val="0044746B"/>
    <w:rsid w:val="004476EC"/>
    <w:rsid w:val="00447744"/>
    <w:rsid w:val="004477CF"/>
    <w:rsid w:val="00447816"/>
    <w:rsid w:val="00447833"/>
    <w:rsid w:val="00447874"/>
    <w:rsid w:val="00447973"/>
    <w:rsid w:val="0044797A"/>
    <w:rsid w:val="00447A13"/>
    <w:rsid w:val="00447ADC"/>
    <w:rsid w:val="00447AE8"/>
    <w:rsid w:val="00447B5C"/>
    <w:rsid w:val="00447D35"/>
    <w:rsid w:val="00447D68"/>
    <w:rsid w:val="00447DA5"/>
    <w:rsid w:val="00447EC8"/>
    <w:rsid w:val="00447F13"/>
    <w:rsid w:val="00450114"/>
    <w:rsid w:val="0045022F"/>
    <w:rsid w:val="00450240"/>
    <w:rsid w:val="004502FE"/>
    <w:rsid w:val="0045030D"/>
    <w:rsid w:val="004503D4"/>
    <w:rsid w:val="004504F0"/>
    <w:rsid w:val="0045052D"/>
    <w:rsid w:val="004505CC"/>
    <w:rsid w:val="00450643"/>
    <w:rsid w:val="00450649"/>
    <w:rsid w:val="0045081D"/>
    <w:rsid w:val="00450824"/>
    <w:rsid w:val="0045082F"/>
    <w:rsid w:val="00450851"/>
    <w:rsid w:val="004508FD"/>
    <w:rsid w:val="00450A59"/>
    <w:rsid w:val="00450CA3"/>
    <w:rsid w:val="00450DD1"/>
    <w:rsid w:val="00450EF3"/>
    <w:rsid w:val="00450FE7"/>
    <w:rsid w:val="0045102E"/>
    <w:rsid w:val="00451039"/>
    <w:rsid w:val="00451119"/>
    <w:rsid w:val="0045112B"/>
    <w:rsid w:val="0045114A"/>
    <w:rsid w:val="004511A3"/>
    <w:rsid w:val="0045128D"/>
    <w:rsid w:val="00451291"/>
    <w:rsid w:val="00451442"/>
    <w:rsid w:val="0045144E"/>
    <w:rsid w:val="00451463"/>
    <w:rsid w:val="004514C0"/>
    <w:rsid w:val="00451508"/>
    <w:rsid w:val="004515D2"/>
    <w:rsid w:val="00451662"/>
    <w:rsid w:val="0045170F"/>
    <w:rsid w:val="004517A4"/>
    <w:rsid w:val="004517AB"/>
    <w:rsid w:val="004519DA"/>
    <w:rsid w:val="004519E7"/>
    <w:rsid w:val="00451A2B"/>
    <w:rsid w:val="00451AEE"/>
    <w:rsid w:val="00451B29"/>
    <w:rsid w:val="00451B2E"/>
    <w:rsid w:val="00451B3E"/>
    <w:rsid w:val="00451B51"/>
    <w:rsid w:val="00451C4A"/>
    <w:rsid w:val="00451D49"/>
    <w:rsid w:val="00451DF0"/>
    <w:rsid w:val="00451E16"/>
    <w:rsid w:val="00451F14"/>
    <w:rsid w:val="0045206F"/>
    <w:rsid w:val="00452223"/>
    <w:rsid w:val="0045236E"/>
    <w:rsid w:val="004524D1"/>
    <w:rsid w:val="004525E1"/>
    <w:rsid w:val="004526B4"/>
    <w:rsid w:val="004526E8"/>
    <w:rsid w:val="00452831"/>
    <w:rsid w:val="004529AE"/>
    <w:rsid w:val="00452DEB"/>
    <w:rsid w:val="00452ECB"/>
    <w:rsid w:val="00452FEB"/>
    <w:rsid w:val="0045301F"/>
    <w:rsid w:val="00453318"/>
    <w:rsid w:val="004533DF"/>
    <w:rsid w:val="00453428"/>
    <w:rsid w:val="004534C1"/>
    <w:rsid w:val="00453601"/>
    <w:rsid w:val="0045379E"/>
    <w:rsid w:val="00453819"/>
    <w:rsid w:val="0045383A"/>
    <w:rsid w:val="004538DE"/>
    <w:rsid w:val="00453A99"/>
    <w:rsid w:val="00453C12"/>
    <w:rsid w:val="00453CBC"/>
    <w:rsid w:val="00453CD3"/>
    <w:rsid w:val="00453E32"/>
    <w:rsid w:val="00453ED7"/>
    <w:rsid w:val="00453FE8"/>
    <w:rsid w:val="0045406D"/>
    <w:rsid w:val="004540E2"/>
    <w:rsid w:val="00454170"/>
    <w:rsid w:val="0045419D"/>
    <w:rsid w:val="00454246"/>
    <w:rsid w:val="0045430C"/>
    <w:rsid w:val="00454328"/>
    <w:rsid w:val="00454345"/>
    <w:rsid w:val="00454426"/>
    <w:rsid w:val="004545F3"/>
    <w:rsid w:val="00454703"/>
    <w:rsid w:val="00454737"/>
    <w:rsid w:val="004548D3"/>
    <w:rsid w:val="00454A67"/>
    <w:rsid w:val="00454BF3"/>
    <w:rsid w:val="00454C61"/>
    <w:rsid w:val="00454CEC"/>
    <w:rsid w:val="00454D1D"/>
    <w:rsid w:val="00454D2F"/>
    <w:rsid w:val="00454DFF"/>
    <w:rsid w:val="00454E25"/>
    <w:rsid w:val="00454F14"/>
    <w:rsid w:val="004550DF"/>
    <w:rsid w:val="0045511F"/>
    <w:rsid w:val="004551ED"/>
    <w:rsid w:val="00455230"/>
    <w:rsid w:val="004555D6"/>
    <w:rsid w:val="00455617"/>
    <w:rsid w:val="00455618"/>
    <w:rsid w:val="004557DE"/>
    <w:rsid w:val="00455817"/>
    <w:rsid w:val="004558B2"/>
    <w:rsid w:val="004558DA"/>
    <w:rsid w:val="00455955"/>
    <w:rsid w:val="004559CE"/>
    <w:rsid w:val="00455AEF"/>
    <w:rsid w:val="00455C56"/>
    <w:rsid w:val="00455D1A"/>
    <w:rsid w:val="00455E0F"/>
    <w:rsid w:val="00455F06"/>
    <w:rsid w:val="0045603D"/>
    <w:rsid w:val="004560AC"/>
    <w:rsid w:val="0045616C"/>
    <w:rsid w:val="0045618F"/>
    <w:rsid w:val="00456252"/>
    <w:rsid w:val="004562A7"/>
    <w:rsid w:val="004562C3"/>
    <w:rsid w:val="004563B2"/>
    <w:rsid w:val="004563E7"/>
    <w:rsid w:val="00456594"/>
    <w:rsid w:val="00456703"/>
    <w:rsid w:val="004569BD"/>
    <w:rsid w:val="00456B3D"/>
    <w:rsid w:val="00456CC7"/>
    <w:rsid w:val="00456CD4"/>
    <w:rsid w:val="00456D3D"/>
    <w:rsid w:val="00456D9B"/>
    <w:rsid w:val="00456E71"/>
    <w:rsid w:val="00456FDF"/>
    <w:rsid w:val="0045702A"/>
    <w:rsid w:val="0045705A"/>
    <w:rsid w:val="004570FF"/>
    <w:rsid w:val="0045716A"/>
    <w:rsid w:val="004571A6"/>
    <w:rsid w:val="004571DD"/>
    <w:rsid w:val="00457203"/>
    <w:rsid w:val="004573C8"/>
    <w:rsid w:val="00457508"/>
    <w:rsid w:val="0045758E"/>
    <w:rsid w:val="004576C9"/>
    <w:rsid w:val="004576D7"/>
    <w:rsid w:val="00457711"/>
    <w:rsid w:val="0045776C"/>
    <w:rsid w:val="00457C7C"/>
    <w:rsid w:val="00457E55"/>
    <w:rsid w:val="00457E66"/>
    <w:rsid w:val="00457F12"/>
    <w:rsid w:val="00457FE3"/>
    <w:rsid w:val="004601A9"/>
    <w:rsid w:val="004601B7"/>
    <w:rsid w:val="00460207"/>
    <w:rsid w:val="00460295"/>
    <w:rsid w:val="004602D7"/>
    <w:rsid w:val="00460410"/>
    <w:rsid w:val="00460503"/>
    <w:rsid w:val="0046051D"/>
    <w:rsid w:val="004605E3"/>
    <w:rsid w:val="0046071B"/>
    <w:rsid w:val="004607EE"/>
    <w:rsid w:val="00460803"/>
    <w:rsid w:val="00460AB0"/>
    <w:rsid w:val="00460B2E"/>
    <w:rsid w:val="00460BDF"/>
    <w:rsid w:val="00460C6C"/>
    <w:rsid w:val="00460CE0"/>
    <w:rsid w:val="00460E1A"/>
    <w:rsid w:val="00460E55"/>
    <w:rsid w:val="004610C8"/>
    <w:rsid w:val="004610EF"/>
    <w:rsid w:val="0046110D"/>
    <w:rsid w:val="00461126"/>
    <w:rsid w:val="0046154D"/>
    <w:rsid w:val="004615D6"/>
    <w:rsid w:val="004615F2"/>
    <w:rsid w:val="004618A8"/>
    <w:rsid w:val="00461907"/>
    <w:rsid w:val="004619DC"/>
    <w:rsid w:val="00461A0F"/>
    <w:rsid w:val="00461BC8"/>
    <w:rsid w:val="00461BFF"/>
    <w:rsid w:val="00461C07"/>
    <w:rsid w:val="00461C37"/>
    <w:rsid w:val="00461C6D"/>
    <w:rsid w:val="00461E00"/>
    <w:rsid w:val="00461F60"/>
    <w:rsid w:val="0046207D"/>
    <w:rsid w:val="00462094"/>
    <w:rsid w:val="0046223E"/>
    <w:rsid w:val="0046224B"/>
    <w:rsid w:val="004623AB"/>
    <w:rsid w:val="004623D0"/>
    <w:rsid w:val="004623D3"/>
    <w:rsid w:val="00462683"/>
    <w:rsid w:val="00462686"/>
    <w:rsid w:val="00462758"/>
    <w:rsid w:val="0046277C"/>
    <w:rsid w:val="004628A4"/>
    <w:rsid w:val="004628CD"/>
    <w:rsid w:val="00462B1E"/>
    <w:rsid w:val="00462D03"/>
    <w:rsid w:val="00462D04"/>
    <w:rsid w:val="00462D44"/>
    <w:rsid w:val="00462D6D"/>
    <w:rsid w:val="00462D7F"/>
    <w:rsid w:val="00462DE0"/>
    <w:rsid w:val="00462EB3"/>
    <w:rsid w:val="00463031"/>
    <w:rsid w:val="00463045"/>
    <w:rsid w:val="00463133"/>
    <w:rsid w:val="004631BC"/>
    <w:rsid w:val="00463343"/>
    <w:rsid w:val="00463628"/>
    <w:rsid w:val="004636A6"/>
    <w:rsid w:val="004637D3"/>
    <w:rsid w:val="0046383A"/>
    <w:rsid w:val="0046384B"/>
    <w:rsid w:val="004638A5"/>
    <w:rsid w:val="004638BF"/>
    <w:rsid w:val="0046393E"/>
    <w:rsid w:val="00463A35"/>
    <w:rsid w:val="00463ACC"/>
    <w:rsid w:val="00463C88"/>
    <w:rsid w:val="00463DF8"/>
    <w:rsid w:val="00463E26"/>
    <w:rsid w:val="00463EFE"/>
    <w:rsid w:val="00463F22"/>
    <w:rsid w:val="00463FEC"/>
    <w:rsid w:val="00464077"/>
    <w:rsid w:val="004640BC"/>
    <w:rsid w:val="00464292"/>
    <w:rsid w:val="0046429E"/>
    <w:rsid w:val="0046432F"/>
    <w:rsid w:val="004643C0"/>
    <w:rsid w:val="00464490"/>
    <w:rsid w:val="0046458A"/>
    <w:rsid w:val="004646D3"/>
    <w:rsid w:val="00464719"/>
    <w:rsid w:val="0046484E"/>
    <w:rsid w:val="00464862"/>
    <w:rsid w:val="00464909"/>
    <w:rsid w:val="004649F7"/>
    <w:rsid w:val="00464AAC"/>
    <w:rsid w:val="00464CA7"/>
    <w:rsid w:val="00464D03"/>
    <w:rsid w:val="00464E3A"/>
    <w:rsid w:val="00464E42"/>
    <w:rsid w:val="00464E96"/>
    <w:rsid w:val="00464F43"/>
    <w:rsid w:val="00464F9E"/>
    <w:rsid w:val="00464FF6"/>
    <w:rsid w:val="0046502F"/>
    <w:rsid w:val="004651C6"/>
    <w:rsid w:val="004652F6"/>
    <w:rsid w:val="00465394"/>
    <w:rsid w:val="0046541C"/>
    <w:rsid w:val="00465506"/>
    <w:rsid w:val="00465765"/>
    <w:rsid w:val="00465774"/>
    <w:rsid w:val="00465787"/>
    <w:rsid w:val="00465851"/>
    <w:rsid w:val="00465AB1"/>
    <w:rsid w:val="00465B44"/>
    <w:rsid w:val="00465C2A"/>
    <w:rsid w:val="00465C99"/>
    <w:rsid w:val="00465CB0"/>
    <w:rsid w:val="00465E4E"/>
    <w:rsid w:val="00465F93"/>
    <w:rsid w:val="00465FFB"/>
    <w:rsid w:val="0046602D"/>
    <w:rsid w:val="0046604C"/>
    <w:rsid w:val="0046608D"/>
    <w:rsid w:val="004661FE"/>
    <w:rsid w:val="00466217"/>
    <w:rsid w:val="00466268"/>
    <w:rsid w:val="00466307"/>
    <w:rsid w:val="004663E9"/>
    <w:rsid w:val="00466451"/>
    <w:rsid w:val="004664FD"/>
    <w:rsid w:val="00466673"/>
    <w:rsid w:val="0046673D"/>
    <w:rsid w:val="004667AB"/>
    <w:rsid w:val="00466836"/>
    <w:rsid w:val="00466851"/>
    <w:rsid w:val="00466878"/>
    <w:rsid w:val="00466913"/>
    <w:rsid w:val="00466A45"/>
    <w:rsid w:val="00466B26"/>
    <w:rsid w:val="00466BD5"/>
    <w:rsid w:val="00466C8B"/>
    <w:rsid w:val="00466D0A"/>
    <w:rsid w:val="00466D3A"/>
    <w:rsid w:val="00466EFA"/>
    <w:rsid w:val="00466F54"/>
    <w:rsid w:val="00467143"/>
    <w:rsid w:val="004671F6"/>
    <w:rsid w:val="00467219"/>
    <w:rsid w:val="0046725F"/>
    <w:rsid w:val="004672D4"/>
    <w:rsid w:val="00467479"/>
    <w:rsid w:val="00467541"/>
    <w:rsid w:val="0046762A"/>
    <w:rsid w:val="00467745"/>
    <w:rsid w:val="00467784"/>
    <w:rsid w:val="004677DC"/>
    <w:rsid w:val="004677F3"/>
    <w:rsid w:val="00467888"/>
    <w:rsid w:val="00467A9E"/>
    <w:rsid w:val="00467C0B"/>
    <w:rsid w:val="00467D29"/>
    <w:rsid w:val="00467E69"/>
    <w:rsid w:val="00467EF5"/>
    <w:rsid w:val="00467F63"/>
    <w:rsid w:val="00470056"/>
    <w:rsid w:val="004701A4"/>
    <w:rsid w:val="004702FE"/>
    <w:rsid w:val="0047031B"/>
    <w:rsid w:val="00470448"/>
    <w:rsid w:val="00470482"/>
    <w:rsid w:val="004705B4"/>
    <w:rsid w:val="00470675"/>
    <w:rsid w:val="004706A7"/>
    <w:rsid w:val="004706E3"/>
    <w:rsid w:val="00470745"/>
    <w:rsid w:val="00470865"/>
    <w:rsid w:val="004708BE"/>
    <w:rsid w:val="004708DD"/>
    <w:rsid w:val="004709B7"/>
    <w:rsid w:val="00470BC3"/>
    <w:rsid w:val="00470C4F"/>
    <w:rsid w:val="00470DC3"/>
    <w:rsid w:val="00470F34"/>
    <w:rsid w:val="00470F51"/>
    <w:rsid w:val="0047111C"/>
    <w:rsid w:val="0047125A"/>
    <w:rsid w:val="00471314"/>
    <w:rsid w:val="00471365"/>
    <w:rsid w:val="00471399"/>
    <w:rsid w:val="00471502"/>
    <w:rsid w:val="00471671"/>
    <w:rsid w:val="004716AE"/>
    <w:rsid w:val="004716F5"/>
    <w:rsid w:val="00471867"/>
    <w:rsid w:val="00471885"/>
    <w:rsid w:val="00471990"/>
    <w:rsid w:val="00471B69"/>
    <w:rsid w:val="00471B81"/>
    <w:rsid w:val="00471BE5"/>
    <w:rsid w:val="00471C88"/>
    <w:rsid w:val="00471D66"/>
    <w:rsid w:val="00471D9F"/>
    <w:rsid w:val="00471DC7"/>
    <w:rsid w:val="00471F51"/>
    <w:rsid w:val="00471F7D"/>
    <w:rsid w:val="00472016"/>
    <w:rsid w:val="004721D2"/>
    <w:rsid w:val="0047221B"/>
    <w:rsid w:val="00472348"/>
    <w:rsid w:val="00472373"/>
    <w:rsid w:val="00472407"/>
    <w:rsid w:val="0047245D"/>
    <w:rsid w:val="00472473"/>
    <w:rsid w:val="00472527"/>
    <w:rsid w:val="00472651"/>
    <w:rsid w:val="004726EC"/>
    <w:rsid w:val="00472795"/>
    <w:rsid w:val="004728D0"/>
    <w:rsid w:val="00472A7C"/>
    <w:rsid w:val="00472ADC"/>
    <w:rsid w:val="00472B10"/>
    <w:rsid w:val="00472B44"/>
    <w:rsid w:val="00472C6A"/>
    <w:rsid w:val="00472C6C"/>
    <w:rsid w:val="00472D19"/>
    <w:rsid w:val="00472D8F"/>
    <w:rsid w:val="00472DAD"/>
    <w:rsid w:val="0047300E"/>
    <w:rsid w:val="00473065"/>
    <w:rsid w:val="00473155"/>
    <w:rsid w:val="004731A1"/>
    <w:rsid w:val="004732F4"/>
    <w:rsid w:val="004733A7"/>
    <w:rsid w:val="004733B7"/>
    <w:rsid w:val="004736AE"/>
    <w:rsid w:val="004737ED"/>
    <w:rsid w:val="004737F5"/>
    <w:rsid w:val="004738AD"/>
    <w:rsid w:val="00473A81"/>
    <w:rsid w:val="00473DEB"/>
    <w:rsid w:val="00473E3B"/>
    <w:rsid w:val="00473EB9"/>
    <w:rsid w:val="00473ED9"/>
    <w:rsid w:val="00474024"/>
    <w:rsid w:val="0047408B"/>
    <w:rsid w:val="004741C9"/>
    <w:rsid w:val="004741F6"/>
    <w:rsid w:val="00474287"/>
    <w:rsid w:val="004744E0"/>
    <w:rsid w:val="00474566"/>
    <w:rsid w:val="00474569"/>
    <w:rsid w:val="00474604"/>
    <w:rsid w:val="00474630"/>
    <w:rsid w:val="0047468C"/>
    <w:rsid w:val="00474701"/>
    <w:rsid w:val="0047481B"/>
    <w:rsid w:val="0047483C"/>
    <w:rsid w:val="00474858"/>
    <w:rsid w:val="004748D5"/>
    <w:rsid w:val="00474939"/>
    <w:rsid w:val="00474975"/>
    <w:rsid w:val="00474EA4"/>
    <w:rsid w:val="00474F54"/>
    <w:rsid w:val="00474F97"/>
    <w:rsid w:val="00475085"/>
    <w:rsid w:val="00475203"/>
    <w:rsid w:val="0047539A"/>
    <w:rsid w:val="004754B6"/>
    <w:rsid w:val="004755A4"/>
    <w:rsid w:val="0047571A"/>
    <w:rsid w:val="00475847"/>
    <w:rsid w:val="004758F5"/>
    <w:rsid w:val="00475A1A"/>
    <w:rsid w:val="00475AF4"/>
    <w:rsid w:val="00475B63"/>
    <w:rsid w:val="00475C5B"/>
    <w:rsid w:val="00475C9B"/>
    <w:rsid w:val="00475DF5"/>
    <w:rsid w:val="00475E29"/>
    <w:rsid w:val="00475F24"/>
    <w:rsid w:val="0047608F"/>
    <w:rsid w:val="0047622F"/>
    <w:rsid w:val="00476286"/>
    <w:rsid w:val="004762A1"/>
    <w:rsid w:val="00476372"/>
    <w:rsid w:val="0047640B"/>
    <w:rsid w:val="00476427"/>
    <w:rsid w:val="0047648A"/>
    <w:rsid w:val="004765F8"/>
    <w:rsid w:val="00476662"/>
    <w:rsid w:val="00476729"/>
    <w:rsid w:val="004769FA"/>
    <w:rsid w:val="00476B9F"/>
    <w:rsid w:val="00476BA5"/>
    <w:rsid w:val="00476C6F"/>
    <w:rsid w:val="00476CB1"/>
    <w:rsid w:val="00476CBE"/>
    <w:rsid w:val="00476CDB"/>
    <w:rsid w:val="00476CF6"/>
    <w:rsid w:val="00476FCF"/>
    <w:rsid w:val="00477077"/>
    <w:rsid w:val="0047708A"/>
    <w:rsid w:val="00477124"/>
    <w:rsid w:val="00477277"/>
    <w:rsid w:val="004773A8"/>
    <w:rsid w:val="004773DF"/>
    <w:rsid w:val="00477415"/>
    <w:rsid w:val="0047741A"/>
    <w:rsid w:val="004774E0"/>
    <w:rsid w:val="00477670"/>
    <w:rsid w:val="004776D9"/>
    <w:rsid w:val="004776E5"/>
    <w:rsid w:val="00477768"/>
    <w:rsid w:val="004777E1"/>
    <w:rsid w:val="0047785E"/>
    <w:rsid w:val="0047791F"/>
    <w:rsid w:val="0047798C"/>
    <w:rsid w:val="00477AA8"/>
    <w:rsid w:val="00477B11"/>
    <w:rsid w:val="00477B61"/>
    <w:rsid w:val="00477BFD"/>
    <w:rsid w:val="00477C24"/>
    <w:rsid w:val="00477D6C"/>
    <w:rsid w:val="00477DC8"/>
    <w:rsid w:val="00477E60"/>
    <w:rsid w:val="00477F73"/>
    <w:rsid w:val="004800A5"/>
    <w:rsid w:val="00480291"/>
    <w:rsid w:val="00480475"/>
    <w:rsid w:val="004805DE"/>
    <w:rsid w:val="0048068A"/>
    <w:rsid w:val="0048073D"/>
    <w:rsid w:val="0048084F"/>
    <w:rsid w:val="004809C2"/>
    <w:rsid w:val="00480A7F"/>
    <w:rsid w:val="00480B2C"/>
    <w:rsid w:val="00480C56"/>
    <w:rsid w:val="00480E16"/>
    <w:rsid w:val="00480E88"/>
    <w:rsid w:val="00480EED"/>
    <w:rsid w:val="00480F1F"/>
    <w:rsid w:val="00481021"/>
    <w:rsid w:val="00481077"/>
    <w:rsid w:val="00481147"/>
    <w:rsid w:val="004811C7"/>
    <w:rsid w:val="004812F3"/>
    <w:rsid w:val="00481322"/>
    <w:rsid w:val="004813B5"/>
    <w:rsid w:val="004813BA"/>
    <w:rsid w:val="00481409"/>
    <w:rsid w:val="004816DB"/>
    <w:rsid w:val="00481757"/>
    <w:rsid w:val="00481C03"/>
    <w:rsid w:val="00481C36"/>
    <w:rsid w:val="00481DBF"/>
    <w:rsid w:val="00481E2A"/>
    <w:rsid w:val="00481F57"/>
    <w:rsid w:val="00481F7B"/>
    <w:rsid w:val="00482033"/>
    <w:rsid w:val="004820BF"/>
    <w:rsid w:val="004820D2"/>
    <w:rsid w:val="00482271"/>
    <w:rsid w:val="0048230D"/>
    <w:rsid w:val="00482560"/>
    <w:rsid w:val="0048256C"/>
    <w:rsid w:val="00482584"/>
    <w:rsid w:val="004826E2"/>
    <w:rsid w:val="00482857"/>
    <w:rsid w:val="0048291F"/>
    <w:rsid w:val="00482981"/>
    <w:rsid w:val="004829B3"/>
    <w:rsid w:val="00482C60"/>
    <w:rsid w:val="00482CAD"/>
    <w:rsid w:val="00482CC9"/>
    <w:rsid w:val="00482D8D"/>
    <w:rsid w:val="00482E9F"/>
    <w:rsid w:val="00482F3C"/>
    <w:rsid w:val="00483074"/>
    <w:rsid w:val="00483144"/>
    <w:rsid w:val="00483202"/>
    <w:rsid w:val="0048336E"/>
    <w:rsid w:val="0048342D"/>
    <w:rsid w:val="0048352E"/>
    <w:rsid w:val="0048353F"/>
    <w:rsid w:val="004837EE"/>
    <w:rsid w:val="004838CE"/>
    <w:rsid w:val="00483945"/>
    <w:rsid w:val="004839EB"/>
    <w:rsid w:val="00483A62"/>
    <w:rsid w:val="00483C2D"/>
    <w:rsid w:val="00483C7D"/>
    <w:rsid w:val="00483E0E"/>
    <w:rsid w:val="00483E16"/>
    <w:rsid w:val="00483E54"/>
    <w:rsid w:val="00483E8A"/>
    <w:rsid w:val="00483F56"/>
    <w:rsid w:val="00483F8C"/>
    <w:rsid w:val="004841A6"/>
    <w:rsid w:val="004841FB"/>
    <w:rsid w:val="00484266"/>
    <w:rsid w:val="00484268"/>
    <w:rsid w:val="00484336"/>
    <w:rsid w:val="00484488"/>
    <w:rsid w:val="00484615"/>
    <w:rsid w:val="004847BD"/>
    <w:rsid w:val="00484A1A"/>
    <w:rsid w:val="00484A3A"/>
    <w:rsid w:val="00484BBF"/>
    <w:rsid w:val="00484C88"/>
    <w:rsid w:val="00484DDF"/>
    <w:rsid w:val="00484E09"/>
    <w:rsid w:val="00484F2A"/>
    <w:rsid w:val="0048506A"/>
    <w:rsid w:val="00485085"/>
    <w:rsid w:val="004850FF"/>
    <w:rsid w:val="0048518E"/>
    <w:rsid w:val="004851B1"/>
    <w:rsid w:val="004851F5"/>
    <w:rsid w:val="004852E1"/>
    <w:rsid w:val="00485338"/>
    <w:rsid w:val="0048533A"/>
    <w:rsid w:val="004853EF"/>
    <w:rsid w:val="00485407"/>
    <w:rsid w:val="004854E1"/>
    <w:rsid w:val="004857C5"/>
    <w:rsid w:val="00485970"/>
    <w:rsid w:val="00485BA6"/>
    <w:rsid w:val="00485CC8"/>
    <w:rsid w:val="00485D7B"/>
    <w:rsid w:val="00485E59"/>
    <w:rsid w:val="00485EBF"/>
    <w:rsid w:val="00485FA5"/>
    <w:rsid w:val="0048621C"/>
    <w:rsid w:val="004863AF"/>
    <w:rsid w:val="004863E4"/>
    <w:rsid w:val="004864D4"/>
    <w:rsid w:val="004864DE"/>
    <w:rsid w:val="004865EE"/>
    <w:rsid w:val="0048661D"/>
    <w:rsid w:val="0048662D"/>
    <w:rsid w:val="0048665D"/>
    <w:rsid w:val="00486663"/>
    <w:rsid w:val="004866BF"/>
    <w:rsid w:val="00486781"/>
    <w:rsid w:val="00486787"/>
    <w:rsid w:val="004867E9"/>
    <w:rsid w:val="004868AF"/>
    <w:rsid w:val="004868C1"/>
    <w:rsid w:val="00486A78"/>
    <w:rsid w:val="00486B2D"/>
    <w:rsid w:val="00486C3B"/>
    <w:rsid w:val="00486D47"/>
    <w:rsid w:val="00486D8E"/>
    <w:rsid w:val="00486E53"/>
    <w:rsid w:val="00486F85"/>
    <w:rsid w:val="00486FB5"/>
    <w:rsid w:val="004870EE"/>
    <w:rsid w:val="0048714E"/>
    <w:rsid w:val="0048720C"/>
    <w:rsid w:val="0048744F"/>
    <w:rsid w:val="004874CC"/>
    <w:rsid w:val="00487534"/>
    <w:rsid w:val="004876A7"/>
    <w:rsid w:val="004876AC"/>
    <w:rsid w:val="004876B8"/>
    <w:rsid w:val="00487733"/>
    <w:rsid w:val="004877BA"/>
    <w:rsid w:val="00487841"/>
    <w:rsid w:val="00487C34"/>
    <w:rsid w:val="00487D44"/>
    <w:rsid w:val="00487D57"/>
    <w:rsid w:val="00487DC1"/>
    <w:rsid w:val="00487EF5"/>
    <w:rsid w:val="00487F31"/>
    <w:rsid w:val="00487F47"/>
    <w:rsid w:val="00487FCD"/>
    <w:rsid w:val="00490103"/>
    <w:rsid w:val="00490388"/>
    <w:rsid w:val="0049044B"/>
    <w:rsid w:val="0049047B"/>
    <w:rsid w:val="00490546"/>
    <w:rsid w:val="00490672"/>
    <w:rsid w:val="00490792"/>
    <w:rsid w:val="00490812"/>
    <w:rsid w:val="0049094E"/>
    <w:rsid w:val="0049097F"/>
    <w:rsid w:val="00490982"/>
    <w:rsid w:val="00490B5E"/>
    <w:rsid w:val="00490C86"/>
    <w:rsid w:val="00490CE7"/>
    <w:rsid w:val="00490D27"/>
    <w:rsid w:val="00490DA0"/>
    <w:rsid w:val="00490DFF"/>
    <w:rsid w:val="00490FA1"/>
    <w:rsid w:val="004910F0"/>
    <w:rsid w:val="00491190"/>
    <w:rsid w:val="004914EB"/>
    <w:rsid w:val="00491642"/>
    <w:rsid w:val="00491ABF"/>
    <w:rsid w:val="00491AEF"/>
    <w:rsid w:val="00491B49"/>
    <w:rsid w:val="00491CC8"/>
    <w:rsid w:val="00491EFD"/>
    <w:rsid w:val="00492048"/>
    <w:rsid w:val="0049224D"/>
    <w:rsid w:val="004922AA"/>
    <w:rsid w:val="004924E4"/>
    <w:rsid w:val="00492532"/>
    <w:rsid w:val="004926B4"/>
    <w:rsid w:val="0049276F"/>
    <w:rsid w:val="004929C4"/>
    <w:rsid w:val="004929F7"/>
    <w:rsid w:val="00492C61"/>
    <w:rsid w:val="00492C98"/>
    <w:rsid w:val="00492D08"/>
    <w:rsid w:val="00492D13"/>
    <w:rsid w:val="00492E15"/>
    <w:rsid w:val="00492EA5"/>
    <w:rsid w:val="00492F30"/>
    <w:rsid w:val="00492FB6"/>
    <w:rsid w:val="00492FCB"/>
    <w:rsid w:val="00492FD3"/>
    <w:rsid w:val="004933A4"/>
    <w:rsid w:val="00493430"/>
    <w:rsid w:val="004934DC"/>
    <w:rsid w:val="004934E8"/>
    <w:rsid w:val="00493535"/>
    <w:rsid w:val="0049353B"/>
    <w:rsid w:val="00493744"/>
    <w:rsid w:val="004937B0"/>
    <w:rsid w:val="004937F4"/>
    <w:rsid w:val="004938CD"/>
    <w:rsid w:val="004938FF"/>
    <w:rsid w:val="00493A73"/>
    <w:rsid w:val="00493AA8"/>
    <w:rsid w:val="00493AB9"/>
    <w:rsid w:val="00493BBC"/>
    <w:rsid w:val="00493D03"/>
    <w:rsid w:val="004941C1"/>
    <w:rsid w:val="0049434B"/>
    <w:rsid w:val="00494352"/>
    <w:rsid w:val="00494423"/>
    <w:rsid w:val="00494440"/>
    <w:rsid w:val="004947EF"/>
    <w:rsid w:val="00494827"/>
    <w:rsid w:val="004948FF"/>
    <w:rsid w:val="0049490E"/>
    <w:rsid w:val="00494992"/>
    <w:rsid w:val="00494B0A"/>
    <w:rsid w:val="00494B0C"/>
    <w:rsid w:val="00494C5B"/>
    <w:rsid w:val="00494E7D"/>
    <w:rsid w:val="00494EA5"/>
    <w:rsid w:val="00494EBB"/>
    <w:rsid w:val="00494FA4"/>
    <w:rsid w:val="00494FE5"/>
    <w:rsid w:val="0049517E"/>
    <w:rsid w:val="00495211"/>
    <w:rsid w:val="0049528F"/>
    <w:rsid w:val="00495368"/>
    <w:rsid w:val="004953E9"/>
    <w:rsid w:val="004954BD"/>
    <w:rsid w:val="004954CF"/>
    <w:rsid w:val="004955AC"/>
    <w:rsid w:val="004955EA"/>
    <w:rsid w:val="00495600"/>
    <w:rsid w:val="0049569A"/>
    <w:rsid w:val="0049569B"/>
    <w:rsid w:val="00495749"/>
    <w:rsid w:val="00495880"/>
    <w:rsid w:val="004958C5"/>
    <w:rsid w:val="004958E0"/>
    <w:rsid w:val="00495977"/>
    <w:rsid w:val="00495A14"/>
    <w:rsid w:val="00495A86"/>
    <w:rsid w:val="00495ABC"/>
    <w:rsid w:val="00495BF0"/>
    <w:rsid w:val="00495C83"/>
    <w:rsid w:val="00495CCF"/>
    <w:rsid w:val="00495D43"/>
    <w:rsid w:val="00495FD9"/>
    <w:rsid w:val="004960F8"/>
    <w:rsid w:val="0049636A"/>
    <w:rsid w:val="004963CB"/>
    <w:rsid w:val="00496431"/>
    <w:rsid w:val="00496543"/>
    <w:rsid w:val="00496545"/>
    <w:rsid w:val="0049666C"/>
    <w:rsid w:val="00496729"/>
    <w:rsid w:val="00496889"/>
    <w:rsid w:val="004968F2"/>
    <w:rsid w:val="00496A69"/>
    <w:rsid w:val="00496AB5"/>
    <w:rsid w:val="00496AD3"/>
    <w:rsid w:val="00496AE9"/>
    <w:rsid w:val="00496B92"/>
    <w:rsid w:val="00496CAD"/>
    <w:rsid w:val="00496D80"/>
    <w:rsid w:val="00496D8F"/>
    <w:rsid w:val="00496E28"/>
    <w:rsid w:val="00496E79"/>
    <w:rsid w:val="00496F59"/>
    <w:rsid w:val="004970AC"/>
    <w:rsid w:val="00497117"/>
    <w:rsid w:val="0049711B"/>
    <w:rsid w:val="0049729C"/>
    <w:rsid w:val="00497339"/>
    <w:rsid w:val="0049733B"/>
    <w:rsid w:val="004973B2"/>
    <w:rsid w:val="0049747B"/>
    <w:rsid w:val="0049748B"/>
    <w:rsid w:val="004974AE"/>
    <w:rsid w:val="004974B0"/>
    <w:rsid w:val="004975DE"/>
    <w:rsid w:val="00497751"/>
    <w:rsid w:val="0049775D"/>
    <w:rsid w:val="00497841"/>
    <w:rsid w:val="004978D1"/>
    <w:rsid w:val="00497F6B"/>
    <w:rsid w:val="00497F86"/>
    <w:rsid w:val="004A01BB"/>
    <w:rsid w:val="004A01C6"/>
    <w:rsid w:val="004A038D"/>
    <w:rsid w:val="004A042E"/>
    <w:rsid w:val="004A0578"/>
    <w:rsid w:val="004A05D3"/>
    <w:rsid w:val="004A0696"/>
    <w:rsid w:val="004A07CE"/>
    <w:rsid w:val="004A0919"/>
    <w:rsid w:val="004A0945"/>
    <w:rsid w:val="004A0996"/>
    <w:rsid w:val="004A09D2"/>
    <w:rsid w:val="004A09FA"/>
    <w:rsid w:val="004A0A66"/>
    <w:rsid w:val="004A0BBD"/>
    <w:rsid w:val="004A0D33"/>
    <w:rsid w:val="004A0DFE"/>
    <w:rsid w:val="004A0F11"/>
    <w:rsid w:val="004A0F64"/>
    <w:rsid w:val="004A0F6F"/>
    <w:rsid w:val="004A0F81"/>
    <w:rsid w:val="004A1066"/>
    <w:rsid w:val="004A11A4"/>
    <w:rsid w:val="004A11C9"/>
    <w:rsid w:val="004A139C"/>
    <w:rsid w:val="004A13D6"/>
    <w:rsid w:val="004A141C"/>
    <w:rsid w:val="004A1581"/>
    <w:rsid w:val="004A1623"/>
    <w:rsid w:val="004A178B"/>
    <w:rsid w:val="004A1810"/>
    <w:rsid w:val="004A18B3"/>
    <w:rsid w:val="004A1926"/>
    <w:rsid w:val="004A1A8B"/>
    <w:rsid w:val="004A1AD1"/>
    <w:rsid w:val="004A1B14"/>
    <w:rsid w:val="004A1C02"/>
    <w:rsid w:val="004A1CDD"/>
    <w:rsid w:val="004A1DC0"/>
    <w:rsid w:val="004A1DE8"/>
    <w:rsid w:val="004A1FA2"/>
    <w:rsid w:val="004A203B"/>
    <w:rsid w:val="004A21A1"/>
    <w:rsid w:val="004A222B"/>
    <w:rsid w:val="004A2283"/>
    <w:rsid w:val="004A22A0"/>
    <w:rsid w:val="004A22A3"/>
    <w:rsid w:val="004A22D6"/>
    <w:rsid w:val="004A23B1"/>
    <w:rsid w:val="004A23F8"/>
    <w:rsid w:val="004A24B4"/>
    <w:rsid w:val="004A2505"/>
    <w:rsid w:val="004A2506"/>
    <w:rsid w:val="004A25B4"/>
    <w:rsid w:val="004A25EA"/>
    <w:rsid w:val="004A25F0"/>
    <w:rsid w:val="004A263E"/>
    <w:rsid w:val="004A26B2"/>
    <w:rsid w:val="004A26C0"/>
    <w:rsid w:val="004A26D7"/>
    <w:rsid w:val="004A2757"/>
    <w:rsid w:val="004A2789"/>
    <w:rsid w:val="004A29E5"/>
    <w:rsid w:val="004A2C00"/>
    <w:rsid w:val="004A2C90"/>
    <w:rsid w:val="004A30B0"/>
    <w:rsid w:val="004A3162"/>
    <w:rsid w:val="004A31F6"/>
    <w:rsid w:val="004A3369"/>
    <w:rsid w:val="004A33F2"/>
    <w:rsid w:val="004A34B4"/>
    <w:rsid w:val="004A3687"/>
    <w:rsid w:val="004A3763"/>
    <w:rsid w:val="004A37AC"/>
    <w:rsid w:val="004A37CD"/>
    <w:rsid w:val="004A38A2"/>
    <w:rsid w:val="004A393C"/>
    <w:rsid w:val="004A3A48"/>
    <w:rsid w:val="004A3B7D"/>
    <w:rsid w:val="004A3BE3"/>
    <w:rsid w:val="004A3C99"/>
    <w:rsid w:val="004A3CAA"/>
    <w:rsid w:val="004A3E2E"/>
    <w:rsid w:val="004A3E52"/>
    <w:rsid w:val="004A3EAA"/>
    <w:rsid w:val="004A402C"/>
    <w:rsid w:val="004A4109"/>
    <w:rsid w:val="004A4232"/>
    <w:rsid w:val="004A424C"/>
    <w:rsid w:val="004A42F8"/>
    <w:rsid w:val="004A431D"/>
    <w:rsid w:val="004A434A"/>
    <w:rsid w:val="004A44F8"/>
    <w:rsid w:val="004A4599"/>
    <w:rsid w:val="004A464B"/>
    <w:rsid w:val="004A470F"/>
    <w:rsid w:val="004A478E"/>
    <w:rsid w:val="004A48D6"/>
    <w:rsid w:val="004A4E16"/>
    <w:rsid w:val="004A4F15"/>
    <w:rsid w:val="004A4F9D"/>
    <w:rsid w:val="004A5086"/>
    <w:rsid w:val="004A5279"/>
    <w:rsid w:val="004A5317"/>
    <w:rsid w:val="004A5387"/>
    <w:rsid w:val="004A5617"/>
    <w:rsid w:val="004A5701"/>
    <w:rsid w:val="004A5801"/>
    <w:rsid w:val="004A59CF"/>
    <w:rsid w:val="004A5A64"/>
    <w:rsid w:val="004A5ADF"/>
    <w:rsid w:val="004A5AE4"/>
    <w:rsid w:val="004A5B0B"/>
    <w:rsid w:val="004A5BF3"/>
    <w:rsid w:val="004A5C24"/>
    <w:rsid w:val="004A5C78"/>
    <w:rsid w:val="004A5CF3"/>
    <w:rsid w:val="004A5E45"/>
    <w:rsid w:val="004A5EAC"/>
    <w:rsid w:val="004A5ED4"/>
    <w:rsid w:val="004A5F33"/>
    <w:rsid w:val="004A60AF"/>
    <w:rsid w:val="004A617A"/>
    <w:rsid w:val="004A61C0"/>
    <w:rsid w:val="004A621C"/>
    <w:rsid w:val="004A62F1"/>
    <w:rsid w:val="004A6405"/>
    <w:rsid w:val="004A64DA"/>
    <w:rsid w:val="004A6544"/>
    <w:rsid w:val="004A67C6"/>
    <w:rsid w:val="004A68E3"/>
    <w:rsid w:val="004A69AD"/>
    <w:rsid w:val="004A6A65"/>
    <w:rsid w:val="004A6B15"/>
    <w:rsid w:val="004A6B19"/>
    <w:rsid w:val="004A6BDE"/>
    <w:rsid w:val="004A6CA9"/>
    <w:rsid w:val="004A6D66"/>
    <w:rsid w:val="004A6D87"/>
    <w:rsid w:val="004A6E61"/>
    <w:rsid w:val="004A6F21"/>
    <w:rsid w:val="004A7046"/>
    <w:rsid w:val="004A70F9"/>
    <w:rsid w:val="004A713D"/>
    <w:rsid w:val="004A7259"/>
    <w:rsid w:val="004A72B0"/>
    <w:rsid w:val="004A72CB"/>
    <w:rsid w:val="004A72FE"/>
    <w:rsid w:val="004A731C"/>
    <w:rsid w:val="004A7347"/>
    <w:rsid w:val="004A7514"/>
    <w:rsid w:val="004A7559"/>
    <w:rsid w:val="004A76EC"/>
    <w:rsid w:val="004A7751"/>
    <w:rsid w:val="004A7983"/>
    <w:rsid w:val="004A7A96"/>
    <w:rsid w:val="004A7C55"/>
    <w:rsid w:val="004A7C70"/>
    <w:rsid w:val="004A7C97"/>
    <w:rsid w:val="004A7C99"/>
    <w:rsid w:val="004A7CFE"/>
    <w:rsid w:val="004A7D97"/>
    <w:rsid w:val="004A7DB7"/>
    <w:rsid w:val="004A7DB9"/>
    <w:rsid w:val="004A7E88"/>
    <w:rsid w:val="004A7F7F"/>
    <w:rsid w:val="004A7F9E"/>
    <w:rsid w:val="004B0039"/>
    <w:rsid w:val="004B003A"/>
    <w:rsid w:val="004B0069"/>
    <w:rsid w:val="004B0089"/>
    <w:rsid w:val="004B00C3"/>
    <w:rsid w:val="004B0126"/>
    <w:rsid w:val="004B01DA"/>
    <w:rsid w:val="004B03C9"/>
    <w:rsid w:val="004B042C"/>
    <w:rsid w:val="004B044B"/>
    <w:rsid w:val="004B0569"/>
    <w:rsid w:val="004B05A5"/>
    <w:rsid w:val="004B05D0"/>
    <w:rsid w:val="004B07BC"/>
    <w:rsid w:val="004B0822"/>
    <w:rsid w:val="004B083E"/>
    <w:rsid w:val="004B097C"/>
    <w:rsid w:val="004B0BFF"/>
    <w:rsid w:val="004B0C47"/>
    <w:rsid w:val="004B0CC5"/>
    <w:rsid w:val="004B0E6E"/>
    <w:rsid w:val="004B0F4C"/>
    <w:rsid w:val="004B0FE9"/>
    <w:rsid w:val="004B10C3"/>
    <w:rsid w:val="004B145D"/>
    <w:rsid w:val="004B1498"/>
    <w:rsid w:val="004B15A4"/>
    <w:rsid w:val="004B160E"/>
    <w:rsid w:val="004B1644"/>
    <w:rsid w:val="004B172C"/>
    <w:rsid w:val="004B184D"/>
    <w:rsid w:val="004B191E"/>
    <w:rsid w:val="004B1953"/>
    <w:rsid w:val="004B196A"/>
    <w:rsid w:val="004B1B7E"/>
    <w:rsid w:val="004B1BB8"/>
    <w:rsid w:val="004B1C8E"/>
    <w:rsid w:val="004B1D1F"/>
    <w:rsid w:val="004B1E23"/>
    <w:rsid w:val="004B1F04"/>
    <w:rsid w:val="004B203F"/>
    <w:rsid w:val="004B2099"/>
    <w:rsid w:val="004B211F"/>
    <w:rsid w:val="004B2166"/>
    <w:rsid w:val="004B2178"/>
    <w:rsid w:val="004B22F4"/>
    <w:rsid w:val="004B23D0"/>
    <w:rsid w:val="004B2518"/>
    <w:rsid w:val="004B2552"/>
    <w:rsid w:val="004B25D7"/>
    <w:rsid w:val="004B265D"/>
    <w:rsid w:val="004B276A"/>
    <w:rsid w:val="004B282C"/>
    <w:rsid w:val="004B2858"/>
    <w:rsid w:val="004B2A08"/>
    <w:rsid w:val="004B2A47"/>
    <w:rsid w:val="004B2AB5"/>
    <w:rsid w:val="004B2DFB"/>
    <w:rsid w:val="004B2F83"/>
    <w:rsid w:val="004B2FFD"/>
    <w:rsid w:val="004B3258"/>
    <w:rsid w:val="004B3281"/>
    <w:rsid w:val="004B3338"/>
    <w:rsid w:val="004B334B"/>
    <w:rsid w:val="004B3552"/>
    <w:rsid w:val="004B361D"/>
    <w:rsid w:val="004B363F"/>
    <w:rsid w:val="004B377F"/>
    <w:rsid w:val="004B38C1"/>
    <w:rsid w:val="004B39DF"/>
    <w:rsid w:val="004B3A99"/>
    <w:rsid w:val="004B3AB2"/>
    <w:rsid w:val="004B3AF6"/>
    <w:rsid w:val="004B3B83"/>
    <w:rsid w:val="004B3D2A"/>
    <w:rsid w:val="004B3D3B"/>
    <w:rsid w:val="004B3E19"/>
    <w:rsid w:val="004B3F47"/>
    <w:rsid w:val="004B3F7C"/>
    <w:rsid w:val="004B405C"/>
    <w:rsid w:val="004B40CE"/>
    <w:rsid w:val="004B40FD"/>
    <w:rsid w:val="004B410F"/>
    <w:rsid w:val="004B41CB"/>
    <w:rsid w:val="004B4205"/>
    <w:rsid w:val="004B437F"/>
    <w:rsid w:val="004B4394"/>
    <w:rsid w:val="004B4709"/>
    <w:rsid w:val="004B47A0"/>
    <w:rsid w:val="004B47DA"/>
    <w:rsid w:val="004B498D"/>
    <w:rsid w:val="004B49A6"/>
    <w:rsid w:val="004B4B94"/>
    <w:rsid w:val="004B4BAA"/>
    <w:rsid w:val="004B4C57"/>
    <w:rsid w:val="004B4D0A"/>
    <w:rsid w:val="004B4E09"/>
    <w:rsid w:val="004B4F04"/>
    <w:rsid w:val="004B4F63"/>
    <w:rsid w:val="004B4FF2"/>
    <w:rsid w:val="004B5133"/>
    <w:rsid w:val="004B5189"/>
    <w:rsid w:val="004B51BF"/>
    <w:rsid w:val="004B52B3"/>
    <w:rsid w:val="004B5815"/>
    <w:rsid w:val="004B595C"/>
    <w:rsid w:val="004B5A1D"/>
    <w:rsid w:val="004B5A3C"/>
    <w:rsid w:val="004B5ADE"/>
    <w:rsid w:val="004B5E13"/>
    <w:rsid w:val="004B5E55"/>
    <w:rsid w:val="004B5FF7"/>
    <w:rsid w:val="004B6120"/>
    <w:rsid w:val="004B6324"/>
    <w:rsid w:val="004B6396"/>
    <w:rsid w:val="004B63F7"/>
    <w:rsid w:val="004B647D"/>
    <w:rsid w:val="004B648F"/>
    <w:rsid w:val="004B6591"/>
    <w:rsid w:val="004B6630"/>
    <w:rsid w:val="004B67D0"/>
    <w:rsid w:val="004B6989"/>
    <w:rsid w:val="004B6A79"/>
    <w:rsid w:val="004B6B87"/>
    <w:rsid w:val="004B6C7C"/>
    <w:rsid w:val="004B6E71"/>
    <w:rsid w:val="004B6E9D"/>
    <w:rsid w:val="004B6F55"/>
    <w:rsid w:val="004B6F79"/>
    <w:rsid w:val="004B7286"/>
    <w:rsid w:val="004B72F0"/>
    <w:rsid w:val="004B7352"/>
    <w:rsid w:val="004B735C"/>
    <w:rsid w:val="004B7450"/>
    <w:rsid w:val="004B75A5"/>
    <w:rsid w:val="004B762B"/>
    <w:rsid w:val="004B7635"/>
    <w:rsid w:val="004B782E"/>
    <w:rsid w:val="004B7865"/>
    <w:rsid w:val="004B7964"/>
    <w:rsid w:val="004B7A4F"/>
    <w:rsid w:val="004B7B98"/>
    <w:rsid w:val="004B7C98"/>
    <w:rsid w:val="004B7CAD"/>
    <w:rsid w:val="004B7CD7"/>
    <w:rsid w:val="004B7D51"/>
    <w:rsid w:val="004B7D96"/>
    <w:rsid w:val="004B7ED0"/>
    <w:rsid w:val="004B7F5A"/>
    <w:rsid w:val="004B7F9F"/>
    <w:rsid w:val="004C0032"/>
    <w:rsid w:val="004C0164"/>
    <w:rsid w:val="004C027D"/>
    <w:rsid w:val="004C0469"/>
    <w:rsid w:val="004C06A1"/>
    <w:rsid w:val="004C07D3"/>
    <w:rsid w:val="004C098A"/>
    <w:rsid w:val="004C0A45"/>
    <w:rsid w:val="004C0AE8"/>
    <w:rsid w:val="004C0E07"/>
    <w:rsid w:val="004C0F34"/>
    <w:rsid w:val="004C0FBF"/>
    <w:rsid w:val="004C106D"/>
    <w:rsid w:val="004C10CA"/>
    <w:rsid w:val="004C11B4"/>
    <w:rsid w:val="004C1497"/>
    <w:rsid w:val="004C14FE"/>
    <w:rsid w:val="004C164A"/>
    <w:rsid w:val="004C168D"/>
    <w:rsid w:val="004C178A"/>
    <w:rsid w:val="004C18D6"/>
    <w:rsid w:val="004C1978"/>
    <w:rsid w:val="004C19C7"/>
    <w:rsid w:val="004C1C59"/>
    <w:rsid w:val="004C1C9F"/>
    <w:rsid w:val="004C1CEA"/>
    <w:rsid w:val="004C1D2C"/>
    <w:rsid w:val="004C1E7A"/>
    <w:rsid w:val="004C1FB4"/>
    <w:rsid w:val="004C2096"/>
    <w:rsid w:val="004C20DC"/>
    <w:rsid w:val="004C2411"/>
    <w:rsid w:val="004C242C"/>
    <w:rsid w:val="004C2485"/>
    <w:rsid w:val="004C2623"/>
    <w:rsid w:val="004C26BF"/>
    <w:rsid w:val="004C28AF"/>
    <w:rsid w:val="004C2902"/>
    <w:rsid w:val="004C295E"/>
    <w:rsid w:val="004C29D4"/>
    <w:rsid w:val="004C2A2E"/>
    <w:rsid w:val="004C2A9C"/>
    <w:rsid w:val="004C2B74"/>
    <w:rsid w:val="004C2CE3"/>
    <w:rsid w:val="004C2EE9"/>
    <w:rsid w:val="004C2F51"/>
    <w:rsid w:val="004C301E"/>
    <w:rsid w:val="004C3070"/>
    <w:rsid w:val="004C30D0"/>
    <w:rsid w:val="004C3164"/>
    <w:rsid w:val="004C32D4"/>
    <w:rsid w:val="004C353F"/>
    <w:rsid w:val="004C354E"/>
    <w:rsid w:val="004C3571"/>
    <w:rsid w:val="004C3666"/>
    <w:rsid w:val="004C3838"/>
    <w:rsid w:val="004C392A"/>
    <w:rsid w:val="004C39CC"/>
    <w:rsid w:val="004C3A23"/>
    <w:rsid w:val="004C3B0D"/>
    <w:rsid w:val="004C3B39"/>
    <w:rsid w:val="004C3F98"/>
    <w:rsid w:val="004C403A"/>
    <w:rsid w:val="004C406C"/>
    <w:rsid w:val="004C41B6"/>
    <w:rsid w:val="004C42B0"/>
    <w:rsid w:val="004C42C6"/>
    <w:rsid w:val="004C42EE"/>
    <w:rsid w:val="004C4386"/>
    <w:rsid w:val="004C43E4"/>
    <w:rsid w:val="004C4425"/>
    <w:rsid w:val="004C46D4"/>
    <w:rsid w:val="004C4AA2"/>
    <w:rsid w:val="004C4AAA"/>
    <w:rsid w:val="004C4ABA"/>
    <w:rsid w:val="004C4B58"/>
    <w:rsid w:val="004C4E6D"/>
    <w:rsid w:val="004C4F7A"/>
    <w:rsid w:val="004C506E"/>
    <w:rsid w:val="004C5151"/>
    <w:rsid w:val="004C525D"/>
    <w:rsid w:val="004C52C1"/>
    <w:rsid w:val="004C53A7"/>
    <w:rsid w:val="004C540E"/>
    <w:rsid w:val="004C5414"/>
    <w:rsid w:val="004C5494"/>
    <w:rsid w:val="004C5622"/>
    <w:rsid w:val="004C5718"/>
    <w:rsid w:val="004C580C"/>
    <w:rsid w:val="004C5A98"/>
    <w:rsid w:val="004C5B0A"/>
    <w:rsid w:val="004C5B49"/>
    <w:rsid w:val="004C5F1B"/>
    <w:rsid w:val="004C5F23"/>
    <w:rsid w:val="004C5F43"/>
    <w:rsid w:val="004C6044"/>
    <w:rsid w:val="004C6068"/>
    <w:rsid w:val="004C62A9"/>
    <w:rsid w:val="004C62E9"/>
    <w:rsid w:val="004C6328"/>
    <w:rsid w:val="004C6427"/>
    <w:rsid w:val="004C6538"/>
    <w:rsid w:val="004C6565"/>
    <w:rsid w:val="004C6619"/>
    <w:rsid w:val="004C667B"/>
    <w:rsid w:val="004C66D2"/>
    <w:rsid w:val="004C67CF"/>
    <w:rsid w:val="004C67E1"/>
    <w:rsid w:val="004C6A27"/>
    <w:rsid w:val="004C6A2D"/>
    <w:rsid w:val="004C6A64"/>
    <w:rsid w:val="004C6AE0"/>
    <w:rsid w:val="004C6DBF"/>
    <w:rsid w:val="004C6E33"/>
    <w:rsid w:val="004C6E3A"/>
    <w:rsid w:val="004C6EDF"/>
    <w:rsid w:val="004C6EFE"/>
    <w:rsid w:val="004C6FEC"/>
    <w:rsid w:val="004C717A"/>
    <w:rsid w:val="004C71A4"/>
    <w:rsid w:val="004C71C0"/>
    <w:rsid w:val="004C7468"/>
    <w:rsid w:val="004C7492"/>
    <w:rsid w:val="004C7514"/>
    <w:rsid w:val="004C7527"/>
    <w:rsid w:val="004C7529"/>
    <w:rsid w:val="004C7589"/>
    <w:rsid w:val="004C758D"/>
    <w:rsid w:val="004C75D6"/>
    <w:rsid w:val="004C75D8"/>
    <w:rsid w:val="004C760C"/>
    <w:rsid w:val="004C7750"/>
    <w:rsid w:val="004C78A7"/>
    <w:rsid w:val="004C7A55"/>
    <w:rsid w:val="004C7BB9"/>
    <w:rsid w:val="004C7C26"/>
    <w:rsid w:val="004C7CF1"/>
    <w:rsid w:val="004C7D10"/>
    <w:rsid w:val="004C7D8B"/>
    <w:rsid w:val="004C7E4C"/>
    <w:rsid w:val="004C7EBF"/>
    <w:rsid w:val="004C7F4E"/>
    <w:rsid w:val="004C7FFB"/>
    <w:rsid w:val="004D0089"/>
    <w:rsid w:val="004D00D9"/>
    <w:rsid w:val="004D01CD"/>
    <w:rsid w:val="004D03B9"/>
    <w:rsid w:val="004D03BE"/>
    <w:rsid w:val="004D0414"/>
    <w:rsid w:val="004D05CB"/>
    <w:rsid w:val="004D068A"/>
    <w:rsid w:val="004D0708"/>
    <w:rsid w:val="004D07B4"/>
    <w:rsid w:val="004D0853"/>
    <w:rsid w:val="004D08E2"/>
    <w:rsid w:val="004D0968"/>
    <w:rsid w:val="004D097E"/>
    <w:rsid w:val="004D09B3"/>
    <w:rsid w:val="004D09F4"/>
    <w:rsid w:val="004D0A09"/>
    <w:rsid w:val="004D0B77"/>
    <w:rsid w:val="004D0BC2"/>
    <w:rsid w:val="004D0C40"/>
    <w:rsid w:val="004D0C6F"/>
    <w:rsid w:val="004D0CC2"/>
    <w:rsid w:val="004D0EEE"/>
    <w:rsid w:val="004D1023"/>
    <w:rsid w:val="004D1085"/>
    <w:rsid w:val="004D10C1"/>
    <w:rsid w:val="004D1168"/>
    <w:rsid w:val="004D1183"/>
    <w:rsid w:val="004D12FE"/>
    <w:rsid w:val="004D13BE"/>
    <w:rsid w:val="004D1754"/>
    <w:rsid w:val="004D180A"/>
    <w:rsid w:val="004D19F2"/>
    <w:rsid w:val="004D1A08"/>
    <w:rsid w:val="004D1A20"/>
    <w:rsid w:val="004D1A86"/>
    <w:rsid w:val="004D1B08"/>
    <w:rsid w:val="004D1B9B"/>
    <w:rsid w:val="004D1BBB"/>
    <w:rsid w:val="004D1EC8"/>
    <w:rsid w:val="004D1F25"/>
    <w:rsid w:val="004D2297"/>
    <w:rsid w:val="004D22B4"/>
    <w:rsid w:val="004D22C5"/>
    <w:rsid w:val="004D22EF"/>
    <w:rsid w:val="004D22FA"/>
    <w:rsid w:val="004D237F"/>
    <w:rsid w:val="004D247A"/>
    <w:rsid w:val="004D2580"/>
    <w:rsid w:val="004D262F"/>
    <w:rsid w:val="004D27EF"/>
    <w:rsid w:val="004D288A"/>
    <w:rsid w:val="004D29DB"/>
    <w:rsid w:val="004D29E7"/>
    <w:rsid w:val="004D2A58"/>
    <w:rsid w:val="004D2A72"/>
    <w:rsid w:val="004D2ABA"/>
    <w:rsid w:val="004D2BA2"/>
    <w:rsid w:val="004D2C47"/>
    <w:rsid w:val="004D2CF9"/>
    <w:rsid w:val="004D2D32"/>
    <w:rsid w:val="004D2DAC"/>
    <w:rsid w:val="004D2EFA"/>
    <w:rsid w:val="004D3029"/>
    <w:rsid w:val="004D302C"/>
    <w:rsid w:val="004D308E"/>
    <w:rsid w:val="004D30CE"/>
    <w:rsid w:val="004D3241"/>
    <w:rsid w:val="004D33D3"/>
    <w:rsid w:val="004D33F4"/>
    <w:rsid w:val="004D344E"/>
    <w:rsid w:val="004D35CA"/>
    <w:rsid w:val="004D36B7"/>
    <w:rsid w:val="004D36E7"/>
    <w:rsid w:val="004D36EF"/>
    <w:rsid w:val="004D3917"/>
    <w:rsid w:val="004D399A"/>
    <w:rsid w:val="004D39D7"/>
    <w:rsid w:val="004D3A9B"/>
    <w:rsid w:val="004D3A9D"/>
    <w:rsid w:val="004D3B31"/>
    <w:rsid w:val="004D3B6E"/>
    <w:rsid w:val="004D3B88"/>
    <w:rsid w:val="004D3CA2"/>
    <w:rsid w:val="004D3E07"/>
    <w:rsid w:val="004D3E4E"/>
    <w:rsid w:val="004D3F8F"/>
    <w:rsid w:val="004D3FCB"/>
    <w:rsid w:val="004D40FD"/>
    <w:rsid w:val="004D41A0"/>
    <w:rsid w:val="004D4670"/>
    <w:rsid w:val="004D481E"/>
    <w:rsid w:val="004D4865"/>
    <w:rsid w:val="004D49E1"/>
    <w:rsid w:val="004D4A29"/>
    <w:rsid w:val="004D4A4A"/>
    <w:rsid w:val="004D4BA5"/>
    <w:rsid w:val="004D4D1F"/>
    <w:rsid w:val="004D4D4A"/>
    <w:rsid w:val="004D4DAF"/>
    <w:rsid w:val="004D4DFC"/>
    <w:rsid w:val="004D4E0A"/>
    <w:rsid w:val="004D4E24"/>
    <w:rsid w:val="004D4E4E"/>
    <w:rsid w:val="004D5052"/>
    <w:rsid w:val="004D52B2"/>
    <w:rsid w:val="004D52C7"/>
    <w:rsid w:val="004D5319"/>
    <w:rsid w:val="004D5384"/>
    <w:rsid w:val="004D54A7"/>
    <w:rsid w:val="004D54F3"/>
    <w:rsid w:val="004D55D9"/>
    <w:rsid w:val="004D55F8"/>
    <w:rsid w:val="004D561C"/>
    <w:rsid w:val="004D581D"/>
    <w:rsid w:val="004D5AF1"/>
    <w:rsid w:val="004D5C13"/>
    <w:rsid w:val="004D5C39"/>
    <w:rsid w:val="004D5C6D"/>
    <w:rsid w:val="004D5E34"/>
    <w:rsid w:val="004D5ECE"/>
    <w:rsid w:val="004D621D"/>
    <w:rsid w:val="004D6275"/>
    <w:rsid w:val="004D64D0"/>
    <w:rsid w:val="004D676A"/>
    <w:rsid w:val="004D68EF"/>
    <w:rsid w:val="004D691E"/>
    <w:rsid w:val="004D69A7"/>
    <w:rsid w:val="004D6A6E"/>
    <w:rsid w:val="004D6AA5"/>
    <w:rsid w:val="004D6B06"/>
    <w:rsid w:val="004D6E37"/>
    <w:rsid w:val="004D6F01"/>
    <w:rsid w:val="004D6F3F"/>
    <w:rsid w:val="004D6F76"/>
    <w:rsid w:val="004D6FD0"/>
    <w:rsid w:val="004D7158"/>
    <w:rsid w:val="004D7335"/>
    <w:rsid w:val="004D7343"/>
    <w:rsid w:val="004D73EF"/>
    <w:rsid w:val="004D73FA"/>
    <w:rsid w:val="004D74DF"/>
    <w:rsid w:val="004D758D"/>
    <w:rsid w:val="004D761C"/>
    <w:rsid w:val="004D770B"/>
    <w:rsid w:val="004D7787"/>
    <w:rsid w:val="004D77B5"/>
    <w:rsid w:val="004D780C"/>
    <w:rsid w:val="004D792B"/>
    <w:rsid w:val="004D7A22"/>
    <w:rsid w:val="004D7B4D"/>
    <w:rsid w:val="004D7E75"/>
    <w:rsid w:val="004D7EFE"/>
    <w:rsid w:val="004D7F0D"/>
    <w:rsid w:val="004D7F61"/>
    <w:rsid w:val="004E0067"/>
    <w:rsid w:val="004E00B0"/>
    <w:rsid w:val="004E00EA"/>
    <w:rsid w:val="004E010A"/>
    <w:rsid w:val="004E0113"/>
    <w:rsid w:val="004E014D"/>
    <w:rsid w:val="004E031C"/>
    <w:rsid w:val="004E034A"/>
    <w:rsid w:val="004E0392"/>
    <w:rsid w:val="004E0399"/>
    <w:rsid w:val="004E04D9"/>
    <w:rsid w:val="004E0525"/>
    <w:rsid w:val="004E0569"/>
    <w:rsid w:val="004E05A4"/>
    <w:rsid w:val="004E05E0"/>
    <w:rsid w:val="004E06C2"/>
    <w:rsid w:val="004E06F8"/>
    <w:rsid w:val="004E07D7"/>
    <w:rsid w:val="004E0888"/>
    <w:rsid w:val="004E08C1"/>
    <w:rsid w:val="004E0947"/>
    <w:rsid w:val="004E09FD"/>
    <w:rsid w:val="004E0AEF"/>
    <w:rsid w:val="004E0B9E"/>
    <w:rsid w:val="004E0C31"/>
    <w:rsid w:val="004E0C65"/>
    <w:rsid w:val="004E0CA2"/>
    <w:rsid w:val="004E0E74"/>
    <w:rsid w:val="004E0F0C"/>
    <w:rsid w:val="004E0FAF"/>
    <w:rsid w:val="004E109B"/>
    <w:rsid w:val="004E10E9"/>
    <w:rsid w:val="004E10ED"/>
    <w:rsid w:val="004E11B5"/>
    <w:rsid w:val="004E13C1"/>
    <w:rsid w:val="004E140A"/>
    <w:rsid w:val="004E141B"/>
    <w:rsid w:val="004E1420"/>
    <w:rsid w:val="004E16F7"/>
    <w:rsid w:val="004E1A37"/>
    <w:rsid w:val="004E1ACB"/>
    <w:rsid w:val="004E1C04"/>
    <w:rsid w:val="004E1CA8"/>
    <w:rsid w:val="004E1D08"/>
    <w:rsid w:val="004E1D13"/>
    <w:rsid w:val="004E1DCB"/>
    <w:rsid w:val="004E1E2D"/>
    <w:rsid w:val="004E1EF1"/>
    <w:rsid w:val="004E1FE9"/>
    <w:rsid w:val="004E2013"/>
    <w:rsid w:val="004E2057"/>
    <w:rsid w:val="004E216F"/>
    <w:rsid w:val="004E2190"/>
    <w:rsid w:val="004E2384"/>
    <w:rsid w:val="004E265E"/>
    <w:rsid w:val="004E2730"/>
    <w:rsid w:val="004E2747"/>
    <w:rsid w:val="004E28BE"/>
    <w:rsid w:val="004E28C4"/>
    <w:rsid w:val="004E2C01"/>
    <w:rsid w:val="004E2D08"/>
    <w:rsid w:val="004E2D79"/>
    <w:rsid w:val="004E2EDE"/>
    <w:rsid w:val="004E2EF0"/>
    <w:rsid w:val="004E2F47"/>
    <w:rsid w:val="004E33CE"/>
    <w:rsid w:val="004E343B"/>
    <w:rsid w:val="004E3443"/>
    <w:rsid w:val="004E3457"/>
    <w:rsid w:val="004E34A5"/>
    <w:rsid w:val="004E351D"/>
    <w:rsid w:val="004E35E4"/>
    <w:rsid w:val="004E3651"/>
    <w:rsid w:val="004E365F"/>
    <w:rsid w:val="004E3762"/>
    <w:rsid w:val="004E379E"/>
    <w:rsid w:val="004E3828"/>
    <w:rsid w:val="004E3911"/>
    <w:rsid w:val="004E3993"/>
    <w:rsid w:val="004E39FB"/>
    <w:rsid w:val="004E3AB4"/>
    <w:rsid w:val="004E3AB7"/>
    <w:rsid w:val="004E3C4C"/>
    <w:rsid w:val="004E3C88"/>
    <w:rsid w:val="004E4055"/>
    <w:rsid w:val="004E4083"/>
    <w:rsid w:val="004E40E7"/>
    <w:rsid w:val="004E4104"/>
    <w:rsid w:val="004E4195"/>
    <w:rsid w:val="004E41B2"/>
    <w:rsid w:val="004E4221"/>
    <w:rsid w:val="004E426D"/>
    <w:rsid w:val="004E4275"/>
    <w:rsid w:val="004E4388"/>
    <w:rsid w:val="004E45CA"/>
    <w:rsid w:val="004E4610"/>
    <w:rsid w:val="004E466B"/>
    <w:rsid w:val="004E469F"/>
    <w:rsid w:val="004E479F"/>
    <w:rsid w:val="004E47E5"/>
    <w:rsid w:val="004E48AD"/>
    <w:rsid w:val="004E495C"/>
    <w:rsid w:val="004E4969"/>
    <w:rsid w:val="004E4993"/>
    <w:rsid w:val="004E49BF"/>
    <w:rsid w:val="004E4A70"/>
    <w:rsid w:val="004E4A78"/>
    <w:rsid w:val="004E4ADF"/>
    <w:rsid w:val="004E4BD2"/>
    <w:rsid w:val="004E4C25"/>
    <w:rsid w:val="004E4C3A"/>
    <w:rsid w:val="004E4C41"/>
    <w:rsid w:val="004E4CE9"/>
    <w:rsid w:val="004E4D76"/>
    <w:rsid w:val="004E4E7F"/>
    <w:rsid w:val="004E4F99"/>
    <w:rsid w:val="004E50FC"/>
    <w:rsid w:val="004E528F"/>
    <w:rsid w:val="004E5362"/>
    <w:rsid w:val="004E538A"/>
    <w:rsid w:val="004E545F"/>
    <w:rsid w:val="004E5483"/>
    <w:rsid w:val="004E5512"/>
    <w:rsid w:val="004E56B5"/>
    <w:rsid w:val="004E576E"/>
    <w:rsid w:val="004E5810"/>
    <w:rsid w:val="004E5825"/>
    <w:rsid w:val="004E5938"/>
    <w:rsid w:val="004E5B3B"/>
    <w:rsid w:val="004E5BC4"/>
    <w:rsid w:val="004E5BDE"/>
    <w:rsid w:val="004E5C8E"/>
    <w:rsid w:val="004E5E05"/>
    <w:rsid w:val="004E5E21"/>
    <w:rsid w:val="004E5E6E"/>
    <w:rsid w:val="004E5FA4"/>
    <w:rsid w:val="004E5FFC"/>
    <w:rsid w:val="004E63F7"/>
    <w:rsid w:val="004E641E"/>
    <w:rsid w:val="004E6421"/>
    <w:rsid w:val="004E6695"/>
    <w:rsid w:val="004E66E6"/>
    <w:rsid w:val="004E6732"/>
    <w:rsid w:val="004E67BD"/>
    <w:rsid w:val="004E689D"/>
    <w:rsid w:val="004E69E8"/>
    <w:rsid w:val="004E6B14"/>
    <w:rsid w:val="004E6BA0"/>
    <w:rsid w:val="004E6BDB"/>
    <w:rsid w:val="004E6CAA"/>
    <w:rsid w:val="004E6D53"/>
    <w:rsid w:val="004E72AE"/>
    <w:rsid w:val="004E731D"/>
    <w:rsid w:val="004E73C3"/>
    <w:rsid w:val="004E742D"/>
    <w:rsid w:val="004E78CA"/>
    <w:rsid w:val="004E792F"/>
    <w:rsid w:val="004E79E1"/>
    <w:rsid w:val="004E7A64"/>
    <w:rsid w:val="004E7AB7"/>
    <w:rsid w:val="004E7BCB"/>
    <w:rsid w:val="004E7C0F"/>
    <w:rsid w:val="004E7C83"/>
    <w:rsid w:val="004E7CA3"/>
    <w:rsid w:val="004E7D2F"/>
    <w:rsid w:val="004E7DE7"/>
    <w:rsid w:val="004E7FCA"/>
    <w:rsid w:val="004F00F5"/>
    <w:rsid w:val="004F0197"/>
    <w:rsid w:val="004F01A1"/>
    <w:rsid w:val="004F0222"/>
    <w:rsid w:val="004F04B2"/>
    <w:rsid w:val="004F04D6"/>
    <w:rsid w:val="004F0545"/>
    <w:rsid w:val="004F0599"/>
    <w:rsid w:val="004F0839"/>
    <w:rsid w:val="004F0866"/>
    <w:rsid w:val="004F08BE"/>
    <w:rsid w:val="004F0926"/>
    <w:rsid w:val="004F0A2E"/>
    <w:rsid w:val="004F0A42"/>
    <w:rsid w:val="004F0AE4"/>
    <w:rsid w:val="004F0B38"/>
    <w:rsid w:val="004F0BF3"/>
    <w:rsid w:val="004F0C61"/>
    <w:rsid w:val="004F0C8C"/>
    <w:rsid w:val="004F0C9A"/>
    <w:rsid w:val="004F0CA5"/>
    <w:rsid w:val="004F0EA8"/>
    <w:rsid w:val="004F0ECB"/>
    <w:rsid w:val="004F11E7"/>
    <w:rsid w:val="004F1284"/>
    <w:rsid w:val="004F12A4"/>
    <w:rsid w:val="004F1373"/>
    <w:rsid w:val="004F139A"/>
    <w:rsid w:val="004F1599"/>
    <w:rsid w:val="004F16CB"/>
    <w:rsid w:val="004F1702"/>
    <w:rsid w:val="004F170F"/>
    <w:rsid w:val="004F1786"/>
    <w:rsid w:val="004F18B0"/>
    <w:rsid w:val="004F18FB"/>
    <w:rsid w:val="004F19C6"/>
    <w:rsid w:val="004F1B3B"/>
    <w:rsid w:val="004F1BA4"/>
    <w:rsid w:val="004F1CA6"/>
    <w:rsid w:val="004F1D9A"/>
    <w:rsid w:val="004F1E33"/>
    <w:rsid w:val="004F1F0C"/>
    <w:rsid w:val="004F1F47"/>
    <w:rsid w:val="004F208B"/>
    <w:rsid w:val="004F2188"/>
    <w:rsid w:val="004F2193"/>
    <w:rsid w:val="004F2256"/>
    <w:rsid w:val="004F2283"/>
    <w:rsid w:val="004F2439"/>
    <w:rsid w:val="004F2490"/>
    <w:rsid w:val="004F252B"/>
    <w:rsid w:val="004F25DA"/>
    <w:rsid w:val="004F266B"/>
    <w:rsid w:val="004F28A5"/>
    <w:rsid w:val="004F28E0"/>
    <w:rsid w:val="004F2928"/>
    <w:rsid w:val="004F2969"/>
    <w:rsid w:val="004F2A54"/>
    <w:rsid w:val="004F2BF5"/>
    <w:rsid w:val="004F2D75"/>
    <w:rsid w:val="004F2F92"/>
    <w:rsid w:val="004F2F99"/>
    <w:rsid w:val="004F30D2"/>
    <w:rsid w:val="004F3140"/>
    <w:rsid w:val="004F3156"/>
    <w:rsid w:val="004F3210"/>
    <w:rsid w:val="004F3241"/>
    <w:rsid w:val="004F3248"/>
    <w:rsid w:val="004F325A"/>
    <w:rsid w:val="004F3565"/>
    <w:rsid w:val="004F37D3"/>
    <w:rsid w:val="004F3861"/>
    <w:rsid w:val="004F38D0"/>
    <w:rsid w:val="004F3960"/>
    <w:rsid w:val="004F3A93"/>
    <w:rsid w:val="004F3B0B"/>
    <w:rsid w:val="004F3BD6"/>
    <w:rsid w:val="004F3BEE"/>
    <w:rsid w:val="004F3C45"/>
    <w:rsid w:val="004F3C78"/>
    <w:rsid w:val="004F3CB5"/>
    <w:rsid w:val="004F3F43"/>
    <w:rsid w:val="004F3F9A"/>
    <w:rsid w:val="004F3F9B"/>
    <w:rsid w:val="004F40D8"/>
    <w:rsid w:val="004F410D"/>
    <w:rsid w:val="004F412D"/>
    <w:rsid w:val="004F4198"/>
    <w:rsid w:val="004F44F2"/>
    <w:rsid w:val="004F4595"/>
    <w:rsid w:val="004F45CD"/>
    <w:rsid w:val="004F4674"/>
    <w:rsid w:val="004F46A0"/>
    <w:rsid w:val="004F4748"/>
    <w:rsid w:val="004F474A"/>
    <w:rsid w:val="004F4847"/>
    <w:rsid w:val="004F4882"/>
    <w:rsid w:val="004F48E3"/>
    <w:rsid w:val="004F492B"/>
    <w:rsid w:val="004F4A61"/>
    <w:rsid w:val="004F4A9F"/>
    <w:rsid w:val="004F4ABA"/>
    <w:rsid w:val="004F4AC9"/>
    <w:rsid w:val="004F4B92"/>
    <w:rsid w:val="004F4C85"/>
    <w:rsid w:val="004F4D2D"/>
    <w:rsid w:val="004F4D48"/>
    <w:rsid w:val="004F4ED6"/>
    <w:rsid w:val="004F4F97"/>
    <w:rsid w:val="004F518C"/>
    <w:rsid w:val="004F53B2"/>
    <w:rsid w:val="004F5514"/>
    <w:rsid w:val="004F5676"/>
    <w:rsid w:val="004F567A"/>
    <w:rsid w:val="004F56D5"/>
    <w:rsid w:val="004F5716"/>
    <w:rsid w:val="004F57AD"/>
    <w:rsid w:val="004F588D"/>
    <w:rsid w:val="004F5A24"/>
    <w:rsid w:val="004F5BEA"/>
    <w:rsid w:val="004F5CA4"/>
    <w:rsid w:val="004F5D2F"/>
    <w:rsid w:val="004F5EB9"/>
    <w:rsid w:val="004F608E"/>
    <w:rsid w:val="004F60B0"/>
    <w:rsid w:val="004F613E"/>
    <w:rsid w:val="004F61AE"/>
    <w:rsid w:val="004F6264"/>
    <w:rsid w:val="004F630C"/>
    <w:rsid w:val="004F6548"/>
    <w:rsid w:val="004F6695"/>
    <w:rsid w:val="004F675E"/>
    <w:rsid w:val="004F687E"/>
    <w:rsid w:val="004F68EC"/>
    <w:rsid w:val="004F6960"/>
    <w:rsid w:val="004F6CCE"/>
    <w:rsid w:val="004F705A"/>
    <w:rsid w:val="004F7099"/>
    <w:rsid w:val="004F72CF"/>
    <w:rsid w:val="004F73C1"/>
    <w:rsid w:val="004F73D9"/>
    <w:rsid w:val="004F73DB"/>
    <w:rsid w:val="004F73F0"/>
    <w:rsid w:val="004F74E0"/>
    <w:rsid w:val="004F7580"/>
    <w:rsid w:val="004F759A"/>
    <w:rsid w:val="004F7869"/>
    <w:rsid w:val="004F7934"/>
    <w:rsid w:val="004F794F"/>
    <w:rsid w:val="004F799F"/>
    <w:rsid w:val="004F7AE1"/>
    <w:rsid w:val="004F7BA3"/>
    <w:rsid w:val="004F7BAF"/>
    <w:rsid w:val="004F7C7C"/>
    <w:rsid w:val="004F7FB4"/>
    <w:rsid w:val="0050016A"/>
    <w:rsid w:val="005001E0"/>
    <w:rsid w:val="005002FB"/>
    <w:rsid w:val="00500345"/>
    <w:rsid w:val="00500357"/>
    <w:rsid w:val="005003EC"/>
    <w:rsid w:val="00500488"/>
    <w:rsid w:val="00500588"/>
    <w:rsid w:val="005005C4"/>
    <w:rsid w:val="00500709"/>
    <w:rsid w:val="00500742"/>
    <w:rsid w:val="00500796"/>
    <w:rsid w:val="005007F7"/>
    <w:rsid w:val="00500948"/>
    <w:rsid w:val="00500A45"/>
    <w:rsid w:val="00500A69"/>
    <w:rsid w:val="00500AC9"/>
    <w:rsid w:val="00500BEF"/>
    <w:rsid w:val="00500C8D"/>
    <w:rsid w:val="00500CE1"/>
    <w:rsid w:val="00500D3C"/>
    <w:rsid w:val="00500E8A"/>
    <w:rsid w:val="00500F99"/>
    <w:rsid w:val="00500FA3"/>
    <w:rsid w:val="0050107B"/>
    <w:rsid w:val="00501270"/>
    <w:rsid w:val="005012C2"/>
    <w:rsid w:val="0050130B"/>
    <w:rsid w:val="00501398"/>
    <w:rsid w:val="0050140B"/>
    <w:rsid w:val="00501576"/>
    <w:rsid w:val="00501588"/>
    <w:rsid w:val="00501590"/>
    <w:rsid w:val="0050159A"/>
    <w:rsid w:val="005015B1"/>
    <w:rsid w:val="00501673"/>
    <w:rsid w:val="00501697"/>
    <w:rsid w:val="005017B8"/>
    <w:rsid w:val="005017DD"/>
    <w:rsid w:val="00501888"/>
    <w:rsid w:val="005018A0"/>
    <w:rsid w:val="005018C1"/>
    <w:rsid w:val="005018FB"/>
    <w:rsid w:val="00501B52"/>
    <w:rsid w:val="00501B6C"/>
    <w:rsid w:val="00501B9F"/>
    <w:rsid w:val="00501C81"/>
    <w:rsid w:val="00501EC8"/>
    <w:rsid w:val="00501EE1"/>
    <w:rsid w:val="0050210D"/>
    <w:rsid w:val="0050217C"/>
    <w:rsid w:val="0050230D"/>
    <w:rsid w:val="00502313"/>
    <w:rsid w:val="0050233B"/>
    <w:rsid w:val="00502362"/>
    <w:rsid w:val="00502368"/>
    <w:rsid w:val="005023A1"/>
    <w:rsid w:val="00502452"/>
    <w:rsid w:val="00502568"/>
    <w:rsid w:val="005025DC"/>
    <w:rsid w:val="00502600"/>
    <w:rsid w:val="00502669"/>
    <w:rsid w:val="00502864"/>
    <w:rsid w:val="00502A9D"/>
    <w:rsid w:val="00502AE7"/>
    <w:rsid w:val="00502B8E"/>
    <w:rsid w:val="00502BBF"/>
    <w:rsid w:val="00502BC1"/>
    <w:rsid w:val="00502D4E"/>
    <w:rsid w:val="00502D92"/>
    <w:rsid w:val="00502DC3"/>
    <w:rsid w:val="00503064"/>
    <w:rsid w:val="005031DB"/>
    <w:rsid w:val="0050320D"/>
    <w:rsid w:val="0050324B"/>
    <w:rsid w:val="005033F8"/>
    <w:rsid w:val="00503441"/>
    <w:rsid w:val="0050357D"/>
    <w:rsid w:val="0050359D"/>
    <w:rsid w:val="0050364B"/>
    <w:rsid w:val="00503668"/>
    <w:rsid w:val="00503677"/>
    <w:rsid w:val="00503687"/>
    <w:rsid w:val="00503745"/>
    <w:rsid w:val="0050374A"/>
    <w:rsid w:val="005037D5"/>
    <w:rsid w:val="00503B8D"/>
    <w:rsid w:val="00503CA3"/>
    <w:rsid w:val="00503CBC"/>
    <w:rsid w:val="00503D9D"/>
    <w:rsid w:val="00503E86"/>
    <w:rsid w:val="00503F1D"/>
    <w:rsid w:val="00503F95"/>
    <w:rsid w:val="005041C0"/>
    <w:rsid w:val="00504234"/>
    <w:rsid w:val="005042D0"/>
    <w:rsid w:val="005045ED"/>
    <w:rsid w:val="0050495B"/>
    <w:rsid w:val="005049E2"/>
    <w:rsid w:val="00504A4B"/>
    <w:rsid w:val="00504A6B"/>
    <w:rsid w:val="00504AA7"/>
    <w:rsid w:val="00504C16"/>
    <w:rsid w:val="00504E02"/>
    <w:rsid w:val="00504F25"/>
    <w:rsid w:val="00504F76"/>
    <w:rsid w:val="0050542F"/>
    <w:rsid w:val="005054A5"/>
    <w:rsid w:val="005056B7"/>
    <w:rsid w:val="00505803"/>
    <w:rsid w:val="0050587B"/>
    <w:rsid w:val="005058F0"/>
    <w:rsid w:val="00505985"/>
    <w:rsid w:val="005059F0"/>
    <w:rsid w:val="00505A4B"/>
    <w:rsid w:val="00505A9C"/>
    <w:rsid w:val="00505CCF"/>
    <w:rsid w:val="00505E87"/>
    <w:rsid w:val="00505FCE"/>
    <w:rsid w:val="0050610F"/>
    <w:rsid w:val="00506118"/>
    <w:rsid w:val="005063B5"/>
    <w:rsid w:val="00506405"/>
    <w:rsid w:val="005064FD"/>
    <w:rsid w:val="0050652F"/>
    <w:rsid w:val="00506573"/>
    <w:rsid w:val="00506592"/>
    <w:rsid w:val="005065FA"/>
    <w:rsid w:val="00506894"/>
    <w:rsid w:val="005068E8"/>
    <w:rsid w:val="00506972"/>
    <w:rsid w:val="00506976"/>
    <w:rsid w:val="00506A15"/>
    <w:rsid w:val="00506A16"/>
    <w:rsid w:val="00506C20"/>
    <w:rsid w:val="00506CC6"/>
    <w:rsid w:val="00506D82"/>
    <w:rsid w:val="00506D93"/>
    <w:rsid w:val="00506F09"/>
    <w:rsid w:val="00506F0B"/>
    <w:rsid w:val="00506FBD"/>
    <w:rsid w:val="0050702E"/>
    <w:rsid w:val="00507062"/>
    <w:rsid w:val="00507140"/>
    <w:rsid w:val="005071A8"/>
    <w:rsid w:val="005071BA"/>
    <w:rsid w:val="00507237"/>
    <w:rsid w:val="00507324"/>
    <w:rsid w:val="00507338"/>
    <w:rsid w:val="00507399"/>
    <w:rsid w:val="005073C1"/>
    <w:rsid w:val="005075BE"/>
    <w:rsid w:val="005076D9"/>
    <w:rsid w:val="00507848"/>
    <w:rsid w:val="00507A3F"/>
    <w:rsid w:val="00507ABD"/>
    <w:rsid w:val="00507CF7"/>
    <w:rsid w:val="00507D33"/>
    <w:rsid w:val="00507DDA"/>
    <w:rsid w:val="00507E6B"/>
    <w:rsid w:val="00507E9A"/>
    <w:rsid w:val="00507ECF"/>
    <w:rsid w:val="00507F3E"/>
    <w:rsid w:val="005100F2"/>
    <w:rsid w:val="00510286"/>
    <w:rsid w:val="00510359"/>
    <w:rsid w:val="00510394"/>
    <w:rsid w:val="005104E0"/>
    <w:rsid w:val="0051054B"/>
    <w:rsid w:val="005106A0"/>
    <w:rsid w:val="0051073E"/>
    <w:rsid w:val="005107F8"/>
    <w:rsid w:val="00510879"/>
    <w:rsid w:val="0051097E"/>
    <w:rsid w:val="005109F7"/>
    <w:rsid w:val="00510A02"/>
    <w:rsid w:val="00510AB5"/>
    <w:rsid w:val="00510D5A"/>
    <w:rsid w:val="00510E0A"/>
    <w:rsid w:val="00510E3D"/>
    <w:rsid w:val="00510F14"/>
    <w:rsid w:val="00510F43"/>
    <w:rsid w:val="00510F48"/>
    <w:rsid w:val="00510F64"/>
    <w:rsid w:val="00510F73"/>
    <w:rsid w:val="00510FA2"/>
    <w:rsid w:val="00511076"/>
    <w:rsid w:val="0051113D"/>
    <w:rsid w:val="00511320"/>
    <w:rsid w:val="00511404"/>
    <w:rsid w:val="0051145F"/>
    <w:rsid w:val="0051156B"/>
    <w:rsid w:val="005115A1"/>
    <w:rsid w:val="00511602"/>
    <w:rsid w:val="0051181E"/>
    <w:rsid w:val="0051183A"/>
    <w:rsid w:val="00511867"/>
    <w:rsid w:val="0051196B"/>
    <w:rsid w:val="005119E8"/>
    <w:rsid w:val="00511A20"/>
    <w:rsid w:val="00511A22"/>
    <w:rsid w:val="00511BD9"/>
    <w:rsid w:val="00511C50"/>
    <w:rsid w:val="00511DB0"/>
    <w:rsid w:val="00511DE8"/>
    <w:rsid w:val="00511E25"/>
    <w:rsid w:val="00511E64"/>
    <w:rsid w:val="00511EF1"/>
    <w:rsid w:val="00511FAB"/>
    <w:rsid w:val="00511FDE"/>
    <w:rsid w:val="00512003"/>
    <w:rsid w:val="00512066"/>
    <w:rsid w:val="005121A1"/>
    <w:rsid w:val="00512210"/>
    <w:rsid w:val="00512242"/>
    <w:rsid w:val="0051229F"/>
    <w:rsid w:val="00512323"/>
    <w:rsid w:val="00512387"/>
    <w:rsid w:val="005123B1"/>
    <w:rsid w:val="005124F3"/>
    <w:rsid w:val="0051250E"/>
    <w:rsid w:val="005125D3"/>
    <w:rsid w:val="00512619"/>
    <w:rsid w:val="0051262E"/>
    <w:rsid w:val="0051266F"/>
    <w:rsid w:val="00512675"/>
    <w:rsid w:val="005126B6"/>
    <w:rsid w:val="0051276E"/>
    <w:rsid w:val="0051277E"/>
    <w:rsid w:val="00512A06"/>
    <w:rsid w:val="00512A3E"/>
    <w:rsid w:val="00512A6E"/>
    <w:rsid w:val="00512CB2"/>
    <w:rsid w:val="00512D59"/>
    <w:rsid w:val="00512E9B"/>
    <w:rsid w:val="00512EB7"/>
    <w:rsid w:val="0051322B"/>
    <w:rsid w:val="0051340D"/>
    <w:rsid w:val="0051347B"/>
    <w:rsid w:val="005136AE"/>
    <w:rsid w:val="005136C9"/>
    <w:rsid w:val="0051375A"/>
    <w:rsid w:val="00513790"/>
    <w:rsid w:val="0051379A"/>
    <w:rsid w:val="005137D0"/>
    <w:rsid w:val="005138CC"/>
    <w:rsid w:val="005138FF"/>
    <w:rsid w:val="00513954"/>
    <w:rsid w:val="00513AAD"/>
    <w:rsid w:val="00513ADD"/>
    <w:rsid w:val="00513B98"/>
    <w:rsid w:val="00513B9B"/>
    <w:rsid w:val="00513BD4"/>
    <w:rsid w:val="00513C11"/>
    <w:rsid w:val="00513DF2"/>
    <w:rsid w:val="00513EB5"/>
    <w:rsid w:val="00513F9A"/>
    <w:rsid w:val="00514079"/>
    <w:rsid w:val="0051409B"/>
    <w:rsid w:val="00514174"/>
    <w:rsid w:val="00514183"/>
    <w:rsid w:val="005141C2"/>
    <w:rsid w:val="0051427A"/>
    <w:rsid w:val="00514302"/>
    <w:rsid w:val="005143AE"/>
    <w:rsid w:val="005143B2"/>
    <w:rsid w:val="005144BE"/>
    <w:rsid w:val="005144C2"/>
    <w:rsid w:val="00514590"/>
    <w:rsid w:val="00514624"/>
    <w:rsid w:val="0051468D"/>
    <w:rsid w:val="0051478A"/>
    <w:rsid w:val="00514798"/>
    <w:rsid w:val="005147D9"/>
    <w:rsid w:val="005147F5"/>
    <w:rsid w:val="005148BF"/>
    <w:rsid w:val="005148D2"/>
    <w:rsid w:val="00514966"/>
    <w:rsid w:val="0051498D"/>
    <w:rsid w:val="005149EA"/>
    <w:rsid w:val="005149FC"/>
    <w:rsid w:val="00514A25"/>
    <w:rsid w:val="00514BB1"/>
    <w:rsid w:val="00514C9D"/>
    <w:rsid w:val="00514CAA"/>
    <w:rsid w:val="00514D98"/>
    <w:rsid w:val="00514F6E"/>
    <w:rsid w:val="00514F9E"/>
    <w:rsid w:val="00514FAF"/>
    <w:rsid w:val="00515079"/>
    <w:rsid w:val="00515292"/>
    <w:rsid w:val="00515331"/>
    <w:rsid w:val="00515379"/>
    <w:rsid w:val="00515547"/>
    <w:rsid w:val="00515556"/>
    <w:rsid w:val="005155BD"/>
    <w:rsid w:val="005156E7"/>
    <w:rsid w:val="005157A2"/>
    <w:rsid w:val="0051582A"/>
    <w:rsid w:val="0051588B"/>
    <w:rsid w:val="005158B0"/>
    <w:rsid w:val="00515905"/>
    <w:rsid w:val="005159D6"/>
    <w:rsid w:val="00515B13"/>
    <w:rsid w:val="00515B1B"/>
    <w:rsid w:val="00515B9A"/>
    <w:rsid w:val="00515BF1"/>
    <w:rsid w:val="00515C8A"/>
    <w:rsid w:val="00515D5E"/>
    <w:rsid w:val="00515D79"/>
    <w:rsid w:val="00515E1A"/>
    <w:rsid w:val="00515ED6"/>
    <w:rsid w:val="00515F67"/>
    <w:rsid w:val="00515F92"/>
    <w:rsid w:val="00516098"/>
    <w:rsid w:val="005160BE"/>
    <w:rsid w:val="005162C6"/>
    <w:rsid w:val="005163D8"/>
    <w:rsid w:val="0051652E"/>
    <w:rsid w:val="00516562"/>
    <w:rsid w:val="0051662A"/>
    <w:rsid w:val="00516785"/>
    <w:rsid w:val="00516807"/>
    <w:rsid w:val="00516874"/>
    <w:rsid w:val="00516987"/>
    <w:rsid w:val="00516B84"/>
    <w:rsid w:val="00516BED"/>
    <w:rsid w:val="00516C21"/>
    <w:rsid w:val="00516D0D"/>
    <w:rsid w:val="00516D2E"/>
    <w:rsid w:val="00516E48"/>
    <w:rsid w:val="00516E97"/>
    <w:rsid w:val="00516EB5"/>
    <w:rsid w:val="00516F11"/>
    <w:rsid w:val="00516F3A"/>
    <w:rsid w:val="00517072"/>
    <w:rsid w:val="00517156"/>
    <w:rsid w:val="005171FE"/>
    <w:rsid w:val="0051727B"/>
    <w:rsid w:val="005172F1"/>
    <w:rsid w:val="0051736E"/>
    <w:rsid w:val="00517579"/>
    <w:rsid w:val="00517607"/>
    <w:rsid w:val="005177A6"/>
    <w:rsid w:val="005177B9"/>
    <w:rsid w:val="00517810"/>
    <w:rsid w:val="0051786F"/>
    <w:rsid w:val="00517883"/>
    <w:rsid w:val="005179AE"/>
    <w:rsid w:val="005179C1"/>
    <w:rsid w:val="00517AD6"/>
    <w:rsid w:val="00517B35"/>
    <w:rsid w:val="00517C39"/>
    <w:rsid w:val="00517C96"/>
    <w:rsid w:val="00517CB3"/>
    <w:rsid w:val="00517DF6"/>
    <w:rsid w:val="00517F1D"/>
    <w:rsid w:val="00517F5A"/>
    <w:rsid w:val="00517F8C"/>
    <w:rsid w:val="00517FF3"/>
    <w:rsid w:val="0052004E"/>
    <w:rsid w:val="005201D6"/>
    <w:rsid w:val="005202DD"/>
    <w:rsid w:val="005202DE"/>
    <w:rsid w:val="0052049A"/>
    <w:rsid w:val="0052068B"/>
    <w:rsid w:val="00520974"/>
    <w:rsid w:val="00520A51"/>
    <w:rsid w:val="00520BDF"/>
    <w:rsid w:val="00520DCA"/>
    <w:rsid w:val="00520F6F"/>
    <w:rsid w:val="00521038"/>
    <w:rsid w:val="0052119F"/>
    <w:rsid w:val="00521276"/>
    <w:rsid w:val="0052127F"/>
    <w:rsid w:val="005212C8"/>
    <w:rsid w:val="005212F8"/>
    <w:rsid w:val="0052132F"/>
    <w:rsid w:val="005214E2"/>
    <w:rsid w:val="00521515"/>
    <w:rsid w:val="00521517"/>
    <w:rsid w:val="00521558"/>
    <w:rsid w:val="005215A7"/>
    <w:rsid w:val="005215AF"/>
    <w:rsid w:val="005215CE"/>
    <w:rsid w:val="00521684"/>
    <w:rsid w:val="005219D7"/>
    <w:rsid w:val="00521AFB"/>
    <w:rsid w:val="00521B25"/>
    <w:rsid w:val="00521C8C"/>
    <w:rsid w:val="00521D17"/>
    <w:rsid w:val="0052208B"/>
    <w:rsid w:val="0052211E"/>
    <w:rsid w:val="00522132"/>
    <w:rsid w:val="0052217F"/>
    <w:rsid w:val="0052219A"/>
    <w:rsid w:val="005221BD"/>
    <w:rsid w:val="005221F8"/>
    <w:rsid w:val="005224C6"/>
    <w:rsid w:val="0052251C"/>
    <w:rsid w:val="0052267C"/>
    <w:rsid w:val="005226C0"/>
    <w:rsid w:val="005226D4"/>
    <w:rsid w:val="00522768"/>
    <w:rsid w:val="0052279D"/>
    <w:rsid w:val="005229ED"/>
    <w:rsid w:val="00522BC7"/>
    <w:rsid w:val="00522C25"/>
    <w:rsid w:val="00522CFB"/>
    <w:rsid w:val="00522E2A"/>
    <w:rsid w:val="00522EBF"/>
    <w:rsid w:val="00522FC9"/>
    <w:rsid w:val="00523141"/>
    <w:rsid w:val="0052314B"/>
    <w:rsid w:val="00523184"/>
    <w:rsid w:val="005232E1"/>
    <w:rsid w:val="005233BE"/>
    <w:rsid w:val="00523445"/>
    <w:rsid w:val="00523691"/>
    <w:rsid w:val="005236DD"/>
    <w:rsid w:val="005237B8"/>
    <w:rsid w:val="00523961"/>
    <w:rsid w:val="00523A29"/>
    <w:rsid w:val="00523A66"/>
    <w:rsid w:val="00523C94"/>
    <w:rsid w:val="00523C99"/>
    <w:rsid w:val="00523DE6"/>
    <w:rsid w:val="00523E19"/>
    <w:rsid w:val="00523E32"/>
    <w:rsid w:val="00523EF5"/>
    <w:rsid w:val="00523F37"/>
    <w:rsid w:val="00523FDE"/>
    <w:rsid w:val="00524012"/>
    <w:rsid w:val="005240CB"/>
    <w:rsid w:val="0052410A"/>
    <w:rsid w:val="0052419D"/>
    <w:rsid w:val="005241E9"/>
    <w:rsid w:val="00524242"/>
    <w:rsid w:val="0052429A"/>
    <w:rsid w:val="005242CF"/>
    <w:rsid w:val="005243B3"/>
    <w:rsid w:val="005243E1"/>
    <w:rsid w:val="00524445"/>
    <w:rsid w:val="00524492"/>
    <w:rsid w:val="00524524"/>
    <w:rsid w:val="0052452D"/>
    <w:rsid w:val="00524570"/>
    <w:rsid w:val="005245C3"/>
    <w:rsid w:val="005245FA"/>
    <w:rsid w:val="005247DA"/>
    <w:rsid w:val="0052486F"/>
    <w:rsid w:val="005248DB"/>
    <w:rsid w:val="00524B48"/>
    <w:rsid w:val="00524BE8"/>
    <w:rsid w:val="00524C81"/>
    <w:rsid w:val="00524CC6"/>
    <w:rsid w:val="00524D72"/>
    <w:rsid w:val="00524DE0"/>
    <w:rsid w:val="00524E24"/>
    <w:rsid w:val="00524E30"/>
    <w:rsid w:val="00524E34"/>
    <w:rsid w:val="00524F69"/>
    <w:rsid w:val="00524FB9"/>
    <w:rsid w:val="00525074"/>
    <w:rsid w:val="005251E8"/>
    <w:rsid w:val="0052523A"/>
    <w:rsid w:val="005253E1"/>
    <w:rsid w:val="0052547D"/>
    <w:rsid w:val="0052564B"/>
    <w:rsid w:val="00525750"/>
    <w:rsid w:val="00525751"/>
    <w:rsid w:val="00525824"/>
    <w:rsid w:val="0052584E"/>
    <w:rsid w:val="005258F5"/>
    <w:rsid w:val="00525A8B"/>
    <w:rsid w:val="00525AD5"/>
    <w:rsid w:val="00525BFA"/>
    <w:rsid w:val="00525C6C"/>
    <w:rsid w:val="00525CB1"/>
    <w:rsid w:val="00525CFC"/>
    <w:rsid w:val="00525D59"/>
    <w:rsid w:val="00525DE1"/>
    <w:rsid w:val="00525E1A"/>
    <w:rsid w:val="00525F18"/>
    <w:rsid w:val="00525F8F"/>
    <w:rsid w:val="00526031"/>
    <w:rsid w:val="0052609E"/>
    <w:rsid w:val="005260B4"/>
    <w:rsid w:val="00526422"/>
    <w:rsid w:val="005264CA"/>
    <w:rsid w:val="005264E5"/>
    <w:rsid w:val="005266A4"/>
    <w:rsid w:val="00526813"/>
    <w:rsid w:val="0052686C"/>
    <w:rsid w:val="005268DB"/>
    <w:rsid w:val="00526987"/>
    <w:rsid w:val="00526A3C"/>
    <w:rsid w:val="00526C7D"/>
    <w:rsid w:val="00526CB1"/>
    <w:rsid w:val="00526D1B"/>
    <w:rsid w:val="00526E0D"/>
    <w:rsid w:val="00526F13"/>
    <w:rsid w:val="00526FC4"/>
    <w:rsid w:val="0052706E"/>
    <w:rsid w:val="00527092"/>
    <w:rsid w:val="0052713C"/>
    <w:rsid w:val="005271AB"/>
    <w:rsid w:val="005271ED"/>
    <w:rsid w:val="005271FE"/>
    <w:rsid w:val="00527207"/>
    <w:rsid w:val="005272E1"/>
    <w:rsid w:val="005272F2"/>
    <w:rsid w:val="00527499"/>
    <w:rsid w:val="00527568"/>
    <w:rsid w:val="0052757C"/>
    <w:rsid w:val="005275C8"/>
    <w:rsid w:val="005275F3"/>
    <w:rsid w:val="005276BC"/>
    <w:rsid w:val="00527779"/>
    <w:rsid w:val="005278EB"/>
    <w:rsid w:val="00527916"/>
    <w:rsid w:val="005279E0"/>
    <w:rsid w:val="005279F8"/>
    <w:rsid w:val="00527B2D"/>
    <w:rsid w:val="00527C44"/>
    <w:rsid w:val="00527D8D"/>
    <w:rsid w:val="00527DFC"/>
    <w:rsid w:val="00527E28"/>
    <w:rsid w:val="00527ED5"/>
    <w:rsid w:val="00527FCE"/>
    <w:rsid w:val="005300FC"/>
    <w:rsid w:val="00530171"/>
    <w:rsid w:val="005301F8"/>
    <w:rsid w:val="00530201"/>
    <w:rsid w:val="005302D6"/>
    <w:rsid w:val="005303C1"/>
    <w:rsid w:val="005304A1"/>
    <w:rsid w:val="005304E0"/>
    <w:rsid w:val="005305E5"/>
    <w:rsid w:val="005306A3"/>
    <w:rsid w:val="005306D8"/>
    <w:rsid w:val="00530714"/>
    <w:rsid w:val="0053071E"/>
    <w:rsid w:val="00530862"/>
    <w:rsid w:val="005308C1"/>
    <w:rsid w:val="005308C9"/>
    <w:rsid w:val="005309C4"/>
    <w:rsid w:val="00530AD9"/>
    <w:rsid w:val="00530ADE"/>
    <w:rsid w:val="00530C49"/>
    <w:rsid w:val="00530E56"/>
    <w:rsid w:val="00531024"/>
    <w:rsid w:val="00531071"/>
    <w:rsid w:val="005310B9"/>
    <w:rsid w:val="005311F3"/>
    <w:rsid w:val="00531221"/>
    <w:rsid w:val="0053124F"/>
    <w:rsid w:val="005312FC"/>
    <w:rsid w:val="005313B2"/>
    <w:rsid w:val="0053158D"/>
    <w:rsid w:val="005315D8"/>
    <w:rsid w:val="0053162E"/>
    <w:rsid w:val="005318CC"/>
    <w:rsid w:val="005319C0"/>
    <w:rsid w:val="00531A0E"/>
    <w:rsid w:val="00531AB6"/>
    <w:rsid w:val="00531B65"/>
    <w:rsid w:val="00531B9C"/>
    <w:rsid w:val="00531BF4"/>
    <w:rsid w:val="00531C1F"/>
    <w:rsid w:val="00531C64"/>
    <w:rsid w:val="00531C83"/>
    <w:rsid w:val="00531D02"/>
    <w:rsid w:val="00531D22"/>
    <w:rsid w:val="00531DF4"/>
    <w:rsid w:val="00532010"/>
    <w:rsid w:val="0053218D"/>
    <w:rsid w:val="0053219C"/>
    <w:rsid w:val="00532385"/>
    <w:rsid w:val="005324D7"/>
    <w:rsid w:val="005327FD"/>
    <w:rsid w:val="00532842"/>
    <w:rsid w:val="0053286B"/>
    <w:rsid w:val="00532873"/>
    <w:rsid w:val="005328FD"/>
    <w:rsid w:val="00532BF7"/>
    <w:rsid w:val="00532C6D"/>
    <w:rsid w:val="00532CAD"/>
    <w:rsid w:val="00532DEB"/>
    <w:rsid w:val="00532EA3"/>
    <w:rsid w:val="00532FAF"/>
    <w:rsid w:val="00532FDD"/>
    <w:rsid w:val="0053303F"/>
    <w:rsid w:val="005330DD"/>
    <w:rsid w:val="005332BA"/>
    <w:rsid w:val="0053333D"/>
    <w:rsid w:val="0053339D"/>
    <w:rsid w:val="005333D7"/>
    <w:rsid w:val="005335C6"/>
    <w:rsid w:val="0053361C"/>
    <w:rsid w:val="00533759"/>
    <w:rsid w:val="00533901"/>
    <w:rsid w:val="00533B96"/>
    <w:rsid w:val="00533C2C"/>
    <w:rsid w:val="00533D33"/>
    <w:rsid w:val="00533DE5"/>
    <w:rsid w:val="00533E2A"/>
    <w:rsid w:val="00533FD2"/>
    <w:rsid w:val="00534173"/>
    <w:rsid w:val="00534273"/>
    <w:rsid w:val="005342C2"/>
    <w:rsid w:val="005342D0"/>
    <w:rsid w:val="005342E3"/>
    <w:rsid w:val="00534337"/>
    <w:rsid w:val="00534338"/>
    <w:rsid w:val="0053445F"/>
    <w:rsid w:val="005344CD"/>
    <w:rsid w:val="005344E8"/>
    <w:rsid w:val="00534501"/>
    <w:rsid w:val="0053459B"/>
    <w:rsid w:val="00534681"/>
    <w:rsid w:val="00534689"/>
    <w:rsid w:val="00534712"/>
    <w:rsid w:val="00534726"/>
    <w:rsid w:val="005347B2"/>
    <w:rsid w:val="00534826"/>
    <w:rsid w:val="005349FF"/>
    <w:rsid w:val="00534A67"/>
    <w:rsid w:val="00534B9C"/>
    <w:rsid w:val="00534C17"/>
    <w:rsid w:val="00534D7E"/>
    <w:rsid w:val="00534DDF"/>
    <w:rsid w:val="00534E66"/>
    <w:rsid w:val="00534E7E"/>
    <w:rsid w:val="00534F24"/>
    <w:rsid w:val="00535178"/>
    <w:rsid w:val="0053517E"/>
    <w:rsid w:val="005351EE"/>
    <w:rsid w:val="00535236"/>
    <w:rsid w:val="0053530A"/>
    <w:rsid w:val="00535354"/>
    <w:rsid w:val="005353F1"/>
    <w:rsid w:val="005355E3"/>
    <w:rsid w:val="005355FB"/>
    <w:rsid w:val="0053566A"/>
    <w:rsid w:val="0053569E"/>
    <w:rsid w:val="00535722"/>
    <w:rsid w:val="005357A7"/>
    <w:rsid w:val="0053591F"/>
    <w:rsid w:val="00535924"/>
    <w:rsid w:val="00535B1D"/>
    <w:rsid w:val="00535B89"/>
    <w:rsid w:val="00535BED"/>
    <w:rsid w:val="00535C97"/>
    <w:rsid w:val="00535D23"/>
    <w:rsid w:val="00535D65"/>
    <w:rsid w:val="00535E52"/>
    <w:rsid w:val="0053603D"/>
    <w:rsid w:val="0053617F"/>
    <w:rsid w:val="005362C1"/>
    <w:rsid w:val="005362EA"/>
    <w:rsid w:val="0053633A"/>
    <w:rsid w:val="00536377"/>
    <w:rsid w:val="00536544"/>
    <w:rsid w:val="00536843"/>
    <w:rsid w:val="00536850"/>
    <w:rsid w:val="00536965"/>
    <w:rsid w:val="00536AD2"/>
    <w:rsid w:val="00536B78"/>
    <w:rsid w:val="00536C8F"/>
    <w:rsid w:val="00536CFB"/>
    <w:rsid w:val="00536D1B"/>
    <w:rsid w:val="00536D1E"/>
    <w:rsid w:val="00536D4C"/>
    <w:rsid w:val="00536D9D"/>
    <w:rsid w:val="00536F09"/>
    <w:rsid w:val="00536F25"/>
    <w:rsid w:val="0053707D"/>
    <w:rsid w:val="0053707E"/>
    <w:rsid w:val="005373AD"/>
    <w:rsid w:val="0053742A"/>
    <w:rsid w:val="005375D4"/>
    <w:rsid w:val="0053761B"/>
    <w:rsid w:val="005377AD"/>
    <w:rsid w:val="0053782C"/>
    <w:rsid w:val="005378BC"/>
    <w:rsid w:val="0053790F"/>
    <w:rsid w:val="00537AA3"/>
    <w:rsid w:val="00537AED"/>
    <w:rsid w:val="00537B16"/>
    <w:rsid w:val="00537C85"/>
    <w:rsid w:val="00537D70"/>
    <w:rsid w:val="00537E3C"/>
    <w:rsid w:val="00537E5F"/>
    <w:rsid w:val="00537E7D"/>
    <w:rsid w:val="00537E7F"/>
    <w:rsid w:val="00537F16"/>
    <w:rsid w:val="00540084"/>
    <w:rsid w:val="00540089"/>
    <w:rsid w:val="00540173"/>
    <w:rsid w:val="00540292"/>
    <w:rsid w:val="0054038B"/>
    <w:rsid w:val="005403B0"/>
    <w:rsid w:val="00540426"/>
    <w:rsid w:val="00540474"/>
    <w:rsid w:val="005405B6"/>
    <w:rsid w:val="00540740"/>
    <w:rsid w:val="005407A4"/>
    <w:rsid w:val="00540930"/>
    <w:rsid w:val="00540A0B"/>
    <w:rsid w:val="00540A37"/>
    <w:rsid w:val="00540C3A"/>
    <w:rsid w:val="00540C40"/>
    <w:rsid w:val="00540C78"/>
    <w:rsid w:val="00540D31"/>
    <w:rsid w:val="00540D6C"/>
    <w:rsid w:val="00540DF6"/>
    <w:rsid w:val="00540EB8"/>
    <w:rsid w:val="00540EBC"/>
    <w:rsid w:val="00540EDB"/>
    <w:rsid w:val="005412CE"/>
    <w:rsid w:val="005414B6"/>
    <w:rsid w:val="0054151F"/>
    <w:rsid w:val="005417DE"/>
    <w:rsid w:val="00541806"/>
    <w:rsid w:val="00541BC0"/>
    <w:rsid w:val="00541CC2"/>
    <w:rsid w:val="00541D29"/>
    <w:rsid w:val="00541D8F"/>
    <w:rsid w:val="00541DE1"/>
    <w:rsid w:val="00541E78"/>
    <w:rsid w:val="00542058"/>
    <w:rsid w:val="00542142"/>
    <w:rsid w:val="0054232C"/>
    <w:rsid w:val="005423AE"/>
    <w:rsid w:val="005423E4"/>
    <w:rsid w:val="005423E7"/>
    <w:rsid w:val="00542414"/>
    <w:rsid w:val="0054260A"/>
    <w:rsid w:val="0054266F"/>
    <w:rsid w:val="0054283B"/>
    <w:rsid w:val="00542852"/>
    <w:rsid w:val="0054288C"/>
    <w:rsid w:val="00542896"/>
    <w:rsid w:val="00542B40"/>
    <w:rsid w:val="00542B84"/>
    <w:rsid w:val="00542BAA"/>
    <w:rsid w:val="00542D15"/>
    <w:rsid w:val="00542DE7"/>
    <w:rsid w:val="00542E65"/>
    <w:rsid w:val="00543061"/>
    <w:rsid w:val="005430ED"/>
    <w:rsid w:val="00543121"/>
    <w:rsid w:val="00543160"/>
    <w:rsid w:val="0054316B"/>
    <w:rsid w:val="005431A5"/>
    <w:rsid w:val="0054324E"/>
    <w:rsid w:val="0054326B"/>
    <w:rsid w:val="0054351D"/>
    <w:rsid w:val="005435F7"/>
    <w:rsid w:val="00543623"/>
    <w:rsid w:val="00543973"/>
    <w:rsid w:val="0054398F"/>
    <w:rsid w:val="0054399F"/>
    <w:rsid w:val="00543BF5"/>
    <w:rsid w:val="00543BFE"/>
    <w:rsid w:val="00543C13"/>
    <w:rsid w:val="00543D9A"/>
    <w:rsid w:val="00543F23"/>
    <w:rsid w:val="00544150"/>
    <w:rsid w:val="00544204"/>
    <w:rsid w:val="00544272"/>
    <w:rsid w:val="00544399"/>
    <w:rsid w:val="0054447E"/>
    <w:rsid w:val="005444F4"/>
    <w:rsid w:val="005445D0"/>
    <w:rsid w:val="00544720"/>
    <w:rsid w:val="005449D2"/>
    <w:rsid w:val="00544BA0"/>
    <w:rsid w:val="00544C82"/>
    <w:rsid w:val="00544D76"/>
    <w:rsid w:val="00544E78"/>
    <w:rsid w:val="00544F5D"/>
    <w:rsid w:val="00545021"/>
    <w:rsid w:val="0054504C"/>
    <w:rsid w:val="00545248"/>
    <w:rsid w:val="0054524A"/>
    <w:rsid w:val="00545258"/>
    <w:rsid w:val="00545395"/>
    <w:rsid w:val="005453AF"/>
    <w:rsid w:val="005456A5"/>
    <w:rsid w:val="00545767"/>
    <w:rsid w:val="00545B4D"/>
    <w:rsid w:val="00545BA4"/>
    <w:rsid w:val="00545EC8"/>
    <w:rsid w:val="00545EEA"/>
    <w:rsid w:val="00545F1A"/>
    <w:rsid w:val="00546060"/>
    <w:rsid w:val="0054606B"/>
    <w:rsid w:val="005460DD"/>
    <w:rsid w:val="0054625A"/>
    <w:rsid w:val="0054625E"/>
    <w:rsid w:val="00546288"/>
    <w:rsid w:val="00546593"/>
    <w:rsid w:val="00546639"/>
    <w:rsid w:val="00546722"/>
    <w:rsid w:val="00546778"/>
    <w:rsid w:val="005468DB"/>
    <w:rsid w:val="005468F1"/>
    <w:rsid w:val="005468F5"/>
    <w:rsid w:val="005469BF"/>
    <w:rsid w:val="00546AA6"/>
    <w:rsid w:val="00546AC0"/>
    <w:rsid w:val="00546C5E"/>
    <w:rsid w:val="00546C80"/>
    <w:rsid w:val="00546C8A"/>
    <w:rsid w:val="00546D4A"/>
    <w:rsid w:val="00546EB9"/>
    <w:rsid w:val="00546ED7"/>
    <w:rsid w:val="00546FAC"/>
    <w:rsid w:val="00547022"/>
    <w:rsid w:val="00547073"/>
    <w:rsid w:val="005470F1"/>
    <w:rsid w:val="005472D0"/>
    <w:rsid w:val="005472F3"/>
    <w:rsid w:val="005473A4"/>
    <w:rsid w:val="00547458"/>
    <w:rsid w:val="0054745C"/>
    <w:rsid w:val="005475FD"/>
    <w:rsid w:val="00547717"/>
    <w:rsid w:val="00547AA4"/>
    <w:rsid w:val="00547C52"/>
    <w:rsid w:val="00547D8A"/>
    <w:rsid w:val="00547E8F"/>
    <w:rsid w:val="00547E91"/>
    <w:rsid w:val="00547FD3"/>
    <w:rsid w:val="00550091"/>
    <w:rsid w:val="00550099"/>
    <w:rsid w:val="005501E9"/>
    <w:rsid w:val="005502C7"/>
    <w:rsid w:val="00550303"/>
    <w:rsid w:val="00550313"/>
    <w:rsid w:val="005503FE"/>
    <w:rsid w:val="0055045B"/>
    <w:rsid w:val="005506E7"/>
    <w:rsid w:val="00550700"/>
    <w:rsid w:val="00550737"/>
    <w:rsid w:val="005507B7"/>
    <w:rsid w:val="005507DD"/>
    <w:rsid w:val="00550828"/>
    <w:rsid w:val="005509F1"/>
    <w:rsid w:val="00550A0A"/>
    <w:rsid w:val="00550A1F"/>
    <w:rsid w:val="00550BB9"/>
    <w:rsid w:val="00550C83"/>
    <w:rsid w:val="00550C93"/>
    <w:rsid w:val="00550DE5"/>
    <w:rsid w:val="00550E15"/>
    <w:rsid w:val="00550E3E"/>
    <w:rsid w:val="0055102C"/>
    <w:rsid w:val="00551129"/>
    <w:rsid w:val="005511D5"/>
    <w:rsid w:val="00551226"/>
    <w:rsid w:val="005513C2"/>
    <w:rsid w:val="005514BF"/>
    <w:rsid w:val="00551658"/>
    <w:rsid w:val="00551757"/>
    <w:rsid w:val="00551805"/>
    <w:rsid w:val="005518D0"/>
    <w:rsid w:val="005518FF"/>
    <w:rsid w:val="00551977"/>
    <w:rsid w:val="005519BC"/>
    <w:rsid w:val="005519E3"/>
    <w:rsid w:val="00551B11"/>
    <w:rsid w:val="00551B3F"/>
    <w:rsid w:val="00551BF6"/>
    <w:rsid w:val="00551C3C"/>
    <w:rsid w:val="00551DB5"/>
    <w:rsid w:val="00551DBB"/>
    <w:rsid w:val="00551F07"/>
    <w:rsid w:val="00551F2B"/>
    <w:rsid w:val="00552024"/>
    <w:rsid w:val="0055207A"/>
    <w:rsid w:val="00552213"/>
    <w:rsid w:val="0055255C"/>
    <w:rsid w:val="00552679"/>
    <w:rsid w:val="0055272B"/>
    <w:rsid w:val="00552803"/>
    <w:rsid w:val="005529AE"/>
    <w:rsid w:val="005529F1"/>
    <w:rsid w:val="00552A3A"/>
    <w:rsid w:val="00552A6B"/>
    <w:rsid w:val="00552A86"/>
    <w:rsid w:val="00552B4C"/>
    <w:rsid w:val="00552B5D"/>
    <w:rsid w:val="00552BC5"/>
    <w:rsid w:val="00552BE4"/>
    <w:rsid w:val="00552C4B"/>
    <w:rsid w:val="00552CA2"/>
    <w:rsid w:val="00552CC0"/>
    <w:rsid w:val="00552DFB"/>
    <w:rsid w:val="00552E08"/>
    <w:rsid w:val="00553034"/>
    <w:rsid w:val="0055303F"/>
    <w:rsid w:val="0055315D"/>
    <w:rsid w:val="005531BB"/>
    <w:rsid w:val="005531DE"/>
    <w:rsid w:val="00553290"/>
    <w:rsid w:val="005532AB"/>
    <w:rsid w:val="00553451"/>
    <w:rsid w:val="00553602"/>
    <w:rsid w:val="005536C6"/>
    <w:rsid w:val="005536E7"/>
    <w:rsid w:val="00553745"/>
    <w:rsid w:val="0055381B"/>
    <w:rsid w:val="00553868"/>
    <w:rsid w:val="00553871"/>
    <w:rsid w:val="005538A7"/>
    <w:rsid w:val="00553960"/>
    <w:rsid w:val="00553A2B"/>
    <w:rsid w:val="00553A36"/>
    <w:rsid w:val="00553BAC"/>
    <w:rsid w:val="00553BB1"/>
    <w:rsid w:val="00553E7B"/>
    <w:rsid w:val="00553FAA"/>
    <w:rsid w:val="00553FDF"/>
    <w:rsid w:val="00554001"/>
    <w:rsid w:val="005540D4"/>
    <w:rsid w:val="00554101"/>
    <w:rsid w:val="005541A9"/>
    <w:rsid w:val="0055420E"/>
    <w:rsid w:val="0055423F"/>
    <w:rsid w:val="005543CD"/>
    <w:rsid w:val="00554444"/>
    <w:rsid w:val="005546B6"/>
    <w:rsid w:val="005546B9"/>
    <w:rsid w:val="005547B8"/>
    <w:rsid w:val="00554861"/>
    <w:rsid w:val="005549B5"/>
    <w:rsid w:val="00554A90"/>
    <w:rsid w:val="00554B89"/>
    <w:rsid w:val="00554BB6"/>
    <w:rsid w:val="00554BEA"/>
    <w:rsid w:val="00554C94"/>
    <w:rsid w:val="0055509E"/>
    <w:rsid w:val="0055511E"/>
    <w:rsid w:val="005552AE"/>
    <w:rsid w:val="005553F8"/>
    <w:rsid w:val="00555509"/>
    <w:rsid w:val="00555514"/>
    <w:rsid w:val="0055558B"/>
    <w:rsid w:val="005555BC"/>
    <w:rsid w:val="00555692"/>
    <w:rsid w:val="005556A0"/>
    <w:rsid w:val="0055574B"/>
    <w:rsid w:val="00555811"/>
    <w:rsid w:val="00555A9B"/>
    <w:rsid w:val="00555C06"/>
    <w:rsid w:val="00555D91"/>
    <w:rsid w:val="00555DC2"/>
    <w:rsid w:val="00555F4C"/>
    <w:rsid w:val="00555F68"/>
    <w:rsid w:val="00556050"/>
    <w:rsid w:val="0055607A"/>
    <w:rsid w:val="0055612D"/>
    <w:rsid w:val="005561B0"/>
    <w:rsid w:val="0055631A"/>
    <w:rsid w:val="0055631D"/>
    <w:rsid w:val="00556321"/>
    <w:rsid w:val="005564D0"/>
    <w:rsid w:val="005564F1"/>
    <w:rsid w:val="0055655B"/>
    <w:rsid w:val="005565E0"/>
    <w:rsid w:val="005566B8"/>
    <w:rsid w:val="005566F7"/>
    <w:rsid w:val="00556845"/>
    <w:rsid w:val="005568F3"/>
    <w:rsid w:val="00556935"/>
    <w:rsid w:val="00556A23"/>
    <w:rsid w:val="00556A94"/>
    <w:rsid w:val="00556AE4"/>
    <w:rsid w:val="00556BB5"/>
    <w:rsid w:val="00556CCA"/>
    <w:rsid w:val="00556DAB"/>
    <w:rsid w:val="00556E2A"/>
    <w:rsid w:val="00556F80"/>
    <w:rsid w:val="00556F8D"/>
    <w:rsid w:val="00556FBB"/>
    <w:rsid w:val="00556FDB"/>
    <w:rsid w:val="0055707A"/>
    <w:rsid w:val="005570DF"/>
    <w:rsid w:val="0055712F"/>
    <w:rsid w:val="0055741D"/>
    <w:rsid w:val="00557420"/>
    <w:rsid w:val="0055757E"/>
    <w:rsid w:val="005575D8"/>
    <w:rsid w:val="005575DC"/>
    <w:rsid w:val="005575E5"/>
    <w:rsid w:val="00557653"/>
    <w:rsid w:val="005576F9"/>
    <w:rsid w:val="00557718"/>
    <w:rsid w:val="00557804"/>
    <w:rsid w:val="00557813"/>
    <w:rsid w:val="0055784E"/>
    <w:rsid w:val="00557963"/>
    <w:rsid w:val="005579C3"/>
    <w:rsid w:val="00557B71"/>
    <w:rsid w:val="00557D05"/>
    <w:rsid w:val="00557D2A"/>
    <w:rsid w:val="00557D3E"/>
    <w:rsid w:val="00557DA9"/>
    <w:rsid w:val="00557E04"/>
    <w:rsid w:val="00557E2A"/>
    <w:rsid w:val="00557EDF"/>
    <w:rsid w:val="00557F81"/>
    <w:rsid w:val="00557FD9"/>
    <w:rsid w:val="00560085"/>
    <w:rsid w:val="00560136"/>
    <w:rsid w:val="005601A9"/>
    <w:rsid w:val="005602B3"/>
    <w:rsid w:val="0056039F"/>
    <w:rsid w:val="00560518"/>
    <w:rsid w:val="0056064D"/>
    <w:rsid w:val="005606BD"/>
    <w:rsid w:val="005606EA"/>
    <w:rsid w:val="005607DA"/>
    <w:rsid w:val="00560845"/>
    <w:rsid w:val="00560887"/>
    <w:rsid w:val="005608C4"/>
    <w:rsid w:val="0056090F"/>
    <w:rsid w:val="00560A83"/>
    <w:rsid w:val="00560C01"/>
    <w:rsid w:val="00560C6D"/>
    <w:rsid w:val="00560E09"/>
    <w:rsid w:val="00560E85"/>
    <w:rsid w:val="00560E97"/>
    <w:rsid w:val="0056102D"/>
    <w:rsid w:val="00561222"/>
    <w:rsid w:val="0056122D"/>
    <w:rsid w:val="0056137B"/>
    <w:rsid w:val="005613F0"/>
    <w:rsid w:val="00561466"/>
    <w:rsid w:val="005614F5"/>
    <w:rsid w:val="005616A9"/>
    <w:rsid w:val="005616E4"/>
    <w:rsid w:val="00561850"/>
    <w:rsid w:val="0056187B"/>
    <w:rsid w:val="00561C3C"/>
    <w:rsid w:val="00561C64"/>
    <w:rsid w:val="00561D17"/>
    <w:rsid w:val="00561D2E"/>
    <w:rsid w:val="00561E03"/>
    <w:rsid w:val="00561E0E"/>
    <w:rsid w:val="00561F10"/>
    <w:rsid w:val="00561F11"/>
    <w:rsid w:val="0056208B"/>
    <w:rsid w:val="005621EE"/>
    <w:rsid w:val="00562223"/>
    <w:rsid w:val="00562294"/>
    <w:rsid w:val="005622E9"/>
    <w:rsid w:val="00562429"/>
    <w:rsid w:val="00562454"/>
    <w:rsid w:val="0056249F"/>
    <w:rsid w:val="005624C6"/>
    <w:rsid w:val="00562568"/>
    <w:rsid w:val="005625BD"/>
    <w:rsid w:val="005625EB"/>
    <w:rsid w:val="00562612"/>
    <w:rsid w:val="005626E4"/>
    <w:rsid w:val="00562748"/>
    <w:rsid w:val="0056276D"/>
    <w:rsid w:val="005628B3"/>
    <w:rsid w:val="00562928"/>
    <w:rsid w:val="005629A0"/>
    <w:rsid w:val="00562B8B"/>
    <w:rsid w:val="00562BAB"/>
    <w:rsid w:val="00562C53"/>
    <w:rsid w:val="00562D4A"/>
    <w:rsid w:val="00562D60"/>
    <w:rsid w:val="00562D9A"/>
    <w:rsid w:val="00562E1F"/>
    <w:rsid w:val="00562F17"/>
    <w:rsid w:val="00563002"/>
    <w:rsid w:val="005630A2"/>
    <w:rsid w:val="005630A4"/>
    <w:rsid w:val="00563152"/>
    <w:rsid w:val="00563293"/>
    <w:rsid w:val="00563413"/>
    <w:rsid w:val="00563457"/>
    <w:rsid w:val="00563492"/>
    <w:rsid w:val="0056360E"/>
    <w:rsid w:val="00563625"/>
    <w:rsid w:val="00563652"/>
    <w:rsid w:val="00563704"/>
    <w:rsid w:val="0056375E"/>
    <w:rsid w:val="005637C7"/>
    <w:rsid w:val="00563855"/>
    <w:rsid w:val="00563871"/>
    <w:rsid w:val="00563875"/>
    <w:rsid w:val="005638A4"/>
    <w:rsid w:val="00563949"/>
    <w:rsid w:val="00563A06"/>
    <w:rsid w:val="00563A2B"/>
    <w:rsid w:val="00563B81"/>
    <w:rsid w:val="00563C16"/>
    <w:rsid w:val="00563C21"/>
    <w:rsid w:val="00563D60"/>
    <w:rsid w:val="00563E29"/>
    <w:rsid w:val="00563EE1"/>
    <w:rsid w:val="00563F3C"/>
    <w:rsid w:val="00564145"/>
    <w:rsid w:val="00564177"/>
    <w:rsid w:val="0056417D"/>
    <w:rsid w:val="0056418C"/>
    <w:rsid w:val="005641F0"/>
    <w:rsid w:val="0056422B"/>
    <w:rsid w:val="00564288"/>
    <w:rsid w:val="0056431D"/>
    <w:rsid w:val="0056435B"/>
    <w:rsid w:val="005643EE"/>
    <w:rsid w:val="005647E7"/>
    <w:rsid w:val="00564849"/>
    <w:rsid w:val="00564854"/>
    <w:rsid w:val="00564896"/>
    <w:rsid w:val="005648E6"/>
    <w:rsid w:val="0056490C"/>
    <w:rsid w:val="0056492E"/>
    <w:rsid w:val="005649CA"/>
    <w:rsid w:val="00564A84"/>
    <w:rsid w:val="00564B73"/>
    <w:rsid w:val="00564C0C"/>
    <w:rsid w:val="00564D28"/>
    <w:rsid w:val="00564E04"/>
    <w:rsid w:val="00564EBA"/>
    <w:rsid w:val="00564F27"/>
    <w:rsid w:val="005650F4"/>
    <w:rsid w:val="005651D5"/>
    <w:rsid w:val="00565232"/>
    <w:rsid w:val="005653D0"/>
    <w:rsid w:val="005653E0"/>
    <w:rsid w:val="005654B1"/>
    <w:rsid w:val="0056562B"/>
    <w:rsid w:val="005656F9"/>
    <w:rsid w:val="0056571F"/>
    <w:rsid w:val="0056580D"/>
    <w:rsid w:val="0056582C"/>
    <w:rsid w:val="00565905"/>
    <w:rsid w:val="00565918"/>
    <w:rsid w:val="005659A0"/>
    <w:rsid w:val="005659C5"/>
    <w:rsid w:val="005659F2"/>
    <w:rsid w:val="00565A8F"/>
    <w:rsid w:val="00565AF4"/>
    <w:rsid w:val="00565B68"/>
    <w:rsid w:val="00565BEF"/>
    <w:rsid w:val="00565BF9"/>
    <w:rsid w:val="00565C0F"/>
    <w:rsid w:val="00565C85"/>
    <w:rsid w:val="00565D46"/>
    <w:rsid w:val="00565D9F"/>
    <w:rsid w:val="00565E52"/>
    <w:rsid w:val="00565EAF"/>
    <w:rsid w:val="00565F83"/>
    <w:rsid w:val="00566099"/>
    <w:rsid w:val="005660F6"/>
    <w:rsid w:val="005662BC"/>
    <w:rsid w:val="005663D7"/>
    <w:rsid w:val="005664B5"/>
    <w:rsid w:val="00566625"/>
    <w:rsid w:val="0056666F"/>
    <w:rsid w:val="005666BD"/>
    <w:rsid w:val="0056688B"/>
    <w:rsid w:val="00566941"/>
    <w:rsid w:val="00566A12"/>
    <w:rsid w:val="00566BBE"/>
    <w:rsid w:val="00566C88"/>
    <w:rsid w:val="00566DB3"/>
    <w:rsid w:val="00566DEB"/>
    <w:rsid w:val="00566FB7"/>
    <w:rsid w:val="00566FD3"/>
    <w:rsid w:val="00566FEE"/>
    <w:rsid w:val="00567017"/>
    <w:rsid w:val="005670B1"/>
    <w:rsid w:val="00567116"/>
    <w:rsid w:val="0056722A"/>
    <w:rsid w:val="005672B5"/>
    <w:rsid w:val="005673D5"/>
    <w:rsid w:val="00567458"/>
    <w:rsid w:val="005674CE"/>
    <w:rsid w:val="0056756C"/>
    <w:rsid w:val="00567575"/>
    <w:rsid w:val="00567583"/>
    <w:rsid w:val="0056774F"/>
    <w:rsid w:val="005677D0"/>
    <w:rsid w:val="0056798D"/>
    <w:rsid w:val="00567B70"/>
    <w:rsid w:val="00567B85"/>
    <w:rsid w:val="00567BFC"/>
    <w:rsid w:val="00567C67"/>
    <w:rsid w:val="00567DBB"/>
    <w:rsid w:val="00567DF6"/>
    <w:rsid w:val="00567E52"/>
    <w:rsid w:val="00567E53"/>
    <w:rsid w:val="00567EF2"/>
    <w:rsid w:val="005700BA"/>
    <w:rsid w:val="00570100"/>
    <w:rsid w:val="005701EE"/>
    <w:rsid w:val="00570285"/>
    <w:rsid w:val="00570339"/>
    <w:rsid w:val="00570478"/>
    <w:rsid w:val="005705C8"/>
    <w:rsid w:val="0057065B"/>
    <w:rsid w:val="0057075A"/>
    <w:rsid w:val="00570962"/>
    <w:rsid w:val="00570A34"/>
    <w:rsid w:val="00570CB0"/>
    <w:rsid w:val="00570EE9"/>
    <w:rsid w:val="00570FDA"/>
    <w:rsid w:val="005710D1"/>
    <w:rsid w:val="005711FD"/>
    <w:rsid w:val="005713C3"/>
    <w:rsid w:val="00571494"/>
    <w:rsid w:val="0057156A"/>
    <w:rsid w:val="005716D9"/>
    <w:rsid w:val="005718D6"/>
    <w:rsid w:val="005719D3"/>
    <w:rsid w:val="00571A1E"/>
    <w:rsid w:val="00571A87"/>
    <w:rsid w:val="00571ADF"/>
    <w:rsid w:val="00571B1C"/>
    <w:rsid w:val="00571D18"/>
    <w:rsid w:val="00571D29"/>
    <w:rsid w:val="00571D69"/>
    <w:rsid w:val="00571D9A"/>
    <w:rsid w:val="00572010"/>
    <w:rsid w:val="00572055"/>
    <w:rsid w:val="005720FB"/>
    <w:rsid w:val="00572403"/>
    <w:rsid w:val="00572489"/>
    <w:rsid w:val="005724E7"/>
    <w:rsid w:val="005725A3"/>
    <w:rsid w:val="00572618"/>
    <w:rsid w:val="00572637"/>
    <w:rsid w:val="00572970"/>
    <w:rsid w:val="005729CF"/>
    <w:rsid w:val="00572AC6"/>
    <w:rsid w:val="00572B17"/>
    <w:rsid w:val="00572C2F"/>
    <w:rsid w:val="00572D18"/>
    <w:rsid w:val="00572D7E"/>
    <w:rsid w:val="0057305B"/>
    <w:rsid w:val="00573075"/>
    <w:rsid w:val="00573158"/>
    <w:rsid w:val="005731D1"/>
    <w:rsid w:val="00573203"/>
    <w:rsid w:val="00573264"/>
    <w:rsid w:val="00573283"/>
    <w:rsid w:val="00573345"/>
    <w:rsid w:val="0057344F"/>
    <w:rsid w:val="0057346C"/>
    <w:rsid w:val="00573555"/>
    <w:rsid w:val="0057368D"/>
    <w:rsid w:val="005736F2"/>
    <w:rsid w:val="00573710"/>
    <w:rsid w:val="00573826"/>
    <w:rsid w:val="0057395D"/>
    <w:rsid w:val="00573C16"/>
    <w:rsid w:val="00573CF8"/>
    <w:rsid w:val="00573D55"/>
    <w:rsid w:val="00573D7D"/>
    <w:rsid w:val="00573EB4"/>
    <w:rsid w:val="00573F6A"/>
    <w:rsid w:val="00573F97"/>
    <w:rsid w:val="00573FA8"/>
    <w:rsid w:val="00573FB1"/>
    <w:rsid w:val="005740E5"/>
    <w:rsid w:val="005741DB"/>
    <w:rsid w:val="005742A6"/>
    <w:rsid w:val="005742E3"/>
    <w:rsid w:val="0057435A"/>
    <w:rsid w:val="00574469"/>
    <w:rsid w:val="0057447E"/>
    <w:rsid w:val="005744D7"/>
    <w:rsid w:val="00574529"/>
    <w:rsid w:val="0057457B"/>
    <w:rsid w:val="0057459A"/>
    <w:rsid w:val="00574674"/>
    <w:rsid w:val="005746A6"/>
    <w:rsid w:val="005748D4"/>
    <w:rsid w:val="00574952"/>
    <w:rsid w:val="00574A58"/>
    <w:rsid w:val="00574A83"/>
    <w:rsid w:val="00574AC1"/>
    <w:rsid w:val="00574B24"/>
    <w:rsid w:val="00574B3B"/>
    <w:rsid w:val="00574B78"/>
    <w:rsid w:val="00574C79"/>
    <w:rsid w:val="00574C7C"/>
    <w:rsid w:val="00574C8E"/>
    <w:rsid w:val="00574F56"/>
    <w:rsid w:val="00574FAB"/>
    <w:rsid w:val="00575028"/>
    <w:rsid w:val="00575049"/>
    <w:rsid w:val="0057507A"/>
    <w:rsid w:val="005751D3"/>
    <w:rsid w:val="00575219"/>
    <w:rsid w:val="005753E1"/>
    <w:rsid w:val="005754BE"/>
    <w:rsid w:val="005754F7"/>
    <w:rsid w:val="00575541"/>
    <w:rsid w:val="0057569B"/>
    <w:rsid w:val="0057577C"/>
    <w:rsid w:val="005757CE"/>
    <w:rsid w:val="0057585B"/>
    <w:rsid w:val="00575B45"/>
    <w:rsid w:val="00575C72"/>
    <w:rsid w:val="00575C99"/>
    <w:rsid w:val="00575D6E"/>
    <w:rsid w:val="0057600C"/>
    <w:rsid w:val="0057608E"/>
    <w:rsid w:val="005760BD"/>
    <w:rsid w:val="005760F9"/>
    <w:rsid w:val="0057610B"/>
    <w:rsid w:val="00576114"/>
    <w:rsid w:val="00576151"/>
    <w:rsid w:val="005761D4"/>
    <w:rsid w:val="00576205"/>
    <w:rsid w:val="005763BE"/>
    <w:rsid w:val="0057643E"/>
    <w:rsid w:val="00576447"/>
    <w:rsid w:val="00576521"/>
    <w:rsid w:val="00576529"/>
    <w:rsid w:val="00576599"/>
    <w:rsid w:val="00576781"/>
    <w:rsid w:val="00576A5F"/>
    <w:rsid w:val="00576A85"/>
    <w:rsid w:val="00576ABB"/>
    <w:rsid w:val="00576B35"/>
    <w:rsid w:val="00576BB4"/>
    <w:rsid w:val="00576C01"/>
    <w:rsid w:val="00576D34"/>
    <w:rsid w:val="00576E1D"/>
    <w:rsid w:val="00576FA2"/>
    <w:rsid w:val="00577242"/>
    <w:rsid w:val="00577281"/>
    <w:rsid w:val="005772E4"/>
    <w:rsid w:val="00577375"/>
    <w:rsid w:val="005773C8"/>
    <w:rsid w:val="005773E8"/>
    <w:rsid w:val="00577457"/>
    <w:rsid w:val="0057756D"/>
    <w:rsid w:val="00577570"/>
    <w:rsid w:val="0057769F"/>
    <w:rsid w:val="005776B2"/>
    <w:rsid w:val="00577741"/>
    <w:rsid w:val="0057774E"/>
    <w:rsid w:val="00577848"/>
    <w:rsid w:val="005778C8"/>
    <w:rsid w:val="00577A3C"/>
    <w:rsid w:val="00577B36"/>
    <w:rsid w:val="00577BC6"/>
    <w:rsid w:val="00577C11"/>
    <w:rsid w:val="00577E0D"/>
    <w:rsid w:val="00577E75"/>
    <w:rsid w:val="00577F0D"/>
    <w:rsid w:val="00577F2C"/>
    <w:rsid w:val="00577F5E"/>
    <w:rsid w:val="00577F60"/>
    <w:rsid w:val="005800D2"/>
    <w:rsid w:val="0058011F"/>
    <w:rsid w:val="00580153"/>
    <w:rsid w:val="005801EB"/>
    <w:rsid w:val="00580544"/>
    <w:rsid w:val="0058058E"/>
    <w:rsid w:val="0058060C"/>
    <w:rsid w:val="0058069C"/>
    <w:rsid w:val="005806B2"/>
    <w:rsid w:val="005806E6"/>
    <w:rsid w:val="005808E8"/>
    <w:rsid w:val="0058094D"/>
    <w:rsid w:val="00580ACB"/>
    <w:rsid w:val="00580BD1"/>
    <w:rsid w:val="00580D5F"/>
    <w:rsid w:val="00580DF2"/>
    <w:rsid w:val="00580DF7"/>
    <w:rsid w:val="00581203"/>
    <w:rsid w:val="00581241"/>
    <w:rsid w:val="00581291"/>
    <w:rsid w:val="005812D1"/>
    <w:rsid w:val="00581382"/>
    <w:rsid w:val="0058148D"/>
    <w:rsid w:val="0058155D"/>
    <w:rsid w:val="00581609"/>
    <w:rsid w:val="005816B1"/>
    <w:rsid w:val="005818A7"/>
    <w:rsid w:val="005819B0"/>
    <w:rsid w:val="005819D3"/>
    <w:rsid w:val="00581CDB"/>
    <w:rsid w:val="00581D60"/>
    <w:rsid w:val="00581DB9"/>
    <w:rsid w:val="00581DC0"/>
    <w:rsid w:val="0058208D"/>
    <w:rsid w:val="00582178"/>
    <w:rsid w:val="005821B4"/>
    <w:rsid w:val="0058226E"/>
    <w:rsid w:val="005822B2"/>
    <w:rsid w:val="0058243F"/>
    <w:rsid w:val="005824A9"/>
    <w:rsid w:val="005825A6"/>
    <w:rsid w:val="005825AF"/>
    <w:rsid w:val="00582600"/>
    <w:rsid w:val="0058269D"/>
    <w:rsid w:val="0058270F"/>
    <w:rsid w:val="0058272F"/>
    <w:rsid w:val="00582A2B"/>
    <w:rsid w:val="00582AC9"/>
    <w:rsid w:val="00582AF8"/>
    <w:rsid w:val="00582B63"/>
    <w:rsid w:val="00582B85"/>
    <w:rsid w:val="00582B8B"/>
    <w:rsid w:val="00582BB0"/>
    <w:rsid w:val="00582BBC"/>
    <w:rsid w:val="00582D1E"/>
    <w:rsid w:val="00582D9B"/>
    <w:rsid w:val="00582DE0"/>
    <w:rsid w:val="00582DEF"/>
    <w:rsid w:val="00582E2F"/>
    <w:rsid w:val="005830D7"/>
    <w:rsid w:val="00583102"/>
    <w:rsid w:val="00583115"/>
    <w:rsid w:val="0058315C"/>
    <w:rsid w:val="00583182"/>
    <w:rsid w:val="005833B2"/>
    <w:rsid w:val="005833C2"/>
    <w:rsid w:val="005835D2"/>
    <w:rsid w:val="0058364B"/>
    <w:rsid w:val="005836B9"/>
    <w:rsid w:val="005836C7"/>
    <w:rsid w:val="005836DD"/>
    <w:rsid w:val="00583735"/>
    <w:rsid w:val="005837B4"/>
    <w:rsid w:val="005838C3"/>
    <w:rsid w:val="00583A05"/>
    <w:rsid w:val="00583ACF"/>
    <w:rsid w:val="00583BDB"/>
    <w:rsid w:val="00583BF9"/>
    <w:rsid w:val="00583D5E"/>
    <w:rsid w:val="00583E2A"/>
    <w:rsid w:val="00583E5F"/>
    <w:rsid w:val="00583F84"/>
    <w:rsid w:val="005840A7"/>
    <w:rsid w:val="00584102"/>
    <w:rsid w:val="00584247"/>
    <w:rsid w:val="005842CC"/>
    <w:rsid w:val="00584369"/>
    <w:rsid w:val="00584386"/>
    <w:rsid w:val="005843F6"/>
    <w:rsid w:val="005845C4"/>
    <w:rsid w:val="0058462C"/>
    <w:rsid w:val="005846CC"/>
    <w:rsid w:val="005847D3"/>
    <w:rsid w:val="00584830"/>
    <w:rsid w:val="00584859"/>
    <w:rsid w:val="00584D4A"/>
    <w:rsid w:val="00584DA0"/>
    <w:rsid w:val="00584EA8"/>
    <w:rsid w:val="00584F10"/>
    <w:rsid w:val="00584F1F"/>
    <w:rsid w:val="00584F7C"/>
    <w:rsid w:val="00584FDB"/>
    <w:rsid w:val="00584FEC"/>
    <w:rsid w:val="0058511D"/>
    <w:rsid w:val="00585133"/>
    <w:rsid w:val="005851E3"/>
    <w:rsid w:val="00585219"/>
    <w:rsid w:val="0058526F"/>
    <w:rsid w:val="0058527D"/>
    <w:rsid w:val="005852B9"/>
    <w:rsid w:val="00585300"/>
    <w:rsid w:val="0058532F"/>
    <w:rsid w:val="00585441"/>
    <w:rsid w:val="005854B3"/>
    <w:rsid w:val="0058550D"/>
    <w:rsid w:val="0058551A"/>
    <w:rsid w:val="00585732"/>
    <w:rsid w:val="0058576B"/>
    <w:rsid w:val="00585867"/>
    <w:rsid w:val="005859D0"/>
    <w:rsid w:val="005859D2"/>
    <w:rsid w:val="005859DB"/>
    <w:rsid w:val="005859F1"/>
    <w:rsid w:val="00585A88"/>
    <w:rsid w:val="00585B98"/>
    <w:rsid w:val="00585BB3"/>
    <w:rsid w:val="00585BE1"/>
    <w:rsid w:val="00585C88"/>
    <w:rsid w:val="00585D16"/>
    <w:rsid w:val="00585E2F"/>
    <w:rsid w:val="0058616D"/>
    <w:rsid w:val="00586195"/>
    <w:rsid w:val="00586266"/>
    <w:rsid w:val="00586469"/>
    <w:rsid w:val="00586605"/>
    <w:rsid w:val="00586654"/>
    <w:rsid w:val="005866A1"/>
    <w:rsid w:val="005866E0"/>
    <w:rsid w:val="005866E5"/>
    <w:rsid w:val="0058670E"/>
    <w:rsid w:val="0058672E"/>
    <w:rsid w:val="005867F8"/>
    <w:rsid w:val="00586896"/>
    <w:rsid w:val="005868A3"/>
    <w:rsid w:val="005868DE"/>
    <w:rsid w:val="0058691C"/>
    <w:rsid w:val="00586956"/>
    <w:rsid w:val="00586967"/>
    <w:rsid w:val="00586BF8"/>
    <w:rsid w:val="00586C9C"/>
    <w:rsid w:val="00586CE2"/>
    <w:rsid w:val="00586DAA"/>
    <w:rsid w:val="00586DC9"/>
    <w:rsid w:val="00586EEF"/>
    <w:rsid w:val="00586F00"/>
    <w:rsid w:val="00586F1D"/>
    <w:rsid w:val="00586FC8"/>
    <w:rsid w:val="00587037"/>
    <w:rsid w:val="0058705F"/>
    <w:rsid w:val="005874C5"/>
    <w:rsid w:val="0058757A"/>
    <w:rsid w:val="005875BA"/>
    <w:rsid w:val="0058777F"/>
    <w:rsid w:val="005877AC"/>
    <w:rsid w:val="00587898"/>
    <w:rsid w:val="00587A15"/>
    <w:rsid w:val="00587AF2"/>
    <w:rsid w:val="00587B88"/>
    <w:rsid w:val="00587BB6"/>
    <w:rsid w:val="00587E85"/>
    <w:rsid w:val="00587EBA"/>
    <w:rsid w:val="00587EF6"/>
    <w:rsid w:val="00587F37"/>
    <w:rsid w:val="00587FC0"/>
    <w:rsid w:val="00587FE5"/>
    <w:rsid w:val="00587FED"/>
    <w:rsid w:val="0059004F"/>
    <w:rsid w:val="005900D9"/>
    <w:rsid w:val="00590149"/>
    <w:rsid w:val="0059037A"/>
    <w:rsid w:val="00590511"/>
    <w:rsid w:val="00590658"/>
    <w:rsid w:val="005907AE"/>
    <w:rsid w:val="00590867"/>
    <w:rsid w:val="005908BD"/>
    <w:rsid w:val="0059094C"/>
    <w:rsid w:val="00590A0D"/>
    <w:rsid w:val="00590A74"/>
    <w:rsid w:val="00590E03"/>
    <w:rsid w:val="00590E26"/>
    <w:rsid w:val="00590E2A"/>
    <w:rsid w:val="005911CD"/>
    <w:rsid w:val="0059127B"/>
    <w:rsid w:val="005913AF"/>
    <w:rsid w:val="005913CF"/>
    <w:rsid w:val="005913D7"/>
    <w:rsid w:val="0059142F"/>
    <w:rsid w:val="00591509"/>
    <w:rsid w:val="005915DB"/>
    <w:rsid w:val="005916CF"/>
    <w:rsid w:val="005918ED"/>
    <w:rsid w:val="0059191C"/>
    <w:rsid w:val="00591B0F"/>
    <w:rsid w:val="00591B73"/>
    <w:rsid w:val="00591FFF"/>
    <w:rsid w:val="0059207E"/>
    <w:rsid w:val="0059229A"/>
    <w:rsid w:val="00592445"/>
    <w:rsid w:val="00592507"/>
    <w:rsid w:val="00592710"/>
    <w:rsid w:val="00592750"/>
    <w:rsid w:val="00592787"/>
    <w:rsid w:val="00592799"/>
    <w:rsid w:val="005927B7"/>
    <w:rsid w:val="00592839"/>
    <w:rsid w:val="00592846"/>
    <w:rsid w:val="00592870"/>
    <w:rsid w:val="005928E5"/>
    <w:rsid w:val="0059290C"/>
    <w:rsid w:val="005929AE"/>
    <w:rsid w:val="005929BC"/>
    <w:rsid w:val="005929ED"/>
    <w:rsid w:val="00592A57"/>
    <w:rsid w:val="00592AA5"/>
    <w:rsid w:val="00592C00"/>
    <w:rsid w:val="00592E57"/>
    <w:rsid w:val="00592EDA"/>
    <w:rsid w:val="00592FAC"/>
    <w:rsid w:val="005931B1"/>
    <w:rsid w:val="0059324D"/>
    <w:rsid w:val="0059324F"/>
    <w:rsid w:val="00593364"/>
    <w:rsid w:val="005933E8"/>
    <w:rsid w:val="005933EB"/>
    <w:rsid w:val="00593570"/>
    <w:rsid w:val="00593783"/>
    <w:rsid w:val="005937ED"/>
    <w:rsid w:val="00593888"/>
    <w:rsid w:val="005938D1"/>
    <w:rsid w:val="00593906"/>
    <w:rsid w:val="00593992"/>
    <w:rsid w:val="00593994"/>
    <w:rsid w:val="005939D5"/>
    <w:rsid w:val="00593D02"/>
    <w:rsid w:val="00593F35"/>
    <w:rsid w:val="00593F93"/>
    <w:rsid w:val="00593FE2"/>
    <w:rsid w:val="00594051"/>
    <w:rsid w:val="0059418A"/>
    <w:rsid w:val="005945EC"/>
    <w:rsid w:val="00594662"/>
    <w:rsid w:val="005946B3"/>
    <w:rsid w:val="005946E7"/>
    <w:rsid w:val="005947E6"/>
    <w:rsid w:val="00594958"/>
    <w:rsid w:val="00594971"/>
    <w:rsid w:val="005949DB"/>
    <w:rsid w:val="00594A06"/>
    <w:rsid w:val="00594A63"/>
    <w:rsid w:val="00594A7D"/>
    <w:rsid w:val="00594AB5"/>
    <w:rsid w:val="00594CB1"/>
    <w:rsid w:val="00594D3C"/>
    <w:rsid w:val="00594D6B"/>
    <w:rsid w:val="00594D93"/>
    <w:rsid w:val="00594E7E"/>
    <w:rsid w:val="00594E86"/>
    <w:rsid w:val="0059500C"/>
    <w:rsid w:val="0059519C"/>
    <w:rsid w:val="0059529C"/>
    <w:rsid w:val="00595418"/>
    <w:rsid w:val="0059543D"/>
    <w:rsid w:val="0059545B"/>
    <w:rsid w:val="0059545D"/>
    <w:rsid w:val="005954AC"/>
    <w:rsid w:val="005954C0"/>
    <w:rsid w:val="00595545"/>
    <w:rsid w:val="005955C1"/>
    <w:rsid w:val="00595666"/>
    <w:rsid w:val="00595752"/>
    <w:rsid w:val="005957EF"/>
    <w:rsid w:val="0059598D"/>
    <w:rsid w:val="00595A80"/>
    <w:rsid w:val="00595D18"/>
    <w:rsid w:val="00595D96"/>
    <w:rsid w:val="00595DDC"/>
    <w:rsid w:val="00595E1B"/>
    <w:rsid w:val="00595FB8"/>
    <w:rsid w:val="00596039"/>
    <w:rsid w:val="005960DC"/>
    <w:rsid w:val="00596131"/>
    <w:rsid w:val="0059614B"/>
    <w:rsid w:val="005962CD"/>
    <w:rsid w:val="005963B6"/>
    <w:rsid w:val="005964FC"/>
    <w:rsid w:val="00596617"/>
    <w:rsid w:val="005966B7"/>
    <w:rsid w:val="00596717"/>
    <w:rsid w:val="005968C7"/>
    <w:rsid w:val="005968EA"/>
    <w:rsid w:val="0059691F"/>
    <w:rsid w:val="00596A09"/>
    <w:rsid w:val="00596A69"/>
    <w:rsid w:val="00596A6D"/>
    <w:rsid w:val="00596A8C"/>
    <w:rsid w:val="00596C55"/>
    <w:rsid w:val="00596C68"/>
    <w:rsid w:val="00596CB3"/>
    <w:rsid w:val="00596CD3"/>
    <w:rsid w:val="00596D19"/>
    <w:rsid w:val="00596D6F"/>
    <w:rsid w:val="00596D9C"/>
    <w:rsid w:val="00596FB2"/>
    <w:rsid w:val="00597052"/>
    <w:rsid w:val="0059715D"/>
    <w:rsid w:val="005972FB"/>
    <w:rsid w:val="00597326"/>
    <w:rsid w:val="00597336"/>
    <w:rsid w:val="00597420"/>
    <w:rsid w:val="00597610"/>
    <w:rsid w:val="00597626"/>
    <w:rsid w:val="005977E4"/>
    <w:rsid w:val="00597A59"/>
    <w:rsid w:val="00597A99"/>
    <w:rsid w:val="00597AA2"/>
    <w:rsid w:val="00597DEA"/>
    <w:rsid w:val="00597EE3"/>
    <w:rsid w:val="00597EE5"/>
    <w:rsid w:val="00597F67"/>
    <w:rsid w:val="00597F7B"/>
    <w:rsid w:val="005A000C"/>
    <w:rsid w:val="005A0084"/>
    <w:rsid w:val="005A01A7"/>
    <w:rsid w:val="005A0369"/>
    <w:rsid w:val="005A03F9"/>
    <w:rsid w:val="005A0432"/>
    <w:rsid w:val="005A0438"/>
    <w:rsid w:val="005A0514"/>
    <w:rsid w:val="005A055D"/>
    <w:rsid w:val="005A0771"/>
    <w:rsid w:val="005A077D"/>
    <w:rsid w:val="005A079B"/>
    <w:rsid w:val="005A07A9"/>
    <w:rsid w:val="005A07C0"/>
    <w:rsid w:val="005A08A6"/>
    <w:rsid w:val="005A08BE"/>
    <w:rsid w:val="005A099A"/>
    <w:rsid w:val="005A0AB8"/>
    <w:rsid w:val="005A0B2A"/>
    <w:rsid w:val="005A0BA4"/>
    <w:rsid w:val="005A0BD1"/>
    <w:rsid w:val="005A0DC2"/>
    <w:rsid w:val="005A0E4A"/>
    <w:rsid w:val="005A0E62"/>
    <w:rsid w:val="005A0E8C"/>
    <w:rsid w:val="005A107B"/>
    <w:rsid w:val="005A1239"/>
    <w:rsid w:val="005A128A"/>
    <w:rsid w:val="005A12EF"/>
    <w:rsid w:val="005A1376"/>
    <w:rsid w:val="005A13B6"/>
    <w:rsid w:val="005A13FE"/>
    <w:rsid w:val="005A1425"/>
    <w:rsid w:val="005A15D3"/>
    <w:rsid w:val="005A180F"/>
    <w:rsid w:val="005A184A"/>
    <w:rsid w:val="005A199C"/>
    <w:rsid w:val="005A1BA0"/>
    <w:rsid w:val="005A1E8F"/>
    <w:rsid w:val="005A1E98"/>
    <w:rsid w:val="005A1F9E"/>
    <w:rsid w:val="005A1FD3"/>
    <w:rsid w:val="005A2082"/>
    <w:rsid w:val="005A2149"/>
    <w:rsid w:val="005A2214"/>
    <w:rsid w:val="005A221E"/>
    <w:rsid w:val="005A2265"/>
    <w:rsid w:val="005A22D1"/>
    <w:rsid w:val="005A237A"/>
    <w:rsid w:val="005A242D"/>
    <w:rsid w:val="005A2532"/>
    <w:rsid w:val="005A254C"/>
    <w:rsid w:val="005A2901"/>
    <w:rsid w:val="005A2A90"/>
    <w:rsid w:val="005A2B1F"/>
    <w:rsid w:val="005A2CAF"/>
    <w:rsid w:val="005A2CC1"/>
    <w:rsid w:val="005A2D05"/>
    <w:rsid w:val="005A2E05"/>
    <w:rsid w:val="005A2E91"/>
    <w:rsid w:val="005A2EC9"/>
    <w:rsid w:val="005A3016"/>
    <w:rsid w:val="005A3172"/>
    <w:rsid w:val="005A31CB"/>
    <w:rsid w:val="005A321E"/>
    <w:rsid w:val="005A329E"/>
    <w:rsid w:val="005A32C2"/>
    <w:rsid w:val="005A32CA"/>
    <w:rsid w:val="005A32DC"/>
    <w:rsid w:val="005A3469"/>
    <w:rsid w:val="005A34A9"/>
    <w:rsid w:val="005A3519"/>
    <w:rsid w:val="005A35A9"/>
    <w:rsid w:val="005A370C"/>
    <w:rsid w:val="005A378D"/>
    <w:rsid w:val="005A3803"/>
    <w:rsid w:val="005A3985"/>
    <w:rsid w:val="005A3A01"/>
    <w:rsid w:val="005A3AEC"/>
    <w:rsid w:val="005A3D38"/>
    <w:rsid w:val="005A3E0F"/>
    <w:rsid w:val="005A3E1D"/>
    <w:rsid w:val="005A3E27"/>
    <w:rsid w:val="005A3E51"/>
    <w:rsid w:val="005A3EEB"/>
    <w:rsid w:val="005A402D"/>
    <w:rsid w:val="005A419A"/>
    <w:rsid w:val="005A41FD"/>
    <w:rsid w:val="005A423C"/>
    <w:rsid w:val="005A425A"/>
    <w:rsid w:val="005A4276"/>
    <w:rsid w:val="005A42B8"/>
    <w:rsid w:val="005A42DC"/>
    <w:rsid w:val="005A4366"/>
    <w:rsid w:val="005A43DE"/>
    <w:rsid w:val="005A440D"/>
    <w:rsid w:val="005A4558"/>
    <w:rsid w:val="005A46A9"/>
    <w:rsid w:val="005A47E5"/>
    <w:rsid w:val="005A48BF"/>
    <w:rsid w:val="005A48C8"/>
    <w:rsid w:val="005A49DA"/>
    <w:rsid w:val="005A4B3D"/>
    <w:rsid w:val="005A4CBB"/>
    <w:rsid w:val="005A4CE0"/>
    <w:rsid w:val="005A4D14"/>
    <w:rsid w:val="005A4D25"/>
    <w:rsid w:val="005A4DFE"/>
    <w:rsid w:val="005A4E33"/>
    <w:rsid w:val="005A4F0E"/>
    <w:rsid w:val="005A5151"/>
    <w:rsid w:val="005A5173"/>
    <w:rsid w:val="005A53AA"/>
    <w:rsid w:val="005A5485"/>
    <w:rsid w:val="005A54BC"/>
    <w:rsid w:val="005A57ED"/>
    <w:rsid w:val="005A57FD"/>
    <w:rsid w:val="005A5833"/>
    <w:rsid w:val="005A58F5"/>
    <w:rsid w:val="005A593F"/>
    <w:rsid w:val="005A5965"/>
    <w:rsid w:val="005A5976"/>
    <w:rsid w:val="005A5AF3"/>
    <w:rsid w:val="005A5BA2"/>
    <w:rsid w:val="005A5BD6"/>
    <w:rsid w:val="005A5CC1"/>
    <w:rsid w:val="005A5DA5"/>
    <w:rsid w:val="005A5DB8"/>
    <w:rsid w:val="005A5DC3"/>
    <w:rsid w:val="005A5E66"/>
    <w:rsid w:val="005A5F41"/>
    <w:rsid w:val="005A5FCF"/>
    <w:rsid w:val="005A6042"/>
    <w:rsid w:val="005A6070"/>
    <w:rsid w:val="005A609C"/>
    <w:rsid w:val="005A6104"/>
    <w:rsid w:val="005A618A"/>
    <w:rsid w:val="005A6402"/>
    <w:rsid w:val="005A64BA"/>
    <w:rsid w:val="005A651D"/>
    <w:rsid w:val="005A659E"/>
    <w:rsid w:val="005A65FA"/>
    <w:rsid w:val="005A660D"/>
    <w:rsid w:val="005A673A"/>
    <w:rsid w:val="005A676E"/>
    <w:rsid w:val="005A6782"/>
    <w:rsid w:val="005A67CC"/>
    <w:rsid w:val="005A68C9"/>
    <w:rsid w:val="005A6AD7"/>
    <w:rsid w:val="005A6BC5"/>
    <w:rsid w:val="005A6D0A"/>
    <w:rsid w:val="005A6E84"/>
    <w:rsid w:val="005A6F02"/>
    <w:rsid w:val="005A6F15"/>
    <w:rsid w:val="005A6F3B"/>
    <w:rsid w:val="005A6F47"/>
    <w:rsid w:val="005A6FB6"/>
    <w:rsid w:val="005A7221"/>
    <w:rsid w:val="005A72BF"/>
    <w:rsid w:val="005A741B"/>
    <w:rsid w:val="005A7437"/>
    <w:rsid w:val="005A7451"/>
    <w:rsid w:val="005A7580"/>
    <w:rsid w:val="005A78B5"/>
    <w:rsid w:val="005A7AD0"/>
    <w:rsid w:val="005A7B2F"/>
    <w:rsid w:val="005A7C0D"/>
    <w:rsid w:val="005A7DFF"/>
    <w:rsid w:val="005A7F37"/>
    <w:rsid w:val="005A7F4D"/>
    <w:rsid w:val="005A7F86"/>
    <w:rsid w:val="005A7FD2"/>
    <w:rsid w:val="005B0358"/>
    <w:rsid w:val="005B035F"/>
    <w:rsid w:val="005B0650"/>
    <w:rsid w:val="005B0658"/>
    <w:rsid w:val="005B0AA3"/>
    <w:rsid w:val="005B0B95"/>
    <w:rsid w:val="005B0BFB"/>
    <w:rsid w:val="005B0CDE"/>
    <w:rsid w:val="005B0D32"/>
    <w:rsid w:val="005B0D51"/>
    <w:rsid w:val="005B0DE9"/>
    <w:rsid w:val="005B0E40"/>
    <w:rsid w:val="005B0E69"/>
    <w:rsid w:val="005B0E96"/>
    <w:rsid w:val="005B0FB2"/>
    <w:rsid w:val="005B1034"/>
    <w:rsid w:val="005B1039"/>
    <w:rsid w:val="005B1053"/>
    <w:rsid w:val="005B1072"/>
    <w:rsid w:val="005B107D"/>
    <w:rsid w:val="005B120B"/>
    <w:rsid w:val="005B12E8"/>
    <w:rsid w:val="005B13A3"/>
    <w:rsid w:val="005B14D5"/>
    <w:rsid w:val="005B1826"/>
    <w:rsid w:val="005B186E"/>
    <w:rsid w:val="005B1896"/>
    <w:rsid w:val="005B18C5"/>
    <w:rsid w:val="005B190D"/>
    <w:rsid w:val="005B1987"/>
    <w:rsid w:val="005B19C4"/>
    <w:rsid w:val="005B1AF9"/>
    <w:rsid w:val="005B1C25"/>
    <w:rsid w:val="005B1CA7"/>
    <w:rsid w:val="005B1DA6"/>
    <w:rsid w:val="005B1E0D"/>
    <w:rsid w:val="005B1E62"/>
    <w:rsid w:val="005B1E63"/>
    <w:rsid w:val="005B1E74"/>
    <w:rsid w:val="005B1E94"/>
    <w:rsid w:val="005B1FF6"/>
    <w:rsid w:val="005B2019"/>
    <w:rsid w:val="005B201F"/>
    <w:rsid w:val="005B2041"/>
    <w:rsid w:val="005B20A1"/>
    <w:rsid w:val="005B215E"/>
    <w:rsid w:val="005B2385"/>
    <w:rsid w:val="005B2539"/>
    <w:rsid w:val="005B256B"/>
    <w:rsid w:val="005B25BA"/>
    <w:rsid w:val="005B25BF"/>
    <w:rsid w:val="005B27EB"/>
    <w:rsid w:val="005B2828"/>
    <w:rsid w:val="005B28BF"/>
    <w:rsid w:val="005B2A1C"/>
    <w:rsid w:val="005B2AE8"/>
    <w:rsid w:val="005B2B4D"/>
    <w:rsid w:val="005B2BAC"/>
    <w:rsid w:val="005B2C4F"/>
    <w:rsid w:val="005B2C6A"/>
    <w:rsid w:val="005B2D99"/>
    <w:rsid w:val="005B2DBB"/>
    <w:rsid w:val="005B2E5B"/>
    <w:rsid w:val="005B2E79"/>
    <w:rsid w:val="005B2E88"/>
    <w:rsid w:val="005B2F12"/>
    <w:rsid w:val="005B2F48"/>
    <w:rsid w:val="005B2FE5"/>
    <w:rsid w:val="005B310F"/>
    <w:rsid w:val="005B3135"/>
    <w:rsid w:val="005B316E"/>
    <w:rsid w:val="005B318A"/>
    <w:rsid w:val="005B3434"/>
    <w:rsid w:val="005B3442"/>
    <w:rsid w:val="005B3484"/>
    <w:rsid w:val="005B3624"/>
    <w:rsid w:val="005B3748"/>
    <w:rsid w:val="005B3766"/>
    <w:rsid w:val="005B38B4"/>
    <w:rsid w:val="005B39DB"/>
    <w:rsid w:val="005B39F7"/>
    <w:rsid w:val="005B3AA2"/>
    <w:rsid w:val="005B3C20"/>
    <w:rsid w:val="005B3D9F"/>
    <w:rsid w:val="005B3DBB"/>
    <w:rsid w:val="005B400C"/>
    <w:rsid w:val="005B400D"/>
    <w:rsid w:val="005B4072"/>
    <w:rsid w:val="005B409A"/>
    <w:rsid w:val="005B44B9"/>
    <w:rsid w:val="005B4541"/>
    <w:rsid w:val="005B4570"/>
    <w:rsid w:val="005B45E6"/>
    <w:rsid w:val="005B467A"/>
    <w:rsid w:val="005B4731"/>
    <w:rsid w:val="005B4808"/>
    <w:rsid w:val="005B4819"/>
    <w:rsid w:val="005B4852"/>
    <w:rsid w:val="005B48A9"/>
    <w:rsid w:val="005B4901"/>
    <w:rsid w:val="005B49CC"/>
    <w:rsid w:val="005B4AFA"/>
    <w:rsid w:val="005B4B00"/>
    <w:rsid w:val="005B4B5B"/>
    <w:rsid w:val="005B4DDB"/>
    <w:rsid w:val="005B4DE8"/>
    <w:rsid w:val="005B4E3E"/>
    <w:rsid w:val="005B4EFF"/>
    <w:rsid w:val="005B4F4C"/>
    <w:rsid w:val="005B4F63"/>
    <w:rsid w:val="005B4FF6"/>
    <w:rsid w:val="005B501F"/>
    <w:rsid w:val="005B504F"/>
    <w:rsid w:val="005B51EC"/>
    <w:rsid w:val="005B520F"/>
    <w:rsid w:val="005B534A"/>
    <w:rsid w:val="005B5642"/>
    <w:rsid w:val="005B5643"/>
    <w:rsid w:val="005B58F6"/>
    <w:rsid w:val="005B59BE"/>
    <w:rsid w:val="005B5A37"/>
    <w:rsid w:val="005B5AAA"/>
    <w:rsid w:val="005B5AAF"/>
    <w:rsid w:val="005B5B51"/>
    <w:rsid w:val="005B5C91"/>
    <w:rsid w:val="005B5DE5"/>
    <w:rsid w:val="005B5E2A"/>
    <w:rsid w:val="005B5F02"/>
    <w:rsid w:val="005B5F07"/>
    <w:rsid w:val="005B5F85"/>
    <w:rsid w:val="005B61BF"/>
    <w:rsid w:val="005B6705"/>
    <w:rsid w:val="005B6870"/>
    <w:rsid w:val="005B6955"/>
    <w:rsid w:val="005B6B1F"/>
    <w:rsid w:val="005B6B5F"/>
    <w:rsid w:val="005B6CC4"/>
    <w:rsid w:val="005B6CF7"/>
    <w:rsid w:val="005B6D82"/>
    <w:rsid w:val="005B6DAF"/>
    <w:rsid w:val="005B6DB3"/>
    <w:rsid w:val="005B7008"/>
    <w:rsid w:val="005B7018"/>
    <w:rsid w:val="005B7079"/>
    <w:rsid w:val="005B7116"/>
    <w:rsid w:val="005B71B0"/>
    <w:rsid w:val="005B729B"/>
    <w:rsid w:val="005B72E0"/>
    <w:rsid w:val="005B7376"/>
    <w:rsid w:val="005B739A"/>
    <w:rsid w:val="005B73EA"/>
    <w:rsid w:val="005B73FF"/>
    <w:rsid w:val="005B76E5"/>
    <w:rsid w:val="005B76FC"/>
    <w:rsid w:val="005B7710"/>
    <w:rsid w:val="005B7773"/>
    <w:rsid w:val="005B77F3"/>
    <w:rsid w:val="005B7840"/>
    <w:rsid w:val="005B7874"/>
    <w:rsid w:val="005B78F9"/>
    <w:rsid w:val="005B798A"/>
    <w:rsid w:val="005B7A21"/>
    <w:rsid w:val="005B7C77"/>
    <w:rsid w:val="005B7CC3"/>
    <w:rsid w:val="005B7D60"/>
    <w:rsid w:val="005B7E06"/>
    <w:rsid w:val="005B7E74"/>
    <w:rsid w:val="005B7EB3"/>
    <w:rsid w:val="005B7F65"/>
    <w:rsid w:val="005B7F7A"/>
    <w:rsid w:val="005C01A6"/>
    <w:rsid w:val="005C0213"/>
    <w:rsid w:val="005C02A4"/>
    <w:rsid w:val="005C02EC"/>
    <w:rsid w:val="005C0475"/>
    <w:rsid w:val="005C0665"/>
    <w:rsid w:val="005C06F9"/>
    <w:rsid w:val="005C07CD"/>
    <w:rsid w:val="005C081F"/>
    <w:rsid w:val="005C0930"/>
    <w:rsid w:val="005C0952"/>
    <w:rsid w:val="005C09BA"/>
    <w:rsid w:val="005C0A25"/>
    <w:rsid w:val="005C0AA2"/>
    <w:rsid w:val="005C0B23"/>
    <w:rsid w:val="005C0BC0"/>
    <w:rsid w:val="005C0BEA"/>
    <w:rsid w:val="005C0D71"/>
    <w:rsid w:val="005C0E45"/>
    <w:rsid w:val="005C103B"/>
    <w:rsid w:val="005C1259"/>
    <w:rsid w:val="005C12E8"/>
    <w:rsid w:val="005C132D"/>
    <w:rsid w:val="005C155E"/>
    <w:rsid w:val="005C1618"/>
    <w:rsid w:val="005C17CC"/>
    <w:rsid w:val="005C18C7"/>
    <w:rsid w:val="005C1989"/>
    <w:rsid w:val="005C199C"/>
    <w:rsid w:val="005C1BFC"/>
    <w:rsid w:val="005C1C1A"/>
    <w:rsid w:val="005C1C7C"/>
    <w:rsid w:val="005C1E5B"/>
    <w:rsid w:val="005C2086"/>
    <w:rsid w:val="005C20D2"/>
    <w:rsid w:val="005C2127"/>
    <w:rsid w:val="005C2142"/>
    <w:rsid w:val="005C21EB"/>
    <w:rsid w:val="005C2249"/>
    <w:rsid w:val="005C22B3"/>
    <w:rsid w:val="005C22FE"/>
    <w:rsid w:val="005C2315"/>
    <w:rsid w:val="005C24B0"/>
    <w:rsid w:val="005C2507"/>
    <w:rsid w:val="005C26A2"/>
    <w:rsid w:val="005C2862"/>
    <w:rsid w:val="005C2960"/>
    <w:rsid w:val="005C29D6"/>
    <w:rsid w:val="005C29EE"/>
    <w:rsid w:val="005C2A3E"/>
    <w:rsid w:val="005C2A4D"/>
    <w:rsid w:val="005C2AEF"/>
    <w:rsid w:val="005C2BBB"/>
    <w:rsid w:val="005C2F0E"/>
    <w:rsid w:val="005C2F8D"/>
    <w:rsid w:val="005C2FA2"/>
    <w:rsid w:val="005C2FC6"/>
    <w:rsid w:val="005C2FDE"/>
    <w:rsid w:val="005C303D"/>
    <w:rsid w:val="005C3049"/>
    <w:rsid w:val="005C3051"/>
    <w:rsid w:val="005C32FE"/>
    <w:rsid w:val="005C339F"/>
    <w:rsid w:val="005C35CB"/>
    <w:rsid w:val="005C37C1"/>
    <w:rsid w:val="005C38FF"/>
    <w:rsid w:val="005C39DF"/>
    <w:rsid w:val="005C3C16"/>
    <w:rsid w:val="005C3C58"/>
    <w:rsid w:val="005C3CFC"/>
    <w:rsid w:val="005C3DAC"/>
    <w:rsid w:val="005C3E44"/>
    <w:rsid w:val="005C3F3B"/>
    <w:rsid w:val="005C3FA4"/>
    <w:rsid w:val="005C431F"/>
    <w:rsid w:val="005C43D6"/>
    <w:rsid w:val="005C4464"/>
    <w:rsid w:val="005C4478"/>
    <w:rsid w:val="005C4544"/>
    <w:rsid w:val="005C45B4"/>
    <w:rsid w:val="005C471E"/>
    <w:rsid w:val="005C4754"/>
    <w:rsid w:val="005C47A1"/>
    <w:rsid w:val="005C4825"/>
    <w:rsid w:val="005C4A0F"/>
    <w:rsid w:val="005C4A34"/>
    <w:rsid w:val="005C4CF1"/>
    <w:rsid w:val="005C4D7E"/>
    <w:rsid w:val="005C4D82"/>
    <w:rsid w:val="005C4DED"/>
    <w:rsid w:val="005C4E95"/>
    <w:rsid w:val="005C4F95"/>
    <w:rsid w:val="005C503A"/>
    <w:rsid w:val="005C5042"/>
    <w:rsid w:val="005C50CE"/>
    <w:rsid w:val="005C51D2"/>
    <w:rsid w:val="005C5212"/>
    <w:rsid w:val="005C5264"/>
    <w:rsid w:val="005C5300"/>
    <w:rsid w:val="005C540C"/>
    <w:rsid w:val="005C5465"/>
    <w:rsid w:val="005C54A6"/>
    <w:rsid w:val="005C54B8"/>
    <w:rsid w:val="005C5518"/>
    <w:rsid w:val="005C5533"/>
    <w:rsid w:val="005C5571"/>
    <w:rsid w:val="005C5646"/>
    <w:rsid w:val="005C5658"/>
    <w:rsid w:val="005C56BB"/>
    <w:rsid w:val="005C5722"/>
    <w:rsid w:val="005C59CF"/>
    <w:rsid w:val="005C5B1F"/>
    <w:rsid w:val="005C5B5E"/>
    <w:rsid w:val="005C5B9A"/>
    <w:rsid w:val="005C5BEE"/>
    <w:rsid w:val="005C5BF7"/>
    <w:rsid w:val="005C5C34"/>
    <w:rsid w:val="005C5EA3"/>
    <w:rsid w:val="005C5F26"/>
    <w:rsid w:val="005C6001"/>
    <w:rsid w:val="005C60A7"/>
    <w:rsid w:val="005C60CA"/>
    <w:rsid w:val="005C60F0"/>
    <w:rsid w:val="005C6188"/>
    <w:rsid w:val="005C618C"/>
    <w:rsid w:val="005C6243"/>
    <w:rsid w:val="005C62F2"/>
    <w:rsid w:val="005C6304"/>
    <w:rsid w:val="005C63A5"/>
    <w:rsid w:val="005C64BF"/>
    <w:rsid w:val="005C6537"/>
    <w:rsid w:val="005C6670"/>
    <w:rsid w:val="005C66FD"/>
    <w:rsid w:val="005C67D9"/>
    <w:rsid w:val="005C68D5"/>
    <w:rsid w:val="005C69A4"/>
    <w:rsid w:val="005C6A05"/>
    <w:rsid w:val="005C6B0C"/>
    <w:rsid w:val="005C6B72"/>
    <w:rsid w:val="005C6B83"/>
    <w:rsid w:val="005C6B97"/>
    <w:rsid w:val="005C6BB3"/>
    <w:rsid w:val="005C6C5F"/>
    <w:rsid w:val="005C6CC4"/>
    <w:rsid w:val="005C6D11"/>
    <w:rsid w:val="005C6D56"/>
    <w:rsid w:val="005C6DA8"/>
    <w:rsid w:val="005C6E3C"/>
    <w:rsid w:val="005C6E8A"/>
    <w:rsid w:val="005C6ECF"/>
    <w:rsid w:val="005C6EF3"/>
    <w:rsid w:val="005C7028"/>
    <w:rsid w:val="005C702B"/>
    <w:rsid w:val="005C7038"/>
    <w:rsid w:val="005C70ED"/>
    <w:rsid w:val="005C7143"/>
    <w:rsid w:val="005C75C5"/>
    <w:rsid w:val="005C76E6"/>
    <w:rsid w:val="005C772D"/>
    <w:rsid w:val="005C772F"/>
    <w:rsid w:val="005C78CF"/>
    <w:rsid w:val="005C7B35"/>
    <w:rsid w:val="005C7D33"/>
    <w:rsid w:val="005C7D8E"/>
    <w:rsid w:val="005C7DC7"/>
    <w:rsid w:val="005C7DF3"/>
    <w:rsid w:val="005D00B1"/>
    <w:rsid w:val="005D00C0"/>
    <w:rsid w:val="005D00F0"/>
    <w:rsid w:val="005D0151"/>
    <w:rsid w:val="005D0197"/>
    <w:rsid w:val="005D01BC"/>
    <w:rsid w:val="005D0206"/>
    <w:rsid w:val="005D0215"/>
    <w:rsid w:val="005D024A"/>
    <w:rsid w:val="005D0278"/>
    <w:rsid w:val="005D036F"/>
    <w:rsid w:val="005D0403"/>
    <w:rsid w:val="005D04CE"/>
    <w:rsid w:val="005D04EF"/>
    <w:rsid w:val="005D05B7"/>
    <w:rsid w:val="005D05C5"/>
    <w:rsid w:val="005D06CF"/>
    <w:rsid w:val="005D072D"/>
    <w:rsid w:val="005D0806"/>
    <w:rsid w:val="005D0823"/>
    <w:rsid w:val="005D08E0"/>
    <w:rsid w:val="005D0AD4"/>
    <w:rsid w:val="005D0AE0"/>
    <w:rsid w:val="005D0CCA"/>
    <w:rsid w:val="005D0D83"/>
    <w:rsid w:val="005D0E0A"/>
    <w:rsid w:val="005D0F2E"/>
    <w:rsid w:val="005D0F3C"/>
    <w:rsid w:val="005D0F67"/>
    <w:rsid w:val="005D1196"/>
    <w:rsid w:val="005D14BC"/>
    <w:rsid w:val="005D15E4"/>
    <w:rsid w:val="005D16A1"/>
    <w:rsid w:val="005D16B9"/>
    <w:rsid w:val="005D1711"/>
    <w:rsid w:val="005D186B"/>
    <w:rsid w:val="005D1A1D"/>
    <w:rsid w:val="005D1ACC"/>
    <w:rsid w:val="005D1B0B"/>
    <w:rsid w:val="005D1C0E"/>
    <w:rsid w:val="005D1CE1"/>
    <w:rsid w:val="005D1CF2"/>
    <w:rsid w:val="005D1D9B"/>
    <w:rsid w:val="005D1D9E"/>
    <w:rsid w:val="005D1F6D"/>
    <w:rsid w:val="005D21BE"/>
    <w:rsid w:val="005D2258"/>
    <w:rsid w:val="005D23DC"/>
    <w:rsid w:val="005D23F3"/>
    <w:rsid w:val="005D25E8"/>
    <w:rsid w:val="005D26DA"/>
    <w:rsid w:val="005D2722"/>
    <w:rsid w:val="005D28FC"/>
    <w:rsid w:val="005D2942"/>
    <w:rsid w:val="005D2BBB"/>
    <w:rsid w:val="005D2C89"/>
    <w:rsid w:val="005D2D4F"/>
    <w:rsid w:val="005D2D5E"/>
    <w:rsid w:val="005D2E2E"/>
    <w:rsid w:val="005D30F3"/>
    <w:rsid w:val="005D311B"/>
    <w:rsid w:val="005D313C"/>
    <w:rsid w:val="005D31F2"/>
    <w:rsid w:val="005D3363"/>
    <w:rsid w:val="005D35E1"/>
    <w:rsid w:val="005D3603"/>
    <w:rsid w:val="005D363C"/>
    <w:rsid w:val="005D37E0"/>
    <w:rsid w:val="005D37E4"/>
    <w:rsid w:val="005D395D"/>
    <w:rsid w:val="005D39A9"/>
    <w:rsid w:val="005D39EA"/>
    <w:rsid w:val="005D3B27"/>
    <w:rsid w:val="005D3B42"/>
    <w:rsid w:val="005D3CF7"/>
    <w:rsid w:val="005D403D"/>
    <w:rsid w:val="005D41B5"/>
    <w:rsid w:val="005D4237"/>
    <w:rsid w:val="005D42FE"/>
    <w:rsid w:val="005D4392"/>
    <w:rsid w:val="005D4444"/>
    <w:rsid w:val="005D4464"/>
    <w:rsid w:val="005D448D"/>
    <w:rsid w:val="005D449A"/>
    <w:rsid w:val="005D456A"/>
    <w:rsid w:val="005D456D"/>
    <w:rsid w:val="005D45AB"/>
    <w:rsid w:val="005D45BB"/>
    <w:rsid w:val="005D4660"/>
    <w:rsid w:val="005D466E"/>
    <w:rsid w:val="005D46F2"/>
    <w:rsid w:val="005D470C"/>
    <w:rsid w:val="005D4755"/>
    <w:rsid w:val="005D47E5"/>
    <w:rsid w:val="005D489C"/>
    <w:rsid w:val="005D4AAA"/>
    <w:rsid w:val="005D4AB1"/>
    <w:rsid w:val="005D4AB9"/>
    <w:rsid w:val="005D4CFA"/>
    <w:rsid w:val="005D4DBF"/>
    <w:rsid w:val="005D4DE1"/>
    <w:rsid w:val="005D4F91"/>
    <w:rsid w:val="005D4FB8"/>
    <w:rsid w:val="005D4FD4"/>
    <w:rsid w:val="005D5092"/>
    <w:rsid w:val="005D50A1"/>
    <w:rsid w:val="005D50CA"/>
    <w:rsid w:val="005D5254"/>
    <w:rsid w:val="005D5274"/>
    <w:rsid w:val="005D52DF"/>
    <w:rsid w:val="005D54DC"/>
    <w:rsid w:val="005D54F3"/>
    <w:rsid w:val="005D55C5"/>
    <w:rsid w:val="005D55FC"/>
    <w:rsid w:val="005D59BA"/>
    <w:rsid w:val="005D5B5F"/>
    <w:rsid w:val="005D5C06"/>
    <w:rsid w:val="005D5D5A"/>
    <w:rsid w:val="005D5D8D"/>
    <w:rsid w:val="005D5D98"/>
    <w:rsid w:val="005D5DDE"/>
    <w:rsid w:val="005D5E73"/>
    <w:rsid w:val="005D5EB4"/>
    <w:rsid w:val="005D5EC5"/>
    <w:rsid w:val="005D6215"/>
    <w:rsid w:val="005D624E"/>
    <w:rsid w:val="005D62A5"/>
    <w:rsid w:val="005D62EA"/>
    <w:rsid w:val="005D6313"/>
    <w:rsid w:val="005D63CD"/>
    <w:rsid w:val="005D64D0"/>
    <w:rsid w:val="005D65A5"/>
    <w:rsid w:val="005D6701"/>
    <w:rsid w:val="005D68B2"/>
    <w:rsid w:val="005D69BE"/>
    <w:rsid w:val="005D6A5C"/>
    <w:rsid w:val="005D6A75"/>
    <w:rsid w:val="005D6BBA"/>
    <w:rsid w:val="005D6CBE"/>
    <w:rsid w:val="005D6CED"/>
    <w:rsid w:val="005D6D64"/>
    <w:rsid w:val="005D6E17"/>
    <w:rsid w:val="005D6F67"/>
    <w:rsid w:val="005D713B"/>
    <w:rsid w:val="005D7199"/>
    <w:rsid w:val="005D7288"/>
    <w:rsid w:val="005D7320"/>
    <w:rsid w:val="005D75C8"/>
    <w:rsid w:val="005D75FA"/>
    <w:rsid w:val="005D770F"/>
    <w:rsid w:val="005D772A"/>
    <w:rsid w:val="005D77C8"/>
    <w:rsid w:val="005D7A6A"/>
    <w:rsid w:val="005D7C05"/>
    <w:rsid w:val="005D7D48"/>
    <w:rsid w:val="005D7E93"/>
    <w:rsid w:val="005E0009"/>
    <w:rsid w:val="005E00E5"/>
    <w:rsid w:val="005E025C"/>
    <w:rsid w:val="005E02E8"/>
    <w:rsid w:val="005E0322"/>
    <w:rsid w:val="005E0363"/>
    <w:rsid w:val="005E03CA"/>
    <w:rsid w:val="005E053C"/>
    <w:rsid w:val="005E0694"/>
    <w:rsid w:val="005E06BE"/>
    <w:rsid w:val="005E0844"/>
    <w:rsid w:val="005E0923"/>
    <w:rsid w:val="005E0C4D"/>
    <w:rsid w:val="005E0CD8"/>
    <w:rsid w:val="005E0CF9"/>
    <w:rsid w:val="005E0E60"/>
    <w:rsid w:val="005E0F29"/>
    <w:rsid w:val="005E0F2C"/>
    <w:rsid w:val="005E0F41"/>
    <w:rsid w:val="005E0FAF"/>
    <w:rsid w:val="005E100E"/>
    <w:rsid w:val="005E1104"/>
    <w:rsid w:val="005E11D7"/>
    <w:rsid w:val="005E1232"/>
    <w:rsid w:val="005E1273"/>
    <w:rsid w:val="005E12BA"/>
    <w:rsid w:val="005E133F"/>
    <w:rsid w:val="005E1666"/>
    <w:rsid w:val="005E16C8"/>
    <w:rsid w:val="005E16D7"/>
    <w:rsid w:val="005E1763"/>
    <w:rsid w:val="005E17A8"/>
    <w:rsid w:val="005E1A82"/>
    <w:rsid w:val="005E1ACD"/>
    <w:rsid w:val="005E1BF9"/>
    <w:rsid w:val="005E1DCD"/>
    <w:rsid w:val="005E1DF5"/>
    <w:rsid w:val="005E1E37"/>
    <w:rsid w:val="005E1E8C"/>
    <w:rsid w:val="005E1FC6"/>
    <w:rsid w:val="005E2016"/>
    <w:rsid w:val="005E231C"/>
    <w:rsid w:val="005E2372"/>
    <w:rsid w:val="005E23B9"/>
    <w:rsid w:val="005E24F3"/>
    <w:rsid w:val="005E25DB"/>
    <w:rsid w:val="005E268B"/>
    <w:rsid w:val="005E26E8"/>
    <w:rsid w:val="005E2712"/>
    <w:rsid w:val="005E2768"/>
    <w:rsid w:val="005E2979"/>
    <w:rsid w:val="005E29A6"/>
    <w:rsid w:val="005E29AC"/>
    <w:rsid w:val="005E29EE"/>
    <w:rsid w:val="005E2A86"/>
    <w:rsid w:val="005E2A88"/>
    <w:rsid w:val="005E2B55"/>
    <w:rsid w:val="005E2D51"/>
    <w:rsid w:val="005E2D55"/>
    <w:rsid w:val="005E2DC4"/>
    <w:rsid w:val="005E2DED"/>
    <w:rsid w:val="005E2EC9"/>
    <w:rsid w:val="005E2EED"/>
    <w:rsid w:val="005E2F80"/>
    <w:rsid w:val="005E3068"/>
    <w:rsid w:val="005E31DB"/>
    <w:rsid w:val="005E3221"/>
    <w:rsid w:val="005E3241"/>
    <w:rsid w:val="005E32F8"/>
    <w:rsid w:val="005E341D"/>
    <w:rsid w:val="005E34AD"/>
    <w:rsid w:val="005E34D9"/>
    <w:rsid w:val="005E3612"/>
    <w:rsid w:val="005E36BD"/>
    <w:rsid w:val="005E36E8"/>
    <w:rsid w:val="005E3712"/>
    <w:rsid w:val="005E386C"/>
    <w:rsid w:val="005E38B6"/>
    <w:rsid w:val="005E399E"/>
    <w:rsid w:val="005E39DA"/>
    <w:rsid w:val="005E3AAD"/>
    <w:rsid w:val="005E3B4B"/>
    <w:rsid w:val="005E3B8A"/>
    <w:rsid w:val="005E3B8C"/>
    <w:rsid w:val="005E3BEE"/>
    <w:rsid w:val="005E3CD3"/>
    <w:rsid w:val="005E3E19"/>
    <w:rsid w:val="005E3E3C"/>
    <w:rsid w:val="005E3F35"/>
    <w:rsid w:val="005E4146"/>
    <w:rsid w:val="005E417E"/>
    <w:rsid w:val="005E421E"/>
    <w:rsid w:val="005E42A1"/>
    <w:rsid w:val="005E4480"/>
    <w:rsid w:val="005E45BE"/>
    <w:rsid w:val="005E45E3"/>
    <w:rsid w:val="005E4657"/>
    <w:rsid w:val="005E468B"/>
    <w:rsid w:val="005E490F"/>
    <w:rsid w:val="005E49E1"/>
    <w:rsid w:val="005E4A8D"/>
    <w:rsid w:val="005E4BFA"/>
    <w:rsid w:val="005E4C10"/>
    <w:rsid w:val="005E4C89"/>
    <w:rsid w:val="005E4CC2"/>
    <w:rsid w:val="005E4D90"/>
    <w:rsid w:val="005E4DAC"/>
    <w:rsid w:val="005E4DD5"/>
    <w:rsid w:val="005E4DF5"/>
    <w:rsid w:val="005E4E2F"/>
    <w:rsid w:val="005E4E61"/>
    <w:rsid w:val="005E4E98"/>
    <w:rsid w:val="005E4F81"/>
    <w:rsid w:val="005E5115"/>
    <w:rsid w:val="005E5177"/>
    <w:rsid w:val="005E517B"/>
    <w:rsid w:val="005E529B"/>
    <w:rsid w:val="005E52D8"/>
    <w:rsid w:val="005E5377"/>
    <w:rsid w:val="005E54D9"/>
    <w:rsid w:val="005E558C"/>
    <w:rsid w:val="005E55AD"/>
    <w:rsid w:val="005E57E0"/>
    <w:rsid w:val="005E57E8"/>
    <w:rsid w:val="005E5849"/>
    <w:rsid w:val="005E588B"/>
    <w:rsid w:val="005E59A1"/>
    <w:rsid w:val="005E59D7"/>
    <w:rsid w:val="005E59F7"/>
    <w:rsid w:val="005E5B2E"/>
    <w:rsid w:val="005E5B41"/>
    <w:rsid w:val="005E5B85"/>
    <w:rsid w:val="005E5BB3"/>
    <w:rsid w:val="005E5BD5"/>
    <w:rsid w:val="005E5BDF"/>
    <w:rsid w:val="005E5C13"/>
    <w:rsid w:val="005E5C92"/>
    <w:rsid w:val="005E5CBC"/>
    <w:rsid w:val="005E5CBF"/>
    <w:rsid w:val="005E5CD0"/>
    <w:rsid w:val="005E5CD3"/>
    <w:rsid w:val="005E5D70"/>
    <w:rsid w:val="005E5DB2"/>
    <w:rsid w:val="005E6065"/>
    <w:rsid w:val="005E6259"/>
    <w:rsid w:val="005E6366"/>
    <w:rsid w:val="005E63C7"/>
    <w:rsid w:val="005E65C0"/>
    <w:rsid w:val="005E65FA"/>
    <w:rsid w:val="005E69E4"/>
    <w:rsid w:val="005E6AC9"/>
    <w:rsid w:val="005E6B31"/>
    <w:rsid w:val="005E6B37"/>
    <w:rsid w:val="005E6C16"/>
    <w:rsid w:val="005E6F21"/>
    <w:rsid w:val="005E6FED"/>
    <w:rsid w:val="005E70C1"/>
    <w:rsid w:val="005E71AF"/>
    <w:rsid w:val="005E72B2"/>
    <w:rsid w:val="005E72DA"/>
    <w:rsid w:val="005E74AE"/>
    <w:rsid w:val="005E74DF"/>
    <w:rsid w:val="005E7594"/>
    <w:rsid w:val="005E7628"/>
    <w:rsid w:val="005E762E"/>
    <w:rsid w:val="005E768E"/>
    <w:rsid w:val="005E76D5"/>
    <w:rsid w:val="005E7703"/>
    <w:rsid w:val="005E77C3"/>
    <w:rsid w:val="005E797F"/>
    <w:rsid w:val="005E79A5"/>
    <w:rsid w:val="005E7A84"/>
    <w:rsid w:val="005E7AB6"/>
    <w:rsid w:val="005E7ABB"/>
    <w:rsid w:val="005E7B78"/>
    <w:rsid w:val="005E7ED9"/>
    <w:rsid w:val="005E7F01"/>
    <w:rsid w:val="005E7F41"/>
    <w:rsid w:val="005E7F50"/>
    <w:rsid w:val="005E7F9B"/>
    <w:rsid w:val="005E7FA6"/>
    <w:rsid w:val="005F022F"/>
    <w:rsid w:val="005F02D5"/>
    <w:rsid w:val="005F04DE"/>
    <w:rsid w:val="005F0593"/>
    <w:rsid w:val="005F05AF"/>
    <w:rsid w:val="005F086F"/>
    <w:rsid w:val="005F0969"/>
    <w:rsid w:val="005F0D0D"/>
    <w:rsid w:val="005F0D9D"/>
    <w:rsid w:val="005F0E4B"/>
    <w:rsid w:val="005F0ED5"/>
    <w:rsid w:val="005F0EF5"/>
    <w:rsid w:val="005F0F4F"/>
    <w:rsid w:val="005F10FA"/>
    <w:rsid w:val="005F112F"/>
    <w:rsid w:val="005F119C"/>
    <w:rsid w:val="005F124B"/>
    <w:rsid w:val="005F12E5"/>
    <w:rsid w:val="005F14FE"/>
    <w:rsid w:val="005F153F"/>
    <w:rsid w:val="005F15EB"/>
    <w:rsid w:val="005F1709"/>
    <w:rsid w:val="005F1757"/>
    <w:rsid w:val="005F1799"/>
    <w:rsid w:val="005F17E7"/>
    <w:rsid w:val="005F184F"/>
    <w:rsid w:val="005F1950"/>
    <w:rsid w:val="005F1956"/>
    <w:rsid w:val="005F1AC8"/>
    <w:rsid w:val="005F1BF3"/>
    <w:rsid w:val="005F1D08"/>
    <w:rsid w:val="005F1D57"/>
    <w:rsid w:val="005F1DA4"/>
    <w:rsid w:val="005F1DB3"/>
    <w:rsid w:val="005F1EF5"/>
    <w:rsid w:val="005F1F8B"/>
    <w:rsid w:val="005F1FDD"/>
    <w:rsid w:val="005F207D"/>
    <w:rsid w:val="005F20E8"/>
    <w:rsid w:val="005F2298"/>
    <w:rsid w:val="005F22B7"/>
    <w:rsid w:val="005F231E"/>
    <w:rsid w:val="005F2424"/>
    <w:rsid w:val="005F248C"/>
    <w:rsid w:val="005F24A8"/>
    <w:rsid w:val="005F24C3"/>
    <w:rsid w:val="005F25D3"/>
    <w:rsid w:val="005F2624"/>
    <w:rsid w:val="005F279E"/>
    <w:rsid w:val="005F284C"/>
    <w:rsid w:val="005F29C7"/>
    <w:rsid w:val="005F2AB7"/>
    <w:rsid w:val="005F2AD8"/>
    <w:rsid w:val="005F2BCE"/>
    <w:rsid w:val="005F2BD8"/>
    <w:rsid w:val="005F2E47"/>
    <w:rsid w:val="005F30F7"/>
    <w:rsid w:val="005F3116"/>
    <w:rsid w:val="005F328F"/>
    <w:rsid w:val="005F3355"/>
    <w:rsid w:val="005F345D"/>
    <w:rsid w:val="005F36D3"/>
    <w:rsid w:val="005F36E4"/>
    <w:rsid w:val="005F3BCD"/>
    <w:rsid w:val="005F3BF9"/>
    <w:rsid w:val="005F3C33"/>
    <w:rsid w:val="005F3D74"/>
    <w:rsid w:val="005F3F48"/>
    <w:rsid w:val="005F40BA"/>
    <w:rsid w:val="005F4154"/>
    <w:rsid w:val="005F41E0"/>
    <w:rsid w:val="005F4242"/>
    <w:rsid w:val="005F42A9"/>
    <w:rsid w:val="005F439D"/>
    <w:rsid w:val="005F461E"/>
    <w:rsid w:val="005F46A2"/>
    <w:rsid w:val="005F4777"/>
    <w:rsid w:val="005F47FB"/>
    <w:rsid w:val="005F4828"/>
    <w:rsid w:val="005F4916"/>
    <w:rsid w:val="005F4A89"/>
    <w:rsid w:val="005F4AAA"/>
    <w:rsid w:val="005F4AD2"/>
    <w:rsid w:val="005F4CB6"/>
    <w:rsid w:val="005F4D53"/>
    <w:rsid w:val="005F4DD0"/>
    <w:rsid w:val="005F4F83"/>
    <w:rsid w:val="005F4FA3"/>
    <w:rsid w:val="005F51F2"/>
    <w:rsid w:val="005F526D"/>
    <w:rsid w:val="005F531D"/>
    <w:rsid w:val="005F55A5"/>
    <w:rsid w:val="005F55D7"/>
    <w:rsid w:val="005F563C"/>
    <w:rsid w:val="005F5681"/>
    <w:rsid w:val="005F5930"/>
    <w:rsid w:val="005F5956"/>
    <w:rsid w:val="005F5A97"/>
    <w:rsid w:val="005F5B05"/>
    <w:rsid w:val="005F5B2C"/>
    <w:rsid w:val="005F5B90"/>
    <w:rsid w:val="005F5FC3"/>
    <w:rsid w:val="005F61D0"/>
    <w:rsid w:val="005F64C6"/>
    <w:rsid w:val="005F6895"/>
    <w:rsid w:val="005F69CB"/>
    <w:rsid w:val="005F6C39"/>
    <w:rsid w:val="005F6CFA"/>
    <w:rsid w:val="005F6D47"/>
    <w:rsid w:val="005F6D7C"/>
    <w:rsid w:val="005F6DF4"/>
    <w:rsid w:val="005F6E38"/>
    <w:rsid w:val="005F6F37"/>
    <w:rsid w:val="005F6F62"/>
    <w:rsid w:val="005F6F91"/>
    <w:rsid w:val="005F6FB6"/>
    <w:rsid w:val="005F7045"/>
    <w:rsid w:val="005F714F"/>
    <w:rsid w:val="005F724E"/>
    <w:rsid w:val="005F7274"/>
    <w:rsid w:val="005F72BF"/>
    <w:rsid w:val="005F737A"/>
    <w:rsid w:val="005F73A2"/>
    <w:rsid w:val="005F7457"/>
    <w:rsid w:val="005F74F9"/>
    <w:rsid w:val="005F75F8"/>
    <w:rsid w:val="005F76B8"/>
    <w:rsid w:val="005F76F4"/>
    <w:rsid w:val="005F7889"/>
    <w:rsid w:val="005F78C9"/>
    <w:rsid w:val="005F7B30"/>
    <w:rsid w:val="005F7CA2"/>
    <w:rsid w:val="005F7CCA"/>
    <w:rsid w:val="005F7DBF"/>
    <w:rsid w:val="005F7DC1"/>
    <w:rsid w:val="00600034"/>
    <w:rsid w:val="006000AA"/>
    <w:rsid w:val="0060012E"/>
    <w:rsid w:val="00600139"/>
    <w:rsid w:val="0060025F"/>
    <w:rsid w:val="006003BC"/>
    <w:rsid w:val="006003FF"/>
    <w:rsid w:val="00600416"/>
    <w:rsid w:val="0060060C"/>
    <w:rsid w:val="0060073E"/>
    <w:rsid w:val="006008DB"/>
    <w:rsid w:val="0060095C"/>
    <w:rsid w:val="00600A44"/>
    <w:rsid w:val="00600B17"/>
    <w:rsid w:val="00600BAA"/>
    <w:rsid w:val="00600BE4"/>
    <w:rsid w:val="00600BF7"/>
    <w:rsid w:val="00600C26"/>
    <w:rsid w:val="00600C4B"/>
    <w:rsid w:val="00600D9A"/>
    <w:rsid w:val="00600DA6"/>
    <w:rsid w:val="006012F4"/>
    <w:rsid w:val="00601372"/>
    <w:rsid w:val="00601425"/>
    <w:rsid w:val="006014BD"/>
    <w:rsid w:val="006014D5"/>
    <w:rsid w:val="006015B0"/>
    <w:rsid w:val="00601650"/>
    <w:rsid w:val="006016CA"/>
    <w:rsid w:val="006016E0"/>
    <w:rsid w:val="0060176D"/>
    <w:rsid w:val="00601822"/>
    <w:rsid w:val="00601844"/>
    <w:rsid w:val="006018CE"/>
    <w:rsid w:val="00601925"/>
    <w:rsid w:val="00601A36"/>
    <w:rsid w:val="00601BC3"/>
    <w:rsid w:val="00601BCF"/>
    <w:rsid w:val="00601C47"/>
    <w:rsid w:val="00601C92"/>
    <w:rsid w:val="00601E0D"/>
    <w:rsid w:val="00601F3E"/>
    <w:rsid w:val="00601FAA"/>
    <w:rsid w:val="00601FDD"/>
    <w:rsid w:val="00602038"/>
    <w:rsid w:val="0060205E"/>
    <w:rsid w:val="006020E2"/>
    <w:rsid w:val="006020FA"/>
    <w:rsid w:val="0060245C"/>
    <w:rsid w:val="00602494"/>
    <w:rsid w:val="00602543"/>
    <w:rsid w:val="0060263E"/>
    <w:rsid w:val="00602734"/>
    <w:rsid w:val="00602744"/>
    <w:rsid w:val="006028BF"/>
    <w:rsid w:val="00602A0A"/>
    <w:rsid w:val="00602B76"/>
    <w:rsid w:val="00602C62"/>
    <w:rsid w:val="00602C70"/>
    <w:rsid w:val="00602CEC"/>
    <w:rsid w:val="00602D19"/>
    <w:rsid w:val="00602D95"/>
    <w:rsid w:val="00602DCA"/>
    <w:rsid w:val="00602DCE"/>
    <w:rsid w:val="00602F2D"/>
    <w:rsid w:val="00602F52"/>
    <w:rsid w:val="00602F73"/>
    <w:rsid w:val="006030C0"/>
    <w:rsid w:val="0060311B"/>
    <w:rsid w:val="006031D3"/>
    <w:rsid w:val="0060321D"/>
    <w:rsid w:val="00603238"/>
    <w:rsid w:val="00603309"/>
    <w:rsid w:val="00603366"/>
    <w:rsid w:val="006033D5"/>
    <w:rsid w:val="006033FF"/>
    <w:rsid w:val="00603505"/>
    <w:rsid w:val="00603514"/>
    <w:rsid w:val="00603588"/>
    <w:rsid w:val="006035B7"/>
    <w:rsid w:val="006036A1"/>
    <w:rsid w:val="00603769"/>
    <w:rsid w:val="006038B8"/>
    <w:rsid w:val="006038CD"/>
    <w:rsid w:val="006039DA"/>
    <w:rsid w:val="00603BE0"/>
    <w:rsid w:val="00603DA2"/>
    <w:rsid w:val="00603E98"/>
    <w:rsid w:val="00603F65"/>
    <w:rsid w:val="0060414A"/>
    <w:rsid w:val="006041DB"/>
    <w:rsid w:val="006042D7"/>
    <w:rsid w:val="006043A0"/>
    <w:rsid w:val="00604487"/>
    <w:rsid w:val="006045E9"/>
    <w:rsid w:val="00604650"/>
    <w:rsid w:val="0060465B"/>
    <w:rsid w:val="006046F1"/>
    <w:rsid w:val="00604748"/>
    <w:rsid w:val="00604A09"/>
    <w:rsid w:val="00604A10"/>
    <w:rsid w:val="00604ABF"/>
    <w:rsid w:val="00604B76"/>
    <w:rsid w:val="00604C11"/>
    <w:rsid w:val="00604EE8"/>
    <w:rsid w:val="00604EEF"/>
    <w:rsid w:val="00604F12"/>
    <w:rsid w:val="00604F37"/>
    <w:rsid w:val="006050E0"/>
    <w:rsid w:val="00605474"/>
    <w:rsid w:val="00605667"/>
    <w:rsid w:val="006057C8"/>
    <w:rsid w:val="00605884"/>
    <w:rsid w:val="00605AFD"/>
    <w:rsid w:val="00605B37"/>
    <w:rsid w:val="00605B70"/>
    <w:rsid w:val="00605C9F"/>
    <w:rsid w:val="00605D18"/>
    <w:rsid w:val="00605D4F"/>
    <w:rsid w:val="00605DA3"/>
    <w:rsid w:val="00605E50"/>
    <w:rsid w:val="00606363"/>
    <w:rsid w:val="006063CB"/>
    <w:rsid w:val="006063E4"/>
    <w:rsid w:val="006064B9"/>
    <w:rsid w:val="0060653F"/>
    <w:rsid w:val="00606691"/>
    <w:rsid w:val="006068BD"/>
    <w:rsid w:val="006068FF"/>
    <w:rsid w:val="00606BAC"/>
    <w:rsid w:val="00606BFA"/>
    <w:rsid w:val="00606C4E"/>
    <w:rsid w:val="00606CD3"/>
    <w:rsid w:val="00606DA0"/>
    <w:rsid w:val="00606DAF"/>
    <w:rsid w:val="0060702B"/>
    <w:rsid w:val="00607033"/>
    <w:rsid w:val="00607043"/>
    <w:rsid w:val="00607084"/>
    <w:rsid w:val="006070B7"/>
    <w:rsid w:val="006071F7"/>
    <w:rsid w:val="0060727C"/>
    <w:rsid w:val="00607482"/>
    <w:rsid w:val="006075A1"/>
    <w:rsid w:val="006075DC"/>
    <w:rsid w:val="00607615"/>
    <w:rsid w:val="006076B9"/>
    <w:rsid w:val="0060774B"/>
    <w:rsid w:val="00607759"/>
    <w:rsid w:val="00607985"/>
    <w:rsid w:val="00607A84"/>
    <w:rsid w:val="00607AF9"/>
    <w:rsid w:val="00607BA3"/>
    <w:rsid w:val="00607BF4"/>
    <w:rsid w:val="00607C98"/>
    <w:rsid w:val="00607D11"/>
    <w:rsid w:val="00607DBF"/>
    <w:rsid w:val="00610044"/>
    <w:rsid w:val="006100C5"/>
    <w:rsid w:val="006101B2"/>
    <w:rsid w:val="006101DE"/>
    <w:rsid w:val="0061020A"/>
    <w:rsid w:val="0061020D"/>
    <w:rsid w:val="0061027A"/>
    <w:rsid w:val="00610409"/>
    <w:rsid w:val="00610488"/>
    <w:rsid w:val="00610638"/>
    <w:rsid w:val="0061064B"/>
    <w:rsid w:val="00610681"/>
    <w:rsid w:val="00610861"/>
    <w:rsid w:val="0061086F"/>
    <w:rsid w:val="00610884"/>
    <w:rsid w:val="00610AAA"/>
    <w:rsid w:val="00610BCD"/>
    <w:rsid w:val="00610C77"/>
    <w:rsid w:val="00610D29"/>
    <w:rsid w:val="00610E13"/>
    <w:rsid w:val="00610E2D"/>
    <w:rsid w:val="00610E9E"/>
    <w:rsid w:val="00610F3E"/>
    <w:rsid w:val="00610F87"/>
    <w:rsid w:val="00610FEA"/>
    <w:rsid w:val="0061102B"/>
    <w:rsid w:val="00611033"/>
    <w:rsid w:val="00611120"/>
    <w:rsid w:val="0061116D"/>
    <w:rsid w:val="006111E4"/>
    <w:rsid w:val="00611261"/>
    <w:rsid w:val="006112EF"/>
    <w:rsid w:val="006112F5"/>
    <w:rsid w:val="00611441"/>
    <w:rsid w:val="0061153C"/>
    <w:rsid w:val="00611642"/>
    <w:rsid w:val="00611667"/>
    <w:rsid w:val="006117A5"/>
    <w:rsid w:val="0061193B"/>
    <w:rsid w:val="006119F2"/>
    <w:rsid w:val="00611A87"/>
    <w:rsid w:val="00611AD4"/>
    <w:rsid w:val="00611B56"/>
    <w:rsid w:val="00611B5A"/>
    <w:rsid w:val="00611B9E"/>
    <w:rsid w:val="00611BEA"/>
    <w:rsid w:val="00611C2B"/>
    <w:rsid w:val="00611D15"/>
    <w:rsid w:val="00611D19"/>
    <w:rsid w:val="00611D87"/>
    <w:rsid w:val="00611EAE"/>
    <w:rsid w:val="00611ED7"/>
    <w:rsid w:val="00611EDC"/>
    <w:rsid w:val="00611F76"/>
    <w:rsid w:val="00611FB9"/>
    <w:rsid w:val="00612072"/>
    <w:rsid w:val="006121FD"/>
    <w:rsid w:val="00612201"/>
    <w:rsid w:val="00612212"/>
    <w:rsid w:val="0061225F"/>
    <w:rsid w:val="006123D4"/>
    <w:rsid w:val="006124AB"/>
    <w:rsid w:val="00612609"/>
    <w:rsid w:val="00612612"/>
    <w:rsid w:val="0061263A"/>
    <w:rsid w:val="006126C9"/>
    <w:rsid w:val="006126E3"/>
    <w:rsid w:val="006128EB"/>
    <w:rsid w:val="00612904"/>
    <w:rsid w:val="00612CF1"/>
    <w:rsid w:val="00612D7A"/>
    <w:rsid w:val="00612E5F"/>
    <w:rsid w:val="00612F1E"/>
    <w:rsid w:val="00612F66"/>
    <w:rsid w:val="00613006"/>
    <w:rsid w:val="0061323E"/>
    <w:rsid w:val="0061326E"/>
    <w:rsid w:val="006132E9"/>
    <w:rsid w:val="00613489"/>
    <w:rsid w:val="006134A5"/>
    <w:rsid w:val="006136E5"/>
    <w:rsid w:val="006136EF"/>
    <w:rsid w:val="00613875"/>
    <w:rsid w:val="00613926"/>
    <w:rsid w:val="006139E5"/>
    <w:rsid w:val="00613C6C"/>
    <w:rsid w:val="00613D9D"/>
    <w:rsid w:val="00613DE5"/>
    <w:rsid w:val="00613EAE"/>
    <w:rsid w:val="00613F81"/>
    <w:rsid w:val="00614095"/>
    <w:rsid w:val="00614327"/>
    <w:rsid w:val="00614444"/>
    <w:rsid w:val="0061445B"/>
    <w:rsid w:val="006146E1"/>
    <w:rsid w:val="0061477D"/>
    <w:rsid w:val="006147C8"/>
    <w:rsid w:val="00614857"/>
    <w:rsid w:val="0061489A"/>
    <w:rsid w:val="006148B2"/>
    <w:rsid w:val="00614970"/>
    <w:rsid w:val="006149FF"/>
    <w:rsid w:val="00614A81"/>
    <w:rsid w:val="00614B21"/>
    <w:rsid w:val="00614C18"/>
    <w:rsid w:val="00614CB3"/>
    <w:rsid w:val="00614CC5"/>
    <w:rsid w:val="00614D09"/>
    <w:rsid w:val="00614DD0"/>
    <w:rsid w:val="00614ED3"/>
    <w:rsid w:val="00614ED7"/>
    <w:rsid w:val="00614F57"/>
    <w:rsid w:val="00614F5C"/>
    <w:rsid w:val="00614F7A"/>
    <w:rsid w:val="0061507F"/>
    <w:rsid w:val="00615276"/>
    <w:rsid w:val="00615322"/>
    <w:rsid w:val="0061542E"/>
    <w:rsid w:val="006154E9"/>
    <w:rsid w:val="00615541"/>
    <w:rsid w:val="00615616"/>
    <w:rsid w:val="006157ED"/>
    <w:rsid w:val="00615981"/>
    <w:rsid w:val="0061598A"/>
    <w:rsid w:val="00615A28"/>
    <w:rsid w:val="00615B10"/>
    <w:rsid w:val="00615B57"/>
    <w:rsid w:val="00615C36"/>
    <w:rsid w:val="00615CBE"/>
    <w:rsid w:val="00615CCD"/>
    <w:rsid w:val="00615E47"/>
    <w:rsid w:val="00615EB6"/>
    <w:rsid w:val="00616091"/>
    <w:rsid w:val="0061614E"/>
    <w:rsid w:val="006161A5"/>
    <w:rsid w:val="006162F5"/>
    <w:rsid w:val="0061636C"/>
    <w:rsid w:val="006167D6"/>
    <w:rsid w:val="0061689A"/>
    <w:rsid w:val="006169AD"/>
    <w:rsid w:val="00616A3C"/>
    <w:rsid w:val="00616A96"/>
    <w:rsid w:val="00616B57"/>
    <w:rsid w:val="00616F49"/>
    <w:rsid w:val="00616F60"/>
    <w:rsid w:val="00616F7E"/>
    <w:rsid w:val="00616F90"/>
    <w:rsid w:val="00617022"/>
    <w:rsid w:val="00617227"/>
    <w:rsid w:val="006172BC"/>
    <w:rsid w:val="006172DF"/>
    <w:rsid w:val="00617321"/>
    <w:rsid w:val="0061732B"/>
    <w:rsid w:val="00617398"/>
    <w:rsid w:val="006173C1"/>
    <w:rsid w:val="00617449"/>
    <w:rsid w:val="006174A4"/>
    <w:rsid w:val="0061757C"/>
    <w:rsid w:val="006175B1"/>
    <w:rsid w:val="00617617"/>
    <w:rsid w:val="006176CA"/>
    <w:rsid w:val="006177D8"/>
    <w:rsid w:val="00617873"/>
    <w:rsid w:val="006179CF"/>
    <w:rsid w:val="00617A06"/>
    <w:rsid w:val="00617AC2"/>
    <w:rsid w:val="00617B3F"/>
    <w:rsid w:val="00617B6A"/>
    <w:rsid w:val="00617B7C"/>
    <w:rsid w:val="00617BEA"/>
    <w:rsid w:val="00617C33"/>
    <w:rsid w:val="00617C37"/>
    <w:rsid w:val="00617C4B"/>
    <w:rsid w:val="00617CCA"/>
    <w:rsid w:val="00617D3D"/>
    <w:rsid w:val="00617D91"/>
    <w:rsid w:val="00617E16"/>
    <w:rsid w:val="00617EDB"/>
    <w:rsid w:val="00620589"/>
    <w:rsid w:val="0062058D"/>
    <w:rsid w:val="00620698"/>
    <w:rsid w:val="006206E0"/>
    <w:rsid w:val="006207D2"/>
    <w:rsid w:val="00620914"/>
    <w:rsid w:val="00620973"/>
    <w:rsid w:val="006209CE"/>
    <w:rsid w:val="006209FA"/>
    <w:rsid w:val="00620A54"/>
    <w:rsid w:val="00620B3A"/>
    <w:rsid w:val="00620B4D"/>
    <w:rsid w:val="00620C5E"/>
    <w:rsid w:val="00620C8B"/>
    <w:rsid w:val="00620DBB"/>
    <w:rsid w:val="00620E9D"/>
    <w:rsid w:val="00620F6C"/>
    <w:rsid w:val="00620F70"/>
    <w:rsid w:val="00621039"/>
    <w:rsid w:val="00621054"/>
    <w:rsid w:val="006211EA"/>
    <w:rsid w:val="006212C6"/>
    <w:rsid w:val="00621300"/>
    <w:rsid w:val="006213AF"/>
    <w:rsid w:val="00621405"/>
    <w:rsid w:val="00621541"/>
    <w:rsid w:val="00621552"/>
    <w:rsid w:val="006215A0"/>
    <w:rsid w:val="0062183A"/>
    <w:rsid w:val="0062188A"/>
    <w:rsid w:val="00621897"/>
    <w:rsid w:val="006218BE"/>
    <w:rsid w:val="00621912"/>
    <w:rsid w:val="00621929"/>
    <w:rsid w:val="00621A4B"/>
    <w:rsid w:val="00621A8D"/>
    <w:rsid w:val="00621AF9"/>
    <w:rsid w:val="00621C08"/>
    <w:rsid w:val="00621D2E"/>
    <w:rsid w:val="00621D97"/>
    <w:rsid w:val="00621E23"/>
    <w:rsid w:val="00621F07"/>
    <w:rsid w:val="00621F10"/>
    <w:rsid w:val="006222C8"/>
    <w:rsid w:val="0062236A"/>
    <w:rsid w:val="00622465"/>
    <w:rsid w:val="006224C8"/>
    <w:rsid w:val="00622516"/>
    <w:rsid w:val="006225BA"/>
    <w:rsid w:val="0062268B"/>
    <w:rsid w:val="006226CF"/>
    <w:rsid w:val="006227E9"/>
    <w:rsid w:val="00622997"/>
    <w:rsid w:val="00622A3D"/>
    <w:rsid w:val="00622C67"/>
    <w:rsid w:val="00622D01"/>
    <w:rsid w:val="00622D83"/>
    <w:rsid w:val="00622DA2"/>
    <w:rsid w:val="00622E24"/>
    <w:rsid w:val="00622F01"/>
    <w:rsid w:val="00622F43"/>
    <w:rsid w:val="00622F9F"/>
    <w:rsid w:val="0062306B"/>
    <w:rsid w:val="006230B3"/>
    <w:rsid w:val="006230DB"/>
    <w:rsid w:val="00623121"/>
    <w:rsid w:val="0062322B"/>
    <w:rsid w:val="00623352"/>
    <w:rsid w:val="006233F1"/>
    <w:rsid w:val="0062348C"/>
    <w:rsid w:val="00623556"/>
    <w:rsid w:val="0062363C"/>
    <w:rsid w:val="00623671"/>
    <w:rsid w:val="00623679"/>
    <w:rsid w:val="006236F8"/>
    <w:rsid w:val="006237F6"/>
    <w:rsid w:val="006238A6"/>
    <w:rsid w:val="00623937"/>
    <w:rsid w:val="006239B2"/>
    <w:rsid w:val="00623C71"/>
    <w:rsid w:val="00623D5A"/>
    <w:rsid w:val="00623F52"/>
    <w:rsid w:val="0062401F"/>
    <w:rsid w:val="00624073"/>
    <w:rsid w:val="00624097"/>
    <w:rsid w:val="006242C3"/>
    <w:rsid w:val="006244E8"/>
    <w:rsid w:val="006244EF"/>
    <w:rsid w:val="006245DC"/>
    <w:rsid w:val="00624616"/>
    <w:rsid w:val="006246B0"/>
    <w:rsid w:val="0062474D"/>
    <w:rsid w:val="006247AE"/>
    <w:rsid w:val="006247BD"/>
    <w:rsid w:val="00624821"/>
    <w:rsid w:val="006248BA"/>
    <w:rsid w:val="00624941"/>
    <w:rsid w:val="006249D4"/>
    <w:rsid w:val="00624A23"/>
    <w:rsid w:val="00624A49"/>
    <w:rsid w:val="00624B29"/>
    <w:rsid w:val="00624BB1"/>
    <w:rsid w:val="00624C22"/>
    <w:rsid w:val="00624C4B"/>
    <w:rsid w:val="00624CE2"/>
    <w:rsid w:val="00624D26"/>
    <w:rsid w:val="00624E37"/>
    <w:rsid w:val="00624E3D"/>
    <w:rsid w:val="00624FA1"/>
    <w:rsid w:val="006250EF"/>
    <w:rsid w:val="00625162"/>
    <w:rsid w:val="00625186"/>
    <w:rsid w:val="006251D9"/>
    <w:rsid w:val="0062557F"/>
    <w:rsid w:val="00625722"/>
    <w:rsid w:val="00625726"/>
    <w:rsid w:val="00625798"/>
    <w:rsid w:val="0062580C"/>
    <w:rsid w:val="00625813"/>
    <w:rsid w:val="00625826"/>
    <w:rsid w:val="0062590E"/>
    <w:rsid w:val="0062599C"/>
    <w:rsid w:val="00625B6F"/>
    <w:rsid w:val="00625B99"/>
    <w:rsid w:val="00625BC4"/>
    <w:rsid w:val="00625C52"/>
    <w:rsid w:val="00625CE6"/>
    <w:rsid w:val="00625DF8"/>
    <w:rsid w:val="00625DFC"/>
    <w:rsid w:val="00625ED3"/>
    <w:rsid w:val="00625F46"/>
    <w:rsid w:val="00625FB6"/>
    <w:rsid w:val="006260AB"/>
    <w:rsid w:val="00626113"/>
    <w:rsid w:val="006261A9"/>
    <w:rsid w:val="00626254"/>
    <w:rsid w:val="0062625B"/>
    <w:rsid w:val="00626324"/>
    <w:rsid w:val="006263E8"/>
    <w:rsid w:val="00626432"/>
    <w:rsid w:val="0062645F"/>
    <w:rsid w:val="00626530"/>
    <w:rsid w:val="0062654C"/>
    <w:rsid w:val="00626571"/>
    <w:rsid w:val="00626637"/>
    <w:rsid w:val="00626708"/>
    <w:rsid w:val="006267E9"/>
    <w:rsid w:val="00626804"/>
    <w:rsid w:val="00626832"/>
    <w:rsid w:val="006269BF"/>
    <w:rsid w:val="00626AC6"/>
    <w:rsid w:val="00626B42"/>
    <w:rsid w:val="00626BBC"/>
    <w:rsid w:val="00626C69"/>
    <w:rsid w:val="00626E2A"/>
    <w:rsid w:val="00626FBC"/>
    <w:rsid w:val="0062718D"/>
    <w:rsid w:val="006271CA"/>
    <w:rsid w:val="0062728E"/>
    <w:rsid w:val="0062739E"/>
    <w:rsid w:val="006274CC"/>
    <w:rsid w:val="0062761D"/>
    <w:rsid w:val="00627622"/>
    <w:rsid w:val="0062768D"/>
    <w:rsid w:val="006276E2"/>
    <w:rsid w:val="006276FF"/>
    <w:rsid w:val="006278E6"/>
    <w:rsid w:val="00627B1A"/>
    <w:rsid w:val="00627BBA"/>
    <w:rsid w:val="00627C0F"/>
    <w:rsid w:val="00627C1A"/>
    <w:rsid w:val="00627C7B"/>
    <w:rsid w:val="00627D98"/>
    <w:rsid w:val="00627DE3"/>
    <w:rsid w:val="00627EB3"/>
    <w:rsid w:val="00627EEA"/>
    <w:rsid w:val="0063002E"/>
    <w:rsid w:val="006300A1"/>
    <w:rsid w:val="00630146"/>
    <w:rsid w:val="0063014D"/>
    <w:rsid w:val="00630163"/>
    <w:rsid w:val="006302E8"/>
    <w:rsid w:val="00630331"/>
    <w:rsid w:val="0063050D"/>
    <w:rsid w:val="0063054A"/>
    <w:rsid w:val="0063056B"/>
    <w:rsid w:val="0063059A"/>
    <w:rsid w:val="0063061C"/>
    <w:rsid w:val="00630691"/>
    <w:rsid w:val="006306D9"/>
    <w:rsid w:val="006307FB"/>
    <w:rsid w:val="00630855"/>
    <w:rsid w:val="0063091D"/>
    <w:rsid w:val="00630B0D"/>
    <w:rsid w:val="00630B9F"/>
    <w:rsid w:val="00630C3F"/>
    <w:rsid w:val="00630D02"/>
    <w:rsid w:val="00630D31"/>
    <w:rsid w:val="00630E40"/>
    <w:rsid w:val="00630F70"/>
    <w:rsid w:val="00630F81"/>
    <w:rsid w:val="0063112E"/>
    <w:rsid w:val="0063119C"/>
    <w:rsid w:val="006311EB"/>
    <w:rsid w:val="00631231"/>
    <w:rsid w:val="0063124C"/>
    <w:rsid w:val="00631347"/>
    <w:rsid w:val="0063140A"/>
    <w:rsid w:val="0063159F"/>
    <w:rsid w:val="006315FD"/>
    <w:rsid w:val="006316CD"/>
    <w:rsid w:val="00631853"/>
    <w:rsid w:val="006318BF"/>
    <w:rsid w:val="006319C9"/>
    <w:rsid w:val="00631A48"/>
    <w:rsid w:val="00631C04"/>
    <w:rsid w:val="00631C77"/>
    <w:rsid w:val="00631CB4"/>
    <w:rsid w:val="00631D14"/>
    <w:rsid w:val="00631D6A"/>
    <w:rsid w:val="00631DE0"/>
    <w:rsid w:val="00631E0E"/>
    <w:rsid w:val="00631E49"/>
    <w:rsid w:val="00631E54"/>
    <w:rsid w:val="0063203A"/>
    <w:rsid w:val="006321E8"/>
    <w:rsid w:val="00632261"/>
    <w:rsid w:val="00632283"/>
    <w:rsid w:val="00632475"/>
    <w:rsid w:val="006324B3"/>
    <w:rsid w:val="00632594"/>
    <w:rsid w:val="006327CB"/>
    <w:rsid w:val="006327F8"/>
    <w:rsid w:val="00632838"/>
    <w:rsid w:val="00632909"/>
    <w:rsid w:val="0063291D"/>
    <w:rsid w:val="00632986"/>
    <w:rsid w:val="00632B35"/>
    <w:rsid w:val="00632BB6"/>
    <w:rsid w:val="00632BB7"/>
    <w:rsid w:val="00632C59"/>
    <w:rsid w:val="00632C81"/>
    <w:rsid w:val="00632CC9"/>
    <w:rsid w:val="00632CE2"/>
    <w:rsid w:val="00632D56"/>
    <w:rsid w:val="00632D5B"/>
    <w:rsid w:val="00632D85"/>
    <w:rsid w:val="00632DE4"/>
    <w:rsid w:val="00632F2A"/>
    <w:rsid w:val="00633108"/>
    <w:rsid w:val="00633313"/>
    <w:rsid w:val="006333B5"/>
    <w:rsid w:val="00633411"/>
    <w:rsid w:val="006335E2"/>
    <w:rsid w:val="006336BB"/>
    <w:rsid w:val="00633809"/>
    <w:rsid w:val="006338E5"/>
    <w:rsid w:val="006338FD"/>
    <w:rsid w:val="00633A5A"/>
    <w:rsid w:val="00633AAE"/>
    <w:rsid w:val="00633BAC"/>
    <w:rsid w:val="00633BFE"/>
    <w:rsid w:val="00633CBF"/>
    <w:rsid w:val="00633EB9"/>
    <w:rsid w:val="00633F22"/>
    <w:rsid w:val="00633FC8"/>
    <w:rsid w:val="00634059"/>
    <w:rsid w:val="0063405A"/>
    <w:rsid w:val="006340A2"/>
    <w:rsid w:val="00634222"/>
    <w:rsid w:val="00634267"/>
    <w:rsid w:val="00634392"/>
    <w:rsid w:val="00634460"/>
    <w:rsid w:val="0063447F"/>
    <w:rsid w:val="006345DF"/>
    <w:rsid w:val="0063477C"/>
    <w:rsid w:val="0063479C"/>
    <w:rsid w:val="0063483B"/>
    <w:rsid w:val="00634845"/>
    <w:rsid w:val="0063489A"/>
    <w:rsid w:val="00634B55"/>
    <w:rsid w:val="00634B60"/>
    <w:rsid w:val="00634C13"/>
    <w:rsid w:val="00634E3B"/>
    <w:rsid w:val="00635111"/>
    <w:rsid w:val="00635207"/>
    <w:rsid w:val="00635385"/>
    <w:rsid w:val="006354FB"/>
    <w:rsid w:val="00635555"/>
    <w:rsid w:val="006357D7"/>
    <w:rsid w:val="006357EE"/>
    <w:rsid w:val="00635868"/>
    <w:rsid w:val="006358B8"/>
    <w:rsid w:val="006358EE"/>
    <w:rsid w:val="00635966"/>
    <w:rsid w:val="006359D9"/>
    <w:rsid w:val="00635A3B"/>
    <w:rsid w:val="00635B43"/>
    <w:rsid w:val="00635B87"/>
    <w:rsid w:val="00635BB3"/>
    <w:rsid w:val="00635BB6"/>
    <w:rsid w:val="00635CFA"/>
    <w:rsid w:val="00635D0A"/>
    <w:rsid w:val="00635D39"/>
    <w:rsid w:val="00635E59"/>
    <w:rsid w:val="00635F22"/>
    <w:rsid w:val="00635F3F"/>
    <w:rsid w:val="006364FA"/>
    <w:rsid w:val="0063659E"/>
    <w:rsid w:val="006365BC"/>
    <w:rsid w:val="00636614"/>
    <w:rsid w:val="00636642"/>
    <w:rsid w:val="00636967"/>
    <w:rsid w:val="00636A85"/>
    <w:rsid w:val="00636B85"/>
    <w:rsid w:val="00636D1F"/>
    <w:rsid w:val="00636D75"/>
    <w:rsid w:val="00636E3B"/>
    <w:rsid w:val="00636E40"/>
    <w:rsid w:val="00636EC7"/>
    <w:rsid w:val="00636F4C"/>
    <w:rsid w:val="00636F9E"/>
    <w:rsid w:val="00636FA8"/>
    <w:rsid w:val="006370B7"/>
    <w:rsid w:val="00637192"/>
    <w:rsid w:val="006371D3"/>
    <w:rsid w:val="0063727C"/>
    <w:rsid w:val="00637580"/>
    <w:rsid w:val="0063764C"/>
    <w:rsid w:val="006377FA"/>
    <w:rsid w:val="006378DA"/>
    <w:rsid w:val="00637B87"/>
    <w:rsid w:val="00637DB5"/>
    <w:rsid w:val="00637E44"/>
    <w:rsid w:val="00637ECD"/>
    <w:rsid w:val="00637F1A"/>
    <w:rsid w:val="00637F90"/>
    <w:rsid w:val="00637FF2"/>
    <w:rsid w:val="00640042"/>
    <w:rsid w:val="0064011A"/>
    <w:rsid w:val="0064023D"/>
    <w:rsid w:val="006402CB"/>
    <w:rsid w:val="00640367"/>
    <w:rsid w:val="0064059F"/>
    <w:rsid w:val="006407C7"/>
    <w:rsid w:val="006408DE"/>
    <w:rsid w:val="0064095E"/>
    <w:rsid w:val="0064096A"/>
    <w:rsid w:val="006409E4"/>
    <w:rsid w:val="00640A1B"/>
    <w:rsid w:val="00640BCA"/>
    <w:rsid w:val="00640BFB"/>
    <w:rsid w:val="00640E52"/>
    <w:rsid w:val="00640EBF"/>
    <w:rsid w:val="00640ED1"/>
    <w:rsid w:val="00641071"/>
    <w:rsid w:val="0064109A"/>
    <w:rsid w:val="00641367"/>
    <w:rsid w:val="00641471"/>
    <w:rsid w:val="0064165C"/>
    <w:rsid w:val="00641680"/>
    <w:rsid w:val="006416C2"/>
    <w:rsid w:val="0064172A"/>
    <w:rsid w:val="00641795"/>
    <w:rsid w:val="00641866"/>
    <w:rsid w:val="00641870"/>
    <w:rsid w:val="006418B7"/>
    <w:rsid w:val="0064192A"/>
    <w:rsid w:val="0064192B"/>
    <w:rsid w:val="00641974"/>
    <w:rsid w:val="006419F4"/>
    <w:rsid w:val="00641A3D"/>
    <w:rsid w:val="00641CE1"/>
    <w:rsid w:val="00641EDA"/>
    <w:rsid w:val="00642039"/>
    <w:rsid w:val="006420DF"/>
    <w:rsid w:val="0064214D"/>
    <w:rsid w:val="006421A1"/>
    <w:rsid w:val="006422DB"/>
    <w:rsid w:val="00642371"/>
    <w:rsid w:val="00642479"/>
    <w:rsid w:val="00642663"/>
    <w:rsid w:val="0064268C"/>
    <w:rsid w:val="006426A3"/>
    <w:rsid w:val="006426A9"/>
    <w:rsid w:val="0064281E"/>
    <w:rsid w:val="00642894"/>
    <w:rsid w:val="006429AC"/>
    <w:rsid w:val="00642A0E"/>
    <w:rsid w:val="00642A9C"/>
    <w:rsid w:val="00642B8C"/>
    <w:rsid w:val="00642DD0"/>
    <w:rsid w:val="00642FFD"/>
    <w:rsid w:val="00643141"/>
    <w:rsid w:val="0064317B"/>
    <w:rsid w:val="0064319D"/>
    <w:rsid w:val="00643209"/>
    <w:rsid w:val="00643247"/>
    <w:rsid w:val="006434B6"/>
    <w:rsid w:val="00643557"/>
    <w:rsid w:val="006435F9"/>
    <w:rsid w:val="006436BD"/>
    <w:rsid w:val="006437C8"/>
    <w:rsid w:val="006439B1"/>
    <w:rsid w:val="00643A26"/>
    <w:rsid w:val="00643AC2"/>
    <w:rsid w:val="00643AF2"/>
    <w:rsid w:val="00643BF9"/>
    <w:rsid w:val="00643CB0"/>
    <w:rsid w:val="00643D1E"/>
    <w:rsid w:val="00643D4E"/>
    <w:rsid w:val="00643D7B"/>
    <w:rsid w:val="00643F02"/>
    <w:rsid w:val="00643F09"/>
    <w:rsid w:val="00643F42"/>
    <w:rsid w:val="00643F82"/>
    <w:rsid w:val="00643F91"/>
    <w:rsid w:val="00643FA2"/>
    <w:rsid w:val="0064402E"/>
    <w:rsid w:val="00644107"/>
    <w:rsid w:val="00644109"/>
    <w:rsid w:val="00644172"/>
    <w:rsid w:val="0064421A"/>
    <w:rsid w:val="00644324"/>
    <w:rsid w:val="00644472"/>
    <w:rsid w:val="00644646"/>
    <w:rsid w:val="0064464B"/>
    <w:rsid w:val="00644753"/>
    <w:rsid w:val="0064479D"/>
    <w:rsid w:val="006447F0"/>
    <w:rsid w:val="00644861"/>
    <w:rsid w:val="00644885"/>
    <w:rsid w:val="00644891"/>
    <w:rsid w:val="006448E1"/>
    <w:rsid w:val="006448F1"/>
    <w:rsid w:val="006449FD"/>
    <w:rsid w:val="00644A9A"/>
    <w:rsid w:val="00644BFE"/>
    <w:rsid w:val="00644C27"/>
    <w:rsid w:val="00644CC8"/>
    <w:rsid w:val="00644D99"/>
    <w:rsid w:val="00644E3D"/>
    <w:rsid w:val="00644EC7"/>
    <w:rsid w:val="00644EE9"/>
    <w:rsid w:val="00644F7C"/>
    <w:rsid w:val="006450F5"/>
    <w:rsid w:val="00645337"/>
    <w:rsid w:val="006453D3"/>
    <w:rsid w:val="006453F3"/>
    <w:rsid w:val="006454BA"/>
    <w:rsid w:val="006454D0"/>
    <w:rsid w:val="0064552E"/>
    <w:rsid w:val="006455A8"/>
    <w:rsid w:val="006455E7"/>
    <w:rsid w:val="006456F4"/>
    <w:rsid w:val="0064570F"/>
    <w:rsid w:val="0064592F"/>
    <w:rsid w:val="00645B46"/>
    <w:rsid w:val="00645C0C"/>
    <w:rsid w:val="00645C31"/>
    <w:rsid w:val="00645C87"/>
    <w:rsid w:val="00645DAF"/>
    <w:rsid w:val="00645E94"/>
    <w:rsid w:val="00645EDF"/>
    <w:rsid w:val="00645F48"/>
    <w:rsid w:val="00645F5F"/>
    <w:rsid w:val="00646166"/>
    <w:rsid w:val="00646211"/>
    <w:rsid w:val="00646262"/>
    <w:rsid w:val="006462B8"/>
    <w:rsid w:val="0064637C"/>
    <w:rsid w:val="0064649D"/>
    <w:rsid w:val="006469CC"/>
    <w:rsid w:val="00646B46"/>
    <w:rsid w:val="00646B81"/>
    <w:rsid w:val="00646B85"/>
    <w:rsid w:val="00646DD7"/>
    <w:rsid w:val="00646E63"/>
    <w:rsid w:val="00647018"/>
    <w:rsid w:val="0064704A"/>
    <w:rsid w:val="006470EA"/>
    <w:rsid w:val="006471FD"/>
    <w:rsid w:val="00647234"/>
    <w:rsid w:val="00647305"/>
    <w:rsid w:val="00647381"/>
    <w:rsid w:val="006473B1"/>
    <w:rsid w:val="00647511"/>
    <w:rsid w:val="00647529"/>
    <w:rsid w:val="00647621"/>
    <w:rsid w:val="00647627"/>
    <w:rsid w:val="00647692"/>
    <w:rsid w:val="0064770B"/>
    <w:rsid w:val="0064781E"/>
    <w:rsid w:val="00647B42"/>
    <w:rsid w:val="00647B78"/>
    <w:rsid w:val="00647C9D"/>
    <w:rsid w:val="00647E3F"/>
    <w:rsid w:val="00647F16"/>
    <w:rsid w:val="00650124"/>
    <w:rsid w:val="0065021D"/>
    <w:rsid w:val="006503D6"/>
    <w:rsid w:val="00650405"/>
    <w:rsid w:val="0065059A"/>
    <w:rsid w:val="00650662"/>
    <w:rsid w:val="00650707"/>
    <w:rsid w:val="00650717"/>
    <w:rsid w:val="00650745"/>
    <w:rsid w:val="00650914"/>
    <w:rsid w:val="00650980"/>
    <w:rsid w:val="006509BE"/>
    <w:rsid w:val="00650A97"/>
    <w:rsid w:val="00650C98"/>
    <w:rsid w:val="00651059"/>
    <w:rsid w:val="006510B4"/>
    <w:rsid w:val="006512CF"/>
    <w:rsid w:val="00651312"/>
    <w:rsid w:val="00651446"/>
    <w:rsid w:val="006515DC"/>
    <w:rsid w:val="006517AF"/>
    <w:rsid w:val="0065189D"/>
    <w:rsid w:val="0065198C"/>
    <w:rsid w:val="0065199C"/>
    <w:rsid w:val="0065199D"/>
    <w:rsid w:val="006519C4"/>
    <w:rsid w:val="006519DA"/>
    <w:rsid w:val="00651A85"/>
    <w:rsid w:val="00651DC0"/>
    <w:rsid w:val="00651DF2"/>
    <w:rsid w:val="00651ED3"/>
    <w:rsid w:val="00651F63"/>
    <w:rsid w:val="00651F74"/>
    <w:rsid w:val="00652046"/>
    <w:rsid w:val="006520A3"/>
    <w:rsid w:val="00652238"/>
    <w:rsid w:val="0065232D"/>
    <w:rsid w:val="00652384"/>
    <w:rsid w:val="006525D6"/>
    <w:rsid w:val="00652642"/>
    <w:rsid w:val="0065270D"/>
    <w:rsid w:val="006527C7"/>
    <w:rsid w:val="006527FA"/>
    <w:rsid w:val="0065286A"/>
    <w:rsid w:val="006528DB"/>
    <w:rsid w:val="00652907"/>
    <w:rsid w:val="00652AFC"/>
    <w:rsid w:val="00652B37"/>
    <w:rsid w:val="00652B65"/>
    <w:rsid w:val="00652B7C"/>
    <w:rsid w:val="00652CA9"/>
    <w:rsid w:val="00652CCE"/>
    <w:rsid w:val="00652CF3"/>
    <w:rsid w:val="00652D13"/>
    <w:rsid w:val="00652E1F"/>
    <w:rsid w:val="00652E6C"/>
    <w:rsid w:val="00652E92"/>
    <w:rsid w:val="00652F06"/>
    <w:rsid w:val="00652F13"/>
    <w:rsid w:val="00652F6D"/>
    <w:rsid w:val="00652F91"/>
    <w:rsid w:val="00652FDC"/>
    <w:rsid w:val="006531BC"/>
    <w:rsid w:val="006532ED"/>
    <w:rsid w:val="006533BB"/>
    <w:rsid w:val="00653535"/>
    <w:rsid w:val="006535C6"/>
    <w:rsid w:val="00653679"/>
    <w:rsid w:val="00653768"/>
    <w:rsid w:val="0065377F"/>
    <w:rsid w:val="006537E0"/>
    <w:rsid w:val="006538FF"/>
    <w:rsid w:val="00653BEE"/>
    <w:rsid w:val="00653CCB"/>
    <w:rsid w:val="00653F9B"/>
    <w:rsid w:val="00654154"/>
    <w:rsid w:val="006541B7"/>
    <w:rsid w:val="00654361"/>
    <w:rsid w:val="00654648"/>
    <w:rsid w:val="006546F3"/>
    <w:rsid w:val="006547EB"/>
    <w:rsid w:val="006548C8"/>
    <w:rsid w:val="00654900"/>
    <w:rsid w:val="00654A18"/>
    <w:rsid w:val="00654A4E"/>
    <w:rsid w:val="00654AF8"/>
    <w:rsid w:val="00654B23"/>
    <w:rsid w:val="00654C3D"/>
    <w:rsid w:val="00654D5B"/>
    <w:rsid w:val="00654D85"/>
    <w:rsid w:val="00654E88"/>
    <w:rsid w:val="00654EA0"/>
    <w:rsid w:val="00655163"/>
    <w:rsid w:val="0065518B"/>
    <w:rsid w:val="00655326"/>
    <w:rsid w:val="00655437"/>
    <w:rsid w:val="006554E5"/>
    <w:rsid w:val="006554F1"/>
    <w:rsid w:val="00655533"/>
    <w:rsid w:val="0065567A"/>
    <w:rsid w:val="0065572C"/>
    <w:rsid w:val="00655742"/>
    <w:rsid w:val="00655799"/>
    <w:rsid w:val="006557DC"/>
    <w:rsid w:val="006557ED"/>
    <w:rsid w:val="00655910"/>
    <w:rsid w:val="0065598B"/>
    <w:rsid w:val="00655A74"/>
    <w:rsid w:val="00655BE9"/>
    <w:rsid w:val="00655CA7"/>
    <w:rsid w:val="00655CAC"/>
    <w:rsid w:val="00655E81"/>
    <w:rsid w:val="00655EF8"/>
    <w:rsid w:val="00655F6D"/>
    <w:rsid w:val="00655F9C"/>
    <w:rsid w:val="00655FA5"/>
    <w:rsid w:val="00655FED"/>
    <w:rsid w:val="0065607B"/>
    <w:rsid w:val="006560A6"/>
    <w:rsid w:val="006560B6"/>
    <w:rsid w:val="0065622D"/>
    <w:rsid w:val="00656580"/>
    <w:rsid w:val="0065673E"/>
    <w:rsid w:val="006567B5"/>
    <w:rsid w:val="00656815"/>
    <w:rsid w:val="00656938"/>
    <w:rsid w:val="0065698C"/>
    <w:rsid w:val="00656A42"/>
    <w:rsid w:val="00656A64"/>
    <w:rsid w:val="00656ACB"/>
    <w:rsid w:val="00656AD1"/>
    <w:rsid w:val="00656AF0"/>
    <w:rsid w:val="00656AF4"/>
    <w:rsid w:val="00656B09"/>
    <w:rsid w:val="00656B2E"/>
    <w:rsid w:val="00656BA6"/>
    <w:rsid w:val="00656D7C"/>
    <w:rsid w:val="00656DB5"/>
    <w:rsid w:val="00656E1F"/>
    <w:rsid w:val="00656FA6"/>
    <w:rsid w:val="00656FD6"/>
    <w:rsid w:val="00656FEF"/>
    <w:rsid w:val="00657074"/>
    <w:rsid w:val="006570F7"/>
    <w:rsid w:val="00657183"/>
    <w:rsid w:val="00657256"/>
    <w:rsid w:val="006572A0"/>
    <w:rsid w:val="0065743F"/>
    <w:rsid w:val="00657444"/>
    <w:rsid w:val="0065757A"/>
    <w:rsid w:val="00657597"/>
    <w:rsid w:val="0065765D"/>
    <w:rsid w:val="006576BE"/>
    <w:rsid w:val="00657863"/>
    <w:rsid w:val="006578F4"/>
    <w:rsid w:val="00657965"/>
    <w:rsid w:val="00657B18"/>
    <w:rsid w:val="00657D8F"/>
    <w:rsid w:val="00657E35"/>
    <w:rsid w:val="00657E43"/>
    <w:rsid w:val="00657EB0"/>
    <w:rsid w:val="00657FC2"/>
    <w:rsid w:val="00657FD9"/>
    <w:rsid w:val="0066001B"/>
    <w:rsid w:val="006600DC"/>
    <w:rsid w:val="0066018C"/>
    <w:rsid w:val="006601D8"/>
    <w:rsid w:val="006601F9"/>
    <w:rsid w:val="006601FE"/>
    <w:rsid w:val="006602F0"/>
    <w:rsid w:val="006603A5"/>
    <w:rsid w:val="006603BD"/>
    <w:rsid w:val="00660465"/>
    <w:rsid w:val="00660726"/>
    <w:rsid w:val="00660804"/>
    <w:rsid w:val="00660874"/>
    <w:rsid w:val="00660B09"/>
    <w:rsid w:val="00661019"/>
    <w:rsid w:val="006610DE"/>
    <w:rsid w:val="006611B4"/>
    <w:rsid w:val="00661231"/>
    <w:rsid w:val="006612E1"/>
    <w:rsid w:val="006613E9"/>
    <w:rsid w:val="0066143C"/>
    <w:rsid w:val="00661454"/>
    <w:rsid w:val="006614A5"/>
    <w:rsid w:val="0066154D"/>
    <w:rsid w:val="006615EC"/>
    <w:rsid w:val="0066160C"/>
    <w:rsid w:val="0066165A"/>
    <w:rsid w:val="0066193B"/>
    <w:rsid w:val="00661BD9"/>
    <w:rsid w:val="00661D9E"/>
    <w:rsid w:val="00661DC8"/>
    <w:rsid w:val="00661EDF"/>
    <w:rsid w:val="00661F08"/>
    <w:rsid w:val="00661FA7"/>
    <w:rsid w:val="00662040"/>
    <w:rsid w:val="0066208C"/>
    <w:rsid w:val="006620A4"/>
    <w:rsid w:val="00662173"/>
    <w:rsid w:val="0066228A"/>
    <w:rsid w:val="006622C6"/>
    <w:rsid w:val="006622D6"/>
    <w:rsid w:val="00662479"/>
    <w:rsid w:val="0066253C"/>
    <w:rsid w:val="0066272F"/>
    <w:rsid w:val="006628C0"/>
    <w:rsid w:val="006629E7"/>
    <w:rsid w:val="00662B0B"/>
    <w:rsid w:val="00662CE3"/>
    <w:rsid w:val="00662DC9"/>
    <w:rsid w:val="00662E14"/>
    <w:rsid w:val="0066324F"/>
    <w:rsid w:val="006632C0"/>
    <w:rsid w:val="006633AE"/>
    <w:rsid w:val="00663661"/>
    <w:rsid w:val="006636D9"/>
    <w:rsid w:val="00663854"/>
    <w:rsid w:val="0066388D"/>
    <w:rsid w:val="00663AFF"/>
    <w:rsid w:val="00663B6D"/>
    <w:rsid w:val="00663C10"/>
    <w:rsid w:val="00663C12"/>
    <w:rsid w:val="00663C76"/>
    <w:rsid w:val="00663D43"/>
    <w:rsid w:val="00663DB7"/>
    <w:rsid w:val="00663E02"/>
    <w:rsid w:val="00663E42"/>
    <w:rsid w:val="00663E7E"/>
    <w:rsid w:val="00663E9B"/>
    <w:rsid w:val="00663F9B"/>
    <w:rsid w:val="00663FC3"/>
    <w:rsid w:val="006640B1"/>
    <w:rsid w:val="006640F4"/>
    <w:rsid w:val="0066418A"/>
    <w:rsid w:val="006641B5"/>
    <w:rsid w:val="006643D1"/>
    <w:rsid w:val="006643E0"/>
    <w:rsid w:val="006644D5"/>
    <w:rsid w:val="00664503"/>
    <w:rsid w:val="0066451C"/>
    <w:rsid w:val="006645C1"/>
    <w:rsid w:val="006645EC"/>
    <w:rsid w:val="00664775"/>
    <w:rsid w:val="006648AC"/>
    <w:rsid w:val="00664926"/>
    <w:rsid w:val="006649EB"/>
    <w:rsid w:val="00664A29"/>
    <w:rsid w:val="00664B9B"/>
    <w:rsid w:val="00664CC1"/>
    <w:rsid w:val="00664CC2"/>
    <w:rsid w:val="00664D18"/>
    <w:rsid w:val="00664D2D"/>
    <w:rsid w:val="00664E36"/>
    <w:rsid w:val="00664EA2"/>
    <w:rsid w:val="00665002"/>
    <w:rsid w:val="006650AD"/>
    <w:rsid w:val="00665181"/>
    <w:rsid w:val="00665221"/>
    <w:rsid w:val="00665272"/>
    <w:rsid w:val="006652D0"/>
    <w:rsid w:val="006652D9"/>
    <w:rsid w:val="006654F6"/>
    <w:rsid w:val="0066552B"/>
    <w:rsid w:val="0066557F"/>
    <w:rsid w:val="006655E4"/>
    <w:rsid w:val="00665664"/>
    <w:rsid w:val="0066569D"/>
    <w:rsid w:val="006656A3"/>
    <w:rsid w:val="006656C4"/>
    <w:rsid w:val="0066574E"/>
    <w:rsid w:val="006657C1"/>
    <w:rsid w:val="0066585C"/>
    <w:rsid w:val="006658EB"/>
    <w:rsid w:val="00665A0B"/>
    <w:rsid w:val="00665B6B"/>
    <w:rsid w:val="00665DAA"/>
    <w:rsid w:val="00665F83"/>
    <w:rsid w:val="00665F85"/>
    <w:rsid w:val="00665FA8"/>
    <w:rsid w:val="0066603F"/>
    <w:rsid w:val="006660B2"/>
    <w:rsid w:val="006660EF"/>
    <w:rsid w:val="00666152"/>
    <w:rsid w:val="006663A7"/>
    <w:rsid w:val="006663B6"/>
    <w:rsid w:val="0066644D"/>
    <w:rsid w:val="006664B9"/>
    <w:rsid w:val="00666573"/>
    <w:rsid w:val="006665C7"/>
    <w:rsid w:val="006665D7"/>
    <w:rsid w:val="006667F0"/>
    <w:rsid w:val="00666801"/>
    <w:rsid w:val="00666873"/>
    <w:rsid w:val="00666928"/>
    <w:rsid w:val="0066692B"/>
    <w:rsid w:val="0066697A"/>
    <w:rsid w:val="006669FD"/>
    <w:rsid w:val="00666A2C"/>
    <w:rsid w:val="00666AD1"/>
    <w:rsid w:val="00666B77"/>
    <w:rsid w:val="00666C5E"/>
    <w:rsid w:val="00666DFF"/>
    <w:rsid w:val="00666E0F"/>
    <w:rsid w:val="00666E1D"/>
    <w:rsid w:val="00666E2C"/>
    <w:rsid w:val="00666E65"/>
    <w:rsid w:val="00666E72"/>
    <w:rsid w:val="00666E81"/>
    <w:rsid w:val="006673A9"/>
    <w:rsid w:val="006674C2"/>
    <w:rsid w:val="00667636"/>
    <w:rsid w:val="00667683"/>
    <w:rsid w:val="00667988"/>
    <w:rsid w:val="00667AEB"/>
    <w:rsid w:val="00667B5F"/>
    <w:rsid w:val="00667B7A"/>
    <w:rsid w:val="00667BB3"/>
    <w:rsid w:val="00667C8E"/>
    <w:rsid w:val="00667D4A"/>
    <w:rsid w:val="00667DD5"/>
    <w:rsid w:val="00667DE4"/>
    <w:rsid w:val="00667E0B"/>
    <w:rsid w:val="00667E9B"/>
    <w:rsid w:val="00667EC6"/>
    <w:rsid w:val="00667F1E"/>
    <w:rsid w:val="00667F79"/>
    <w:rsid w:val="00667FA2"/>
    <w:rsid w:val="00667FAE"/>
    <w:rsid w:val="00670009"/>
    <w:rsid w:val="0067011E"/>
    <w:rsid w:val="00670121"/>
    <w:rsid w:val="006701A5"/>
    <w:rsid w:val="006701B7"/>
    <w:rsid w:val="00670233"/>
    <w:rsid w:val="00670234"/>
    <w:rsid w:val="006702FE"/>
    <w:rsid w:val="006703A6"/>
    <w:rsid w:val="00670541"/>
    <w:rsid w:val="00670542"/>
    <w:rsid w:val="0067077A"/>
    <w:rsid w:val="0067086F"/>
    <w:rsid w:val="00670922"/>
    <w:rsid w:val="0067099B"/>
    <w:rsid w:val="006709F1"/>
    <w:rsid w:val="00670A3F"/>
    <w:rsid w:val="00670A8D"/>
    <w:rsid w:val="00670AC4"/>
    <w:rsid w:val="00670ADB"/>
    <w:rsid w:val="00670CC5"/>
    <w:rsid w:val="00670ECA"/>
    <w:rsid w:val="00670F34"/>
    <w:rsid w:val="0067112D"/>
    <w:rsid w:val="00671163"/>
    <w:rsid w:val="006712A4"/>
    <w:rsid w:val="006712BA"/>
    <w:rsid w:val="006712CC"/>
    <w:rsid w:val="00671433"/>
    <w:rsid w:val="006716EA"/>
    <w:rsid w:val="006716EC"/>
    <w:rsid w:val="00671724"/>
    <w:rsid w:val="0067172A"/>
    <w:rsid w:val="0067173C"/>
    <w:rsid w:val="006717B8"/>
    <w:rsid w:val="00671960"/>
    <w:rsid w:val="00671972"/>
    <w:rsid w:val="00671A62"/>
    <w:rsid w:val="00671B03"/>
    <w:rsid w:val="00671B7C"/>
    <w:rsid w:val="00671BD9"/>
    <w:rsid w:val="00671CB4"/>
    <w:rsid w:val="00671D42"/>
    <w:rsid w:val="00671FA2"/>
    <w:rsid w:val="00672135"/>
    <w:rsid w:val="00672200"/>
    <w:rsid w:val="00672215"/>
    <w:rsid w:val="0067228D"/>
    <w:rsid w:val="006722D0"/>
    <w:rsid w:val="00672304"/>
    <w:rsid w:val="00672719"/>
    <w:rsid w:val="006727A1"/>
    <w:rsid w:val="00672A61"/>
    <w:rsid w:val="00672ABE"/>
    <w:rsid w:val="00672B5D"/>
    <w:rsid w:val="00672BDA"/>
    <w:rsid w:val="00672C62"/>
    <w:rsid w:val="00672D26"/>
    <w:rsid w:val="00672EA7"/>
    <w:rsid w:val="0067300D"/>
    <w:rsid w:val="00673060"/>
    <w:rsid w:val="006731CC"/>
    <w:rsid w:val="00673298"/>
    <w:rsid w:val="006732A7"/>
    <w:rsid w:val="006732BC"/>
    <w:rsid w:val="00673427"/>
    <w:rsid w:val="00673439"/>
    <w:rsid w:val="00673480"/>
    <w:rsid w:val="006734D0"/>
    <w:rsid w:val="00673573"/>
    <w:rsid w:val="00673611"/>
    <w:rsid w:val="00673632"/>
    <w:rsid w:val="0067368E"/>
    <w:rsid w:val="006736DA"/>
    <w:rsid w:val="00673752"/>
    <w:rsid w:val="006738CC"/>
    <w:rsid w:val="006739CD"/>
    <w:rsid w:val="00673A7C"/>
    <w:rsid w:val="00673BC3"/>
    <w:rsid w:val="00673D85"/>
    <w:rsid w:val="00673E46"/>
    <w:rsid w:val="00673E6F"/>
    <w:rsid w:val="00673EC6"/>
    <w:rsid w:val="00673EE2"/>
    <w:rsid w:val="00673FD3"/>
    <w:rsid w:val="006743D0"/>
    <w:rsid w:val="0067452C"/>
    <w:rsid w:val="006745EA"/>
    <w:rsid w:val="0067460B"/>
    <w:rsid w:val="00674697"/>
    <w:rsid w:val="006746E2"/>
    <w:rsid w:val="00674895"/>
    <w:rsid w:val="0067495B"/>
    <w:rsid w:val="006749FA"/>
    <w:rsid w:val="00674B2B"/>
    <w:rsid w:val="00674B2F"/>
    <w:rsid w:val="00674C18"/>
    <w:rsid w:val="00674CA4"/>
    <w:rsid w:val="00674CE2"/>
    <w:rsid w:val="00674CFB"/>
    <w:rsid w:val="00675030"/>
    <w:rsid w:val="00675067"/>
    <w:rsid w:val="00675087"/>
    <w:rsid w:val="00675112"/>
    <w:rsid w:val="00675143"/>
    <w:rsid w:val="006751AE"/>
    <w:rsid w:val="006751C0"/>
    <w:rsid w:val="006752CF"/>
    <w:rsid w:val="0067530F"/>
    <w:rsid w:val="00675498"/>
    <w:rsid w:val="006754E7"/>
    <w:rsid w:val="006757F9"/>
    <w:rsid w:val="00675920"/>
    <w:rsid w:val="006759D4"/>
    <w:rsid w:val="00675ACD"/>
    <w:rsid w:val="00675B05"/>
    <w:rsid w:val="00675C1F"/>
    <w:rsid w:val="00675CAC"/>
    <w:rsid w:val="00675CFD"/>
    <w:rsid w:val="00675D2B"/>
    <w:rsid w:val="00675D8D"/>
    <w:rsid w:val="0067608D"/>
    <w:rsid w:val="00676171"/>
    <w:rsid w:val="006761F1"/>
    <w:rsid w:val="00676216"/>
    <w:rsid w:val="0067622C"/>
    <w:rsid w:val="0067625D"/>
    <w:rsid w:val="00676323"/>
    <w:rsid w:val="006763DB"/>
    <w:rsid w:val="00676474"/>
    <w:rsid w:val="006764CC"/>
    <w:rsid w:val="00676556"/>
    <w:rsid w:val="0067671B"/>
    <w:rsid w:val="0067678F"/>
    <w:rsid w:val="00676815"/>
    <w:rsid w:val="0067684D"/>
    <w:rsid w:val="006768EE"/>
    <w:rsid w:val="006769D9"/>
    <w:rsid w:val="00676B52"/>
    <w:rsid w:val="00676BDF"/>
    <w:rsid w:val="00676C9B"/>
    <w:rsid w:val="00676D0F"/>
    <w:rsid w:val="00676DDD"/>
    <w:rsid w:val="00676EF9"/>
    <w:rsid w:val="00676F86"/>
    <w:rsid w:val="00677059"/>
    <w:rsid w:val="006772B8"/>
    <w:rsid w:val="006772E2"/>
    <w:rsid w:val="00677475"/>
    <w:rsid w:val="006774B6"/>
    <w:rsid w:val="0067768A"/>
    <w:rsid w:val="0067788E"/>
    <w:rsid w:val="0067793E"/>
    <w:rsid w:val="006779B1"/>
    <w:rsid w:val="00677A89"/>
    <w:rsid w:val="00677BFF"/>
    <w:rsid w:val="00677D73"/>
    <w:rsid w:val="00677F0A"/>
    <w:rsid w:val="00677F8E"/>
    <w:rsid w:val="00677FB5"/>
    <w:rsid w:val="00677FE4"/>
    <w:rsid w:val="0068012C"/>
    <w:rsid w:val="00680163"/>
    <w:rsid w:val="00680213"/>
    <w:rsid w:val="00680244"/>
    <w:rsid w:val="006803D0"/>
    <w:rsid w:val="00680402"/>
    <w:rsid w:val="00680495"/>
    <w:rsid w:val="006805F3"/>
    <w:rsid w:val="00680703"/>
    <w:rsid w:val="0068071B"/>
    <w:rsid w:val="006807FE"/>
    <w:rsid w:val="006808E6"/>
    <w:rsid w:val="006809F4"/>
    <w:rsid w:val="00680A2E"/>
    <w:rsid w:val="00680BC2"/>
    <w:rsid w:val="00680C00"/>
    <w:rsid w:val="00680D5D"/>
    <w:rsid w:val="00680DE3"/>
    <w:rsid w:val="00681046"/>
    <w:rsid w:val="00681203"/>
    <w:rsid w:val="0068127B"/>
    <w:rsid w:val="006812A2"/>
    <w:rsid w:val="006813F1"/>
    <w:rsid w:val="006814A9"/>
    <w:rsid w:val="00681546"/>
    <w:rsid w:val="006815AC"/>
    <w:rsid w:val="006815B6"/>
    <w:rsid w:val="00681938"/>
    <w:rsid w:val="006819B8"/>
    <w:rsid w:val="00681A54"/>
    <w:rsid w:val="00681B65"/>
    <w:rsid w:val="00681CC7"/>
    <w:rsid w:val="00681F99"/>
    <w:rsid w:val="00682041"/>
    <w:rsid w:val="006820B4"/>
    <w:rsid w:val="00682249"/>
    <w:rsid w:val="006822F9"/>
    <w:rsid w:val="0068232B"/>
    <w:rsid w:val="0068234A"/>
    <w:rsid w:val="006823E6"/>
    <w:rsid w:val="00682438"/>
    <w:rsid w:val="0068246F"/>
    <w:rsid w:val="006824B7"/>
    <w:rsid w:val="00682599"/>
    <w:rsid w:val="0068270B"/>
    <w:rsid w:val="00682735"/>
    <w:rsid w:val="0068274F"/>
    <w:rsid w:val="00682775"/>
    <w:rsid w:val="0068277B"/>
    <w:rsid w:val="0068283D"/>
    <w:rsid w:val="0068294D"/>
    <w:rsid w:val="006829BD"/>
    <w:rsid w:val="00682AB2"/>
    <w:rsid w:val="00682C28"/>
    <w:rsid w:val="00682C46"/>
    <w:rsid w:val="00682D3A"/>
    <w:rsid w:val="00682DEA"/>
    <w:rsid w:val="00682E45"/>
    <w:rsid w:val="00682F01"/>
    <w:rsid w:val="00682FDB"/>
    <w:rsid w:val="00683027"/>
    <w:rsid w:val="006833E9"/>
    <w:rsid w:val="006835AB"/>
    <w:rsid w:val="006837BE"/>
    <w:rsid w:val="006837D1"/>
    <w:rsid w:val="0068389C"/>
    <w:rsid w:val="006838CC"/>
    <w:rsid w:val="00683916"/>
    <w:rsid w:val="00683947"/>
    <w:rsid w:val="0068396C"/>
    <w:rsid w:val="00683F05"/>
    <w:rsid w:val="00683F09"/>
    <w:rsid w:val="00683F55"/>
    <w:rsid w:val="00684016"/>
    <w:rsid w:val="00684145"/>
    <w:rsid w:val="006841BD"/>
    <w:rsid w:val="0068429D"/>
    <w:rsid w:val="00684302"/>
    <w:rsid w:val="006843B8"/>
    <w:rsid w:val="00684546"/>
    <w:rsid w:val="006846F0"/>
    <w:rsid w:val="006847C3"/>
    <w:rsid w:val="00684808"/>
    <w:rsid w:val="00684890"/>
    <w:rsid w:val="00684896"/>
    <w:rsid w:val="0068496D"/>
    <w:rsid w:val="006849C1"/>
    <w:rsid w:val="00684A8F"/>
    <w:rsid w:val="00684AA7"/>
    <w:rsid w:val="00684B6A"/>
    <w:rsid w:val="00684BDD"/>
    <w:rsid w:val="00684C84"/>
    <w:rsid w:val="00684CDD"/>
    <w:rsid w:val="00684DE9"/>
    <w:rsid w:val="00684E01"/>
    <w:rsid w:val="00684EED"/>
    <w:rsid w:val="00684F39"/>
    <w:rsid w:val="00684FA2"/>
    <w:rsid w:val="006852E2"/>
    <w:rsid w:val="006852F9"/>
    <w:rsid w:val="006854A8"/>
    <w:rsid w:val="00685506"/>
    <w:rsid w:val="00685577"/>
    <w:rsid w:val="00685661"/>
    <w:rsid w:val="006856F1"/>
    <w:rsid w:val="0068576F"/>
    <w:rsid w:val="006857C4"/>
    <w:rsid w:val="00685B15"/>
    <w:rsid w:val="00685BE8"/>
    <w:rsid w:val="00685C00"/>
    <w:rsid w:val="00685C39"/>
    <w:rsid w:val="00685C4B"/>
    <w:rsid w:val="00685C83"/>
    <w:rsid w:val="00685CE3"/>
    <w:rsid w:val="00685CF7"/>
    <w:rsid w:val="00685DFF"/>
    <w:rsid w:val="00685EB6"/>
    <w:rsid w:val="00685F06"/>
    <w:rsid w:val="00685FDA"/>
    <w:rsid w:val="00685FF0"/>
    <w:rsid w:val="00686053"/>
    <w:rsid w:val="006860C6"/>
    <w:rsid w:val="00686165"/>
    <w:rsid w:val="00686182"/>
    <w:rsid w:val="0068620A"/>
    <w:rsid w:val="006862ED"/>
    <w:rsid w:val="00686308"/>
    <w:rsid w:val="006863FD"/>
    <w:rsid w:val="00686404"/>
    <w:rsid w:val="00686568"/>
    <w:rsid w:val="00686604"/>
    <w:rsid w:val="00686634"/>
    <w:rsid w:val="006867CD"/>
    <w:rsid w:val="006867D4"/>
    <w:rsid w:val="00686886"/>
    <w:rsid w:val="00686B91"/>
    <w:rsid w:val="00686BE8"/>
    <w:rsid w:val="00686CC5"/>
    <w:rsid w:val="00686D4A"/>
    <w:rsid w:val="0068701A"/>
    <w:rsid w:val="00687040"/>
    <w:rsid w:val="00687245"/>
    <w:rsid w:val="006872D3"/>
    <w:rsid w:val="006872D4"/>
    <w:rsid w:val="0068733D"/>
    <w:rsid w:val="006873C4"/>
    <w:rsid w:val="006873F6"/>
    <w:rsid w:val="00687466"/>
    <w:rsid w:val="00687470"/>
    <w:rsid w:val="006874A4"/>
    <w:rsid w:val="006874C4"/>
    <w:rsid w:val="006874E4"/>
    <w:rsid w:val="00687517"/>
    <w:rsid w:val="00687672"/>
    <w:rsid w:val="0068781E"/>
    <w:rsid w:val="0068782D"/>
    <w:rsid w:val="0068788F"/>
    <w:rsid w:val="006878F5"/>
    <w:rsid w:val="00687A43"/>
    <w:rsid w:val="00687B1D"/>
    <w:rsid w:val="00687B48"/>
    <w:rsid w:val="00687CB3"/>
    <w:rsid w:val="00687D78"/>
    <w:rsid w:val="00687D8A"/>
    <w:rsid w:val="00687DEB"/>
    <w:rsid w:val="00687EF2"/>
    <w:rsid w:val="00687FD5"/>
    <w:rsid w:val="00690093"/>
    <w:rsid w:val="0069031D"/>
    <w:rsid w:val="00690397"/>
    <w:rsid w:val="006903D5"/>
    <w:rsid w:val="00690495"/>
    <w:rsid w:val="00690555"/>
    <w:rsid w:val="006905C7"/>
    <w:rsid w:val="006905E0"/>
    <w:rsid w:val="006906D6"/>
    <w:rsid w:val="0069070C"/>
    <w:rsid w:val="00690725"/>
    <w:rsid w:val="0069076E"/>
    <w:rsid w:val="006907CD"/>
    <w:rsid w:val="00690870"/>
    <w:rsid w:val="00690901"/>
    <w:rsid w:val="0069093A"/>
    <w:rsid w:val="0069098F"/>
    <w:rsid w:val="006909A8"/>
    <w:rsid w:val="00690A34"/>
    <w:rsid w:val="00690A36"/>
    <w:rsid w:val="00690A89"/>
    <w:rsid w:val="00690B42"/>
    <w:rsid w:val="00690B89"/>
    <w:rsid w:val="00690C06"/>
    <w:rsid w:val="00690C25"/>
    <w:rsid w:val="00690EB9"/>
    <w:rsid w:val="00690EFA"/>
    <w:rsid w:val="00690F46"/>
    <w:rsid w:val="00690F81"/>
    <w:rsid w:val="00690F83"/>
    <w:rsid w:val="00690FD5"/>
    <w:rsid w:val="00691134"/>
    <w:rsid w:val="006911DE"/>
    <w:rsid w:val="006911EF"/>
    <w:rsid w:val="0069122B"/>
    <w:rsid w:val="006912EB"/>
    <w:rsid w:val="006913C9"/>
    <w:rsid w:val="00691456"/>
    <w:rsid w:val="006914BC"/>
    <w:rsid w:val="00691582"/>
    <w:rsid w:val="006916F6"/>
    <w:rsid w:val="00691733"/>
    <w:rsid w:val="006917E6"/>
    <w:rsid w:val="00691875"/>
    <w:rsid w:val="006918F5"/>
    <w:rsid w:val="0069191B"/>
    <w:rsid w:val="00691A20"/>
    <w:rsid w:val="00691C63"/>
    <w:rsid w:val="00691C9D"/>
    <w:rsid w:val="00691CB5"/>
    <w:rsid w:val="00691CD7"/>
    <w:rsid w:val="00691E0D"/>
    <w:rsid w:val="00691E91"/>
    <w:rsid w:val="00691F52"/>
    <w:rsid w:val="00691F65"/>
    <w:rsid w:val="0069212F"/>
    <w:rsid w:val="00692349"/>
    <w:rsid w:val="006923DF"/>
    <w:rsid w:val="006924A8"/>
    <w:rsid w:val="00692706"/>
    <w:rsid w:val="006927C5"/>
    <w:rsid w:val="006927FC"/>
    <w:rsid w:val="00692854"/>
    <w:rsid w:val="00692938"/>
    <w:rsid w:val="00692C51"/>
    <w:rsid w:val="00692E15"/>
    <w:rsid w:val="00692E94"/>
    <w:rsid w:val="00692ECA"/>
    <w:rsid w:val="00692ECB"/>
    <w:rsid w:val="00692ED1"/>
    <w:rsid w:val="00692EDF"/>
    <w:rsid w:val="00692EEA"/>
    <w:rsid w:val="00692EF5"/>
    <w:rsid w:val="00692F2F"/>
    <w:rsid w:val="00692F62"/>
    <w:rsid w:val="00693023"/>
    <w:rsid w:val="0069317B"/>
    <w:rsid w:val="006931E2"/>
    <w:rsid w:val="00693212"/>
    <w:rsid w:val="0069325E"/>
    <w:rsid w:val="0069333F"/>
    <w:rsid w:val="00693390"/>
    <w:rsid w:val="00693452"/>
    <w:rsid w:val="00693573"/>
    <w:rsid w:val="006935CB"/>
    <w:rsid w:val="00693605"/>
    <w:rsid w:val="00693645"/>
    <w:rsid w:val="00693657"/>
    <w:rsid w:val="00693A69"/>
    <w:rsid w:val="00693AE8"/>
    <w:rsid w:val="00693B1F"/>
    <w:rsid w:val="00693B4C"/>
    <w:rsid w:val="00693D33"/>
    <w:rsid w:val="00693D7E"/>
    <w:rsid w:val="00693E30"/>
    <w:rsid w:val="00693EDB"/>
    <w:rsid w:val="00693F86"/>
    <w:rsid w:val="00694045"/>
    <w:rsid w:val="00694068"/>
    <w:rsid w:val="0069411A"/>
    <w:rsid w:val="006945DA"/>
    <w:rsid w:val="006947AB"/>
    <w:rsid w:val="00694826"/>
    <w:rsid w:val="0069497A"/>
    <w:rsid w:val="00694997"/>
    <w:rsid w:val="00694A25"/>
    <w:rsid w:val="00694AD7"/>
    <w:rsid w:val="00694CBB"/>
    <w:rsid w:val="00694E2B"/>
    <w:rsid w:val="00694E6D"/>
    <w:rsid w:val="00694EAB"/>
    <w:rsid w:val="00694FD6"/>
    <w:rsid w:val="006951EC"/>
    <w:rsid w:val="006952C5"/>
    <w:rsid w:val="006953C4"/>
    <w:rsid w:val="006956DB"/>
    <w:rsid w:val="0069571D"/>
    <w:rsid w:val="0069576D"/>
    <w:rsid w:val="006959B9"/>
    <w:rsid w:val="00695AFC"/>
    <w:rsid w:val="00695BF9"/>
    <w:rsid w:val="00695C0C"/>
    <w:rsid w:val="00695CC8"/>
    <w:rsid w:val="00695CE5"/>
    <w:rsid w:val="00695CE7"/>
    <w:rsid w:val="00695D63"/>
    <w:rsid w:val="00695DA2"/>
    <w:rsid w:val="0069600E"/>
    <w:rsid w:val="00696334"/>
    <w:rsid w:val="0069634B"/>
    <w:rsid w:val="006963C1"/>
    <w:rsid w:val="0069648F"/>
    <w:rsid w:val="0069649B"/>
    <w:rsid w:val="006964E1"/>
    <w:rsid w:val="0069654E"/>
    <w:rsid w:val="0069666A"/>
    <w:rsid w:val="0069690D"/>
    <w:rsid w:val="00696A41"/>
    <w:rsid w:val="00696A73"/>
    <w:rsid w:val="00696ABC"/>
    <w:rsid w:val="00696B6B"/>
    <w:rsid w:val="00696CB5"/>
    <w:rsid w:val="00696CD1"/>
    <w:rsid w:val="00696D84"/>
    <w:rsid w:val="00696DBE"/>
    <w:rsid w:val="00696E8A"/>
    <w:rsid w:val="00696F2C"/>
    <w:rsid w:val="00696FC4"/>
    <w:rsid w:val="00697097"/>
    <w:rsid w:val="006970AC"/>
    <w:rsid w:val="0069712F"/>
    <w:rsid w:val="006971C9"/>
    <w:rsid w:val="006971D8"/>
    <w:rsid w:val="0069724A"/>
    <w:rsid w:val="0069726B"/>
    <w:rsid w:val="006972D6"/>
    <w:rsid w:val="0069739B"/>
    <w:rsid w:val="00697406"/>
    <w:rsid w:val="006974B8"/>
    <w:rsid w:val="00697560"/>
    <w:rsid w:val="00697583"/>
    <w:rsid w:val="0069760C"/>
    <w:rsid w:val="00697748"/>
    <w:rsid w:val="00697782"/>
    <w:rsid w:val="00697787"/>
    <w:rsid w:val="006978D5"/>
    <w:rsid w:val="0069795A"/>
    <w:rsid w:val="00697C6D"/>
    <w:rsid w:val="00697DB1"/>
    <w:rsid w:val="00697E2D"/>
    <w:rsid w:val="00697FAF"/>
    <w:rsid w:val="006A034E"/>
    <w:rsid w:val="006A05CC"/>
    <w:rsid w:val="006A0AC0"/>
    <w:rsid w:val="006A0C61"/>
    <w:rsid w:val="006A0C7E"/>
    <w:rsid w:val="006A0DA9"/>
    <w:rsid w:val="006A0DFA"/>
    <w:rsid w:val="006A0E43"/>
    <w:rsid w:val="006A0FC3"/>
    <w:rsid w:val="006A106D"/>
    <w:rsid w:val="006A1099"/>
    <w:rsid w:val="006A1246"/>
    <w:rsid w:val="006A12E0"/>
    <w:rsid w:val="006A13B3"/>
    <w:rsid w:val="006A13D0"/>
    <w:rsid w:val="006A15BE"/>
    <w:rsid w:val="006A1741"/>
    <w:rsid w:val="006A17D2"/>
    <w:rsid w:val="006A187F"/>
    <w:rsid w:val="006A1924"/>
    <w:rsid w:val="006A1A18"/>
    <w:rsid w:val="006A1AEA"/>
    <w:rsid w:val="006A1B6A"/>
    <w:rsid w:val="006A1C0E"/>
    <w:rsid w:val="006A1CFB"/>
    <w:rsid w:val="006A1D51"/>
    <w:rsid w:val="006A1ED1"/>
    <w:rsid w:val="006A1FE1"/>
    <w:rsid w:val="006A2252"/>
    <w:rsid w:val="006A2345"/>
    <w:rsid w:val="006A24CC"/>
    <w:rsid w:val="006A250B"/>
    <w:rsid w:val="006A2551"/>
    <w:rsid w:val="006A25D5"/>
    <w:rsid w:val="006A2687"/>
    <w:rsid w:val="006A2853"/>
    <w:rsid w:val="006A293F"/>
    <w:rsid w:val="006A2B02"/>
    <w:rsid w:val="006A2B08"/>
    <w:rsid w:val="006A2B15"/>
    <w:rsid w:val="006A2BEF"/>
    <w:rsid w:val="006A2E84"/>
    <w:rsid w:val="006A2F91"/>
    <w:rsid w:val="006A3013"/>
    <w:rsid w:val="006A30F5"/>
    <w:rsid w:val="006A310D"/>
    <w:rsid w:val="006A3125"/>
    <w:rsid w:val="006A3260"/>
    <w:rsid w:val="006A327A"/>
    <w:rsid w:val="006A3297"/>
    <w:rsid w:val="006A33DC"/>
    <w:rsid w:val="006A340E"/>
    <w:rsid w:val="006A35A8"/>
    <w:rsid w:val="006A3761"/>
    <w:rsid w:val="006A37A2"/>
    <w:rsid w:val="006A37F5"/>
    <w:rsid w:val="006A398B"/>
    <w:rsid w:val="006A3A6B"/>
    <w:rsid w:val="006A3AC0"/>
    <w:rsid w:val="006A3AFB"/>
    <w:rsid w:val="006A3B19"/>
    <w:rsid w:val="006A3B8C"/>
    <w:rsid w:val="006A3BBE"/>
    <w:rsid w:val="006A3CA7"/>
    <w:rsid w:val="006A4042"/>
    <w:rsid w:val="006A404C"/>
    <w:rsid w:val="006A40A1"/>
    <w:rsid w:val="006A4238"/>
    <w:rsid w:val="006A433B"/>
    <w:rsid w:val="006A435E"/>
    <w:rsid w:val="006A4372"/>
    <w:rsid w:val="006A44B6"/>
    <w:rsid w:val="006A4567"/>
    <w:rsid w:val="006A4589"/>
    <w:rsid w:val="006A46C1"/>
    <w:rsid w:val="006A46ED"/>
    <w:rsid w:val="006A46FB"/>
    <w:rsid w:val="006A4796"/>
    <w:rsid w:val="006A47A5"/>
    <w:rsid w:val="006A47B2"/>
    <w:rsid w:val="006A47CB"/>
    <w:rsid w:val="006A4809"/>
    <w:rsid w:val="006A4889"/>
    <w:rsid w:val="006A4988"/>
    <w:rsid w:val="006A4C2E"/>
    <w:rsid w:val="006A4E61"/>
    <w:rsid w:val="006A4E67"/>
    <w:rsid w:val="006A4F0B"/>
    <w:rsid w:val="006A515A"/>
    <w:rsid w:val="006A5189"/>
    <w:rsid w:val="006A518F"/>
    <w:rsid w:val="006A52CE"/>
    <w:rsid w:val="006A532E"/>
    <w:rsid w:val="006A5390"/>
    <w:rsid w:val="006A5619"/>
    <w:rsid w:val="006A562D"/>
    <w:rsid w:val="006A56E7"/>
    <w:rsid w:val="006A590D"/>
    <w:rsid w:val="006A59AE"/>
    <w:rsid w:val="006A5A86"/>
    <w:rsid w:val="006A5BC5"/>
    <w:rsid w:val="006A5DDE"/>
    <w:rsid w:val="006A5F35"/>
    <w:rsid w:val="006A6061"/>
    <w:rsid w:val="006A6112"/>
    <w:rsid w:val="006A619E"/>
    <w:rsid w:val="006A632E"/>
    <w:rsid w:val="006A6393"/>
    <w:rsid w:val="006A63F9"/>
    <w:rsid w:val="006A64AD"/>
    <w:rsid w:val="006A6629"/>
    <w:rsid w:val="006A66B3"/>
    <w:rsid w:val="006A6797"/>
    <w:rsid w:val="006A680E"/>
    <w:rsid w:val="006A68FA"/>
    <w:rsid w:val="006A690A"/>
    <w:rsid w:val="006A69C4"/>
    <w:rsid w:val="006A6BB0"/>
    <w:rsid w:val="006A6BF3"/>
    <w:rsid w:val="006A6D0D"/>
    <w:rsid w:val="006A6EF7"/>
    <w:rsid w:val="006A6F37"/>
    <w:rsid w:val="006A6F98"/>
    <w:rsid w:val="006A6FD8"/>
    <w:rsid w:val="006A6FE0"/>
    <w:rsid w:val="006A72C5"/>
    <w:rsid w:val="006A736C"/>
    <w:rsid w:val="006A741E"/>
    <w:rsid w:val="006A741F"/>
    <w:rsid w:val="006A7480"/>
    <w:rsid w:val="006A758F"/>
    <w:rsid w:val="006A7625"/>
    <w:rsid w:val="006A76CC"/>
    <w:rsid w:val="006A771F"/>
    <w:rsid w:val="006A7789"/>
    <w:rsid w:val="006A780B"/>
    <w:rsid w:val="006A7971"/>
    <w:rsid w:val="006A7A76"/>
    <w:rsid w:val="006A7CD5"/>
    <w:rsid w:val="006A7DBA"/>
    <w:rsid w:val="006A7EA1"/>
    <w:rsid w:val="006A7EE6"/>
    <w:rsid w:val="006A7F1F"/>
    <w:rsid w:val="006A7F88"/>
    <w:rsid w:val="006A7F9E"/>
    <w:rsid w:val="006B00F5"/>
    <w:rsid w:val="006B0373"/>
    <w:rsid w:val="006B042E"/>
    <w:rsid w:val="006B049A"/>
    <w:rsid w:val="006B04F1"/>
    <w:rsid w:val="006B055B"/>
    <w:rsid w:val="006B057A"/>
    <w:rsid w:val="006B0631"/>
    <w:rsid w:val="006B065F"/>
    <w:rsid w:val="006B066E"/>
    <w:rsid w:val="006B0685"/>
    <w:rsid w:val="006B0806"/>
    <w:rsid w:val="006B0854"/>
    <w:rsid w:val="006B08EF"/>
    <w:rsid w:val="006B09CA"/>
    <w:rsid w:val="006B0A22"/>
    <w:rsid w:val="006B0AD4"/>
    <w:rsid w:val="006B0AFF"/>
    <w:rsid w:val="006B0B59"/>
    <w:rsid w:val="006B0BD6"/>
    <w:rsid w:val="006B0EA2"/>
    <w:rsid w:val="006B0ED6"/>
    <w:rsid w:val="006B10F5"/>
    <w:rsid w:val="006B1267"/>
    <w:rsid w:val="006B12CC"/>
    <w:rsid w:val="006B134A"/>
    <w:rsid w:val="006B135B"/>
    <w:rsid w:val="006B1366"/>
    <w:rsid w:val="006B149F"/>
    <w:rsid w:val="006B15A6"/>
    <w:rsid w:val="006B15DB"/>
    <w:rsid w:val="006B171D"/>
    <w:rsid w:val="006B177E"/>
    <w:rsid w:val="006B178F"/>
    <w:rsid w:val="006B17A4"/>
    <w:rsid w:val="006B17AA"/>
    <w:rsid w:val="006B17D7"/>
    <w:rsid w:val="006B1814"/>
    <w:rsid w:val="006B18E9"/>
    <w:rsid w:val="006B1A1E"/>
    <w:rsid w:val="006B1DC6"/>
    <w:rsid w:val="006B1ED3"/>
    <w:rsid w:val="006B1F45"/>
    <w:rsid w:val="006B2069"/>
    <w:rsid w:val="006B20E3"/>
    <w:rsid w:val="006B2139"/>
    <w:rsid w:val="006B2324"/>
    <w:rsid w:val="006B2377"/>
    <w:rsid w:val="006B24D0"/>
    <w:rsid w:val="006B24DB"/>
    <w:rsid w:val="006B256C"/>
    <w:rsid w:val="006B25F5"/>
    <w:rsid w:val="006B262A"/>
    <w:rsid w:val="006B26AD"/>
    <w:rsid w:val="006B2749"/>
    <w:rsid w:val="006B27F5"/>
    <w:rsid w:val="006B29AA"/>
    <w:rsid w:val="006B29BB"/>
    <w:rsid w:val="006B2AB2"/>
    <w:rsid w:val="006B2B11"/>
    <w:rsid w:val="006B2B57"/>
    <w:rsid w:val="006B2F10"/>
    <w:rsid w:val="006B304A"/>
    <w:rsid w:val="006B3086"/>
    <w:rsid w:val="006B3141"/>
    <w:rsid w:val="006B31D3"/>
    <w:rsid w:val="006B3239"/>
    <w:rsid w:val="006B3443"/>
    <w:rsid w:val="006B34FD"/>
    <w:rsid w:val="006B352A"/>
    <w:rsid w:val="006B356B"/>
    <w:rsid w:val="006B35FE"/>
    <w:rsid w:val="006B371F"/>
    <w:rsid w:val="006B3787"/>
    <w:rsid w:val="006B3891"/>
    <w:rsid w:val="006B38FF"/>
    <w:rsid w:val="006B392F"/>
    <w:rsid w:val="006B3A10"/>
    <w:rsid w:val="006B3B26"/>
    <w:rsid w:val="006B3B71"/>
    <w:rsid w:val="006B3BBD"/>
    <w:rsid w:val="006B3C43"/>
    <w:rsid w:val="006B3C68"/>
    <w:rsid w:val="006B3C73"/>
    <w:rsid w:val="006B3D15"/>
    <w:rsid w:val="006B3D70"/>
    <w:rsid w:val="006B3DBC"/>
    <w:rsid w:val="006B3E64"/>
    <w:rsid w:val="006B3EA5"/>
    <w:rsid w:val="006B3F1F"/>
    <w:rsid w:val="006B42E0"/>
    <w:rsid w:val="006B43F6"/>
    <w:rsid w:val="006B44D5"/>
    <w:rsid w:val="006B44EC"/>
    <w:rsid w:val="006B450C"/>
    <w:rsid w:val="006B452E"/>
    <w:rsid w:val="006B4583"/>
    <w:rsid w:val="006B458B"/>
    <w:rsid w:val="006B45F3"/>
    <w:rsid w:val="006B4620"/>
    <w:rsid w:val="006B4720"/>
    <w:rsid w:val="006B4778"/>
    <w:rsid w:val="006B48F9"/>
    <w:rsid w:val="006B4A45"/>
    <w:rsid w:val="006B4B0D"/>
    <w:rsid w:val="006B4C00"/>
    <w:rsid w:val="006B4C74"/>
    <w:rsid w:val="006B4CC2"/>
    <w:rsid w:val="006B4CEC"/>
    <w:rsid w:val="006B4D18"/>
    <w:rsid w:val="006B4DEE"/>
    <w:rsid w:val="006B4E8C"/>
    <w:rsid w:val="006B4ED3"/>
    <w:rsid w:val="006B5094"/>
    <w:rsid w:val="006B510A"/>
    <w:rsid w:val="006B5204"/>
    <w:rsid w:val="006B5206"/>
    <w:rsid w:val="006B533D"/>
    <w:rsid w:val="006B5358"/>
    <w:rsid w:val="006B5414"/>
    <w:rsid w:val="006B5424"/>
    <w:rsid w:val="006B54A8"/>
    <w:rsid w:val="006B562A"/>
    <w:rsid w:val="006B5C01"/>
    <w:rsid w:val="006B5D22"/>
    <w:rsid w:val="006B5E01"/>
    <w:rsid w:val="006B5E4F"/>
    <w:rsid w:val="006B5E9D"/>
    <w:rsid w:val="006B5EAC"/>
    <w:rsid w:val="006B6024"/>
    <w:rsid w:val="006B6303"/>
    <w:rsid w:val="006B6370"/>
    <w:rsid w:val="006B63CF"/>
    <w:rsid w:val="006B63EA"/>
    <w:rsid w:val="006B644C"/>
    <w:rsid w:val="006B64D2"/>
    <w:rsid w:val="006B6522"/>
    <w:rsid w:val="006B658B"/>
    <w:rsid w:val="006B659E"/>
    <w:rsid w:val="006B661C"/>
    <w:rsid w:val="006B66EC"/>
    <w:rsid w:val="006B6821"/>
    <w:rsid w:val="006B68B1"/>
    <w:rsid w:val="006B68C7"/>
    <w:rsid w:val="006B6B80"/>
    <w:rsid w:val="006B6B99"/>
    <w:rsid w:val="006B6C2D"/>
    <w:rsid w:val="006B6CF4"/>
    <w:rsid w:val="006B6E12"/>
    <w:rsid w:val="006B6E86"/>
    <w:rsid w:val="006B6F19"/>
    <w:rsid w:val="006B6FF6"/>
    <w:rsid w:val="006B7099"/>
    <w:rsid w:val="006B723F"/>
    <w:rsid w:val="006B73D1"/>
    <w:rsid w:val="006B77B1"/>
    <w:rsid w:val="006B7940"/>
    <w:rsid w:val="006B79BB"/>
    <w:rsid w:val="006B7A2C"/>
    <w:rsid w:val="006B7AC0"/>
    <w:rsid w:val="006B7CED"/>
    <w:rsid w:val="006B7CF5"/>
    <w:rsid w:val="006B7D07"/>
    <w:rsid w:val="006B7E47"/>
    <w:rsid w:val="006B7E7D"/>
    <w:rsid w:val="006C01C3"/>
    <w:rsid w:val="006C035B"/>
    <w:rsid w:val="006C0453"/>
    <w:rsid w:val="006C05EC"/>
    <w:rsid w:val="006C06FC"/>
    <w:rsid w:val="006C078E"/>
    <w:rsid w:val="006C079A"/>
    <w:rsid w:val="006C0815"/>
    <w:rsid w:val="006C082E"/>
    <w:rsid w:val="006C093D"/>
    <w:rsid w:val="006C0A76"/>
    <w:rsid w:val="006C0B2D"/>
    <w:rsid w:val="006C0B98"/>
    <w:rsid w:val="006C0BEC"/>
    <w:rsid w:val="006C0C69"/>
    <w:rsid w:val="006C0C78"/>
    <w:rsid w:val="006C0D88"/>
    <w:rsid w:val="006C0FAC"/>
    <w:rsid w:val="006C0FB4"/>
    <w:rsid w:val="006C101C"/>
    <w:rsid w:val="006C122F"/>
    <w:rsid w:val="006C1415"/>
    <w:rsid w:val="006C144B"/>
    <w:rsid w:val="006C1602"/>
    <w:rsid w:val="006C169A"/>
    <w:rsid w:val="006C173B"/>
    <w:rsid w:val="006C17BF"/>
    <w:rsid w:val="006C1819"/>
    <w:rsid w:val="006C1821"/>
    <w:rsid w:val="006C1872"/>
    <w:rsid w:val="006C1892"/>
    <w:rsid w:val="006C19C6"/>
    <w:rsid w:val="006C19E3"/>
    <w:rsid w:val="006C1A8B"/>
    <w:rsid w:val="006C1AD5"/>
    <w:rsid w:val="006C1B03"/>
    <w:rsid w:val="006C1B91"/>
    <w:rsid w:val="006C1C19"/>
    <w:rsid w:val="006C1D0F"/>
    <w:rsid w:val="006C1DB9"/>
    <w:rsid w:val="006C1E0D"/>
    <w:rsid w:val="006C1EC1"/>
    <w:rsid w:val="006C1FC7"/>
    <w:rsid w:val="006C1FF5"/>
    <w:rsid w:val="006C208A"/>
    <w:rsid w:val="006C208E"/>
    <w:rsid w:val="006C2114"/>
    <w:rsid w:val="006C229C"/>
    <w:rsid w:val="006C22A0"/>
    <w:rsid w:val="006C22A6"/>
    <w:rsid w:val="006C23AE"/>
    <w:rsid w:val="006C23FE"/>
    <w:rsid w:val="006C2424"/>
    <w:rsid w:val="006C24BA"/>
    <w:rsid w:val="006C24E0"/>
    <w:rsid w:val="006C24EF"/>
    <w:rsid w:val="006C250D"/>
    <w:rsid w:val="006C2525"/>
    <w:rsid w:val="006C2652"/>
    <w:rsid w:val="006C26AB"/>
    <w:rsid w:val="006C27CB"/>
    <w:rsid w:val="006C28E3"/>
    <w:rsid w:val="006C293B"/>
    <w:rsid w:val="006C2979"/>
    <w:rsid w:val="006C29DC"/>
    <w:rsid w:val="006C2A02"/>
    <w:rsid w:val="006C2A0A"/>
    <w:rsid w:val="006C2AE8"/>
    <w:rsid w:val="006C2B03"/>
    <w:rsid w:val="006C2B26"/>
    <w:rsid w:val="006C2B66"/>
    <w:rsid w:val="006C2E13"/>
    <w:rsid w:val="006C2F36"/>
    <w:rsid w:val="006C2F87"/>
    <w:rsid w:val="006C2F99"/>
    <w:rsid w:val="006C301E"/>
    <w:rsid w:val="006C3036"/>
    <w:rsid w:val="006C3364"/>
    <w:rsid w:val="006C33B2"/>
    <w:rsid w:val="006C34FA"/>
    <w:rsid w:val="006C3810"/>
    <w:rsid w:val="006C3849"/>
    <w:rsid w:val="006C3A2E"/>
    <w:rsid w:val="006C3BD5"/>
    <w:rsid w:val="006C3C71"/>
    <w:rsid w:val="006C3CF4"/>
    <w:rsid w:val="006C3E4D"/>
    <w:rsid w:val="006C3FBA"/>
    <w:rsid w:val="006C3FC2"/>
    <w:rsid w:val="006C3FCC"/>
    <w:rsid w:val="006C4003"/>
    <w:rsid w:val="006C401D"/>
    <w:rsid w:val="006C40D8"/>
    <w:rsid w:val="006C427E"/>
    <w:rsid w:val="006C42C0"/>
    <w:rsid w:val="006C4352"/>
    <w:rsid w:val="006C435E"/>
    <w:rsid w:val="006C4408"/>
    <w:rsid w:val="006C443F"/>
    <w:rsid w:val="006C44A1"/>
    <w:rsid w:val="006C4649"/>
    <w:rsid w:val="006C4889"/>
    <w:rsid w:val="006C48AC"/>
    <w:rsid w:val="006C48EF"/>
    <w:rsid w:val="006C495D"/>
    <w:rsid w:val="006C4AC2"/>
    <w:rsid w:val="006C4AF9"/>
    <w:rsid w:val="006C4B1A"/>
    <w:rsid w:val="006C4BDB"/>
    <w:rsid w:val="006C4CAC"/>
    <w:rsid w:val="006C4CCB"/>
    <w:rsid w:val="006C4D14"/>
    <w:rsid w:val="006C4D7F"/>
    <w:rsid w:val="006C4DF1"/>
    <w:rsid w:val="006C4DFD"/>
    <w:rsid w:val="006C4E12"/>
    <w:rsid w:val="006C5193"/>
    <w:rsid w:val="006C52D6"/>
    <w:rsid w:val="006C53E5"/>
    <w:rsid w:val="006C545D"/>
    <w:rsid w:val="006C54A8"/>
    <w:rsid w:val="006C5552"/>
    <w:rsid w:val="006C562A"/>
    <w:rsid w:val="006C5685"/>
    <w:rsid w:val="006C571F"/>
    <w:rsid w:val="006C57CF"/>
    <w:rsid w:val="006C58EB"/>
    <w:rsid w:val="006C593A"/>
    <w:rsid w:val="006C59A9"/>
    <w:rsid w:val="006C59DE"/>
    <w:rsid w:val="006C5B1C"/>
    <w:rsid w:val="006C5B73"/>
    <w:rsid w:val="006C5BE0"/>
    <w:rsid w:val="006C5D11"/>
    <w:rsid w:val="006C5D46"/>
    <w:rsid w:val="006C5DB8"/>
    <w:rsid w:val="006C5E4E"/>
    <w:rsid w:val="006C5F3A"/>
    <w:rsid w:val="006C5F98"/>
    <w:rsid w:val="006C5F99"/>
    <w:rsid w:val="006C60DC"/>
    <w:rsid w:val="006C62F4"/>
    <w:rsid w:val="006C62F9"/>
    <w:rsid w:val="006C645D"/>
    <w:rsid w:val="006C6478"/>
    <w:rsid w:val="006C6500"/>
    <w:rsid w:val="006C65FD"/>
    <w:rsid w:val="006C668F"/>
    <w:rsid w:val="006C66BF"/>
    <w:rsid w:val="006C67DB"/>
    <w:rsid w:val="006C6841"/>
    <w:rsid w:val="006C69D2"/>
    <w:rsid w:val="006C69F6"/>
    <w:rsid w:val="006C6B1A"/>
    <w:rsid w:val="006C6C03"/>
    <w:rsid w:val="006C6D4C"/>
    <w:rsid w:val="006C6E6D"/>
    <w:rsid w:val="006C6F85"/>
    <w:rsid w:val="006C7093"/>
    <w:rsid w:val="006C7188"/>
    <w:rsid w:val="006C7299"/>
    <w:rsid w:val="006C7399"/>
    <w:rsid w:val="006C73B5"/>
    <w:rsid w:val="006C73D5"/>
    <w:rsid w:val="006C73DD"/>
    <w:rsid w:val="006C741D"/>
    <w:rsid w:val="006C7576"/>
    <w:rsid w:val="006C76A4"/>
    <w:rsid w:val="006C7741"/>
    <w:rsid w:val="006C77CA"/>
    <w:rsid w:val="006C78E5"/>
    <w:rsid w:val="006C78F7"/>
    <w:rsid w:val="006C7937"/>
    <w:rsid w:val="006C797B"/>
    <w:rsid w:val="006C79A1"/>
    <w:rsid w:val="006C7A48"/>
    <w:rsid w:val="006C7B13"/>
    <w:rsid w:val="006C7B29"/>
    <w:rsid w:val="006C7C7B"/>
    <w:rsid w:val="006C7C8D"/>
    <w:rsid w:val="006C7ECD"/>
    <w:rsid w:val="006C7F87"/>
    <w:rsid w:val="006D0207"/>
    <w:rsid w:val="006D02AD"/>
    <w:rsid w:val="006D02B9"/>
    <w:rsid w:val="006D0382"/>
    <w:rsid w:val="006D0397"/>
    <w:rsid w:val="006D0422"/>
    <w:rsid w:val="006D04A6"/>
    <w:rsid w:val="006D0514"/>
    <w:rsid w:val="006D05A6"/>
    <w:rsid w:val="006D0612"/>
    <w:rsid w:val="006D0656"/>
    <w:rsid w:val="006D071D"/>
    <w:rsid w:val="006D084F"/>
    <w:rsid w:val="006D087C"/>
    <w:rsid w:val="006D088F"/>
    <w:rsid w:val="006D08F4"/>
    <w:rsid w:val="006D0A6E"/>
    <w:rsid w:val="006D0B1B"/>
    <w:rsid w:val="006D0BE2"/>
    <w:rsid w:val="006D0C2A"/>
    <w:rsid w:val="006D0C5D"/>
    <w:rsid w:val="006D0C85"/>
    <w:rsid w:val="006D0CFB"/>
    <w:rsid w:val="006D0DA2"/>
    <w:rsid w:val="006D0E81"/>
    <w:rsid w:val="006D0EFF"/>
    <w:rsid w:val="006D100D"/>
    <w:rsid w:val="006D101C"/>
    <w:rsid w:val="006D1030"/>
    <w:rsid w:val="006D10A1"/>
    <w:rsid w:val="006D1134"/>
    <w:rsid w:val="006D1392"/>
    <w:rsid w:val="006D1437"/>
    <w:rsid w:val="006D14B2"/>
    <w:rsid w:val="006D14B7"/>
    <w:rsid w:val="006D1546"/>
    <w:rsid w:val="006D1618"/>
    <w:rsid w:val="006D1669"/>
    <w:rsid w:val="006D1753"/>
    <w:rsid w:val="006D183F"/>
    <w:rsid w:val="006D1848"/>
    <w:rsid w:val="006D1899"/>
    <w:rsid w:val="006D19E7"/>
    <w:rsid w:val="006D19E8"/>
    <w:rsid w:val="006D1A89"/>
    <w:rsid w:val="006D1A8C"/>
    <w:rsid w:val="006D1AA1"/>
    <w:rsid w:val="006D1B53"/>
    <w:rsid w:val="006D1BA7"/>
    <w:rsid w:val="006D1BE9"/>
    <w:rsid w:val="006D1D41"/>
    <w:rsid w:val="006D1DC5"/>
    <w:rsid w:val="006D1F3A"/>
    <w:rsid w:val="006D1F59"/>
    <w:rsid w:val="006D209C"/>
    <w:rsid w:val="006D20CC"/>
    <w:rsid w:val="006D2531"/>
    <w:rsid w:val="006D256D"/>
    <w:rsid w:val="006D2695"/>
    <w:rsid w:val="006D27A0"/>
    <w:rsid w:val="006D27D3"/>
    <w:rsid w:val="006D2A8E"/>
    <w:rsid w:val="006D2AE0"/>
    <w:rsid w:val="006D2BDC"/>
    <w:rsid w:val="006D2C34"/>
    <w:rsid w:val="006D2C72"/>
    <w:rsid w:val="006D2CCB"/>
    <w:rsid w:val="006D2D6B"/>
    <w:rsid w:val="006D2DFA"/>
    <w:rsid w:val="006D2E23"/>
    <w:rsid w:val="006D2F24"/>
    <w:rsid w:val="006D2FA3"/>
    <w:rsid w:val="006D3002"/>
    <w:rsid w:val="006D301B"/>
    <w:rsid w:val="006D3058"/>
    <w:rsid w:val="006D315E"/>
    <w:rsid w:val="006D3241"/>
    <w:rsid w:val="006D324E"/>
    <w:rsid w:val="006D32AF"/>
    <w:rsid w:val="006D333B"/>
    <w:rsid w:val="006D3391"/>
    <w:rsid w:val="006D343D"/>
    <w:rsid w:val="006D358A"/>
    <w:rsid w:val="006D360B"/>
    <w:rsid w:val="006D3649"/>
    <w:rsid w:val="006D3680"/>
    <w:rsid w:val="006D3855"/>
    <w:rsid w:val="006D39C5"/>
    <w:rsid w:val="006D3C70"/>
    <w:rsid w:val="006D3DB5"/>
    <w:rsid w:val="006D3E5D"/>
    <w:rsid w:val="006D4006"/>
    <w:rsid w:val="006D4057"/>
    <w:rsid w:val="006D407D"/>
    <w:rsid w:val="006D43DF"/>
    <w:rsid w:val="006D440B"/>
    <w:rsid w:val="006D4604"/>
    <w:rsid w:val="006D4724"/>
    <w:rsid w:val="006D4748"/>
    <w:rsid w:val="006D4799"/>
    <w:rsid w:val="006D48F6"/>
    <w:rsid w:val="006D4943"/>
    <w:rsid w:val="006D494C"/>
    <w:rsid w:val="006D49B3"/>
    <w:rsid w:val="006D4A1E"/>
    <w:rsid w:val="006D4A5C"/>
    <w:rsid w:val="006D4A8C"/>
    <w:rsid w:val="006D4B1A"/>
    <w:rsid w:val="006D4B64"/>
    <w:rsid w:val="006D4C58"/>
    <w:rsid w:val="006D4C75"/>
    <w:rsid w:val="006D4CDD"/>
    <w:rsid w:val="006D4CDE"/>
    <w:rsid w:val="006D4CFA"/>
    <w:rsid w:val="006D4EC7"/>
    <w:rsid w:val="006D50A7"/>
    <w:rsid w:val="006D519F"/>
    <w:rsid w:val="006D5436"/>
    <w:rsid w:val="006D543D"/>
    <w:rsid w:val="006D56E3"/>
    <w:rsid w:val="006D56E6"/>
    <w:rsid w:val="006D576C"/>
    <w:rsid w:val="006D5775"/>
    <w:rsid w:val="006D578C"/>
    <w:rsid w:val="006D57E9"/>
    <w:rsid w:val="006D588E"/>
    <w:rsid w:val="006D58B5"/>
    <w:rsid w:val="006D5960"/>
    <w:rsid w:val="006D5A0A"/>
    <w:rsid w:val="006D5AFC"/>
    <w:rsid w:val="006D5AFE"/>
    <w:rsid w:val="006D5B76"/>
    <w:rsid w:val="006D5D08"/>
    <w:rsid w:val="006D5D0D"/>
    <w:rsid w:val="006D5D47"/>
    <w:rsid w:val="006D5DB5"/>
    <w:rsid w:val="006D5DF3"/>
    <w:rsid w:val="006D5F12"/>
    <w:rsid w:val="006D5F71"/>
    <w:rsid w:val="006D602B"/>
    <w:rsid w:val="006D605F"/>
    <w:rsid w:val="006D6175"/>
    <w:rsid w:val="006D637E"/>
    <w:rsid w:val="006D63DD"/>
    <w:rsid w:val="006D63EB"/>
    <w:rsid w:val="006D650D"/>
    <w:rsid w:val="006D6644"/>
    <w:rsid w:val="006D67D4"/>
    <w:rsid w:val="006D6E72"/>
    <w:rsid w:val="006D6EB5"/>
    <w:rsid w:val="006D702A"/>
    <w:rsid w:val="006D7195"/>
    <w:rsid w:val="006D7276"/>
    <w:rsid w:val="006D7299"/>
    <w:rsid w:val="006D733A"/>
    <w:rsid w:val="006D73F6"/>
    <w:rsid w:val="006D748C"/>
    <w:rsid w:val="006D7890"/>
    <w:rsid w:val="006D7898"/>
    <w:rsid w:val="006D7B0F"/>
    <w:rsid w:val="006D7B46"/>
    <w:rsid w:val="006D7B5C"/>
    <w:rsid w:val="006D7BF3"/>
    <w:rsid w:val="006D7CCE"/>
    <w:rsid w:val="006D7D23"/>
    <w:rsid w:val="006D7E5C"/>
    <w:rsid w:val="006E0093"/>
    <w:rsid w:val="006E0269"/>
    <w:rsid w:val="006E0603"/>
    <w:rsid w:val="006E0818"/>
    <w:rsid w:val="006E09AA"/>
    <w:rsid w:val="006E0A53"/>
    <w:rsid w:val="006E0A5C"/>
    <w:rsid w:val="006E0A6F"/>
    <w:rsid w:val="006E0A87"/>
    <w:rsid w:val="006E0AE4"/>
    <w:rsid w:val="006E0C08"/>
    <w:rsid w:val="006E0CCB"/>
    <w:rsid w:val="006E0F1B"/>
    <w:rsid w:val="006E1017"/>
    <w:rsid w:val="006E1083"/>
    <w:rsid w:val="006E11F0"/>
    <w:rsid w:val="006E12A4"/>
    <w:rsid w:val="006E14A3"/>
    <w:rsid w:val="006E14E9"/>
    <w:rsid w:val="006E15BC"/>
    <w:rsid w:val="006E1899"/>
    <w:rsid w:val="006E18C1"/>
    <w:rsid w:val="006E1DB0"/>
    <w:rsid w:val="006E1DB5"/>
    <w:rsid w:val="006E1EB4"/>
    <w:rsid w:val="006E1F2C"/>
    <w:rsid w:val="006E2006"/>
    <w:rsid w:val="006E223D"/>
    <w:rsid w:val="006E24A6"/>
    <w:rsid w:val="006E24BE"/>
    <w:rsid w:val="006E251A"/>
    <w:rsid w:val="006E25D1"/>
    <w:rsid w:val="006E2825"/>
    <w:rsid w:val="006E2831"/>
    <w:rsid w:val="006E298C"/>
    <w:rsid w:val="006E29AC"/>
    <w:rsid w:val="006E29CC"/>
    <w:rsid w:val="006E2A3B"/>
    <w:rsid w:val="006E2ACD"/>
    <w:rsid w:val="006E2ADA"/>
    <w:rsid w:val="006E2D2A"/>
    <w:rsid w:val="006E2E82"/>
    <w:rsid w:val="006E2F49"/>
    <w:rsid w:val="006E2FDB"/>
    <w:rsid w:val="006E3005"/>
    <w:rsid w:val="006E303A"/>
    <w:rsid w:val="006E31FE"/>
    <w:rsid w:val="006E3203"/>
    <w:rsid w:val="006E339F"/>
    <w:rsid w:val="006E36D6"/>
    <w:rsid w:val="006E37C5"/>
    <w:rsid w:val="006E382F"/>
    <w:rsid w:val="006E3939"/>
    <w:rsid w:val="006E3979"/>
    <w:rsid w:val="006E3AF2"/>
    <w:rsid w:val="006E3CB3"/>
    <w:rsid w:val="006E3CC3"/>
    <w:rsid w:val="006E3D46"/>
    <w:rsid w:val="006E3FA4"/>
    <w:rsid w:val="006E402A"/>
    <w:rsid w:val="006E405A"/>
    <w:rsid w:val="006E40DC"/>
    <w:rsid w:val="006E428A"/>
    <w:rsid w:val="006E440E"/>
    <w:rsid w:val="006E4568"/>
    <w:rsid w:val="006E45E8"/>
    <w:rsid w:val="006E4637"/>
    <w:rsid w:val="006E46CC"/>
    <w:rsid w:val="006E46DB"/>
    <w:rsid w:val="006E471C"/>
    <w:rsid w:val="006E48D5"/>
    <w:rsid w:val="006E48E4"/>
    <w:rsid w:val="006E490D"/>
    <w:rsid w:val="006E495E"/>
    <w:rsid w:val="006E4976"/>
    <w:rsid w:val="006E4982"/>
    <w:rsid w:val="006E49B0"/>
    <w:rsid w:val="006E49B9"/>
    <w:rsid w:val="006E4AA3"/>
    <w:rsid w:val="006E4B52"/>
    <w:rsid w:val="006E4C99"/>
    <w:rsid w:val="006E4D3F"/>
    <w:rsid w:val="006E4ED3"/>
    <w:rsid w:val="006E518B"/>
    <w:rsid w:val="006E5325"/>
    <w:rsid w:val="006E53D8"/>
    <w:rsid w:val="006E53FB"/>
    <w:rsid w:val="006E54B3"/>
    <w:rsid w:val="006E550E"/>
    <w:rsid w:val="006E57FB"/>
    <w:rsid w:val="006E5859"/>
    <w:rsid w:val="006E58B1"/>
    <w:rsid w:val="006E5A36"/>
    <w:rsid w:val="006E5B5C"/>
    <w:rsid w:val="006E5BC3"/>
    <w:rsid w:val="006E5DDE"/>
    <w:rsid w:val="006E5E7A"/>
    <w:rsid w:val="006E5EB8"/>
    <w:rsid w:val="006E5EF6"/>
    <w:rsid w:val="006E6070"/>
    <w:rsid w:val="006E608C"/>
    <w:rsid w:val="006E6256"/>
    <w:rsid w:val="006E629E"/>
    <w:rsid w:val="006E62D1"/>
    <w:rsid w:val="006E62F6"/>
    <w:rsid w:val="006E6377"/>
    <w:rsid w:val="006E6446"/>
    <w:rsid w:val="006E64F3"/>
    <w:rsid w:val="006E656C"/>
    <w:rsid w:val="006E6729"/>
    <w:rsid w:val="006E676F"/>
    <w:rsid w:val="006E6775"/>
    <w:rsid w:val="006E6794"/>
    <w:rsid w:val="006E67A3"/>
    <w:rsid w:val="006E67D3"/>
    <w:rsid w:val="006E6831"/>
    <w:rsid w:val="006E6838"/>
    <w:rsid w:val="006E68C1"/>
    <w:rsid w:val="006E694B"/>
    <w:rsid w:val="006E6A33"/>
    <w:rsid w:val="006E6AC2"/>
    <w:rsid w:val="006E6BCD"/>
    <w:rsid w:val="006E6CD7"/>
    <w:rsid w:val="006E6D0F"/>
    <w:rsid w:val="006E6D65"/>
    <w:rsid w:val="006E6E0A"/>
    <w:rsid w:val="006E6E4F"/>
    <w:rsid w:val="006E6EE7"/>
    <w:rsid w:val="006E7048"/>
    <w:rsid w:val="006E70D0"/>
    <w:rsid w:val="006E728D"/>
    <w:rsid w:val="006E73B7"/>
    <w:rsid w:val="006E7452"/>
    <w:rsid w:val="006E7481"/>
    <w:rsid w:val="006E7486"/>
    <w:rsid w:val="006E7513"/>
    <w:rsid w:val="006E75D4"/>
    <w:rsid w:val="006E75E9"/>
    <w:rsid w:val="006E7680"/>
    <w:rsid w:val="006E76B6"/>
    <w:rsid w:val="006E77AB"/>
    <w:rsid w:val="006E7869"/>
    <w:rsid w:val="006E78DF"/>
    <w:rsid w:val="006E78F9"/>
    <w:rsid w:val="006E78FC"/>
    <w:rsid w:val="006E7919"/>
    <w:rsid w:val="006E7A04"/>
    <w:rsid w:val="006E7C02"/>
    <w:rsid w:val="006E7CBF"/>
    <w:rsid w:val="006E7CE2"/>
    <w:rsid w:val="006E7D6E"/>
    <w:rsid w:val="006E7E51"/>
    <w:rsid w:val="006E7E86"/>
    <w:rsid w:val="006F000C"/>
    <w:rsid w:val="006F0017"/>
    <w:rsid w:val="006F002F"/>
    <w:rsid w:val="006F00C9"/>
    <w:rsid w:val="006F02FF"/>
    <w:rsid w:val="006F035A"/>
    <w:rsid w:val="006F0464"/>
    <w:rsid w:val="006F054C"/>
    <w:rsid w:val="006F05D0"/>
    <w:rsid w:val="006F0A60"/>
    <w:rsid w:val="006F0BE5"/>
    <w:rsid w:val="006F0C55"/>
    <w:rsid w:val="006F0CE7"/>
    <w:rsid w:val="006F0D6F"/>
    <w:rsid w:val="006F0E3B"/>
    <w:rsid w:val="006F0E8D"/>
    <w:rsid w:val="006F0FD3"/>
    <w:rsid w:val="006F102F"/>
    <w:rsid w:val="006F10B3"/>
    <w:rsid w:val="006F1262"/>
    <w:rsid w:val="006F12F0"/>
    <w:rsid w:val="006F13DA"/>
    <w:rsid w:val="006F1403"/>
    <w:rsid w:val="006F148B"/>
    <w:rsid w:val="006F156B"/>
    <w:rsid w:val="006F16D3"/>
    <w:rsid w:val="006F16E8"/>
    <w:rsid w:val="006F1700"/>
    <w:rsid w:val="006F1748"/>
    <w:rsid w:val="006F175B"/>
    <w:rsid w:val="006F1896"/>
    <w:rsid w:val="006F18D5"/>
    <w:rsid w:val="006F1936"/>
    <w:rsid w:val="006F1A4C"/>
    <w:rsid w:val="006F1B8A"/>
    <w:rsid w:val="006F1C0B"/>
    <w:rsid w:val="006F1C60"/>
    <w:rsid w:val="006F1CCA"/>
    <w:rsid w:val="006F1F32"/>
    <w:rsid w:val="006F21A6"/>
    <w:rsid w:val="006F242D"/>
    <w:rsid w:val="006F2573"/>
    <w:rsid w:val="006F2679"/>
    <w:rsid w:val="006F268E"/>
    <w:rsid w:val="006F26EA"/>
    <w:rsid w:val="006F2A2B"/>
    <w:rsid w:val="006F2AFC"/>
    <w:rsid w:val="006F2B31"/>
    <w:rsid w:val="006F2C47"/>
    <w:rsid w:val="006F2D44"/>
    <w:rsid w:val="006F2F8C"/>
    <w:rsid w:val="006F2FCF"/>
    <w:rsid w:val="006F2FF6"/>
    <w:rsid w:val="006F3007"/>
    <w:rsid w:val="006F302F"/>
    <w:rsid w:val="006F304C"/>
    <w:rsid w:val="006F309D"/>
    <w:rsid w:val="006F30AA"/>
    <w:rsid w:val="006F3247"/>
    <w:rsid w:val="006F3299"/>
    <w:rsid w:val="006F334A"/>
    <w:rsid w:val="006F345D"/>
    <w:rsid w:val="006F34D5"/>
    <w:rsid w:val="006F35B9"/>
    <w:rsid w:val="006F361F"/>
    <w:rsid w:val="006F370C"/>
    <w:rsid w:val="006F3833"/>
    <w:rsid w:val="006F386B"/>
    <w:rsid w:val="006F389D"/>
    <w:rsid w:val="006F3951"/>
    <w:rsid w:val="006F3A43"/>
    <w:rsid w:val="006F3A58"/>
    <w:rsid w:val="006F3A6E"/>
    <w:rsid w:val="006F3B50"/>
    <w:rsid w:val="006F3C73"/>
    <w:rsid w:val="006F3C92"/>
    <w:rsid w:val="006F3DA4"/>
    <w:rsid w:val="006F3E39"/>
    <w:rsid w:val="006F3F28"/>
    <w:rsid w:val="006F3F52"/>
    <w:rsid w:val="006F406A"/>
    <w:rsid w:val="006F40D0"/>
    <w:rsid w:val="006F418C"/>
    <w:rsid w:val="006F42C7"/>
    <w:rsid w:val="006F4355"/>
    <w:rsid w:val="006F437E"/>
    <w:rsid w:val="006F43AE"/>
    <w:rsid w:val="006F4423"/>
    <w:rsid w:val="006F45D9"/>
    <w:rsid w:val="006F45E8"/>
    <w:rsid w:val="006F48FB"/>
    <w:rsid w:val="006F493F"/>
    <w:rsid w:val="006F4A40"/>
    <w:rsid w:val="006F4A7E"/>
    <w:rsid w:val="006F4B20"/>
    <w:rsid w:val="006F4BE1"/>
    <w:rsid w:val="006F4C27"/>
    <w:rsid w:val="006F4CAB"/>
    <w:rsid w:val="006F4F83"/>
    <w:rsid w:val="006F4FEE"/>
    <w:rsid w:val="006F5088"/>
    <w:rsid w:val="006F50C7"/>
    <w:rsid w:val="006F5287"/>
    <w:rsid w:val="006F53B6"/>
    <w:rsid w:val="006F559D"/>
    <w:rsid w:val="006F5609"/>
    <w:rsid w:val="006F5700"/>
    <w:rsid w:val="006F581E"/>
    <w:rsid w:val="006F59B7"/>
    <w:rsid w:val="006F5A1A"/>
    <w:rsid w:val="006F5B4B"/>
    <w:rsid w:val="006F5C6E"/>
    <w:rsid w:val="006F5C9E"/>
    <w:rsid w:val="006F5D6B"/>
    <w:rsid w:val="006F5E09"/>
    <w:rsid w:val="006F5F1B"/>
    <w:rsid w:val="006F5F56"/>
    <w:rsid w:val="006F5F71"/>
    <w:rsid w:val="006F5F83"/>
    <w:rsid w:val="006F6231"/>
    <w:rsid w:val="006F627B"/>
    <w:rsid w:val="006F6294"/>
    <w:rsid w:val="006F62F3"/>
    <w:rsid w:val="006F6364"/>
    <w:rsid w:val="006F6583"/>
    <w:rsid w:val="006F6642"/>
    <w:rsid w:val="006F668D"/>
    <w:rsid w:val="006F694B"/>
    <w:rsid w:val="006F6BC1"/>
    <w:rsid w:val="006F6C17"/>
    <w:rsid w:val="006F6C1D"/>
    <w:rsid w:val="006F6D5B"/>
    <w:rsid w:val="006F6E47"/>
    <w:rsid w:val="006F6E56"/>
    <w:rsid w:val="006F7083"/>
    <w:rsid w:val="006F7178"/>
    <w:rsid w:val="006F72F3"/>
    <w:rsid w:val="006F7383"/>
    <w:rsid w:val="006F74CD"/>
    <w:rsid w:val="006F7970"/>
    <w:rsid w:val="006F7D38"/>
    <w:rsid w:val="006F7DE2"/>
    <w:rsid w:val="006F7EBC"/>
    <w:rsid w:val="006F7F06"/>
    <w:rsid w:val="006F7FA1"/>
    <w:rsid w:val="00700006"/>
    <w:rsid w:val="00700058"/>
    <w:rsid w:val="0070009B"/>
    <w:rsid w:val="00700169"/>
    <w:rsid w:val="007001E7"/>
    <w:rsid w:val="00700280"/>
    <w:rsid w:val="00700354"/>
    <w:rsid w:val="00700427"/>
    <w:rsid w:val="007004C4"/>
    <w:rsid w:val="00700562"/>
    <w:rsid w:val="0070056F"/>
    <w:rsid w:val="0070061F"/>
    <w:rsid w:val="0070077D"/>
    <w:rsid w:val="007007CE"/>
    <w:rsid w:val="007009CE"/>
    <w:rsid w:val="00700ADC"/>
    <w:rsid w:val="00700B2F"/>
    <w:rsid w:val="00700BC1"/>
    <w:rsid w:val="00700BFB"/>
    <w:rsid w:val="00700C9D"/>
    <w:rsid w:val="00700D36"/>
    <w:rsid w:val="0070105A"/>
    <w:rsid w:val="00701060"/>
    <w:rsid w:val="007010B0"/>
    <w:rsid w:val="007010CA"/>
    <w:rsid w:val="0070112E"/>
    <w:rsid w:val="00701179"/>
    <w:rsid w:val="0070123E"/>
    <w:rsid w:val="0070129E"/>
    <w:rsid w:val="00701561"/>
    <w:rsid w:val="007017E9"/>
    <w:rsid w:val="007019B4"/>
    <w:rsid w:val="007019B7"/>
    <w:rsid w:val="00701B8A"/>
    <w:rsid w:val="00701EE6"/>
    <w:rsid w:val="00701F65"/>
    <w:rsid w:val="00701FD6"/>
    <w:rsid w:val="0070201D"/>
    <w:rsid w:val="00702285"/>
    <w:rsid w:val="0070250A"/>
    <w:rsid w:val="00702522"/>
    <w:rsid w:val="0070255D"/>
    <w:rsid w:val="007026A3"/>
    <w:rsid w:val="007027DC"/>
    <w:rsid w:val="00702816"/>
    <w:rsid w:val="007028F5"/>
    <w:rsid w:val="00702937"/>
    <w:rsid w:val="00702B1C"/>
    <w:rsid w:val="00702B41"/>
    <w:rsid w:val="00702D4C"/>
    <w:rsid w:val="00702D7B"/>
    <w:rsid w:val="00702DDD"/>
    <w:rsid w:val="00702E31"/>
    <w:rsid w:val="007030DE"/>
    <w:rsid w:val="00703172"/>
    <w:rsid w:val="00703466"/>
    <w:rsid w:val="0070364A"/>
    <w:rsid w:val="007036A2"/>
    <w:rsid w:val="00703707"/>
    <w:rsid w:val="007038B4"/>
    <w:rsid w:val="007039AE"/>
    <w:rsid w:val="00703AD7"/>
    <w:rsid w:val="00703B26"/>
    <w:rsid w:val="00703BA4"/>
    <w:rsid w:val="00703C05"/>
    <w:rsid w:val="00703C35"/>
    <w:rsid w:val="00703D71"/>
    <w:rsid w:val="00703E0F"/>
    <w:rsid w:val="00703EE8"/>
    <w:rsid w:val="00703F0F"/>
    <w:rsid w:val="00703F3E"/>
    <w:rsid w:val="00703FBC"/>
    <w:rsid w:val="00704043"/>
    <w:rsid w:val="007040FA"/>
    <w:rsid w:val="007041EE"/>
    <w:rsid w:val="0070425E"/>
    <w:rsid w:val="0070436C"/>
    <w:rsid w:val="00704408"/>
    <w:rsid w:val="00704423"/>
    <w:rsid w:val="0070442A"/>
    <w:rsid w:val="007044D0"/>
    <w:rsid w:val="00704581"/>
    <w:rsid w:val="00704621"/>
    <w:rsid w:val="00704716"/>
    <w:rsid w:val="00704797"/>
    <w:rsid w:val="007047E5"/>
    <w:rsid w:val="00704BAB"/>
    <w:rsid w:val="00704C0D"/>
    <w:rsid w:val="00704CAC"/>
    <w:rsid w:val="00704D4A"/>
    <w:rsid w:val="00704E49"/>
    <w:rsid w:val="00704EDD"/>
    <w:rsid w:val="00704F3D"/>
    <w:rsid w:val="00704FB7"/>
    <w:rsid w:val="007050D5"/>
    <w:rsid w:val="007050DA"/>
    <w:rsid w:val="007050DF"/>
    <w:rsid w:val="007051B6"/>
    <w:rsid w:val="007052AD"/>
    <w:rsid w:val="007053AA"/>
    <w:rsid w:val="007054A3"/>
    <w:rsid w:val="007054D9"/>
    <w:rsid w:val="00705563"/>
    <w:rsid w:val="0070561B"/>
    <w:rsid w:val="00705835"/>
    <w:rsid w:val="00705B55"/>
    <w:rsid w:val="00705BAD"/>
    <w:rsid w:val="00705C4D"/>
    <w:rsid w:val="00705E23"/>
    <w:rsid w:val="00705F2C"/>
    <w:rsid w:val="00706051"/>
    <w:rsid w:val="007062D4"/>
    <w:rsid w:val="0070630C"/>
    <w:rsid w:val="00706413"/>
    <w:rsid w:val="0070674F"/>
    <w:rsid w:val="0070677F"/>
    <w:rsid w:val="0070685C"/>
    <w:rsid w:val="00706891"/>
    <w:rsid w:val="007068C2"/>
    <w:rsid w:val="00706AE4"/>
    <w:rsid w:val="00706E26"/>
    <w:rsid w:val="00706E8E"/>
    <w:rsid w:val="00706EC5"/>
    <w:rsid w:val="00706EEF"/>
    <w:rsid w:val="007072EB"/>
    <w:rsid w:val="0070732F"/>
    <w:rsid w:val="00707345"/>
    <w:rsid w:val="00707450"/>
    <w:rsid w:val="00707557"/>
    <w:rsid w:val="00707602"/>
    <w:rsid w:val="00707643"/>
    <w:rsid w:val="007077F2"/>
    <w:rsid w:val="00707B69"/>
    <w:rsid w:val="00707B85"/>
    <w:rsid w:val="00707C00"/>
    <w:rsid w:val="00707D9D"/>
    <w:rsid w:val="00707DFB"/>
    <w:rsid w:val="00707E1C"/>
    <w:rsid w:val="00707E42"/>
    <w:rsid w:val="00707EC0"/>
    <w:rsid w:val="00707ED1"/>
    <w:rsid w:val="007100FF"/>
    <w:rsid w:val="00710253"/>
    <w:rsid w:val="00710273"/>
    <w:rsid w:val="007102B2"/>
    <w:rsid w:val="00710366"/>
    <w:rsid w:val="00710407"/>
    <w:rsid w:val="007104F8"/>
    <w:rsid w:val="00710571"/>
    <w:rsid w:val="007105C2"/>
    <w:rsid w:val="007107BE"/>
    <w:rsid w:val="0071086A"/>
    <w:rsid w:val="00710948"/>
    <w:rsid w:val="0071095E"/>
    <w:rsid w:val="0071098E"/>
    <w:rsid w:val="00710996"/>
    <w:rsid w:val="00710B90"/>
    <w:rsid w:val="00710C1A"/>
    <w:rsid w:val="00710C5D"/>
    <w:rsid w:val="00710C6C"/>
    <w:rsid w:val="00710C9C"/>
    <w:rsid w:val="00710D10"/>
    <w:rsid w:val="00710E52"/>
    <w:rsid w:val="00710E7F"/>
    <w:rsid w:val="00710FCE"/>
    <w:rsid w:val="00711023"/>
    <w:rsid w:val="0071109C"/>
    <w:rsid w:val="007111C2"/>
    <w:rsid w:val="007113C9"/>
    <w:rsid w:val="00711502"/>
    <w:rsid w:val="007115D6"/>
    <w:rsid w:val="007115F7"/>
    <w:rsid w:val="007115F8"/>
    <w:rsid w:val="007118DA"/>
    <w:rsid w:val="0071191E"/>
    <w:rsid w:val="007119A9"/>
    <w:rsid w:val="00711B63"/>
    <w:rsid w:val="00711BC5"/>
    <w:rsid w:val="00711BCF"/>
    <w:rsid w:val="00711CAD"/>
    <w:rsid w:val="00711DD4"/>
    <w:rsid w:val="00711E68"/>
    <w:rsid w:val="00711F28"/>
    <w:rsid w:val="00712164"/>
    <w:rsid w:val="007121E8"/>
    <w:rsid w:val="00712288"/>
    <w:rsid w:val="007122D8"/>
    <w:rsid w:val="0071239B"/>
    <w:rsid w:val="007123AF"/>
    <w:rsid w:val="00712424"/>
    <w:rsid w:val="007124A1"/>
    <w:rsid w:val="007124AF"/>
    <w:rsid w:val="007124F3"/>
    <w:rsid w:val="00712566"/>
    <w:rsid w:val="00712568"/>
    <w:rsid w:val="007125BF"/>
    <w:rsid w:val="007125C7"/>
    <w:rsid w:val="007125F4"/>
    <w:rsid w:val="007126C7"/>
    <w:rsid w:val="007127D9"/>
    <w:rsid w:val="00712929"/>
    <w:rsid w:val="00712948"/>
    <w:rsid w:val="00712976"/>
    <w:rsid w:val="00712A69"/>
    <w:rsid w:val="00712ABE"/>
    <w:rsid w:val="00712AC2"/>
    <w:rsid w:val="00712D21"/>
    <w:rsid w:val="00712D23"/>
    <w:rsid w:val="00712D2B"/>
    <w:rsid w:val="00712D8A"/>
    <w:rsid w:val="00712DB8"/>
    <w:rsid w:val="00712EB8"/>
    <w:rsid w:val="00712F55"/>
    <w:rsid w:val="00712F95"/>
    <w:rsid w:val="00712FA1"/>
    <w:rsid w:val="007131CF"/>
    <w:rsid w:val="00713216"/>
    <w:rsid w:val="007133B6"/>
    <w:rsid w:val="00713448"/>
    <w:rsid w:val="0071344E"/>
    <w:rsid w:val="00713576"/>
    <w:rsid w:val="007135FF"/>
    <w:rsid w:val="0071370F"/>
    <w:rsid w:val="00713979"/>
    <w:rsid w:val="007139BF"/>
    <w:rsid w:val="00713A2F"/>
    <w:rsid w:val="00713AFE"/>
    <w:rsid w:val="00713B66"/>
    <w:rsid w:val="00713D4C"/>
    <w:rsid w:val="00713E7B"/>
    <w:rsid w:val="00713EB4"/>
    <w:rsid w:val="00713F5A"/>
    <w:rsid w:val="00713F83"/>
    <w:rsid w:val="00713FF0"/>
    <w:rsid w:val="00714189"/>
    <w:rsid w:val="00714201"/>
    <w:rsid w:val="00714241"/>
    <w:rsid w:val="00714284"/>
    <w:rsid w:val="007142E5"/>
    <w:rsid w:val="007142F1"/>
    <w:rsid w:val="007143B9"/>
    <w:rsid w:val="007143C7"/>
    <w:rsid w:val="007145B7"/>
    <w:rsid w:val="007147F7"/>
    <w:rsid w:val="00714871"/>
    <w:rsid w:val="0071487B"/>
    <w:rsid w:val="00714AD1"/>
    <w:rsid w:val="00714B2C"/>
    <w:rsid w:val="00714B99"/>
    <w:rsid w:val="00714BAE"/>
    <w:rsid w:val="00714D5E"/>
    <w:rsid w:val="00714D6C"/>
    <w:rsid w:val="00714E38"/>
    <w:rsid w:val="00714E48"/>
    <w:rsid w:val="00714F56"/>
    <w:rsid w:val="0071504E"/>
    <w:rsid w:val="007152BF"/>
    <w:rsid w:val="00715429"/>
    <w:rsid w:val="007155CE"/>
    <w:rsid w:val="007157C9"/>
    <w:rsid w:val="00715936"/>
    <w:rsid w:val="00715940"/>
    <w:rsid w:val="007159A2"/>
    <w:rsid w:val="00715A49"/>
    <w:rsid w:val="00715B09"/>
    <w:rsid w:val="00715B5D"/>
    <w:rsid w:val="00715C11"/>
    <w:rsid w:val="00715D66"/>
    <w:rsid w:val="00715E96"/>
    <w:rsid w:val="00715F57"/>
    <w:rsid w:val="00715FD7"/>
    <w:rsid w:val="007161F6"/>
    <w:rsid w:val="0071639B"/>
    <w:rsid w:val="00716420"/>
    <w:rsid w:val="00716456"/>
    <w:rsid w:val="007165C9"/>
    <w:rsid w:val="007165DA"/>
    <w:rsid w:val="007165FC"/>
    <w:rsid w:val="00716620"/>
    <w:rsid w:val="007166C4"/>
    <w:rsid w:val="00716973"/>
    <w:rsid w:val="007169A8"/>
    <w:rsid w:val="00716A07"/>
    <w:rsid w:val="00716A15"/>
    <w:rsid w:val="00716A9F"/>
    <w:rsid w:val="00716C3C"/>
    <w:rsid w:val="00716C73"/>
    <w:rsid w:val="00716CD6"/>
    <w:rsid w:val="00716CF0"/>
    <w:rsid w:val="00716D3D"/>
    <w:rsid w:val="00716E06"/>
    <w:rsid w:val="00716E15"/>
    <w:rsid w:val="00716E3D"/>
    <w:rsid w:val="00717167"/>
    <w:rsid w:val="0071723F"/>
    <w:rsid w:val="0071726E"/>
    <w:rsid w:val="0071729C"/>
    <w:rsid w:val="0071737F"/>
    <w:rsid w:val="007174DD"/>
    <w:rsid w:val="00717515"/>
    <w:rsid w:val="007177AF"/>
    <w:rsid w:val="00717C6C"/>
    <w:rsid w:val="00717D57"/>
    <w:rsid w:val="00717DEB"/>
    <w:rsid w:val="00717FC7"/>
    <w:rsid w:val="00720004"/>
    <w:rsid w:val="0072026E"/>
    <w:rsid w:val="0072026F"/>
    <w:rsid w:val="007202AC"/>
    <w:rsid w:val="00720377"/>
    <w:rsid w:val="00720657"/>
    <w:rsid w:val="007206B5"/>
    <w:rsid w:val="007207BB"/>
    <w:rsid w:val="007207E0"/>
    <w:rsid w:val="007208CC"/>
    <w:rsid w:val="00720971"/>
    <w:rsid w:val="007209E7"/>
    <w:rsid w:val="00720A8D"/>
    <w:rsid w:val="00720B3B"/>
    <w:rsid w:val="00720B6D"/>
    <w:rsid w:val="00720B9F"/>
    <w:rsid w:val="00720BF4"/>
    <w:rsid w:val="00720BFF"/>
    <w:rsid w:val="00720DD4"/>
    <w:rsid w:val="00721036"/>
    <w:rsid w:val="00721085"/>
    <w:rsid w:val="00721224"/>
    <w:rsid w:val="0072124B"/>
    <w:rsid w:val="00721259"/>
    <w:rsid w:val="007212DE"/>
    <w:rsid w:val="0072141E"/>
    <w:rsid w:val="00721592"/>
    <w:rsid w:val="00721725"/>
    <w:rsid w:val="0072184A"/>
    <w:rsid w:val="007218AE"/>
    <w:rsid w:val="007218B9"/>
    <w:rsid w:val="00721AB9"/>
    <w:rsid w:val="00721B59"/>
    <w:rsid w:val="00721CEF"/>
    <w:rsid w:val="00721CFC"/>
    <w:rsid w:val="00721F02"/>
    <w:rsid w:val="00721FD5"/>
    <w:rsid w:val="00722074"/>
    <w:rsid w:val="00722230"/>
    <w:rsid w:val="00722322"/>
    <w:rsid w:val="00722413"/>
    <w:rsid w:val="007224C2"/>
    <w:rsid w:val="007224DA"/>
    <w:rsid w:val="007224F3"/>
    <w:rsid w:val="007225C2"/>
    <w:rsid w:val="007225D6"/>
    <w:rsid w:val="00722625"/>
    <w:rsid w:val="0072279B"/>
    <w:rsid w:val="00722947"/>
    <w:rsid w:val="00722B19"/>
    <w:rsid w:val="00722B3D"/>
    <w:rsid w:val="00722B53"/>
    <w:rsid w:val="00722B5C"/>
    <w:rsid w:val="00722C14"/>
    <w:rsid w:val="00722E29"/>
    <w:rsid w:val="00722E5F"/>
    <w:rsid w:val="00723002"/>
    <w:rsid w:val="00723039"/>
    <w:rsid w:val="00723103"/>
    <w:rsid w:val="0072316D"/>
    <w:rsid w:val="00723176"/>
    <w:rsid w:val="007231B1"/>
    <w:rsid w:val="00723307"/>
    <w:rsid w:val="0072338A"/>
    <w:rsid w:val="007234B7"/>
    <w:rsid w:val="007234F4"/>
    <w:rsid w:val="00723513"/>
    <w:rsid w:val="00723551"/>
    <w:rsid w:val="007235E1"/>
    <w:rsid w:val="00723666"/>
    <w:rsid w:val="0072367B"/>
    <w:rsid w:val="00723721"/>
    <w:rsid w:val="007237AB"/>
    <w:rsid w:val="007237B5"/>
    <w:rsid w:val="007237D9"/>
    <w:rsid w:val="00723976"/>
    <w:rsid w:val="00723C81"/>
    <w:rsid w:val="00723C87"/>
    <w:rsid w:val="00723FBC"/>
    <w:rsid w:val="00723FE9"/>
    <w:rsid w:val="007240A1"/>
    <w:rsid w:val="0072411C"/>
    <w:rsid w:val="007241C1"/>
    <w:rsid w:val="00724217"/>
    <w:rsid w:val="00724230"/>
    <w:rsid w:val="0072429F"/>
    <w:rsid w:val="007243DF"/>
    <w:rsid w:val="0072459A"/>
    <w:rsid w:val="0072484D"/>
    <w:rsid w:val="00724895"/>
    <w:rsid w:val="007248E0"/>
    <w:rsid w:val="00724947"/>
    <w:rsid w:val="007249DC"/>
    <w:rsid w:val="00724BB9"/>
    <w:rsid w:val="00724BE9"/>
    <w:rsid w:val="00724C64"/>
    <w:rsid w:val="00724C9E"/>
    <w:rsid w:val="00724CE4"/>
    <w:rsid w:val="00724D97"/>
    <w:rsid w:val="00724E61"/>
    <w:rsid w:val="00724EAF"/>
    <w:rsid w:val="00724EEE"/>
    <w:rsid w:val="00724F20"/>
    <w:rsid w:val="0072501E"/>
    <w:rsid w:val="0072516D"/>
    <w:rsid w:val="0072518C"/>
    <w:rsid w:val="0072527F"/>
    <w:rsid w:val="007252CD"/>
    <w:rsid w:val="007252DB"/>
    <w:rsid w:val="007252F1"/>
    <w:rsid w:val="00725372"/>
    <w:rsid w:val="00725418"/>
    <w:rsid w:val="00725451"/>
    <w:rsid w:val="0072554F"/>
    <w:rsid w:val="00725579"/>
    <w:rsid w:val="00725604"/>
    <w:rsid w:val="0072561B"/>
    <w:rsid w:val="00725692"/>
    <w:rsid w:val="007256DC"/>
    <w:rsid w:val="00725809"/>
    <w:rsid w:val="00725812"/>
    <w:rsid w:val="0072593A"/>
    <w:rsid w:val="007259AC"/>
    <w:rsid w:val="00725A1F"/>
    <w:rsid w:val="00725B73"/>
    <w:rsid w:val="00725C6A"/>
    <w:rsid w:val="00725C91"/>
    <w:rsid w:val="00725CCE"/>
    <w:rsid w:val="00725CE1"/>
    <w:rsid w:val="00725D0E"/>
    <w:rsid w:val="00725DEE"/>
    <w:rsid w:val="00725FE2"/>
    <w:rsid w:val="00725FF7"/>
    <w:rsid w:val="00726097"/>
    <w:rsid w:val="00726208"/>
    <w:rsid w:val="0072639D"/>
    <w:rsid w:val="0072643C"/>
    <w:rsid w:val="007264BD"/>
    <w:rsid w:val="007266AF"/>
    <w:rsid w:val="0072679C"/>
    <w:rsid w:val="007267B9"/>
    <w:rsid w:val="007267EF"/>
    <w:rsid w:val="00726925"/>
    <w:rsid w:val="007269AD"/>
    <w:rsid w:val="00726A9B"/>
    <w:rsid w:val="00726AA8"/>
    <w:rsid w:val="00726B1E"/>
    <w:rsid w:val="007270E6"/>
    <w:rsid w:val="007271CE"/>
    <w:rsid w:val="007274E9"/>
    <w:rsid w:val="00727506"/>
    <w:rsid w:val="00727555"/>
    <w:rsid w:val="007275C3"/>
    <w:rsid w:val="007276EC"/>
    <w:rsid w:val="0072782F"/>
    <w:rsid w:val="00727894"/>
    <w:rsid w:val="007278F0"/>
    <w:rsid w:val="00727991"/>
    <w:rsid w:val="007279CF"/>
    <w:rsid w:val="00727A02"/>
    <w:rsid w:val="00727A16"/>
    <w:rsid w:val="00727A8F"/>
    <w:rsid w:val="00727A9C"/>
    <w:rsid w:val="00727CEE"/>
    <w:rsid w:val="00727D6F"/>
    <w:rsid w:val="00727DDA"/>
    <w:rsid w:val="00727F9E"/>
    <w:rsid w:val="00730084"/>
    <w:rsid w:val="007300C8"/>
    <w:rsid w:val="00730456"/>
    <w:rsid w:val="007304BB"/>
    <w:rsid w:val="0073061F"/>
    <w:rsid w:val="00730659"/>
    <w:rsid w:val="0073073C"/>
    <w:rsid w:val="00730798"/>
    <w:rsid w:val="007307A3"/>
    <w:rsid w:val="00730828"/>
    <w:rsid w:val="007308DA"/>
    <w:rsid w:val="00730AC8"/>
    <w:rsid w:val="00730AF0"/>
    <w:rsid w:val="00730CD6"/>
    <w:rsid w:val="00730DB2"/>
    <w:rsid w:val="00730DD1"/>
    <w:rsid w:val="00731013"/>
    <w:rsid w:val="00731029"/>
    <w:rsid w:val="00731096"/>
    <w:rsid w:val="007310BE"/>
    <w:rsid w:val="007310C7"/>
    <w:rsid w:val="007311EF"/>
    <w:rsid w:val="007311FC"/>
    <w:rsid w:val="0073139A"/>
    <w:rsid w:val="007313BB"/>
    <w:rsid w:val="007314FF"/>
    <w:rsid w:val="00731543"/>
    <w:rsid w:val="0073169A"/>
    <w:rsid w:val="00731805"/>
    <w:rsid w:val="007319C0"/>
    <w:rsid w:val="00731B4C"/>
    <w:rsid w:val="00731BBF"/>
    <w:rsid w:val="00731F06"/>
    <w:rsid w:val="00731FA4"/>
    <w:rsid w:val="00731FAE"/>
    <w:rsid w:val="00731FD3"/>
    <w:rsid w:val="0073202A"/>
    <w:rsid w:val="0073202E"/>
    <w:rsid w:val="00732065"/>
    <w:rsid w:val="007320B7"/>
    <w:rsid w:val="0073211F"/>
    <w:rsid w:val="00732164"/>
    <w:rsid w:val="0073217C"/>
    <w:rsid w:val="00732241"/>
    <w:rsid w:val="00732245"/>
    <w:rsid w:val="0073228F"/>
    <w:rsid w:val="007322CF"/>
    <w:rsid w:val="007323AA"/>
    <w:rsid w:val="007323C4"/>
    <w:rsid w:val="007324AE"/>
    <w:rsid w:val="0073257C"/>
    <w:rsid w:val="007325CD"/>
    <w:rsid w:val="007326AF"/>
    <w:rsid w:val="007328EB"/>
    <w:rsid w:val="0073295B"/>
    <w:rsid w:val="0073298A"/>
    <w:rsid w:val="00732BFD"/>
    <w:rsid w:val="00732C07"/>
    <w:rsid w:val="00732C85"/>
    <w:rsid w:val="00732D64"/>
    <w:rsid w:val="00732D73"/>
    <w:rsid w:val="00732D85"/>
    <w:rsid w:val="00732E52"/>
    <w:rsid w:val="00732FD7"/>
    <w:rsid w:val="007331BC"/>
    <w:rsid w:val="007331E6"/>
    <w:rsid w:val="00733332"/>
    <w:rsid w:val="00733479"/>
    <w:rsid w:val="00733498"/>
    <w:rsid w:val="00733608"/>
    <w:rsid w:val="0073365B"/>
    <w:rsid w:val="007336C5"/>
    <w:rsid w:val="0073371C"/>
    <w:rsid w:val="0073375D"/>
    <w:rsid w:val="00733779"/>
    <w:rsid w:val="007337B0"/>
    <w:rsid w:val="007337CC"/>
    <w:rsid w:val="007339DE"/>
    <w:rsid w:val="00733AB5"/>
    <w:rsid w:val="00733C21"/>
    <w:rsid w:val="00734059"/>
    <w:rsid w:val="007340F7"/>
    <w:rsid w:val="007340F8"/>
    <w:rsid w:val="00734191"/>
    <w:rsid w:val="007341D9"/>
    <w:rsid w:val="007341E5"/>
    <w:rsid w:val="007342BF"/>
    <w:rsid w:val="00734336"/>
    <w:rsid w:val="00734377"/>
    <w:rsid w:val="00734565"/>
    <w:rsid w:val="007346CD"/>
    <w:rsid w:val="0073477D"/>
    <w:rsid w:val="0073481E"/>
    <w:rsid w:val="00734909"/>
    <w:rsid w:val="00734986"/>
    <w:rsid w:val="00734AAE"/>
    <w:rsid w:val="00734AAF"/>
    <w:rsid w:val="00734C37"/>
    <w:rsid w:val="00734EEB"/>
    <w:rsid w:val="00734F33"/>
    <w:rsid w:val="00734F57"/>
    <w:rsid w:val="00735004"/>
    <w:rsid w:val="007350AC"/>
    <w:rsid w:val="0073512F"/>
    <w:rsid w:val="0073537E"/>
    <w:rsid w:val="0073562D"/>
    <w:rsid w:val="007356B8"/>
    <w:rsid w:val="007357A5"/>
    <w:rsid w:val="0073587A"/>
    <w:rsid w:val="00735912"/>
    <w:rsid w:val="00735992"/>
    <w:rsid w:val="007359BE"/>
    <w:rsid w:val="00735B8B"/>
    <w:rsid w:val="00735BC6"/>
    <w:rsid w:val="00735C17"/>
    <w:rsid w:val="00735C39"/>
    <w:rsid w:val="00735CE8"/>
    <w:rsid w:val="00735ED9"/>
    <w:rsid w:val="00735F31"/>
    <w:rsid w:val="00735F35"/>
    <w:rsid w:val="00735F93"/>
    <w:rsid w:val="00735FFA"/>
    <w:rsid w:val="00736194"/>
    <w:rsid w:val="0073621A"/>
    <w:rsid w:val="007362F6"/>
    <w:rsid w:val="00736343"/>
    <w:rsid w:val="007363D3"/>
    <w:rsid w:val="00736423"/>
    <w:rsid w:val="00736529"/>
    <w:rsid w:val="007365F5"/>
    <w:rsid w:val="007366DD"/>
    <w:rsid w:val="007366ED"/>
    <w:rsid w:val="007369EB"/>
    <w:rsid w:val="007369FD"/>
    <w:rsid w:val="00736AA4"/>
    <w:rsid w:val="00736ABC"/>
    <w:rsid w:val="00736B2A"/>
    <w:rsid w:val="00736C56"/>
    <w:rsid w:val="00736D4D"/>
    <w:rsid w:val="00736D5E"/>
    <w:rsid w:val="00736E0D"/>
    <w:rsid w:val="00736EB6"/>
    <w:rsid w:val="00736F79"/>
    <w:rsid w:val="00736F95"/>
    <w:rsid w:val="00736FFA"/>
    <w:rsid w:val="00737019"/>
    <w:rsid w:val="0073705C"/>
    <w:rsid w:val="00737145"/>
    <w:rsid w:val="007371D8"/>
    <w:rsid w:val="007372A9"/>
    <w:rsid w:val="007373FA"/>
    <w:rsid w:val="00737472"/>
    <w:rsid w:val="007374BA"/>
    <w:rsid w:val="00737511"/>
    <w:rsid w:val="00737530"/>
    <w:rsid w:val="00737576"/>
    <w:rsid w:val="0073759C"/>
    <w:rsid w:val="007375BA"/>
    <w:rsid w:val="0073760A"/>
    <w:rsid w:val="00737792"/>
    <w:rsid w:val="00737862"/>
    <w:rsid w:val="00737883"/>
    <w:rsid w:val="0073795C"/>
    <w:rsid w:val="00737A6D"/>
    <w:rsid w:val="00737B27"/>
    <w:rsid w:val="00737B41"/>
    <w:rsid w:val="00737C9B"/>
    <w:rsid w:val="00737DE0"/>
    <w:rsid w:val="0074008A"/>
    <w:rsid w:val="007400F7"/>
    <w:rsid w:val="007401D4"/>
    <w:rsid w:val="007401E8"/>
    <w:rsid w:val="00740329"/>
    <w:rsid w:val="00740345"/>
    <w:rsid w:val="00740498"/>
    <w:rsid w:val="0074080A"/>
    <w:rsid w:val="00740816"/>
    <w:rsid w:val="00740996"/>
    <w:rsid w:val="00740B2C"/>
    <w:rsid w:val="00740B2E"/>
    <w:rsid w:val="00740B32"/>
    <w:rsid w:val="00740BEE"/>
    <w:rsid w:val="00740C20"/>
    <w:rsid w:val="00740E81"/>
    <w:rsid w:val="00740EDD"/>
    <w:rsid w:val="00740F1C"/>
    <w:rsid w:val="00740F38"/>
    <w:rsid w:val="00741015"/>
    <w:rsid w:val="00741140"/>
    <w:rsid w:val="00741190"/>
    <w:rsid w:val="00741247"/>
    <w:rsid w:val="00741319"/>
    <w:rsid w:val="00741330"/>
    <w:rsid w:val="007413B0"/>
    <w:rsid w:val="00741411"/>
    <w:rsid w:val="00741524"/>
    <w:rsid w:val="0074154C"/>
    <w:rsid w:val="00741572"/>
    <w:rsid w:val="00741592"/>
    <w:rsid w:val="007415D2"/>
    <w:rsid w:val="00741748"/>
    <w:rsid w:val="007417E9"/>
    <w:rsid w:val="0074180B"/>
    <w:rsid w:val="007418F3"/>
    <w:rsid w:val="00741A5C"/>
    <w:rsid w:val="00741AA5"/>
    <w:rsid w:val="00741BB9"/>
    <w:rsid w:val="00741BF2"/>
    <w:rsid w:val="00741C59"/>
    <w:rsid w:val="00741C8F"/>
    <w:rsid w:val="00741E77"/>
    <w:rsid w:val="00741EAC"/>
    <w:rsid w:val="00741FEF"/>
    <w:rsid w:val="00742080"/>
    <w:rsid w:val="007420B8"/>
    <w:rsid w:val="007420E7"/>
    <w:rsid w:val="0074215C"/>
    <w:rsid w:val="00742179"/>
    <w:rsid w:val="007421EE"/>
    <w:rsid w:val="00742232"/>
    <w:rsid w:val="00742366"/>
    <w:rsid w:val="00742403"/>
    <w:rsid w:val="007424C3"/>
    <w:rsid w:val="007424D2"/>
    <w:rsid w:val="0074252B"/>
    <w:rsid w:val="007426A6"/>
    <w:rsid w:val="00742B5B"/>
    <w:rsid w:val="00742B9C"/>
    <w:rsid w:val="00742DCE"/>
    <w:rsid w:val="00742ED5"/>
    <w:rsid w:val="00742EDF"/>
    <w:rsid w:val="00742EE5"/>
    <w:rsid w:val="0074301A"/>
    <w:rsid w:val="00743021"/>
    <w:rsid w:val="00743538"/>
    <w:rsid w:val="00743565"/>
    <w:rsid w:val="00743637"/>
    <w:rsid w:val="00743685"/>
    <w:rsid w:val="007436F6"/>
    <w:rsid w:val="00743AC7"/>
    <w:rsid w:val="00743B25"/>
    <w:rsid w:val="00743C02"/>
    <w:rsid w:val="00743C7A"/>
    <w:rsid w:val="00743C88"/>
    <w:rsid w:val="00743C89"/>
    <w:rsid w:val="00743E84"/>
    <w:rsid w:val="00743E97"/>
    <w:rsid w:val="00743EFA"/>
    <w:rsid w:val="00743F8A"/>
    <w:rsid w:val="00744182"/>
    <w:rsid w:val="00744245"/>
    <w:rsid w:val="00744247"/>
    <w:rsid w:val="0074445C"/>
    <w:rsid w:val="00744469"/>
    <w:rsid w:val="00744484"/>
    <w:rsid w:val="00744489"/>
    <w:rsid w:val="00744545"/>
    <w:rsid w:val="00744624"/>
    <w:rsid w:val="00744793"/>
    <w:rsid w:val="0074493C"/>
    <w:rsid w:val="0074497E"/>
    <w:rsid w:val="00744993"/>
    <w:rsid w:val="00744A41"/>
    <w:rsid w:val="00744AFC"/>
    <w:rsid w:val="00744BCC"/>
    <w:rsid w:val="00744C7F"/>
    <w:rsid w:val="00744C9C"/>
    <w:rsid w:val="00744CAD"/>
    <w:rsid w:val="00744D1B"/>
    <w:rsid w:val="00744D48"/>
    <w:rsid w:val="00744D49"/>
    <w:rsid w:val="00744E87"/>
    <w:rsid w:val="00744E93"/>
    <w:rsid w:val="00744F81"/>
    <w:rsid w:val="00744FC6"/>
    <w:rsid w:val="0074502C"/>
    <w:rsid w:val="007450AE"/>
    <w:rsid w:val="0074517C"/>
    <w:rsid w:val="007451B7"/>
    <w:rsid w:val="0074520F"/>
    <w:rsid w:val="0074525D"/>
    <w:rsid w:val="0074525E"/>
    <w:rsid w:val="00745395"/>
    <w:rsid w:val="007453C9"/>
    <w:rsid w:val="007455AE"/>
    <w:rsid w:val="007455B8"/>
    <w:rsid w:val="007457F1"/>
    <w:rsid w:val="00745ACD"/>
    <w:rsid w:val="00745AF8"/>
    <w:rsid w:val="00745D4D"/>
    <w:rsid w:val="00745E1A"/>
    <w:rsid w:val="00745E3E"/>
    <w:rsid w:val="00745E99"/>
    <w:rsid w:val="00746164"/>
    <w:rsid w:val="0074618D"/>
    <w:rsid w:val="00746196"/>
    <w:rsid w:val="00746230"/>
    <w:rsid w:val="007462AE"/>
    <w:rsid w:val="00746335"/>
    <w:rsid w:val="00746585"/>
    <w:rsid w:val="007465D0"/>
    <w:rsid w:val="00746633"/>
    <w:rsid w:val="0074664C"/>
    <w:rsid w:val="00746764"/>
    <w:rsid w:val="00746802"/>
    <w:rsid w:val="0074690B"/>
    <w:rsid w:val="0074693A"/>
    <w:rsid w:val="00746A02"/>
    <w:rsid w:val="00746A90"/>
    <w:rsid w:val="00746ECE"/>
    <w:rsid w:val="00746F64"/>
    <w:rsid w:val="00747091"/>
    <w:rsid w:val="00747095"/>
    <w:rsid w:val="00747199"/>
    <w:rsid w:val="007471ED"/>
    <w:rsid w:val="0074725B"/>
    <w:rsid w:val="00747531"/>
    <w:rsid w:val="00747656"/>
    <w:rsid w:val="007477C0"/>
    <w:rsid w:val="007478F9"/>
    <w:rsid w:val="0074791F"/>
    <w:rsid w:val="00747955"/>
    <w:rsid w:val="007479CC"/>
    <w:rsid w:val="00747A25"/>
    <w:rsid w:val="00747AE2"/>
    <w:rsid w:val="00747B16"/>
    <w:rsid w:val="00747BD2"/>
    <w:rsid w:val="00747BE6"/>
    <w:rsid w:val="00747D86"/>
    <w:rsid w:val="00747DBE"/>
    <w:rsid w:val="00747E7B"/>
    <w:rsid w:val="00747FB8"/>
    <w:rsid w:val="00750082"/>
    <w:rsid w:val="007501C8"/>
    <w:rsid w:val="007501E1"/>
    <w:rsid w:val="007503DA"/>
    <w:rsid w:val="00750578"/>
    <w:rsid w:val="0075057D"/>
    <w:rsid w:val="007505CF"/>
    <w:rsid w:val="00750606"/>
    <w:rsid w:val="00750799"/>
    <w:rsid w:val="007507B3"/>
    <w:rsid w:val="00750859"/>
    <w:rsid w:val="007508DA"/>
    <w:rsid w:val="0075093F"/>
    <w:rsid w:val="007509DD"/>
    <w:rsid w:val="00750B83"/>
    <w:rsid w:val="00750BC9"/>
    <w:rsid w:val="00750CFD"/>
    <w:rsid w:val="00750D37"/>
    <w:rsid w:val="00750D97"/>
    <w:rsid w:val="00750DF6"/>
    <w:rsid w:val="00750E3A"/>
    <w:rsid w:val="007510B6"/>
    <w:rsid w:val="00751172"/>
    <w:rsid w:val="00751256"/>
    <w:rsid w:val="0075125E"/>
    <w:rsid w:val="00751298"/>
    <w:rsid w:val="007512AB"/>
    <w:rsid w:val="007512FB"/>
    <w:rsid w:val="0075143A"/>
    <w:rsid w:val="00751445"/>
    <w:rsid w:val="0075164B"/>
    <w:rsid w:val="007517A2"/>
    <w:rsid w:val="00751889"/>
    <w:rsid w:val="00751A7A"/>
    <w:rsid w:val="00751B73"/>
    <w:rsid w:val="00751D43"/>
    <w:rsid w:val="00751DBD"/>
    <w:rsid w:val="00752120"/>
    <w:rsid w:val="0075213E"/>
    <w:rsid w:val="0075217C"/>
    <w:rsid w:val="007521AA"/>
    <w:rsid w:val="0075220F"/>
    <w:rsid w:val="0075235F"/>
    <w:rsid w:val="0075236C"/>
    <w:rsid w:val="007523B2"/>
    <w:rsid w:val="00752428"/>
    <w:rsid w:val="007524CE"/>
    <w:rsid w:val="00752663"/>
    <w:rsid w:val="007526D1"/>
    <w:rsid w:val="00752741"/>
    <w:rsid w:val="0075284C"/>
    <w:rsid w:val="0075296E"/>
    <w:rsid w:val="00752992"/>
    <w:rsid w:val="00752A89"/>
    <w:rsid w:val="00752C54"/>
    <w:rsid w:val="00752CF1"/>
    <w:rsid w:val="00752E93"/>
    <w:rsid w:val="00752F0A"/>
    <w:rsid w:val="0075320F"/>
    <w:rsid w:val="007533DB"/>
    <w:rsid w:val="007533F8"/>
    <w:rsid w:val="007534AB"/>
    <w:rsid w:val="007535D1"/>
    <w:rsid w:val="00753644"/>
    <w:rsid w:val="007536B1"/>
    <w:rsid w:val="007538D8"/>
    <w:rsid w:val="00753978"/>
    <w:rsid w:val="00753A89"/>
    <w:rsid w:val="007540F1"/>
    <w:rsid w:val="007540F4"/>
    <w:rsid w:val="00754116"/>
    <w:rsid w:val="00754198"/>
    <w:rsid w:val="007543EE"/>
    <w:rsid w:val="00754414"/>
    <w:rsid w:val="007544BA"/>
    <w:rsid w:val="007544EE"/>
    <w:rsid w:val="00754553"/>
    <w:rsid w:val="007545B7"/>
    <w:rsid w:val="0075462D"/>
    <w:rsid w:val="00754767"/>
    <w:rsid w:val="0075476A"/>
    <w:rsid w:val="00754779"/>
    <w:rsid w:val="007548AE"/>
    <w:rsid w:val="007548C7"/>
    <w:rsid w:val="007548CF"/>
    <w:rsid w:val="00754962"/>
    <w:rsid w:val="00754A0B"/>
    <w:rsid w:val="00754ADD"/>
    <w:rsid w:val="00754AFD"/>
    <w:rsid w:val="00754C2A"/>
    <w:rsid w:val="00754CAD"/>
    <w:rsid w:val="00754DD9"/>
    <w:rsid w:val="00754E35"/>
    <w:rsid w:val="00754F8E"/>
    <w:rsid w:val="00754F9D"/>
    <w:rsid w:val="00755178"/>
    <w:rsid w:val="007551A6"/>
    <w:rsid w:val="007551D2"/>
    <w:rsid w:val="00755284"/>
    <w:rsid w:val="00755318"/>
    <w:rsid w:val="0075558C"/>
    <w:rsid w:val="007556DD"/>
    <w:rsid w:val="007558C3"/>
    <w:rsid w:val="00755961"/>
    <w:rsid w:val="00755B36"/>
    <w:rsid w:val="00755BA9"/>
    <w:rsid w:val="00755C2B"/>
    <w:rsid w:val="00755CBC"/>
    <w:rsid w:val="00755D5B"/>
    <w:rsid w:val="00755DAB"/>
    <w:rsid w:val="00755F6D"/>
    <w:rsid w:val="00756191"/>
    <w:rsid w:val="007561BE"/>
    <w:rsid w:val="00756353"/>
    <w:rsid w:val="0075635D"/>
    <w:rsid w:val="007563DB"/>
    <w:rsid w:val="007564C0"/>
    <w:rsid w:val="00756538"/>
    <w:rsid w:val="007566EF"/>
    <w:rsid w:val="00756A3D"/>
    <w:rsid w:val="00756A8A"/>
    <w:rsid w:val="00756C7F"/>
    <w:rsid w:val="00756CA5"/>
    <w:rsid w:val="00756D40"/>
    <w:rsid w:val="00756D84"/>
    <w:rsid w:val="00756F28"/>
    <w:rsid w:val="00756F2A"/>
    <w:rsid w:val="00756FA0"/>
    <w:rsid w:val="00756FC0"/>
    <w:rsid w:val="00757002"/>
    <w:rsid w:val="007570FD"/>
    <w:rsid w:val="007571E8"/>
    <w:rsid w:val="007572D3"/>
    <w:rsid w:val="00757321"/>
    <w:rsid w:val="00757480"/>
    <w:rsid w:val="007574B1"/>
    <w:rsid w:val="0075776A"/>
    <w:rsid w:val="00757940"/>
    <w:rsid w:val="00757A4F"/>
    <w:rsid w:val="00757B44"/>
    <w:rsid w:val="00757B75"/>
    <w:rsid w:val="00757C7B"/>
    <w:rsid w:val="00757CA8"/>
    <w:rsid w:val="00757CD6"/>
    <w:rsid w:val="00757D0E"/>
    <w:rsid w:val="00757F5E"/>
    <w:rsid w:val="00760179"/>
    <w:rsid w:val="007601B3"/>
    <w:rsid w:val="007601C2"/>
    <w:rsid w:val="007604EF"/>
    <w:rsid w:val="007604F4"/>
    <w:rsid w:val="00760500"/>
    <w:rsid w:val="007605ED"/>
    <w:rsid w:val="00760772"/>
    <w:rsid w:val="00760775"/>
    <w:rsid w:val="0076088B"/>
    <w:rsid w:val="00760A7E"/>
    <w:rsid w:val="00760BE5"/>
    <w:rsid w:val="00760C26"/>
    <w:rsid w:val="00760D30"/>
    <w:rsid w:val="00760D86"/>
    <w:rsid w:val="00760DA6"/>
    <w:rsid w:val="00760ECF"/>
    <w:rsid w:val="00760F11"/>
    <w:rsid w:val="00760F13"/>
    <w:rsid w:val="00761148"/>
    <w:rsid w:val="0076119B"/>
    <w:rsid w:val="007611BD"/>
    <w:rsid w:val="0076132C"/>
    <w:rsid w:val="00761435"/>
    <w:rsid w:val="00761455"/>
    <w:rsid w:val="007615C1"/>
    <w:rsid w:val="00761636"/>
    <w:rsid w:val="007617EC"/>
    <w:rsid w:val="00761847"/>
    <w:rsid w:val="00761A44"/>
    <w:rsid w:val="00761AB0"/>
    <w:rsid w:val="00761AE5"/>
    <w:rsid w:val="00761B68"/>
    <w:rsid w:val="00761C5F"/>
    <w:rsid w:val="00761CB0"/>
    <w:rsid w:val="00761DAB"/>
    <w:rsid w:val="00761DF3"/>
    <w:rsid w:val="00761E7F"/>
    <w:rsid w:val="00761F0C"/>
    <w:rsid w:val="00762017"/>
    <w:rsid w:val="0076203C"/>
    <w:rsid w:val="0076208A"/>
    <w:rsid w:val="007622BD"/>
    <w:rsid w:val="007622DF"/>
    <w:rsid w:val="00762321"/>
    <w:rsid w:val="00762357"/>
    <w:rsid w:val="00762368"/>
    <w:rsid w:val="00762509"/>
    <w:rsid w:val="007625EA"/>
    <w:rsid w:val="00762677"/>
    <w:rsid w:val="007626B0"/>
    <w:rsid w:val="007627A1"/>
    <w:rsid w:val="007627F4"/>
    <w:rsid w:val="00762802"/>
    <w:rsid w:val="0076280F"/>
    <w:rsid w:val="0076287B"/>
    <w:rsid w:val="007628D1"/>
    <w:rsid w:val="007628EE"/>
    <w:rsid w:val="0076295D"/>
    <w:rsid w:val="00762964"/>
    <w:rsid w:val="007629A4"/>
    <w:rsid w:val="007629FB"/>
    <w:rsid w:val="00762B0E"/>
    <w:rsid w:val="00762CAE"/>
    <w:rsid w:val="00762D2A"/>
    <w:rsid w:val="00762DA1"/>
    <w:rsid w:val="00762F6B"/>
    <w:rsid w:val="00762F6F"/>
    <w:rsid w:val="00762FD0"/>
    <w:rsid w:val="00763008"/>
    <w:rsid w:val="007632F9"/>
    <w:rsid w:val="007633D4"/>
    <w:rsid w:val="00763413"/>
    <w:rsid w:val="00763474"/>
    <w:rsid w:val="007634C5"/>
    <w:rsid w:val="00763701"/>
    <w:rsid w:val="00763709"/>
    <w:rsid w:val="00763714"/>
    <w:rsid w:val="0076374B"/>
    <w:rsid w:val="00763764"/>
    <w:rsid w:val="0076382B"/>
    <w:rsid w:val="0076384A"/>
    <w:rsid w:val="00763898"/>
    <w:rsid w:val="0076399C"/>
    <w:rsid w:val="00763CD8"/>
    <w:rsid w:val="00763CDA"/>
    <w:rsid w:val="00763E33"/>
    <w:rsid w:val="00764024"/>
    <w:rsid w:val="0076409C"/>
    <w:rsid w:val="0076409D"/>
    <w:rsid w:val="007640C7"/>
    <w:rsid w:val="0076423D"/>
    <w:rsid w:val="00764285"/>
    <w:rsid w:val="00764380"/>
    <w:rsid w:val="007643CB"/>
    <w:rsid w:val="007643FB"/>
    <w:rsid w:val="00764421"/>
    <w:rsid w:val="0076449A"/>
    <w:rsid w:val="007644A1"/>
    <w:rsid w:val="007644F9"/>
    <w:rsid w:val="00764635"/>
    <w:rsid w:val="0076472D"/>
    <w:rsid w:val="00764789"/>
    <w:rsid w:val="007647A5"/>
    <w:rsid w:val="007648DA"/>
    <w:rsid w:val="00764998"/>
    <w:rsid w:val="00764A7A"/>
    <w:rsid w:val="00764AA1"/>
    <w:rsid w:val="00764B81"/>
    <w:rsid w:val="00764BEE"/>
    <w:rsid w:val="00764CA6"/>
    <w:rsid w:val="00764CAB"/>
    <w:rsid w:val="00764EBD"/>
    <w:rsid w:val="0076516F"/>
    <w:rsid w:val="007651E0"/>
    <w:rsid w:val="007652E2"/>
    <w:rsid w:val="0076530F"/>
    <w:rsid w:val="007653E1"/>
    <w:rsid w:val="0076540E"/>
    <w:rsid w:val="007654C0"/>
    <w:rsid w:val="007654F8"/>
    <w:rsid w:val="00765505"/>
    <w:rsid w:val="0076554B"/>
    <w:rsid w:val="00765621"/>
    <w:rsid w:val="00765685"/>
    <w:rsid w:val="007656AB"/>
    <w:rsid w:val="007656F9"/>
    <w:rsid w:val="0076576A"/>
    <w:rsid w:val="007658A2"/>
    <w:rsid w:val="007659A0"/>
    <w:rsid w:val="00765B68"/>
    <w:rsid w:val="00765B86"/>
    <w:rsid w:val="00765C00"/>
    <w:rsid w:val="00765E2B"/>
    <w:rsid w:val="00765FD0"/>
    <w:rsid w:val="00766022"/>
    <w:rsid w:val="0076610E"/>
    <w:rsid w:val="00766184"/>
    <w:rsid w:val="00766244"/>
    <w:rsid w:val="00766377"/>
    <w:rsid w:val="00766414"/>
    <w:rsid w:val="007664A6"/>
    <w:rsid w:val="00766573"/>
    <w:rsid w:val="0076664E"/>
    <w:rsid w:val="00766676"/>
    <w:rsid w:val="00766691"/>
    <w:rsid w:val="00766734"/>
    <w:rsid w:val="0076690B"/>
    <w:rsid w:val="0076695D"/>
    <w:rsid w:val="007669CC"/>
    <w:rsid w:val="00766A4E"/>
    <w:rsid w:val="00766ABF"/>
    <w:rsid w:val="00766B4F"/>
    <w:rsid w:val="00766B61"/>
    <w:rsid w:val="00766B77"/>
    <w:rsid w:val="00766BDC"/>
    <w:rsid w:val="00766CEC"/>
    <w:rsid w:val="00766D3C"/>
    <w:rsid w:val="00766D93"/>
    <w:rsid w:val="00766EC1"/>
    <w:rsid w:val="00766EF7"/>
    <w:rsid w:val="00766FF7"/>
    <w:rsid w:val="00767095"/>
    <w:rsid w:val="00767097"/>
    <w:rsid w:val="0076717B"/>
    <w:rsid w:val="007671CA"/>
    <w:rsid w:val="00767399"/>
    <w:rsid w:val="00767547"/>
    <w:rsid w:val="007675AE"/>
    <w:rsid w:val="007675D6"/>
    <w:rsid w:val="0076773A"/>
    <w:rsid w:val="00767759"/>
    <w:rsid w:val="0076778F"/>
    <w:rsid w:val="00767802"/>
    <w:rsid w:val="00767987"/>
    <w:rsid w:val="00767A26"/>
    <w:rsid w:val="00767C03"/>
    <w:rsid w:val="00767C75"/>
    <w:rsid w:val="00767D13"/>
    <w:rsid w:val="00767D32"/>
    <w:rsid w:val="00767DBB"/>
    <w:rsid w:val="00767E10"/>
    <w:rsid w:val="00767E2C"/>
    <w:rsid w:val="00767ED0"/>
    <w:rsid w:val="00767EFE"/>
    <w:rsid w:val="00767FD7"/>
    <w:rsid w:val="0077009E"/>
    <w:rsid w:val="00770193"/>
    <w:rsid w:val="00770274"/>
    <w:rsid w:val="00770282"/>
    <w:rsid w:val="00770342"/>
    <w:rsid w:val="007703E7"/>
    <w:rsid w:val="00770510"/>
    <w:rsid w:val="00770513"/>
    <w:rsid w:val="00770549"/>
    <w:rsid w:val="007705A7"/>
    <w:rsid w:val="0077068D"/>
    <w:rsid w:val="007706F0"/>
    <w:rsid w:val="0077082C"/>
    <w:rsid w:val="0077085E"/>
    <w:rsid w:val="00770887"/>
    <w:rsid w:val="00770A49"/>
    <w:rsid w:val="00770B00"/>
    <w:rsid w:val="00770BB4"/>
    <w:rsid w:val="00770D0C"/>
    <w:rsid w:val="00770D24"/>
    <w:rsid w:val="00770FA8"/>
    <w:rsid w:val="00770FB3"/>
    <w:rsid w:val="00770FC8"/>
    <w:rsid w:val="007710A7"/>
    <w:rsid w:val="0077111E"/>
    <w:rsid w:val="00771376"/>
    <w:rsid w:val="007714AC"/>
    <w:rsid w:val="00771822"/>
    <w:rsid w:val="00771A1C"/>
    <w:rsid w:val="00771ACB"/>
    <w:rsid w:val="00771C1E"/>
    <w:rsid w:val="00771E1A"/>
    <w:rsid w:val="00771EB9"/>
    <w:rsid w:val="00771EEC"/>
    <w:rsid w:val="00771F54"/>
    <w:rsid w:val="00772015"/>
    <w:rsid w:val="00772111"/>
    <w:rsid w:val="007724AD"/>
    <w:rsid w:val="007724F3"/>
    <w:rsid w:val="0077278A"/>
    <w:rsid w:val="0077278E"/>
    <w:rsid w:val="0077279B"/>
    <w:rsid w:val="00772830"/>
    <w:rsid w:val="00772976"/>
    <w:rsid w:val="007729BC"/>
    <w:rsid w:val="007729D4"/>
    <w:rsid w:val="00772CFC"/>
    <w:rsid w:val="00772CFF"/>
    <w:rsid w:val="00772DC5"/>
    <w:rsid w:val="00772EDB"/>
    <w:rsid w:val="0077301B"/>
    <w:rsid w:val="007730EA"/>
    <w:rsid w:val="0077319B"/>
    <w:rsid w:val="00773225"/>
    <w:rsid w:val="007732B4"/>
    <w:rsid w:val="00773440"/>
    <w:rsid w:val="00773707"/>
    <w:rsid w:val="00773757"/>
    <w:rsid w:val="00773778"/>
    <w:rsid w:val="007737DD"/>
    <w:rsid w:val="00773828"/>
    <w:rsid w:val="007738A9"/>
    <w:rsid w:val="0077392C"/>
    <w:rsid w:val="007739BE"/>
    <w:rsid w:val="00773B8D"/>
    <w:rsid w:val="00773C04"/>
    <w:rsid w:val="00773D08"/>
    <w:rsid w:val="00773D77"/>
    <w:rsid w:val="00773E5A"/>
    <w:rsid w:val="00774039"/>
    <w:rsid w:val="00774099"/>
    <w:rsid w:val="0077409D"/>
    <w:rsid w:val="0077415A"/>
    <w:rsid w:val="00774236"/>
    <w:rsid w:val="0077427D"/>
    <w:rsid w:val="00774412"/>
    <w:rsid w:val="0077460F"/>
    <w:rsid w:val="00774781"/>
    <w:rsid w:val="0077488D"/>
    <w:rsid w:val="00774998"/>
    <w:rsid w:val="00774B33"/>
    <w:rsid w:val="00774BE0"/>
    <w:rsid w:val="00774EC4"/>
    <w:rsid w:val="00774ECB"/>
    <w:rsid w:val="00774F74"/>
    <w:rsid w:val="00774FD0"/>
    <w:rsid w:val="00774FF8"/>
    <w:rsid w:val="00775031"/>
    <w:rsid w:val="00775090"/>
    <w:rsid w:val="00775304"/>
    <w:rsid w:val="00775447"/>
    <w:rsid w:val="00775456"/>
    <w:rsid w:val="0077561C"/>
    <w:rsid w:val="00775789"/>
    <w:rsid w:val="0077586E"/>
    <w:rsid w:val="00775891"/>
    <w:rsid w:val="0077592F"/>
    <w:rsid w:val="00775A7B"/>
    <w:rsid w:val="00775A82"/>
    <w:rsid w:val="00775A94"/>
    <w:rsid w:val="00775FA9"/>
    <w:rsid w:val="0077606C"/>
    <w:rsid w:val="007761A4"/>
    <w:rsid w:val="007762AD"/>
    <w:rsid w:val="0077636F"/>
    <w:rsid w:val="00776370"/>
    <w:rsid w:val="0077652B"/>
    <w:rsid w:val="00776671"/>
    <w:rsid w:val="007766CA"/>
    <w:rsid w:val="0077671C"/>
    <w:rsid w:val="0077675B"/>
    <w:rsid w:val="0077685C"/>
    <w:rsid w:val="00776884"/>
    <w:rsid w:val="0077692A"/>
    <w:rsid w:val="0077692E"/>
    <w:rsid w:val="00776975"/>
    <w:rsid w:val="007769A8"/>
    <w:rsid w:val="00776AEA"/>
    <w:rsid w:val="00776B87"/>
    <w:rsid w:val="00776E0F"/>
    <w:rsid w:val="00776E89"/>
    <w:rsid w:val="00776EC4"/>
    <w:rsid w:val="00776FF9"/>
    <w:rsid w:val="00777005"/>
    <w:rsid w:val="0077721A"/>
    <w:rsid w:val="00777246"/>
    <w:rsid w:val="00777309"/>
    <w:rsid w:val="00777346"/>
    <w:rsid w:val="007773E8"/>
    <w:rsid w:val="00777557"/>
    <w:rsid w:val="007775C2"/>
    <w:rsid w:val="00777779"/>
    <w:rsid w:val="007778F5"/>
    <w:rsid w:val="00777909"/>
    <w:rsid w:val="0077790F"/>
    <w:rsid w:val="007779A5"/>
    <w:rsid w:val="00777B71"/>
    <w:rsid w:val="00777C53"/>
    <w:rsid w:val="00777C8D"/>
    <w:rsid w:val="00777D53"/>
    <w:rsid w:val="00777DB4"/>
    <w:rsid w:val="00777E17"/>
    <w:rsid w:val="00777F00"/>
    <w:rsid w:val="00780070"/>
    <w:rsid w:val="007800E9"/>
    <w:rsid w:val="0078020F"/>
    <w:rsid w:val="0078031D"/>
    <w:rsid w:val="00780754"/>
    <w:rsid w:val="0078091D"/>
    <w:rsid w:val="00780A87"/>
    <w:rsid w:val="00780B00"/>
    <w:rsid w:val="00780BB2"/>
    <w:rsid w:val="00780C2E"/>
    <w:rsid w:val="00780D46"/>
    <w:rsid w:val="00780E31"/>
    <w:rsid w:val="00780EB3"/>
    <w:rsid w:val="00780EED"/>
    <w:rsid w:val="00780F1C"/>
    <w:rsid w:val="0078102F"/>
    <w:rsid w:val="00781415"/>
    <w:rsid w:val="007814B4"/>
    <w:rsid w:val="007815D3"/>
    <w:rsid w:val="00781885"/>
    <w:rsid w:val="00781925"/>
    <w:rsid w:val="00781BD5"/>
    <w:rsid w:val="00781BDD"/>
    <w:rsid w:val="00781C1A"/>
    <w:rsid w:val="00781CA7"/>
    <w:rsid w:val="00781CC6"/>
    <w:rsid w:val="00781DBF"/>
    <w:rsid w:val="00781E4D"/>
    <w:rsid w:val="00781E93"/>
    <w:rsid w:val="00781EF3"/>
    <w:rsid w:val="00781FBE"/>
    <w:rsid w:val="00781FD3"/>
    <w:rsid w:val="00782027"/>
    <w:rsid w:val="007820B1"/>
    <w:rsid w:val="007820EE"/>
    <w:rsid w:val="0078211C"/>
    <w:rsid w:val="0078213A"/>
    <w:rsid w:val="0078217B"/>
    <w:rsid w:val="00782201"/>
    <w:rsid w:val="00782257"/>
    <w:rsid w:val="00782282"/>
    <w:rsid w:val="00782314"/>
    <w:rsid w:val="00782394"/>
    <w:rsid w:val="0078248B"/>
    <w:rsid w:val="007824B9"/>
    <w:rsid w:val="007824C6"/>
    <w:rsid w:val="0078257B"/>
    <w:rsid w:val="00782619"/>
    <w:rsid w:val="00782623"/>
    <w:rsid w:val="007826FF"/>
    <w:rsid w:val="00782756"/>
    <w:rsid w:val="00782815"/>
    <w:rsid w:val="00782849"/>
    <w:rsid w:val="00782898"/>
    <w:rsid w:val="00782966"/>
    <w:rsid w:val="00782AB8"/>
    <w:rsid w:val="00782C9C"/>
    <w:rsid w:val="00782CC7"/>
    <w:rsid w:val="00782D24"/>
    <w:rsid w:val="00782E29"/>
    <w:rsid w:val="00782F9D"/>
    <w:rsid w:val="00783059"/>
    <w:rsid w:val="00783064"/>
    <w:rsid w:val="007830CB"/>
    <w:rsid w:val="0078319F"/>
    <w:rsid w:val="007831D8"/>
    <w:rsid w:val="00783331"/>
    <w:rsid w:val="00783540"/>
    <w:rsid w:val="00783676"/>
    <w:rsid w:val="007836D6"/>
    <w:rsid w:val="007836EE"/>
    <w:rsid w:val="00783A33"/>
    <w:rsid w:val="00783BD2"/>
    <w:rsid w:val="00783D75"/>
    <w:rsid w:val="00783D82"/>
    <w:rsid w:val="00783E00"/>
    <w:rsid w:val="00783E57"/>
    <w:rsid w:val="00783FD2"/>
    <w:rsid w:val="00783FE1"/>
    <w:rsid w:val="00783FE2"/>
    <w:rsid w:val="00784002"/>
    <w:rsid w:val="00784132"/>
    <w:rsid w:val="00784186"/>
    <w:rsid w:val="00784287"/>
    <w:rsid w:val="00784288"/>
    <w:rsid w:val="007843E0"/>
    <w:rsid w:val="0078440C"/>
    <w:rsid w:val="0078445D"/>
    <w:rsid w:val="007844ED"/>
    <w:rsid w:val="0078452F"/>
    <w:rsid w:val="007845FC"/>
    <w:rsid w:val="0078468F"/>
    <w:rsid w:val="007846B3"/>
    <w:rsid w:val="007846D9"/>
    <w:rsid w:val="007847D2"/>
    <w:rsid w:val="007847E5"/>
    <w:rsid w:val="0078481B"/>
    <w:rsid w:val="00784883"/>
    <w:rsid w:val="007848DD"/>
    <w:rsid w:val="00784A71"/>
    <w:rsid w:val="00784ADB"/>
    <w:rsid w:val="00784B40"/>
    <w:rsid w:val="00784B9F"/>
    <w:rsid w:val="00784C0A"/>
    <w:rsid w:val="00784CF8"/>
    <w:rsid w:val="00784DC0"/>
    <w:rsid w:val="00784EEE"/>
    <w:rsid w:val="00784FCB"/>
    <w:rsid w:val="007850FF"/>
    <w:rsid w:val="007855E5"/>
    <w:rsid w:val="00785679"/>
    <w:rsid w:val="007856EC"/>
    <w:rsid w:val="00785725"/>
    <w:rsid w:val="007859A4"/>
    <w:rsid w:val="00785A79"/>
    <w:rsid w:val="00785B78"/>
    <w:rsid w:val="00785B86"/>
    <w:rsid w:val="00785BB9"/>
    <w:rsid w:val="00785E2D"/>
    <w:rsid w:val="00785EB5"/>
    <w:rsid w:val="00785F26"/>
    <w:rsid w:val="00785F74"/>
    <w:rsid w:val="0078622F"/>
    <w:rsid w:val="00786299"/>
    <w:rsid w:val="0078630B"/>
    <w:rsid w:val="0078638A"/>
    <w:rsid w:val="0078660C"/>
    <w:rsid w:val="0078663B"/>
    <w:rsid w:val="0078693B"/>
    <w:rsid w:val="00786D3B"/>
    <w:rsid w:val="00786D92"/>
    <w:rsid w:val="00786E06"/>
    <w:rsid w:val="00786E48"/>
    <w:rsid w:val="00786F03"/>
    <w:rsid w:val="00786FAD"/>
    <w:rsid w:val="0078735D"/>
    <w:rsid w:val="007873AD"/>
    <w:rsid w:val="00787402"/>
    <w:rsid w:val="00787544"/>
    <w:rsid w:val="0078772E"/>
    <w:rsid w:val="00787871"/>
    <w:rsid w:val="007878E0"/>
    <w:rsid w:val="00787A3C"/>
    <w:rsid w:val="00787D64"/>
    <w:rsid w:val="00787D82"/>
    <w:rsid w:val="00787DEA"/>
    <w:rsid w:val="00787E80"/>
    <w:rsid w:val="00787EE3"/>
    <w:rsid w:val="0079000A"/>
    <w:rsid w:val="00790110"/>
    <w:rsid w:val="00790113"/>
    <w:rsid w:val="00790279"/>
    <w:rsid w:val="007902A6"/>
    <w:rsid w:val="007902A8"/>
    <w:rsid w:val="007902F2"/>
    <w:rsid w:val="0079036D"/>
    <w:rsid w:val="007903D0"/>
    <w:rsid w:val="00790447"/>
    <w:rsid w:val="0079059E"/>
    <w:rsid w:val="007906A4"/>
    <w:rsid w:val="00790711"/>
    <w:rsid w:val="0079088F"/>
    <w:rsid w:val="007908EE"/>
    <w:rsid w:val="00790A15"/>
    <w:rsid w:val="00790B01"/>
    <w:rsid w:val="00790BE5"/>
    <w:rsid w:val="00790C26"/>
    <w:rsid w:val="00790D97"/>
    <w:rsid w:val="00790F14"/>
    <w:rsid w:val="00790FB8"/>
    <w:rsid w:val="00790FFC"/>
    <w:rsid w:val="007910C0"/>
    <w:rsid w:val="00791152"/>
    <w:rsid w:val="007912DD"/>
    <w:rsid w:val="00791499"/>
    <w:rsid w:val="007914A8"/>
    <w:rsid w:val="007914FD"/>
    <w:rsid w:val="0079161E"/>
    <w:rsid w:val="00791986"/>
    <w:rsid w:val="00791B91"/>
    <w:rsid w:val="00791C4E"/>
    <w:rsid w:val="00791D98"/>
    <w:rsid w:val="0079203B"/>
    <w:rsid w:val="007920B9"/>
    <w:rsid w:val="00792299"/>
    <w:rsid w:val="0079238B"/>
    <w:rsid w:val="00792434"/>
    <w:rsid w:val="00792475"/>
    <w:rsid w:val="007924A4"/>
    <w:rsid w:val="007925F1"/>
    <w:rsid w:val="0079267E"/>
    <w:rsid w:val="0079282A"/>
    <w:rsid w:val="00792901"/>
    <w:rsid w:val="00792A72"/>
    <w:rsid w:val="00792BE6"/>
    <w:rsid w:val="00792BFD"/>
    <w:rsid w:val="00792C8B"/>
    <w:rsid w:val="00792CFD"/>
    <w:rsid w:val="00792D82"/>
    <w:rsid w:val="00792D94"/>
    <w:rsid w:val="00792E61"/>
    <w:rsid w:val="00792EFE"/>
    <w:rsid w:val="00792F03"/>
    <w:rsid w:val="007930E5"/>
    <w:rsid w:val="007931E1"/>
    <w:rsid w:val="0079320D"/>
    <w:rsid w:val="0079322A"/>
    <w:rsid w:val="007932D4"/>
    <w:rsid w:val="0079341B"/>
    <w:rsid w:val="0079350A"/>
    <w:rsid w:val="007935A7"/>
    <w:rsid w:val="0079362E"/>
    <w:rsid w:val="007936F9"/>
    <w:rsid w:val="00793816"/>
    <w:rsid w:val="00793881"/>
    <w:rsid w:val="00793957"/>
    <w:rsid w:val="00793A5F"/>
    <w:rsid w:val="00793ABC"/>
    <w:rsid w:val="00793ADC"/>
    <w:rsid w:val="00793AFD"/>
    <w:rsid w:val="00793C2E"/>
    <w:rsid w:val="00793D2E"/>
    <w:rsid w:val="00793D47"/>
    <w:rsid w:val="00793DBC"/>
    <w:rsid w:val="00793DE4"/>
    <w:rsid w:val="00793E1D"/>
    <w:rsid w:val="00793F86"/>
    <w:rsid w:val="007940F3"/>
    <w:rsid w:val="0079410B"/>
    <w:rsid w:val="00794135"/>
    <w:rsid w:val="007942E5"/>
    <w:rsid w:val="00794308"/>
    <w:rsid w:val="00794342"/>
    <w:rsid w:val="00794482"/>
    <w:rsid w:val="007944A6"/>
    <w:rsid w:val="00794568"/>
    <w:rsid w:val="00794645"/>
    <w:rsid w:val="007947EA"/>
    <w:rsid w:val="007948A8"/>
    <w:rsid w:val="007948B4"/>
    <w:rsid w:val="00794942"/>
    <w:rsid w:val="007949E7"/>
    <w:rsid w:val="00794A11"/>
    <w:rsid w:val="00794B40"/>
    <w:rsid w:val="00794CBF"/>
    <w:rsid w:val="00794CE3"/>
    <w:rsid w:val="00794DE6"/>
    <w:rsid w:val="00794FF8"/>
    <w:rsid w:val="0079531A"/>
    <w:rsid w:val="0079531B"/>
    <w:rsid w:val="00795380"/>
    <w:rsid w:val="00795490"/>
    <w:rsid w:val="00795503"/>
    <w:rsid w:val="00795598"/>
    <w:rsid w:val="007955DB"/>
    <w:rsid w:val="0079562C"/>
    <w:rsid w:val="00795802"/>
    <w:rsid w:val="007959A8"/>
    <w:rsid w:val="00795A7E"/>
    <w:rsid w:val="00795B2D"/>
    <w:rsid w:val="00795C6F"/>
    <w:rsid w:val="00795E0F"/>
    <w:rsid w:val="00795FD4"/>
    <w:rsid w:val="00796050"/>
    <w:rsid w:val="00796153"/>
    <w:rsid w:val="00796172"/>
    <w:rsid w:val="00796224"/>
    <w:rsid w:val="0079624B"/>
    <w:rsid w:val="00796280"/>
    <w:rsid w:val="00796317"/>
    <w:rsid w:val="00796362"/>
    <w:rsid w:val="007963B0"/>
    <w:rsid w:val="00796422"/>
    <w:rsid w:val="00796730"/>
    <w:rsid w:val="00796784"/>
    <w:rsid w:val="00796837"/>
    <w:rsid w:val="0079688F"/>
    <w:rsid w:val="007968D8"/>
    <w:rsid w:val="00796AD4"/>
    <w:rsid w:val="00796AFA"/>
    <w:rsid w:val="00796B46"/>
    <w:rsid w:val="00796B88"/>
    <w:rsid w:val="00796C79"/>
    <w:rsid w:val="00796D15"/>
    <w:rsid w:val="00796E26"/>
    <w:rsid w:val="00796E46"/>
    <w:rsid w:val="00796EB9"/>
    <w:rsid w:val="00796FA5"/>
    <w:rsid w:val="00796FDF"/>
    <w:rsid w:val="00797006"/>
    <w:rsid w:val="00797025"/>
    <w:rsid w:val="00797071"/>
    <w:rsid w:val="007970A5"/>
    <w:rsid w:val="00797100"/>
    <w:rsid w:val="0079724C"/>
    <w:rsid w:val="007974C0"/>
    <w:rsid w:val="00797617"/>
    <w:rsid w:val="0079776F"/>
    <w:rsid w:val="007978C8"/>
    <w:rsid w:val="00797900"/>
    <w:rsid w:val="00797959"/>
    <w:rsid w:val="007979B0"/>
    <w:rsid w:val="00797A08"/>
    <w:rsid w:val="00797A8B"/>
    <w:rsid w:val="00797B54"/>
    <w:rsid w:val="00797C89"/>
    <w:rsid w:val="00797D27"/>
    <w:rsid w:val="00797D9B"/>
    <w:rsid w:val="007A01C0"/>
    <w:rsid w:val="007A0239"/>
    <w:rsid w:val="007A0267"/>
    <w:rsid w:val="007A02E4"/>
    <w:rsid w:val="007A0391"/>
    <w:rsid w:val="007A04CE"/>
    <w:rsid w:val="007A078B"/>
    <w:rsid w:val="007A096E"/>
    <w:rsid w:val="007A09F2"/>
    <w:rsid w:val="007A0A1B"/>
    <w:rsid w:val="007A0A36"/>
    <w:rsid w:val="007A0A76"/>
    <w:rsid w:val="007A0EE1"/>
    <w:rsid w:val="007A0F81"/>
    <w:rsid w:val="007A0FEF"/>
    <w:rsid w:val="007A1079"/>
    <w:rsid w:val="007A12A3"/>
    <w:rsid w:val="007A134D"/>
    <w:rsid w:val="007A1359"/>
    <w:rsid w:val="007A148A"/>
    <w:rsid w:val="007A154E"/>
    <w:rsid w:val="007A162E"/>
    <w:rsid w:val="007A164D"/>
    <w:rsid w:val="007A16E5"/>
    <w:rsid w:val="007A1781"/>
    <w:rsid w:val="007A1856"/>
    <w:rsid w:val="007A1947"/>
    <w:rsid w:val="007A1AF9"/>
    <w:rsid w:val="007A1BBF"/>
    <w:rsid w:val="007A1CCD"/>
    <w:rsid w:val="007A1E32"/>
    <w:rsid w:val="007A1EAB"/>
    <w:rsid w:val="007A1F99"/>
    <w:rsid w:val="007A1F9E"/>
    <w:rsid w:val="007A212E"/>
    <w:rsid w:val="007A2252"/>
    <w:rsid w:val="007A2330"/>
    <w:rsid w:val="007A2556"/>
    <w:rsid w:val="007A25EF"/>
    <w:rsid w:val="007A2647"/>
    <w:rsid w:val="007A2653"/>
    <w:rsid w:val="007A2656"/>
    <w:rsid w:val="007A2720"/>
    <w:rsid w:val="007A284D"/>
    <w:rsid w:val="007A28FE"/>
    <w:rsid w:val="007A296F"/>
    <w:rsid w:val="007A2A45"/>
    <w:rsid w:val="007A2A5C"/>
    <w:rsid w:val="007A2B5E"/>
    <w:rsid w:val="007A2C28"/>
    <w:rsid w:val="007A2CCD"/>
    <w:rsid w:val="007A2D83"/>
    <w:rsid w:val="007A2D90"/>
    <w:rsid w:val="007A2E7C"/>
    <w:rsid w:val="007A313B"/>
    <w:rsid w:val="007A321E"/>
    <w:rsid w:val="007A32EF"/>
    <w:rsid w:val="007A33E2"/>
    <w:rsid w:val="007A3438"/>
    <w:rsid w:val="007A3553"/>
    <w:rsid w:val="007A3599"/>
    <w:rsid w:val="007A3637"/>
    <w:rsid w:val="007A363D"/>
    <w:rsid w:val="007A364E"/>
    <w:rsid w:val="007A3677"/>
    <w:rsid w:val="007A3787"/>
    <w:rsid w:val="007A3948"/>
    <w:rsid w:val="007A3966"/>
    <w:rsid w:val="007A39EE"/>
    <w:rsid w:val="007A3A1C"/>
    <w:rsid w:val="007A3A75"/>
    <w:rsid w:val="007A3AA4"/>
    <w:rsid w:val="007A3AB8"/>
    <w:rsid w:val="007A3AF6"/>
    <w:rsid w:val="007A3F32"/>
    <w:rsid w:val="007A3FF9"/>
    <w:rsid w:val="007A4063"/>
    <w:rsid w:val="007A40DA"/>
    <w:rsid w:val="007A4125"/>
    <w:rsid w:val="007A41A1"/>
    <w:rsid w:val="007A421C"/>
    <w:rsid w:val="007A426E"/>
    <w:rsid w:val="007A432F"/>
    <w:rsid w:val="007A43B7"/>
    <w:rsid w:val="007A444C"/>
    <w:rsid w:val="007A4488"/>
    <w:rsid w:val="007A457F"/>
    <w:rsid w:val="007A46A8"/>
    <w:rsid w:val="007A4703"/>
    <w:rsid w:val="007A47A9"/>
    <w:rsid w:val="007A493D"/>
    <w:rsid w:val="007A4A5E"/>
    <w:rsid w:val="007A4B64"/>
    <w:rsid w:val="007A4C2C"/>
    <w:rsid w:val="007A4DDB"/>
    <w:rsid w:val="007A50DF"/>
    <w:rsid w:val="007A5103"/>
    <w:rsid w:val="007A5167"/>
    <w:rsid w:val="007A5213"/>
    <w:rsid w:val="007A52B3"/>
    <w:rsid w:val="007A52BF"/>
    <w:rsid w:val="007A5366"/>
    <w:rsid w:val="007A5395"/>
    <w:rsid w:val="007A5399"/>
    <w:rsid w:val="007A5473"/>
    <w:rsid w:val="007A55E3"/>
    <w:rsid w:val="007A5611"/>
    <w:rsid w:val="007A56BB"/>
    <w:rsid w:val="007A57D8"/>
    <w:rsid w:val="007A57DC"/>
    <w:rsid w:val="007A58ED"/>
    <w:rsid w:val="007A591F"/>
    <w:rsid w:val="007A593C"/>
    <w:rsid w:val="007A5951"/>
    <w:rsid w:val="007A5A30"/>
    <w:rsid w:val="007A5AC7"/>
    <w:rsid w:val="007A5C07"/>
    <w:rsid w:val="007A5C13"/>
    <w:rsid w:val="007A5CA0"/>
    <w:rsid w:val="007A5E10"/>
    <w:rsid w:val="007A5E9F"/>
    <w:rsid w:val="007A5FEB"/>
    <w:rsid w:val="007A60AA"/>
    <w:rsid w:val="007A612D"/>
    <w:rsid w:val="007A6159"/>
    <w:rsid w:val="007A6243"/>
    <w:rsid w:val="007A62BE"/>
    <w:rsid w:val="007A62E1"/>
    <w:rsid w:val="007A63C4"/>
    <w:rsid w:val="007A64D0"/>
    <w:rsid w:val="007A6540"/>
    <w:rsid w:val="007A6831"/>
    <w:rsid w:val="007A6854"/>
    <w:rsid w:val="007A6855"/>
    <w:rsid w:val="007A6A5E"/>
    <w:rsid w:val="007A6B67"/>
    <w:rsid w:val="007A6EDF"/>
    <w:rsid w:val="007A6F1A"/>
    <w:rsid w:val="007A6F9E"/>
    <w:rsid w:val="007A6FAD"/>
    <w:rsid w:val="007A700A"/>
    <w:rsid w:val="007A71ED"/>
    <w:rsid w:val="007A7205"/>
    <w:rsid w:val="007A726E"/>
    <w:rsid w:val="007A7352"/>
    <w:rsid w:val="007A73FE"/>
    <w:rsid w:val="007A7507"/>
    <w:rsid w:val="007A76CC"/>
    <w:rsid w:val="007A770D"/>
    <w:rsid w:val="007A78E6"/>
    <w:rsid w:val="007A7908"/>
    <w:rsid w:val="007A7B38"/>
    <w:rsid w:val="007A7B8C"/>
    <w:rsid w:val="007A7B8F"/>
    <w:rsid w:val="007A7BC2"/>
    <w:rsid w:val="007A7CA5"/>
    <w:rsid w:val="007A7CED"/>
    <w:rsid w:val="007A7CF8"/>
    <w:rsid w:val="007A7DFA"/>
    <w:rsid w:val="007A7EF0"/>
    <w:rsid w:val="007A7F75"/>
    <w:rsid w:val="007A7FC8"/>
    <w:rsid w:val="007B0036"/>
    <w:rsid w:val="007B00D1"/>
    <w:rsid w:val="007B0245"/>
    <w:rsid w:val="007B03C0"/>
    <w:rsid w:val="007B0429"/>
    <w:rsid w:val="007B0438"/>
    <w:rsid w:val="007B05C7"/>
    <w:rsid w:val="007B061D"/>
    <w:rsid w:val="007B07A2"/>
    <w:rsid w:val="007B07D0"/>
    <w:rsid w:val="007B0806"/>
    <w:rsid w:val="007B0855"/>
    <w:rsid w:val="007B088A"/>
    <w:rsid w:val="007B09F5"/>
    <w:rsid w:val="007B0A18"/>
    <w:rsid w:val="007B0A34"/>
    <w:rsid w:val="007B0B84"/>
    <w:rsid w:val="007B0C48"/>
    <w:rsid w:val="007B0E85"/>
    <w:rsid w:val="007B0E97"/>
    <w:rsid w:val="007B0EC9"/>
    <w:rsid w:val="007B108E"/>
    <w:rsid w:val="007B110A"/>
    <w:rsid w:val="007B11FE"/>
    <w:rsid w:val="007B1217"/>
    <w:rsid w:val="007B12D6"/>
    <w:rsid w:val="007B134A"/>
    <w:rsid w:val="007B1361"/>
    <w:rsid w:val="007B1379"/>
    <w:rsid w:val="007B13B0"/>
    <w:rsid w:val="007B14E9"/>
    <w:rsid w:val="007B1509"/>
    <w:rsid w:val="007B150A"/>
    <w:rsid w:val="007B1877"/>
    <w:rsid w:val="007B18D3"/>
    <w:rsid w:val="007B19F4"/>
    <w:rsid w:val="007B1B53"/>
    <w:rsid w:val="007B1B65"/>
    <w:rsid w:val="007B1B68"/>
    <w:rsid w:val="007B1C72"/>
    <w:rsid w:val="007B1C79"/>
    <w:rsid w:val="007B1C96"/>
    <w:rsid w:val="007B1DC7"/>
    <w:rsid w:val="007B1E41"/>
    <w:rsid w:val="007B2034"/>
    <w:rsid w:val="007B206D"/>
    <w:rsid w:val="007B216A"/>
    <w:rsid w:val="007B2187"/>
    <w:rsid w:val="007B21C5"/>
    <w:rsid w:val="007B238E"/>
    <w:rsid w:val="007B2422"/>
    <w:rsid w:val="007B251A"/>
    <w:rsid w:val="007B2677"/>
    <w:rsid w:val="007B2764"/>
    <w:rsid w:val="007B276D"/>
    <w:rsid w:val="007B28E0"/>
    <w:rsid w:val="007B2901"/>
    <w:rsid w:val="007B294A"/>
    <w:rsid w:val="007B2A1A"/>
    <w:rsid w:val="007B2B9E"/>
    <w:rsid w:val="007B2BF7"/>
    <w:rsid w:val="007B2CE0"/>
    <w:rsid w:val="007B2D3B"/>
    <w:rsid w:val="007B2D5C"/>
    <w:rsid w:val="007B2EA9"/>
    <w:rsid w:val="007B3011"/>
    <w:rsid w:val="007B30C7"/>
    <w:rsid w:val="007B3186"/>
    <w:rsid w:val="007B3443"/>
    <w:rsid w:val="007B346C"/>
    <w:rsid w:val="007B3851"/>
    <w:rsid w:val="007B3857"/>
    <w:rsid w:val="007B3A73"/>
    <w:rsid w:val="007B3AAC"/>
    <w:rsid w:val="007B3AC0"/>
    <w:rsid w:val="007B3E11"/>
    <w:rsid w:val="007B3E62"/>
    <w:rsid w:val="007B3ED0"/>
    <w:rsid w:val="007B4023"/>
    <w:rsid w:val="007B410E"/>
    <w:rsid w:val="007B45E0"/>
    <w:rsid w:val="007B45F9"/>
    <w:rsid w:val="007B46AD"/>
    <w:rsid w:val="007B475B"/>
    <w:rsid w:val="007B4A73"/>
    <w:rsid w:val="007B4B4B"/>
    <w:rsid w:val="007B4C10"/>
    <w:rsid w:val="007B4C7A"/>
    <w:rsid w:val="007B4CAF"/>
    <w:rsid w:val="007B503E"/>
    <w:rsid w:val="007B5194"/>
    <w:rsid w:val="007B5236"/>
    <w:rsid w:val="007B53E0"/>
    <w:rsid w:val="007B5438"/>
    <w:rsid w:val="007B558D"/>
    <w:rsid w:val="007B55CC"/>
    <w:rsid w:val="007B573C"/>
    <w:rsid w:val="007B5796"/>
    <w:rsid w:val="007B58C1"/>
    <w:rsid w:val="007B5967"/>
    <w:rsid w:val="007B59B1"/>
    <w:rsid w:val="007B5A38"/>
    <w:rsid w:val="007B5ACC"/>
    <w:rsid w:val="007B5C30"/>
    <w:rsid w:val="007B5C73"/>
    <w:rsid w:val="007B5D1C"/>
    <w:rsid w:val="007B5DB0"/>
    <w:rsid w:val="007B5F7F"/>
    <w:rsid w:val="007B5FA4"/>
    <w:rsid w:val="007B6033"/>
    <w:rsid w:val="007B6067"/>
    <w:rsid w:val="007B6253"/>
    <w:rsid w:val="007B63AF"/>
    <w:rsid w:val="007B65AE"/>
    <w:rsid w:val="007B65B8"/>
    <w:rsid w:val="007B65D2"/>
    <w:rsid w:val="007B667F"/>
    <w:rsid w:val="007B66F5"/>
    <w:rsid w:val="007B675E"/>
    <w:rsid w:val="007B6790"/>
    <w:rsid w:val="007B67E9"/>
    <w:rsid w:val="007B68F3"/>
    <w:rsid w:val="007B6AE2"/>
    <w:rsid w:val="007B6BF0"/>
    <w:rsid w:val="007B6C5F"/>
    <w:rsid w:val="007B6C91"/>
    <w:rsid w:val="007B6D87"/>
    <w:rsid w:val="007B6F80"/>
    <w:rsid w:val="007B6F90"/>
    <w:rsid w:val="007B707C"/>
    <w:rsid w:val="007B70A6"/>
    <w:rsid w:val="007B70BC"/>
    <w:rsid w:val="007B71A8"/>
    <w:rsid w:val="007B71E9"/>
    <w:rsid w:val="007B74CC"/>
    <w:rsid w:val="007B75D2"/>
    <w:rsid w:val="007B76AB"/>
    <w:rsid w:val="007B76BB"/>
    <w:rsid w:val="007B77E1"/>
    <w:rsid w:val="007B797B"/>
    <w:rsid w:val="007B7A3B"/>
    <w:rsid w:val="007B7B97"/>
    <w:rsid w:val="007B7B9F"/>
    <w:rsid w:val="007B7C29"/>
    <w:rsid w:val="007B7C54"/>
    <w:rsid w:val="007B7C56"/>
    <w:rsid w:val="007B7C5A"/>
    <w:rsid w:val="007B7CEA"/>
    <w:rsid w:val="007B7D6E"/>
    <w:rsid w:val="007B7EDB"/>
    <w:rsid w:val="007B7F81"/>
    <w:rsid w:val="007B7FC5"/>
    <w:rsid w:val="007C000E"/>
    <w:rsid w:val="007C005E"/>
    <w:rsid w:val="007C0137"/>
    <w:rsid w:val="007C0162"/>
    <w:rsid w:val="007C02B9"/>
    <w:rsid w:val="007C04A9"/>
    <w:rsid w:val="007C04FF"/>
    <w:rsid w:val="007C0504"/>
    <w:rsid w:val="007C062E"/>
    <w:rsid w:val="007C083B"/>
    <w:rsid w:val="007C09E8"/>
    <w:rsid w:val="007C0AE1"/>
    <w:rsid w:val="007C0BB2"/>
    <w:rsid w:val="007C0BC2"/>
    <w:rsid w:val="007C0C6E"/>
    <w:rsid w:val="007C0D04"/>
    <w:rsid w:val="007C0D7C"/>
    <w:rsid w:val="007C0E9A"/>
    <w:rsid w:val="007C0FAE"/>
    <w:rsid w:val="007C111E"/>
    <w:rsid w:val="007C12E9"/>
    <w:rsid w:val="007C135E"/>
    <w:rsid w:val="007C13B6"/>
    <w:rsid w:val="007C13ED"/>
    <w:rsid w:val="007C143A"/>
    <w:rsid w:val="007C1442"/>
    <w:rsid w:val="007C14D4"/>
    <w:rsid w:val="007C1551"/>
    <w:rsid w:val="007C15A3"/>
    <w:rsid w:val="007C1775"/>
    <w:rsid w:val="007C178E"/>
    <w:rsid w:val="007C182F"/>
    <w:rsid w:val="007C1855"/>
    <w:rsid w:val="007C1903"/>
    <w:rsid w:val="007C194B"/>
    <w:rsid w:val="007C19A0"/>
    <w:rsid w:val="007C19C6"/>
    <w:rsid w:val="007C1AEA"/>
    <w:rsid w:val="007C1B47"/>
    <w:rsid w:val="007C1C1C"/>
    <w:rsid w:val="007C1C5C"/>
    <w:rsid w:val="007C1D12"/>
    <w:rsid w:val="007C1D87"/>
    <w:rsid w:val="007C1DAE"/>
    <w:rsid w:val="007C1E5A"/>
    <w:rsid w:val="007C1E6A"/>
    <w:rsid w:val="007C1EAB"/>
    <w:rsid w:val="007C1ED1"/>
    <w:rsid w:val="007C1F2C"/>
    <w:rsid w:val="007C1F48"/>
    <w:rsid w:val="007C1F59"/>
    <w:rsid w:val="007C1FCB"/>
    <w:rsid w:val="007C2033"/>
    <w:rsid w:val="007C2094"/>
    <w:rsid w:val="007C212F"/>
    <w:rsid w:val="007C2361"/>
    <w:rsid w:val="007C2449"/>
    <w:rsid w:val="007C24B8"/>
    <w:rsid w:val="007C2566"/>
    <w:rsid w:val="007C2819"/>
    <w:rsid w:val="007C28BA"/>
    <w:rsid w:val="007C28F0"/>
    <w:rsid w:val="007C2A3C"/>
    <w:rsid w:val="007C2CA8"/>
    <w:rsid w:val="007C2E19"/>
    <w:rsid w:val="007C3073"/>
    <w:rsid w:val="007C3093"/>
    <w:rsid w:val="007C30F4"/>
    <w:rsid w:val="007C3243"/>
    <w:rsid w:val="007C3416"/>
    <w:rsid w:val="007C3435"/>
    <w:rsid w:val="007C34C1"/>
    <w:rsid w:val="007C3634"/>
    <w:rsid w:val="007C3715"/>
    <w:rsid w:val="007C3937"/>
    <w:rsid w:val="007C3BD0"/>
    <w:rsid w:val="007C3BD3"/>
    <w:rsid w:val="007C3C86"/>
    <w:rsid w:val="007C3E0B"/>
    <w:rsid w:val="007C3E2D"/>
    <w:rsid w:val="007C3EA5"/>
    <w:rsid w:val="007C3F01"/>
    <w:rsid w:val="007C3F09"/>
    <w:rsid w:val="007C3FC3"/>
    <w:rsid w:val="007C403C"/>
    <w:rsid w:val="007C40D5"/>
    <w:rsid w:val="007C41CB"/>
    <w:rsid w:val="007C425E"/>
    <w:rsid w:val="007C4318"/>
    <w:rsid w:val="007C4423"/>
    <w:rsid w:val="007C4447"/>
    <w:rsid w:val="007C44B7"/>
    <w:rsid w:val="007C4516"/>
    <w:rsid w:val="007C4525"/>
    <w:rsid w:val="007C46C3"/>
    <w:rsid w:val="007C47BD"/>
    <w:rsid w:val="007C494C"/>
    <w:rsid w:val="007C4A8E"/>
    <w:rsid w:val="007C4A9F"/>
    <w:rsid w:val="007C4B12"/>
    <w:rsid w:val="007C4B20"/>
    <w:rsid w:val="007C4B76"/>
    <w:rsid w:val="007C4D43"/>
    <w:rsid w:val="007C4E27"/>
    <w:rsid w:val="007C4E7E"/>
    <w:rsid w:val="007C4F19"/>
    <w:rsid w:val="007C4F97"/>
    <w:rsid w:val="007C5178"/>
    <w:rsid w:val="007C5265"/>
    <w:rsid w:val="007C5350"/>
    <w:rsid w:val="007C53A6"/>
    <w:rsid w:val="007C53AF"/>
    <w:rsid w:val="007C5430"/>
    <w:rsid w:val="007C5558"/>
    <w:rsid w:val="007C559B"/>
    <w:rsid w:val="007C5695"/>
    <w:rsid w:val="007C58E9"/>
    <w:rsid w:val="007C5AD8"/>
    <w:rsid w:val="007C5BB3"/>
    <w:rsid w:val="007C5C90"/>
    <w:rsid w:val="007C5C91"/>
    <w:rsid w:val="007C5E9B"/>
    <w:rsid w:val="007C5ED1"/>
    <w:rsid w:val="007C5F13"/>
    <w:rsid w:val="007C6074"/>
    <w:rsid w:val="007C60EA"/>
    <w:rsid w:val="007C613F"/>
    <w:rsid w:val="007C61FA"/>
    <w:rsid w:val="007C6204"/>
    <w:rsid w:val="007C6211"/>
    <w:rsid w:val="007C6366"/>
    <w:rsid w:val="007C6439"/>
    <w:rsid w:val="007C6480"/>
    <w:rsid w:val="007C64AE"/>
    <w:rsid w:val="007C663E"/>
    <w:rsid w:val="007C6725"/>
    <w:rsid w:val="007C6839"/>
    <w:rsid w:val="007C69B7"/>
    <w:rsid w:val="007C6A29"/>
    <w:rsid w:val="007C6A96"/>
    <w:rsid w:val="007C6B29"/>
    <w:rsid w:val="007C6C2C"/>
    <w:rsid w:val="007C6C88"/>
    <w:rsid w:val="007C6CDE"/>
    <w:rsid w:val="007C6DCD"/>
    <w:rsid w:val="007C6E02"/>
    <w:rsid w:val="007C6E53"/>
    <w:rsid w:val="007C6E57"/>
    <w:rsid w:val="007C6F2D"/>
    <w:rsid w:val="007C6F9C"/>
    <w:rsid w:val="007C70BD"/>
    <w:rsid w:val="007C716F"/>
    <w:rsid w:val="007C7290"/>
    <w:rsid w:val="007C7378"/>
    <w:rsid w:val="007C739B"/>
    <w:rsid w:val="007C74C3"/>
    <w:rsid w:val="007C754A"/>
    <w:rsid w:val="007C7820"/>
    <w:rsid w:val="007C7868"/>
    <w:rsid w:val="007C791B"/>
    <w:rsid w:val="007C7BAA"/>
    <w:rsid w:val="007C7D13"/>
    <w:rsid w:val="007C7E51"/>
    <w:rsid w:val="007C7E95"/>
    <w:rsid w:val="007C7EE0"/>
    <w:rsid w:val="007C7EEA"/>
    <w:rsid w:val="007C7FF9"/>
    <w:rsid w:val="007D017D"/>
    <w:rsid w:val="007D0203"/>
    <w:rsid w:val="007D0213"/>
    <w:rsid w:val="007D0270"/>
    <w:rsid w:val="007D0284"/>
    <w:rsid w:val="007D029F"/>
    <w:rsid w:val="007D02FF"/>
    <w:rsid w:val="007D03F4"/>
    <w:rsid w:val="007D0472"/>
    <w:rsid w:val="007D05A9"/>
    <w:rsid w:val="007D05F5"/>
    <w:rsid w:val="007D0708"/>
    <w:rsid w:val="007D0790"/>
    <w:rsid w:val="007D07B2"/>
    <w:rsid w:val="007D07F0"/>
    <w:rsid w:val="007D09D0"/>
    <w:rsid w:val="007D0CE2"/>
    <w:rsid w:val="007D0E89"/>
    <w:rsid w:val="007D0EAA"/>
    <w:rsid w:val="007D0F6B"/>
    <w:rsid w:val="007D0F96"/>
    <w:rsid w:val="007D0FA4"/>
    <w:rsid w:val="007D1024"/>
    <w:rsid w:val="007D1234"/>
    <w:rsid w:val="007D127B"/>
    <w:rsid w:val="007D133F"/>
    <w:rsid w:val="007D1341"/>
    <w:rsid w:val="007D1543"/>
    <w:rsid w:val="007D17FF"/>
    <w:rsid w:val="007D1852"/>
    <w:rsid w:val="007D18A6"/>
    <w:rsid w:val="007D1955"/>
    <w:rsid w:val="007D1965"/>
    <w:rsid w:val="007D1A03"/>
    <w:rsid w:val="007D1DC3"/>
    <w:rsid w:val="007D1E2F"/>
    <w:rsid w:val="007D1E74"/>
    <w:rsid w:val="007D1ED5"/>
    <w:rsid w:val="007D1EE8"/>
    <w:rsid w:val="007D1F62"/>
    <w:rsid w:val="007D2018"/>
    <w:rsid w:val="007D20D8"/>
    <w:rsid w:val="007D2126"/>
    <w:rsid w:val="007D218C"/>
    <w:rsid w:val="007D2237"/>
    <w:rsid w:val="007D223A"/>
    <w:rsid w:val="007D24A5"/>
    <w:rsid w:val="007D2591"/>
    <w:rsid w:val="007D261C"/>
    <w:rsid w:val="007D26BC"/>
    <w:rsid w:val="007D270C"/>
    <w:rsid w:val="007D2833"/>
    <w:rsid w:val="007D28AC"/>
    <w:rsid w:val="007D2B36"/>
    <w:rsid w:val="007D2B7E"/>
    <w:rsid w:val="007D2BD8"/>
    <w:rsid w:val="007D2BE7"/>
    <w:rsid w:val="007D2C6B"/>
    <w:rsid w:val="007D2D4C"/>
    <w:rsid w:val="007D2DA7"/>
    <w:rsid w:val="007D2E65"/>
    <w:rsid w:val="007D2F0F"/>
    <w:rsid w:val="007D2FBD"/>
    <w:rsid w:val="007D31D8"/>
    <w:rsid w:val="007D326E"/>
    <w:rsid w:val="007D3393"/>
    <w:rsid w:val="007D33B0"/>
    <w:rsid w:val="007D34AB"/>
    <w:rsid w:val="007D3522"/>
    <w:rsid w:val="007D3532"/>
    <w:rsid w:val="007D35B6"/>
    <w:rsid w:val="007D35E3"/>
    <w:rsid w:val="007D362A"/>
    <w:rsid w:val="007D37C1"/>
    <w:rsid w:val="007D37E7"/>
    <w:rsid w:val="007D3B6F"/>
    <w:rsid w:val="007D3BD4"/>
    <w:rsid w:val="007D3D31"/>
    <w:rsid w:val="007D3DD4"/>
    <w:rsid w:val="007D3E8D"/>
    <w:rsid w:val="007D3F78"/>
    <w:rsid w:val="007D4170"/>
    <w:rsid w:val="007D41B6"/>
    <w:rsid w:val="007D4242"/>
    <w:rsid w:val="007D42B5"/>
    <w:rsid w:val="007D4315"/>
    <w:rsid w:val="007D4432"/>
    <w:rsid w:val="007D4531"/>
    <w:rsid w:val="007D4584"/>
    <w:rsid w:val="007D45AB"/>
    <w:rsid w:val="007D4682"/>
    <w:rsid w:val="007D46C4"/>
    <w:rsid w:val="007D4837"/>
    <w:rsid w:val="007D4846"/>
    <w:rsid w:val="007D487F"/>
    <w:rsid w:val="007D4897"/>
    <w:rsid w:val="007D48C1"/>
    <w:rsid w:val="007D498F"/>
    <w:rsid w:val="007D49A5"/>
    <w:rsid w:val="007D49B1"/>
    <w:rsid w:val="007D4C5B"/>
    <w:rsid w:val="007D4D9D"/>
    <w:rsid w:val="007D4DEA"/>
    <w:rsid w:val="007D4E73"/>
    <w:rsid w:val="007D4F23"/>
    <w:rsid w:val="007D4F48"/>
    <w:rsid w:val="007D5037"/>
    <w:rsid w:val="007D5049"/>
    <w:rsid w:val="007D50A9"/>
    <w:rsid w:val="007D5142"/>
    <w:rsid w:val="007D51CE"/>
    <w:rsid w:val="007D51E9"/>
    <w:rsid w:val="007D5241"/>
    <w:rsid w:val="007D5244"/>
    <w:rsid w:val="007D5358"/>
    <w:rsid w:val="007D535F"/>
    <w:rsid w:val="007D537A"/>
    <w:rsid w:val="007D5395"/>
    <w:rsid w:val="007D5402"/>
    <w:rsid w:val="007D5493"/>
    <w:rsid w:val="007D55D6"/>
    <w:rsid w:val="007D56B4"/>
    <w:rsid w:val="007D56BF"/>
    <w:rsid w:val="007D572F"/>
    <w:rsid w:val="007D57DD"/>
    <w:rsid w:val="007D5850"/>
    <w:rsid w:val="007D5870"/>
    <w:rsid w:val="007D58FC"/>
    <w:rsid w:val="007D592A"/>
    <w:rsid w:val="007D592B"/>
    <w:rsid w:val="007D595D"/>
    <w:rsid w:val="007D5A2E"/>
    <w:rsid w:val="007D5AA6"/>
    <w:rsid w:val="007D5B04"/>
    <w:rsid w:val="007D5B62"/>
    <w:rsid w:val="007D5BE6"/>
    <w:rsid w:val="007D5C51"/>
    <w:rsid w:val="007D5EBB"/>
    <w:rsid w:val="007D5EFF"/>
    <w:rsid w:val="007D5FD8"/>
    <w:rsid w:val="007D6072"/>
    <w:rsid w:val="007D6139"/>
    <w:rsid w:val="007D636A"/>
    <w:rsid w:val="007D649A"/>
    <w:rsid w:val="007D650A"/>
    <w:rsid w:val="007D65AA"/>
    <w:rsid w:val="007D65F3"/>
    <w:rsid w:val="007D6725"/>
    <w:rsid w:val="007D67A4"/>
    <w:rsid w:val="007D6807"/>
    <w:rsid w:val="007D68CA"/>
    <w:rsid w:val="007D695D"/>
    <w:rsid w:val="007D6BB8"/>
    <w:rsid w:val="007D6C5A"/>
    <w:rsid w:val="007D6CBF"/>
    <w:rsid w:val="007D6D57"/>
    <w:rsid w:val="007D6D58"/>
    <w:rsid w:val="007D6DD4"/>
    <w:rsid w:val="007D6F98"/>
    <w:rsid w:val="007D7026"/>
    <w:rsid w:val="007D7043"/>
    <w:rsid w:val="007D71B7"/>
    <w:rsid w:val="007D7262"/>
    <w:rsid w:val="007D729D"/>
    <w:rsid w:val="007D72A0"/>
    <w:rsid w:val="007D737D"/>
    <w:rsid w:val="007D75CF"/>
    <w:rsid w:val="007D75D6"/>
    <w:rsid w:val="007D7621"/>
    <w:rsid w:val="007D785F"/>
    <w:rsid w:val="007D7869"/>
    <w:rsid w:val="007D7893"/>
    <w:rsid w:val="007D7944"/>
    <w:rsid w:val="007D7982"/>
    <w:rsid w:val="007D7A28"/>
    <w:rsid w:val="007D7A88"/>
    <w:rsid w:val="007D7A91"/>
    <w:rsid w:val="007D7AD6"/>
    <w:rsid w:val="007D7BE9"/>
    <w:rsid w:val="007D7CB6"/>
    <w:rsid w:val="007D7CFD"/>
    <w:rsid w:val="007D7F7B"/>
    <w:rsid w:val="007D7F8D"/>
    <w:rsid w:val="007D7FB9"/>
    <w:rsid w:val="007E0008"/>
    <w:rsid w:val="007E000A"/>
    <w:rsid w:val="007E0108"/>
    <w:rsid w:val="007E02EF"/>
    <w:rsid w:val="007E036F"/>
    <w:rsid w:val="007E0387"/>
    <w:rsid w:val="007E03C3"/>
    <w:rsid w:val="007E03F5"/>
    <w:rsid w:val="007E0421"/>
    <w:rsid w:val="007E0468"/>
    <w:rsid w:val="007E05FA"/>
    <w:rsid w:val="007E0656"/>
    <w:rsid w:val="007E07B6"/>
    <w:rsid w:val="007E09AA"/>
    <w:rsid w:val="007E09B0"/>
    <w:rsid w:val="007E0AC1"/>
    <w:rsid w:val="007E0C13"/>
    <w:rsid w:val="007E0C69"/>
    <w:rsid w:val="007E0CC5"/>
    <w:rsid w:val="007E0E30"/>
    <w:rsid w:val="007E0EB3"/>
    <w:rsid w:val="007E146B"/>
    <w:rsid w:val="007E149F"/>
    <w:rsid w:val="007E155A"/>
    <w:rsid w:val="007E16D7"/>
    <w:rsid w:val="007E173D"/>
    <w:rsid w:val="007E18DF"/>
    <w:rsid w:val="007E1978"/>
    <w:rsid w:val="007E1984"/>
    <w:rsid w:val="007E1996"/>
    <w:rsid w:val="007E19DA"/>
    <w:rsid w:val="007E1C13"/>
    <w:rsid w:val="007E1C43"/>
    <w:rsid w:val="007E1C8A"/>
    <w:rsid w:val="007E1CAF"/>
    <w:rsid w:val="007E1E07"/>
    <w:rsid w:val="007E1EF6"/>
    <w:rsid w:val="007E2053"/>
    <w:rsid w:val="007E207F"/>
    <w:rsid w:val="007E20B4"/>
    <w:rsid w:val="007E2101"/>
    <w:rsid w:val="007E23D5"/>
    <w:rsid w:val="007E2551"/>
    <w:rsid w:val="007E26FE"/>
    <w:rsid w:val="007E2811"/>
    <w:rsid w:val="007E29B9"/>
    <w:rsid w:val="007E2AEB"/>
    <w:rsid w:val="007E2B5B"/>
    <w:rsid w:val="007E2BB1"/>
    <w:rsid w:val="007E2C60"/>
    <w:rsid w:val="007E2D20"/>
    <w:rsid w:val="007E2DDA"/>
    <w:rsid w:val="007E2E5F"/>
    <w:rsid w:val="007E2E7C"/>
    <w:rsid w:val="007E2EA2"/>
    <w:rsid w:val="007E2EF9"/>
    <w:rsid w:val="007E2FB2"/>
    <w:rsid w:val="007E2FEA"/>
    <w:rsid w:val="007E3067"/>
    <w:rsid w:val="007E31D8"/>
    <w:rsid w:val="007E328A"/>
    <w:rsid w:val="007E32EE"/>
    <w:rsid w:val="007E332F"/>
    <w:rsid w:val="007E33A9"/>
    <w:rsid w:val="007E34FD"/>
    <w:rsid w:val="007E3640"/>
    <w:rsid w:val="007E36B5"/>
    <w:rsid w:val="007E37A2"/>
    <w:rsid w:val="007E38A0"/>
    <w:rsid w:val="007E39E1"/>
    <w:rsid w:val="007E3B72"/>
    <w:rsid w:val="007E3C37"/>
    <w:rsid w:val="007E3CC6"/>
    <w:rsid w:val="007E3CCA"/>
    <w:rsid w:val="007E3D8C"/>
    <w:rsid w:val="007E3E08"/>
    <w:rsid w:val="007E3EA5"/>
    <w:rsid w:val="007E3EF5"/>
    <w:rsid w:val="007E402F"/>
    <w:rsid w:val="007E4222"/>
    <w:rsid w:val="007E4278"/>
    <w:rsid w:val="007E4323"/>
    <w:rsid w:val="007E4567"/>
    <w:rsid w:val="007E469D"/>
    <w:rsid w:val="007E4AC8"/>
    <w:rsid w:val="007E4ADD"/>
    <w:rsid w:val="007E4BDD"/>
    <w:rsid w:val="007E4DB8"/>
    <w:rsid w:val="007E4E27"/>
    <w:rsid w:val="007E4F57"/>
    <w:rsid w:val="007E514C"/>
    <w:rsid w:val="007E520B"/>
    <w:rsid w:val="007E5269"/>
    <w:rsid w:val="007E561D"/>
    <w:rsid w:val="007E565B"/>
    <w:rsid w:val="007E5763"/>
    <w:rsid w:val="007E5924"/>
    <w:rsid w:val="007E5AB1"/>
    <w:rsid w:val="007E5AED"/>
    <w:rsid w:val="007E5E4C"/>
    <w:rsid w:val="007E5EB7"/>
    <w:rsid w:val="007E5EF8"/>
    <w:rsid w:val="007E5F57"/>
    <w:rsid w:val="007E5F97"/>
    <w:rsid w:val="007E6095"/>
    <w:rsid w:val="007E60C9"/>
    <w:rsid w:val="007E60DD"/>
    <w:rsid w:val="007E6232"/>
    <w:rsid w:val="007E627D"/>
    <w:rsid w:val="007E635A"/>
    <w:rsid w:val="007E6456"/>
    <w:rsid w:val="007E65F7"/>
    <w:rsid w:val="007E6676"/>
    <w:rsid w:val="007E6746"/>
    <w:rsid w:val="007E67F2"/>
    <w:rsid w:val="007E682C"/>
    <w:rsid w:val="007E6899"/>
    <w:rsid w:val="007E68A5"/>
    <w:rsid w:val="007E6988"/>
    <w:rsid w:val="007E69D6"/>
    <w:rsid w:val="007E6B27"/>
    <w:rsid w:val="007E6B44"/>
    <w:rsid w:val="007E6FD0"/>
    <w:rsid w:val="007E73C4"/>
    <w:rsid w:val="007E74C8"/>
    <w:rsid w:val="007E7655"/>
    <w:rsid w:val="007E7796"/>
    <w:rsid w:val="007E77DB"/>
    <w:rsid w:val="007E7904"/>
    <w:rsid w:val="007E7981"/>
    <w:rsid w:val="007E7BAE"/>
    <w:rsid w:val="007E7C23"/>
    <w:rsid w:val="007E7C8D"/>
    <w:rsid w:val="007E7D23"/>
    <w:rsid w:val="007E7E15"/>
    <w:rsid w:val="007E7ECA"/>
    <w:rsid w:val="007E7FD5"/>
    <w:rsid w:val="007F00F8"/>
    <w:rsid w:val="007F0105"/>
    <w:rsid w:val="007F0274"/>
    <w:rsid w:val="007F02AF"/>
    <w:rsid w:val="007F0307"/>
    <w:rsid w:val="007F030D"/>
    <w:rsid w:val="007F0358"/>
    <w:rsid w:val="007F0458"/>
    <w:rsid w:val="007F04DE"/>
    <w:rsid w:val="007F0512"/>
    <w:rsid w:val="007F05E3"/>
    <w:rsid w:val="007F0691"/>
    <w:rsid w:val="007F08F7"/>
    <w:rsid w:val="007F092F"/>
    <w:rsid w:val="007F09CA"/>
    <w:rsid w:val="007F0A63"/>
    <w:rsid w:val="007F0AA1"/>
    <w:rsid w:val="007F0B85"/>
    <w:rsid w:val="007F0CA8"/>
    <w:rsid w:val="007F0D6D"/>
    <w:rsid w:val="007F0E84"/>
    <w:rsid w:val="007F0F1C"/>
    <w:rsid w:val="007F101B"/>
    <w:rsid w:val="007F1040"/>
    <w:rsid w:val="007F1109"/>
    <w:rsid w:val="007F1148"/>
    <w:rsid w:val="007F11AF"/>
    <w:rsid w:val="007F1237"/>
    <w:rsid w:val="007F128C"/>
    <w:rsid w:val="007F13A1"/>
    <w:rsid w:val="007F14B8"/>
    <w:rsid w:val="007F172A"/>
    <w:rsid w:val="007F176F"/>
    <w:rsid w:val="007F177F"/>
    <w:rsid w:val="007F179C"/>
    <w:rsid w:val="007F17B2"/>
    <w:rsid w:val="007F187C"/>
    <w:rsid w:val="007F18D7"/>
    <w:rsid w:val="007F19B6"/>
    <w:rsid w:val="007F1A0B"/>
    <w:rsid w:val="007F1A21"/>
    <w:rsid w:val="007F1B52"/>
    <w:rsid w:val="007F1C11"/>
    <w:rsid w:val="007F1E5D"/>
    <w:rsid w:val="007F20F5"/>
    <w:rsid w:val="007F22DC"/>
    <w:rsid w:val="007F22EF"/>
    <w:rsid w:val="007F2393"/>
    <w:rsid w:val="007F270B"/>
    <w:rsid w:val="007F27AF"/>
    <w:rsid w:val="007F27E6"/>
    <w:rsid w:val="007F28D8"/>
    <w:rsid w:val="007F2A73"/>
    <w:rsid w:val="007F2A9E"/>
    <w:rsid w:val="007F2C6D"/>
    <w:rsid w:val="007F2CA6"/>
    <w:rsid w:val="007F2CC6"/>
    <w:rsid w:val="007F2CD0"/>
    <w:rsid w:val="007F2D29"/>
    <w:rsid w:val="007F2D4D"/>
    <w:rsid w:val="007F2DBD"/>
    <w:rsid w:val="007F3124"/>
    <w:rsid w:val="007F3211"/>
    <w:rsid w:val="007F3358"/>
    <w:rsid w:val="007F3429"/>
    <w:rsid w:val="007F353F"/>
    <w:rsid w:val="007F361A"/>
    <w:rsid w:val="007F3670"/>
    <w:rsid w:val="007F36A6"/>
    <w:rsid w:val="007F3806"/>
    <w:rsid w:val="007F3828"/>
    <w:rsid w:val="007F3888"/>
    <w:rsid w:val="007F3911"/>
    <w:rsid w:val="007F3979"/>
    <w:rsid w:val="007F3992"/>
    <w:rsid w:val="007F3998"/>
    <w:rsid w:val="007F3A35"/>
    <w:rsid w:val="007F3AB3"/>
    <w:rsid w:val="007F3B01"/>
    <w:rsid w:val="007F3B3C"/>
    <w:rsid w:val="007F3B68"/>
    <w:rsid w:val="007F3B85"/>
    <w:rsid w:val="007F3C82"/>
    <w:rsid w:val="007F3CD5"/>
    <w:rsid w:val="007F3DD3"/>
    <w:rsid w:val="007F3E11"/>
    <w:rsid w:val="007F3F23"/>
    <w:rsid w:val="007F3F60"/>
    <w:rsid w:val="007F3FD5"/>
    <w:rsid w:val="007F4194"/>
    <w:rsid w:val="007F4445"/>
    <w:rsid w:val="007F44D8"/>
    <w:rsid w:val="007F46BA"/>
    <w:rsid w:val="007F4855"/>
    <w:rsid w:val="007F48C6"/>
    <w:rsid w:val="007F495D"/>
    <w:rsid w:val="007F4A0F"/>
    <w:rsid w:val="007F4A1B"/>
    <w:rsid w:val="007F4A8F"/>
    <w:rsid w:val="007F4BC6"/>
    <w:rsid w:val="007F4D19"/>
    <w:rsid w:val="007F4E03"/>
    <w:rsid w:val="007F4E0A"/>
    <w:rsid w:val="007F4E81"/>
    <w:rsid w:val="007F4F20"/>
    <w:rsid w:val="007F505C"/>
    <w:rsid w:val="007F50A9"/>
    <w:rsid w:val="007F533C"/>
    <w:rsid w:val="007F5458"/>
    <w:rsid w:val="007F5536"/>
    <w:rsid w:val="007F5577"/>
    <w:rsid w:val="007F5782"/>
    <w:rsid w:val="007F5AF1"/>
    <w:rsid w:val="007F5C35"/>
    <w:rsid w:val="007F5C97"/>
    <w:rsid w:val="007F5E2B"/>
    <w:rsid w:val="007F5FBA"/>
    <w:rsid w:val="007F602D"/>
    <w:rsid w:val="007F6047"/>
    <w:rsid w:val="007F615A"/>
    <w:rsid w:val="007F61B5"/>
    <w:rsid w:val="007F6264"/>
    <w:rsid w:val="007F6340"/>
    <w:rsid w:val="007F6364"/>
    <w:rsid w:val="007F65A4"/>
    <w:rsid w:val="007F6631"/>
    <w:rsid w:val="007F679A"/>
    <w:rsid w:val="007F68B4"/>
    <w:rsid w:val="007F694C"/>
    <w:rsid w:val="007F6973"/>
    <w:rsid w:val="007F6C6A"/>
    <w:rsid w:val="007F6C9D"/>
    <w:rsid w:val="007F6EB3"/>
    <w:rsid w:val="007F6F43"/>
    <w:rsid w:val="007F6FF1"/>
    <w:rsid w:val="007F7075"/>
    <w:rsid w:val="007F7082"/>
    <w:rsid w:val="007F71AA"/>
    <w:rsid w:val="007F72BC"/>
    <w:rsid w:val="007F73C1"/>
    <w:rsid w:val="007F7533"/>
    <w:rsid w:val="007F7730"/>
    <w:rsid w:val="007F77B6"/>
    <w:rsid w:val="007F795A"/>
    <w:rsid w:val="007F7A2E"/>
    <w:rsid w:val="007F7BF9"/>
    <w:rsid w:val="007F7DF5"/>
    <w:rsid w:val="007F7E45"/>
    <w:rsid w:val="007F7E47"/>
    <w:rsid w:val="007F7E5C"/>
    <w:rsid w:val="007F7F99"/>
    <w:rsid w:val="008000E6"/>
    <w:rsid w:val="00800103"/>
    <w:rsid w:val="00800181"/>
    <w:rsid w:val="0080021F"/>
    <w:rsid w:val="008002C0"/>
    <w:rsid w:val="0080039B"/>
    <w:rsid w:val="008003D1"/>
    <w:rsid w:val="0080042D"/>
    <w:rsid w:val="00800612"/>
    <w:rsid w:val="00800705"/>
    <w:rsid w:val="008007A2"/>
    <w:rsid w:val="0080082D"/>
    <w:rsid w:val="00800898"/>
    <w:rsid w:val="008008DF"/>
    <w:rsid w:val="008009B8"/>
    <w:rsid w:val="00800ABA"/>
    <w:rsid w:val="00800CB3"/>
    <w:rsid w:val="00800D59"/>
    <w:rsid w:val="00800DA4"/>
    <w:rsid w:val="00800E8C"/>
    <w:rsid w:val="00800FB8"/>
    <w:rsid w:val="00800FC2"/>
    <w:rsid w:val="0080105B"/>
    <w:rsid w:val="00801093"/>
    <w:rsid w:val="008010E4"/>
    <w:rsid w:val="008010EC"/>
    <w:rsid w:val="008011E3"/>
    <w:rsid w:val="0080121F"/>
    <w:rsid w:val="0080124C"/>
    <w:rsid w:val="008012F2"/>
    <w:rsid w:val="0080143F"/>
    <w:rsid w:val="00801480"/>
    <w:rsid w:val="008014D9"/>
    <w:rsid w:val="0080154B"/>
    <w:rsid w:val="0080155C"/>
    <w:rsid w:val="00801733"/>
    <w:rsid w:val="008017B0"/>
    <w:rsid w:val="008017FC"/>
    <w:rsid w:val="00801827"/>
    <w:rsid w:val="00801831"/>
    <w:rsid w:val="00801848"/>
    <w:rsid w:val="00801917"/>
    <w:rsid w:val="008019B4"/>
    <w:rsid w:val="00801BD8"/>
    <w:rsid w:val="00801BDF"/>
    <w:rsid w:val="00801C30"/>
    <w:rsid w:val="00801C71"/>
    <w:rsid w:val="00801E8E"/>
    <w:rsid w:val="00801F1A"/>
    <w:rsid w:val="00802035"/>
    <w:rsid w:val="0080212B"/>
    <w:rsid w:val="00802136"/>
    <w:rsid w:val="00802189"/>
    <w:rsid w:val="0080218E"/>
    <w:rsid w:val="0080219E"/>
    <w:rsid w:val="00802268"/>
    <w:rsid w:val="0080241F"/>
    <w:rsid w:val="0080248D"/>
    <w:rsid w:val="008024A2"/>
    <w:rsid w:val="0080253A"/>
    <w:rsid w:val="008029BB"/>
    <w:rsid w:val="008029C4"/>
    <w:rsid w:val="00802A39"/>
    <w:rsid w:val="00802B2F"/>
    <w:rsid w:val="00802B51"/>
    <w:rsid w:val="00802C68"/>
    <w:rsid w:val="00802CB6"/>
    <w:rsid w:val="00802D11"/>
    <w:rsid w:val="00802E9E"/>
    <w:rsid w:val="00802EA5"/>
    <w:rsid w:val="00803019"/>
    <w:rsid w:val="00803073"/>
    <w:rsid w:val="008030D9"/>
    <w:rsid w:val="008031A1"/>
    <w:rsid w:val="008032AD"/>
    <w:rsid w:val="00803303"/>
    <w:rsid w:val="008034C3"/>
    <w:rsid w:val="0080350F"/>
    <w:rsid w:val="0080353F"/>
    <w:rsid w:val="00803560"/>
    <w:rsid w:val="0080361D"/>
    <w:rsid w:val="00803681"/>
    <w:rsid w:val="00803951"/>
    <w:rsid w:val="00803AD3"/>
    <w:rsid w:val="00803B11"/>
    <w:rsid w:val="00803B78"/>
    <w:rsid w:val="00803D06"/>
    <w:rsid w:val="00803E15"/>
    <w:rsid w:val="00803E8E"/>
    <w:rsid w:val="00803EB6"/>
    <w:rsid w:val="00803EE2"/>
    <w:rsid w:val="00803F44"/>
    <w:rsid w:val="00803F78"/>
    <w:rsid w:val="00803FE4"/>
    <w:rsid w:val="0080403D"/>
    <w:rsid w:val="00804093"/>
    <w:rsid w:val="00804134"/>
    <w:rsid w:val="0080419C"/>
    <w:rsid w:val="008043FF"/>
    <w:rsid w:val="00804483"/>
    <w:rsid w:val="008044AE"/>
    <w:rsid w:val="008044B3"/>
    <w:rsid w:val="008044D6"/>
    <w:rsid w:val="008045EA"/>
    <w:rsid w:val="00804729"/>
    <w:rsid w:val="00804735"/>
    <w:rsid w:val="008048FA"/>
    <w:rsid w:val="008049B4"/>
    <w:rsid w:val="00804C30"/>
    <w:rsid w:val="00804CE2"/>
    <w:rsid w:val="00804D09"/>
    <w:rsid w:val="00804D3E"/>
    <w:rsid w:val="00804F24"/>
    <w:rsid w:val="00804F38"/>
    <w:rsid w:val="00804FD2"/>
    <w:rsid w:val="00804FF4"/>
    <w:rsid w:val="0080506E"/>
    <w:rsid w:val="008050C0"/>
    <w:rsid w:val="00805170"/>
    <w:rsid w:val="008053F2"/>
    <w:rsid w:val="00805452"/>
    <w:rsid w:val="0080548A"/>
    <w:rsid w:val="008055B7"/>
    <w:rsid w:val="008056ED"/>
    <w:rsid w:val="00805908"/>
    <w:rsid w:val="00805962"/>
    <w:rsid w:val="0080598C"/>
    <w:rsid w:val="00805B0C"/>
    <w:rsid w:val="00805BEB"/>
    <w:rsid w:val="00805BF9"/>
    <w:rsid w:val="00805FAC"/>
    <w:rsid w:val="00805FAE"/>
    <w:rsid w:val="00806277"/>
    <w:rsid w:val="008062DA"/>
    <w:rsid w:val="00806371"/>
    <w:rsid w:val="008064AC"/>
    <w:rsid w:val="008065C8"/>
    <w:rsid w:val="0080660B"/>
    <w:rsid w:val="00806723"/>
    <w:rsid w:val="0080673A"/>
    <w:rsid w:val="008069D6"/>
    <w:rsid w:val="008069D7"/>
    <w:rsid w:val="00806A43"/>
    <w:rsid w:val="00806AF5"/>
    <w:rsid w:val="00806BF6"/>
    <w:rsid w:val="00806DC8"/>
    <w:rsid w:val="00806E53"/>
    <w:rsid w:val="00806E63"/>
    <w:rsid w:val="00806F0F"/>
    <w:rsid w:val="008071C7"/>
    <w:rsid w:val="008072C2"/>
    <w:rsid w:val="008073A4"/>
    <w:rsid w:val="008073C1"/>
    <w:rsid w:val="008073FC"/>
    <w:rsid w:val="00807497"/>
    <w:rsid w:val="00807672"/>
    <w:rsid w:val="008076A8"/>
    <w:rsid w:val="0080770E"/>
    <w:rsid w:val="00807728"/>
    <w:rsid w:val="0080780E"/>
    <w:rsid w:val="008078B2"/>
    <w:rsid w:val="008079B6"/>
    <w:rsid w:val="00807AE4"/>
    <w:rsid w:val="00807BBB"/>
    <w:rsid w:val="00807BF4"/>
    <w:rsid w:val="00807C52"/>
    <w:rsid w:val="00807C86"/>
    <w:rsid w:val="00807F26"/>
    <w:rsid w:val="00807F86"/>
    <w:rsid w:val="008100A8"/>
    <w:rsid w:val="008100D7"/>
    <w:rsid w:val="00810190"/>
    <w:rsid w:val="008102E6"/>
    <w:rsid w:val="008103AF"/>
    <w:rsid w:val="00810468"/>
    <w:rsid w:val="00810574"/>
    <w:rsid w:val="0081058F"/>
    <w:rsid w:val="0081062A"/>
    <w:rsid w:val="0081066F"/>
    <w:rsid w:val="00810685"/>
    <w:rsid w:val="00810686"/>
    <w:rsid w:val="008106F7"/>
    <w:rsid w:val="008107CE"/>
    <w:rsid w:val="00810823"/>
    <w:rsid w:val="00810843"/>
    <w:rsid w:val="008108A6"/>
    <w:rsid w:val="008109DD"/>
    <w:rsid w:val="00810C2D"/>
    <w:rsid w:val="00810D40"/>
    <w:rsid w:val="00810EFF"/>
    <w:rsid w:val="0081101F"/>
    <w:rsid w:val="00811022"/>
    <w:rsid w:val="0081102F"/>
    <w:rsid w:val="008110B8"/>
    <w:rsid w:val="00811130"/>
    <w:rsid w:val="008111CC"/>
    <w:rsid w:val="008111EF"/>
    <w:rsid w:val="00811645"/>
    <w:rsid w:val="008116AC"/>
    <w:rsid w:val="00811730"/>
    <w:rsid w:val="00811765"/>
    <w:rsid w:val="00811853"/>
    <w:rsid w:val="008118C7"/>
    <w:rsid w:val="00811943"/>
    <w:rsid w:val="00811947"/>
    <w:rsid w:val="008119E8"/>
    <w:rsid w:val="00811B99"/>
    <w:rsid w:val="00811D85"/>
    <w:rsid w:val="00811DE1"/>
    <w:rsid w:val="00811E54"/>
    <w:rsid w:val="00811E85"/>
    <w:rsid w:val="00811EB9"/>
    <w:rsid w:val="00812034"/>
    <w:rsid w:val="008120C5"/>
    <w:rsid w:val="00812154"/>
    <w:rsid w:val="008121F0"/>
    <w:rsid w:val="008122AA"/>
    <w:rsid w:val="00812355"/>
    <w:rsid w:val="008124BD"/>
    <w:rsid w:val="00812529"/>
    <w:rsid w:val="008126CF"/>
    <w:rsid w:val="00812839"/>
    <w:rsid w:val="00812961"/>
    <w:rsid w:val="008129B3"/>
    <w:rsid w:val="00812A4A"/>
    <w:rsid w:val="00812A9D"/>
    <w:rsid w:val="00812D1C"/>
    <w:rsid w:val="00812E04"/>
    <w:rsid w:val="00812F54"/>
    <w:rsid w:val="00812F6F"/>
    <w:rsid w:val="0081306F"/>
    <w:rsid w:val="00813172"/>
    <w:rsid w:val="0081317E"/>
    <w:rsid w:val="00813216"/>
    <w:rsid w:val="00813262"/>
    <w:rsid w:val="008133A4"/>
    <w:rsid w:val="008133D6"/>
    <w:rsid w:val="00813551"/>
    <w:rsid w:val="0081357B"/>
    <w:rsid w:val="008135C8"/>
    <w:rsid w:val="00813603"/>
    <w:rsid w:val="00813648"/>
    <w:rsid w:val="00813653"/>
    <w:rsid w:val="00813692"/>
    <w:rsid w:val="00813741"/>
    <w:rsid w:val="0081376A"/>
    <w:rsid w:val="00813906"/>
    <w:rsid w:val="008139E0"/>
    <w:rsid w:val="00813B7B"/>
    <w:rsid w:val="00813BAC"/>
    <w:rsid w:val="00813C51"/>
    <w:rsid w:val="00813C6C"/>
    <w:rsid w:val="00813C8C"/>
    <w:rsid w:val="00813ECF"/>
    <w:rsid w:val="00814074"/>
    <w:rsid w:val="00814091"/>
    <w:rsid w:val="008140FC"/>
    <w:rsid w:val="00814153"/>
    <w:rsid w:val="00814175"/>
    <w:rsid w:val="0081429E"/>
    <w:rsid w:val="008142A5"/>
    <w:rsid w:val="008143AA"/>
    <w:rsid w:val="00814506"/>
    <w:rsid w:val="008148F4"/>
    <w:rsid w:val="00814995"/>
    <w:rsid w:val="00814A59"/>
    <w:rsid w:val="00814CED"/>
    <w:rsid w:val="00814D8E"/>
    <w:rsid w:val="00814E86"/>
    <w:rsid w:val="00814FAB"/>
    <w:rsid w:val="00815093"/>
    <w:rsid w:val="0081514E"/>
    <w:rsid w:val="008151CF"/>
    <w:rsid w:val="00815286"/>
    <w:rsid w:val="00815307"/>
    <w:rsid w:val="00815392"/>
    <w:rsid w:val="00815442"/>
    <w:rsid w:val="0081559F"/>
    <w:rsid w:val="008157BB"/>
    <w:rsid w:val="00815912"/>
    <w:rsid w:val="00815960"/>
    <w:rsid w:val="0081596C"/>
    <w:rsid w:val="008159B8"/>
    <w:rsid w:val="00815B1E"/>
    <w:rsid w:val="00815BD6"/>
    <w:rsid w:val="00815C42"/>
    <w:rsid w:val="00815C55"/>
    <w:rsid w:val="00815C81"/>
    <w:rsid w:val="00815C99"/>
    <w:rsid w:val="00815CFE"/>
    <w:rsid w:val="00815DFC"/>
    <w:rsid w:val="00815E0F"/>
    <w:rsid w:val="00815E7C"/>
    <w:rsid w:val="00816026"/>
    <w:rsid w:val="0081612F"/>
    <w:rsid w:val="00816152"/>
    <w:rsid w:val="00816259"/>
    <w:rsid w:val="008162DB"/>
    <w:rsid w:val="0081643F"/>
    <w:rsid w:val="008165CC"/>
    <w:rsid w:val="00816604"/>
    <w:rsid w:val="008167D0"/>
    <w:rsid w:val="008167D1"/>
    <w:rsid w:val="0081688B"/>
    <w:rsid w:val="00816ACF"/>
    <w:rsid w:val="00816B1C"/>
    <w:rsid w:val="00816B20"/>
    <w:rsid w:val="00816C3B"/>
    <w:rsid w:val="00816D37"/>
    <w:rsid w:val="00816D42"/>
    <w:rsid w:val="00816D55"/>
    <w:rsid w:val="00816DA6"/>
    <w:rsid w:val="00816DA8"/>
    <w:rsid w:val="00816DE7"/>
    <w:rsid w:val="00816EDE"/>
    <w:rsid w:val="00816F4D"/>
    <w:rsid w:val="0081701C"/>
    <w:rsid w:val="00817130"/>
    <w:rsid w:val="00817565"/>
    <w:rsid w:val="008175A2"/>
    <w:rsid w:val="008176B3"/>
    <w:rsid w:val="0081779E"/>
    <w:rsid w:val="008177CF"/>
    <w:rsid w:val="00817826"/>
    <w:rsid w:val="0081784D"/>
    <w:rsid w:val="00817931"/>
    <w:rsid w:val="00817968"/>
    <w:rsid w:val="00817A87"/>
    <w:rsid w:val="00817B0F"/>
    <w:rsid w:val="00817B2D"/>
    <w:rsid w:val="00817C2D"/>
    <w:rsid w:val="00817C2E"/>
    <w:rsid w:val="00817D2C"/>
    <w:rsid w:val="00817D45"/>
    <w:rsid w:val="00817D67"/>
    <w:rsid w:val="00817D6F"/>
    <w:rsid w:val="00817E3E"/>
    <w:rsid w:val="00817E74"/>
    <w:rsid w:val="00817E89"/>
    <w:rsid w:val="00817F52"/>
    <w:rsid w:val="0082002F"/>
    <w:rsid w:val="008200D0"/>
    <w:rsid w:val="00820150"/>
    <w:rsid w:val="008202B2"/>
    <w:rsid w:val="008202F3"/>
    <w:rsid w:val="008203DB"/>
    <w:rsid w:val="00820481"/>
    <w:rsid w:val="00820499"/>
    <w:rsid w:val="00820509"/>
    <w:rsid w:val="008206DF"/>
    <w:rsid w:val="00820754"/>
    <w:rsid w:val="008207B6"/>
    <w:rsid w:val="00820823"/>
    <w:rsid w:val="00820850"/>
    <w:rsid w:val="00820963"/>
    <w:rsid w:val="00820A20"/>
    <w:rsid w:val="00820AC6"/>
    <w:rsid w:val="00820B30"/>
    <w:rsid w:val="00820DB4"/>
    <w:rsid w:val="00820DE7"/>
    <w:rsid w:val="00820E98"/>
    <w:rsid w:val="00820F13"/>
    <w:rsid w:val="00820F6E"/>
    <w:rsid w:val="00820FA0"/>
    <w:rsid w:val="0082103A"/>
    <w:rsid w:val="00821067"/>
    <w:rsid w:val="008212D7"/>
    <w:rsid w:val="0082141F"/>
    <w:rsid w:val="008216CC"/>
    <w:rsid w:val="008216EF"/>
    <w:rsid w:val="00821897"/>
    <w:rsid w:val="008218C2"/>
    <w:rsid w:val="0082198D"/>
    <w:rsid w:val="00821ACA"/>
    <w:rsid w:val="00821B0B"/>
    <w:rsid w:val="00821B2A"/>
    <w:rsid w:val="00821B81"/>
    <w:rsid w:val="00821B86"/>
    <w:rsid w:val="00821C6A"/>
    <w:rsid w:val="00821DD4"/>
    <w:rsid w:val="00821E2D"/>
    <w:rsid w:val="00822122"/>
    <w:rsid w:val="0082221B"/>
    <w:rsid w:val="00822725"/>
    <w:rsid w:val="00822736"/>
    <w:rsid w:val="0082285E"/>
    <w:rsid w:val="00822960"/>
    <w:rsid w:val="00822991"/>
    <w:rsid w:val="00822AA8"/>
    <w:rsid w:val="00822BDB"/>
    <w:rsid w:val="00822BEC"/>
    <w:rsid w:val="00822C28"/>
    <w:rsid w:val="00822C9B"/>
    <w:rsid w:val="00822DFC"/>
    <w:rsid w:val="00822EDC"/>
    <w:rsid w:val="00822EFB"/>
    <w:rsid w:val="00822FD5"/>
    <w:rsid w:val="0082309C"/>
    <w:rsid w:val="0082327C"/>
    <w:rsid w:val="008232A4"/>
    <w:rsid w:val="008232F3"/>
    <w:rsid w:val="0082331A"/>
    <w:rsid w:val="0082339E"/>
    <w:rsid w:val="008234B2"/>
    <w:rsid w:val="008234E5"/>
    <w:rsid w:val="0082355C"/>
    <w:rsid w:val="00823581"/>
    <w:rsid w:val="0082360F"/>
    <w:rsid w:val="008237AC"/>
    <w:rsid w:val="008237ED"/>
    <w:rsid w:val="008238A3"/>
    <w:rsid w:val="008238B1"/>
    <w:rsid w:val="008238BD"/>
    <w:rsid w:val="00823968"/>
    <w:rsid w:val="00823A83"/>
    <w:rsid w:val="00823AAC"/>
    <w:rsid w:val="00823C67"/>
    <w:rsid w:val="00823FA7"/>
    <w:rsid w:val="0082414B"/>
    <w:rsid w:val="00824286"/>
    <w:rsid w:val="0082433F"/>
    <w:rsid w:val="0082436E"/>
    <w:rsid w:val="008243AD"/>
    <w:rsid w:val="008243C5"/>
    <w:rsid w:val="008243EB"/>
    <w:rsid w:val="00824467"/>
    <w:rsid w:val="008245B0"/>
    <w:rsid w:val="008245FC"/>
    <w:rsid w:val="008247DA"/>
    <w:rsid w:val="0082495F"/>
    <w:rsid w:val="00824AD2"/>
    <w:rsid w:val="00824D25"/>
    <w:rsid w:val="00824DA0"/>
    <w:rsid w:val="00824F95"/>
    <w:rsid w:val="0082509E"/>
    <w:rsid w:val="00825118"/>
    <w:rsid w:val="008251B1"/>
    <w:rsid w:val="008251E9"/>
    <w:rsid w:val="008254C0"/>
    <w:rsid w:val="0082561B"/>
    <w:rsid w:val="0082561E"/>
    <w:rsid w:val="00825667"/>
    <w:rsid w:val="008256C7"/>
    <w:rsid w:val="008256DD"/>
    <w:rsid w:val="00825741"/>
    <w:rsid w:val="008257CE"/>
    <w:rsid w:val="00825808"/>
    <w:rsid w:val="0082584B"/>
    <w:rsid w:val="008258C4"/>
    <w:rsid w:val="00825911"/>
    <w:rsid w:val="0082592D"/>
    <w:rsid w:val="00825A08"/>
    <w:rsid w:val="00825A4D"/>
    <w:rsid w:val="00825B32"/>
    <w:rsid w:val="00825B63"/>
    <w:rsid w:val="00825D11"/>
    <w:rsid w:val="00825D24"/>
    <w:rsid w:val="00825DB2"/>
    <w:rsid w:val="00825F01"/>
    <w:rsid w:val="00825FB8"/>
    <w:rsid w:val="00826115"/>
    <w:rsid w:val="00826288"/>
    <w:rsid w:val="00826295"/>
    <w:rsid w:val="008262AC"/>
    <w:rsid w:val="008262C9"/>
    <w:rsid w:val="0082635C"/>
    <w:rsid w:val="008263CB"/>
    <w:rsid w:val="0082644C"/>
    <w:rsid w:val="00826488"/>
    <w:rsid w:val="00826580"/>
    <w:rsid w:val="008266A5"/>
    <w:rsid w:val="008269C9"/>
    <w:rsid w:val="008269DA"/>
    <w:rsid w:val="008269DC"/>
    <w:rsid w:val="00826C50"/>
    <w:rsid w:val="00826C75"/>
    <w:rsid w:val="00826D79"/>
    <w:rsid w:val="00826E24"/>
    <w:rsid w:val="00826FA0"/>
    <w:rsid w:val="00827077"/>
    <w:rsid w:val="0082720D"/>
    <w:rsid w:val="0082731D"/>
    <w:rsid w:val="00827369"/>
    <w:rsid w:val="008273F6"/>
    <w:rsid w:val="00827408"/>
    <w:rsid w:val="00827511"/>
    <w:rsid w:val="00827550"/>
    <w:rsid w:val="00827689"/>
    <w:rsid w:val="00827691"/>
    <w:rsid w:val="008276C1"/>
    <w:rsid w:val="0082774B"/>
    <w:rsid w:val="00827756"/>
    <w:rsid w:val="0082781E"/>
    <w:rsid w:val="0082783B"/>
    <w:rsid w:val="00827942"/>
    <w:rsid w:val="00827955"/>
    <w:rsid w:val="00827A12"/>
    <w:rsid w:val="00827A2D"/>
    <w:rsid w:val="00827A4A"/>
    <w:rsid w:val="00827A97"/>
    <w:rsid w:val="00827AD2"/>
    <w:rsid w:val="00827C70"/>
    <w:rsid w:val="00827CC6"/>
    <w:rsid w:val="00827D64"/>
    <w:rsid w:val="00827E70"/>
    <w:rsid w:val="00827EB6"/>
    <w:rsid w:val="00830127"/>
    <w:rsid w:val="0083016C"/>
    <w:rsid w:val="008301FF"/>
    <w:rsid w:val="008302A2"/>
    <w:rsid w:val="0083034D"/>
    <w:rsid w:val="0083038F"/>
    <w:rsid w:val="008303FF"/>
    <w:rsid w:val="0083040D"/>
    <w:rsid w:val="00830521"/>
    <w:rsid w:val="008305F1"/>
    <w:rsid w:val="0083074A"/>
    <w:rsid w:val="008307A8"/>
    <w:rsid w:val="008308FA"/>
    <w:rsid w:val="00830A73"/>
    <w:rsid w:val="00830AF8"/>
    <w:rsid w:val="00830AFF"/>
    <w:rsid w:val="00830BB2"/>
    <w:rsid w:val="00830E48"/>
    <w:rsid w:val="00830E98"/>
    <w:rsid w:val="00830FBD"/>
    <w:rsid w:val="008311B8"/>
    <w:rsid w:val="008311E9"/>
    <w:rsid w:val="008311EC"/>
    <w:rsid w:val="008311ED"/>
    <w:rsid w:val="00831263"/>
    <w:rsid w:val="008312BE"/>
    <w:rsid w:val="0083142B"/>
    <w:rsid w:val="0083146B"/>
    <w:rsid w:val="0083160B"/>
    <w:rsid w:val="00831628"/>
    <w:rsid w:val="00831647"/>
    <w:rsid w:val="0083166A"/>
    <w:rsid w:val="00831A0F"/>
    <w:rsid w:val="00831B3C"/>
    <w:rsid w:val="00831D1D"/>
    <w:rsid w:val="00831E25"/>
    <w:rsid w:val="00831E2B"/>
    <w:rsid w:val="00831F4A"/>
    <w:rsid w:val="00831FC9"/>
    <w:rsid w:val="00831FFE"/>
    <w:rsid w:val="00832023"/>
    <w:rsid w:val="008320F0"/>
    <w:rsid w:val="00832112"/>
    <w:rsid w:val="008321F8"/>
    <w:rsid w:val="0083223A"/>
    <w:rsid w:val="008322D6"/>
    <w:rsid w:val="008323CC"/>
    <w:rsid w:val="00832400"/>
    <w:rsid w:val="0083250D"/>
    <w:rsid w:val="00832746"/>
    <w:rsid w:val="008328DC"/>
    <w:rsid w:val="00832B93"/>
    <w:rsid w:val="00832C67"/>
    <w:rsid w:val="00832CD9"/>
    <w:rsid w:val="00832D98"/>
    <w:rsid w:val="00832F13"/>
    <w:rsid w:val="00832F54"/>
    <w:rsid w:val="00833059"/>
    <w:rsid w:val="0083311A"/>
    <w:rsid w:val="00833312"/>
    <w:rsid w:val="00833358"/>
    <w:rsid w:val="008333CF"/>
    <w:rsid w:val="008334C9"/>
    <w:rsid w:val="008334D1"/>
    <w:rsid w:val="00833540"/>
    <w:rsid w:val="00833587"/>
    <w:rsid w:val="0083368C"/>
    <w:rsid w:val="00833716"/>
    <w:rsid w:val="0083384F"/>
    <w:rsid w:val="0083394F"/>
    <w:rsid w:val="00833A7C"/>
    <w:rsid w:val="00833B74"/>
    <w:rsid w:val="00833B9B"/>
    <w:rsid w:val="00833BFD"/>
    <w:rsid w:val="00833C5B"/>
    <w:rsid w:val="00833DAF"/>
    <w:rsid w:val="0083403F"/>
    <w:rsid w:val="0083423B"/>
    <w:rsid w:val="00834243"/>
    <w:rsid w:val="00834432"/>
    <w:rsid w:val="00834654"/>
    <w:rsid w:val="00834947"/>
    <w:rsid w:val="00834964"/>
    <w:rsid w:val="00834B3C"/>
    <w:rsid w:val="00834C15"/>
    <w:rsid w:val="00834C3F"/>
    <w:rsid w:val="00834CE8"/>
    <w:rsid w:val="00834D69"/>
    <w:rsid w:val="00834E92"/>
    <w:rsid w:val="0083512B"/>
    <w:rsid w:val="00835152"/>
    <w:rsid w:val="008351B3"/>
    <w:rsid w:val="00835483"/>
    <w:rsid w:val="00835516"/>
    <w:rsid w:val="008355E3"/>
    <w:rsid w:val="008356FC"/>
    <w:rsid w:val="008357AD"/>
    <w:rsid w:val="008357F2"/>
    <w:rsid w:val="008357FB"/>
    <w:rsid w:val="0083581F"/>
    <w:rsid w:val="00835940"/>
    <w:rsid w:val="008359C3"/>
    <w:rsid w:val="00835B81"/>
    <w:rsid w:val="00835BA5"/>
    <w:rsid w:val="00835C61"/>
    <w:rsid w:val="00835D32"/>
    <w:rsid w:val="00835E5B"/>
    <w:rsid w:val="00835F62"/>
    <w:rsid w:val="00835FB9"/>
    <w:rsid w:val="00836085"/>
    <w:rsid w:val="0083613D"/>
    <w:rsid w:val="008361DA"/>
    <w:rsid w:val="0083623B"/>
    <w:rsid w:val="00836257"/>
    <w:rsid w:val="008362D1"/>
    <w:rsid w:val="00836333"/>
    <w:rsid w:val="00836355"/>
    <w:rsid w:val="008363D4"/>
    <w:rsid w:val="008364B1"/>
    <w:rsid w:val="008364F5"/>
    <w:rsid w:val="008364F7"/>
    <w:rsid w:val="00836511"/>
    <w:rsid w:val="0083653C"/>
    <w:rsid w:val="008365C9"/>
    <w:rsid w:val="00836701"/>
    <w:rsid w:val="00836715"/>
    <w:rsid w:val="00836755"/>
    <w:rsid w:val="0083679C"/>
    <w:rsid w:val="00836869"/>
    <w:rsid w:val="008368A2"/>
    <w:rsid w:val="00836957"/>
    <w:rsid w:val="00836963"/>
    <w:rsid w:val="00836A0E"/>
    <w:rsid w:val="00836B9A"/>
    <w:rsid w:val="00836C02"/>
    <w:rsid w:val="00836C39"/>
    <w:rsid w:val="00836CDB"/>
    <w:rsid w:val="00836D89"/>
    <w:rsid w:val="00836E4F"/>
    <w:rsid w:val="00837017"/>
    <w:rsid w:val="0083701F"/>
    <w:rsid w:val="00837181"/>
    <w:rsid w:val="008371EF"/>
    <w:rsid w:val="00837207"/>
    <w:rsid w:val="00837223"/>
    <w:rsid w:val="00837226"/>
    <w:rsid w:val="008372CD"/>
    <w:rsid w:val="008374BA"/>
    <w:rsid w:val="008374C4"/>
    <w:rsid w:val="0083758D"/>
    <w:rsid w:val="0083794F"/>
    <w:rsid w:val="00837993"/>
    <w:rsid w:val="00837A06"/>
    <w:rsid w:val="00837A0D"/>
    <w:rsid w:val="00837A6B"/>
    <w:rsid w:val="00837BD5"/>
    <w:rsid w:val="00837CD8"/>
    <w:rsid w:val="00837D8D"/>
    <w:rsid w:val="00837FA2"/>
    <w:rsid w:val="00837FB1"/>
    <w:rsid w:val="00837FD7"/>
    <w:rsid w:val="00840093"/>
    <w:rsid w:val="008400EF"/>
    <w:rsid w:val="00840222"/>
    <w:rsid w:val="00840346"/>
    <w:rsid w:val="0084045F"/>
    <w:rsid w:val="008404C2"/>
    <w:rsid w:val="00840528"/>
    <w:rsid w:val="00840573"/>
    <w:rsid w:val="0084059E"/>
    <w:rsid w:val="008405B5"/>
    <w:rsid w:val="00840722"/>
    <w:rsid w:val="008408AB"/>
    <w:rsid w:val="008409F1"/>
    <w:rsid w:val="00840A03"/>
    <w:rsid w:val="00840AA0"/>
    <w:rsid w:val="00840B3C"/>
    <w:rsid w:val="00840C62"/>
    <w:rsid w:val="00840CB7"/>
    <w:rsid w:val="00840D6D"/>
    <w:rsid w:val="00840D9B"/>
    <w:rsid w:val="00840DC7"/>
    <w:rsid w:val="00840F00"/>
    <w:rsid w:val="0084104F"/>
    <w:rsid w:val="008410BD"/>
    <w:rsid w:val="008411DD"/>
    <w:rsid w:val="008412D3"/>
    <w:rsid w:val="0084145F"/>
    <w:rsid w:val="0084156F"/>
    <w:rsid w:val="0084185C"/>
    <w:rsid w:val="00841864"/>
    <w:rsid w:val="008418E6"/>
    <w:rsid w:val="00841956"/>
    <w:rsid w:val="00841A70"/>
    <w:rsid w:val="00841D06"/>
    <w:rsid w:val="00841D40"/>
    <w:rsid w:val="00841D52"/>
    <w:rsid w:val="00841DBE"/>
    <w:rsid w:val="00841DF0"/>
    <w:rsid w:val="00841F0B"/>
    <w:rsid w:val="00841F78"/>
    <w:rsid w:val="008420AE"/>
    <w:rsid w:val="008420C1"/>
    <w:rsid w:val="00842102"/>
    <w:rsid w:val="00842185"/>
    <w:rsid w:val="00842370"/>
    <w:rsid w:val="008424A7"/>
    <w:rsid w:val="0084258F"/>
    <w:rsid w:val="008427FC"/>
    <w:rsid w:val="00842855"/>
    <w:rsid w:val="008428DB"/>
    <w:rsid w:val="0084291E"/>
    <w:rsid w:val="00842A83"/>
    <w:rsid w:val="00842A8E"/>
    <w:rsid w:val="00842B63"/>
    <w:rsid w:val="00842C6C"/>
    <w:rsid w:val="00842CB8"/>
    <w:rsid w:val="00842D8E"/>
    <w:rsid w:val="00842EF2"/>
    <w:rsid w:val="00843017"/>
    <w:rsid w:val="0084320F"/>
    <w:rsid w:val="0084322D"/>
    <w:rsid w:val="0084330D"/>
    <w:rsid w:val="00843311"/>
    <w:rsid w:val="00843480"/>
    <w:rsid w:val="00843571"/>
    <w:rsid w:val="00843574"/>
    <w:rsid w:val="0084368D"/>
    <w:rsid w:val="008436B7"/>
    <w:rsid w:val="0084378A"/>
    <w:rsid w:val="00843A30"/>
    <w:rsid w:val="00843CE0"/>
    <w:rsid w:val="00843D69"/>
    <w:rsid w:val="00843D7F"/>
    <w:rsid w:val="00843E19"/>
    <w:rsid w:val="00843E8B"/>
    <w:rsid w:val="00843F75"/>
    <w:rsid w:val="00843F90"/>
    <w:rsid w:val="008440A4"/>
    <w:rsid w:val="008440F4"/>
    <w:rsid w:val="008440FA"/>
    <w:rsid w:val="00844303"/>
    <w:rsid w:val="008443A4"/>
    <w:rsid w:val="008444C0"/>
    <w:rsid w:val="008445E5"/>
    <w:rsid w:val="0084464F"/>
    <w:rsid w:val="008446EC"/>
    <w:rsid w:val="00844800"/>
    <w:rsid w:val="0084483F"/>
    <w:rsid w:val="008449BB"/>
    <w:rsid w:val="00844AE8"/>
    <w:rsid w:val="00844BCB"/>
    <w:rsid w:val="00844E49"/>
    <w:rsid w:val="00844EBC"/>
    <w:rsid w:val="00844FEA"/>
    <w:rsid w:val="00845361"/>
    <w:rsid w:val="0084542A"/>
    <w:rsid w:val="0084542C"/>
    <w:rsid w:val="008454F2"/>
    <w:rsid w:val="008454F5"/>
    <w:rsid w:val="008459E2"/>
    <w:rsid w:val="00845A53"/>
    <w:rsid w:val="00845A83"/>
    <w:rsid w:val="00845AE0"/>
    <w:rsid w:val="00845B55"/>
    <w:rsid w:val="00845B89"/>
    <w:rsid w:val="00845C42"/>
    <w:rsid w:val="00845DFB"/>
    <w:rsid w:val="00845EDB"/>
    <w:rsid w:val="00845F33"/>
    <w:rsid w:val="00845F44"/>
    <w:rsid w:val="00846014"/>
    <w:rsid w:val="00846198"/>
    <w:rsid w:val="008461D4"/>
    <w:rsid w:val="0084640B"/>
    <w:rsid w:val="0084644E"/>
    <w:rsid w:val="00846473"/>
    <w:rsid w:val="008464AA"/>
    <w:rsid w:val="008464AE"/>
    <w:rsid w:val="00846503"/>
    <w:rsid w:val="0084654D"/>
    <w:rsid w:val="00846665"/>
    <w:rsid w:val="008466FB"/>
    <w:rsid w:val="00846987"/>
    <w:rsid w:val="00846A0B"/>
    <w:rsid w:val="00846AF8"/>
    <w:rsid w:val="00846B3A"/>
    <w:rsid w:val="00846B59"/>
    <w:rsid w:val="00846D32"/>
    <w:rsid w:val="00846F29"/>
    <w:rsid w:val="00847096"/>
    <w:rsid w:val="00847108"/>
    <w:rsid w:val="00847149"/>
    <w:rsid w:val="00847156"/>
    <w:rsid w:val="0084725D"/>
    <w:rsid w:val="008472D5"/>
    <w:rsid w:val="008472EF"/>
    <w:rsid w:val="00847301"/>
    <w:rsid w:val="00847377"/>
    <w:rsid w:val="008473FD"/>
    <w:rsid w:val="00847599"/>
    <w:rsid w:val="008476E6"/>
    <w:rsid w:val="008477F9"/>
    <w:rsid w:val="00847885"/>
    <w:rsid w:val="0084799E"/>
    <w:rsid w:val="00847A14"/>
    <w:rsid w:val="00847BA7"/>
    <w:rsid w:val="00847C01"/>
    <w:rsid w:val="00847C67"/>
    <w:rsid w:val="00847C7A"/>
    <w:rsid w:val="00847CF0"/>
    <w:rsid w:val="00847E82"/>
    <w:rsid w:val="00847E87"/>
    <w:rsid w:val="00847FB3"/>
    <w:rsid w:val="0085003A"/>
    <w:rsid w:val="008500A1"/>
    <w:rsid w:val="008501CC"/>
    <w:rsid w:val="0085023A"/>
    <w:rsid w:val="0085029E"/>
    <w:rsid w:val="008503C4"/>
    <w:rsid w:val="008503F5"/>
    <w:rsid w:val="00850483"/>
    <w:rsid w:val="0085048D"/>
    <w:rsid w:val="0085062D"/>
    <w:rsid w:val="00850666"/>
    <w:rsid w:val="00850761"/>
    <w:rsid w:val="008508BA"/>
    <w:rsid w:val="00850B10"/>
    <w:rsid w:val="00850B22"/>
    <w:rsid w:val="00850BAD"/>
    <w:rsid w:val="00850C15"/>
    <w:rsid w:val="00850C8B"/>
    <w:rsid w:val="00850E0C"/>
    <w:rsid w:val="00850E3B"/>
    <w:rsid w:val="00850EB6"/>
    <w:rsid w:val="008511CD"/>
    <w:rsid w:val="0085135F"/>
    <w:rsid w:val="00851457"/>
    <w:rsid w:val="008514BA"/>
    <w:rsid w:val="008514C3"/>
    <w:rsid w:val="0085153C"/>
    <w:rsid w:val="00851554"/>
    <w:rsid w:val="008516AF"/>
    <w:rsid w:val="0085174F"/>
    <w:rsid w:val="0085178C"/>
    <w:rsid w:val="0085190E"/>
    <w:rsid w:val="00851A8B"/>
    <w:rsid w:val="00851AE6"/>
    <w:rsid w:val="00851DDC"/>
    <w:rsid w:val="008520ED"/>
    <w:rsid w:val="00852151"/>
    <w:rsid w:val="00852331"/>
    <w:rsid w:val="00852369"/>
    <w:rsid w:val="008523B5"/>
    <w:rsid w:val="00852527"/>
    <w:rsid w:val="0085267B"/>
    <w:rsid w:val="008526EE"/>
    <w:rsid w:val="0085273A"/>
    <w:rsid w:val="008527EB"/>
    <w:rsid w:val="008528DB"/>
    <w:rsid w:val="00852940"/>
    <w:rsid w:val="00852980"/>
    <w:rsid w:val="00852AD1"/>
    <w:rsid w:val="00852BF6"/>
    <w:rsid w:val="00852C62"/>
    <w:rsid w:val="00852DA2"/>
    <w:rsid w:val="00852DAD"/>
    <w:rsid w:val="00852F91"/>
    <w:rsid w:val="00853045"/>
    <w:rsid w:val="00853215"/>
    <w:rsid w:val="0085322A"/>
    <w:rsid w:val="008532EB"/>
    <w:rsid w:val="00853465"/>
    <w:rsid w:val="008534FF"/>
    <w:rsid w:val="0085359C"/>
    <w:rsid w:val="008535C2"/>
    <w:rsid w:val="00853620"/>
    <w:rsid w:val="0085373D"/>
    <w:rsid w:val="0085390E"/>
    <w:rsid w:val="00853A24"/>
    <w:rsid w:val="00853C36"/>
    <w:rsid w:val="00853EC8"/>
    <w:rsid w:val="0085417D"/>
    <w:rsid w:val="008541A0"/>
    <w:rsid w:val="008542E1"/>
    <w:rsid w:val="008542E6"/>
    <w:rsid w:val="008543A9"/>
    <w:rsid w:val="008543C6"/>
    <w:rsid w:val="0085447D"/>
    <w:rsid w:val="00854832"/>
    <w:rsid w:val="00854864"/>
    <w:rsid w:val="00854910"/>
    <w:rsid w:val="00854922"/>
    <w:rsid w:val="0085495D"/>
    <w:rsid w:val="00854ABE"/>
    <w:rsid w:val="00854B0B"/>
    <w:rsid w:val="00854B93"/>
    <w:rsid w:val="00854BA5"/>
    <w:rsid w:val="00855017"/>
    <w:rsid w:val="0085509B"/>
    <w:rsid w:val="008550E5"/>
    <w:rsid w:val="008551E6"/>
    <w:rsid w:val="008554E1"/>
    <w:rsid w:val="0085552D"/>
    <w:rsid w:val="00855631"/>
    <w:rsid w:val="0085591D"/>
    <w:rsid w:val="00855946"/>
    <w:rsid w:val="00855999"/>
    <w:rsid w:val="008559AC"/>
    <w:rsid w:val="00855A38"/>
    <w:rsid w:val="00855D05"/>
    <w:rsid w:val="00855D1C"/>
    <w:rsid w:val="00855DB4"/>
    <w:rsid w:val="00855DCF"/>
    <w:rsid w:val="00855F58"/>
    <w:rsid w:val="00855FDC"/>
    <w:rsid w:val="008560BF"/>
    <w:rsid w:val="00856228"/>
    <w:rsid w:val="00856372"/>
    <w:rsid w:val="008563DB"/>
    <w:rsid w:val="008564DA"/>
    <w:rsid w:val="0085655C"/>
    <w:rsid w:val="00856590"/>
    <w:rsid w:val="008567DE"/>
    <w:rsid w:val="00856805"/>
    <w:rsid w:val="008568B9"/>
    <w:rsid w:val="008568F2"/>
    <w:rsid w:val="00856A33"/>
    <w:rsid w:val="00856A38"/>
    <w:rsid w:val="00856A45"/>
    <w:rsid w:val="00856CBD"/>
    <w:rsid w:val="00856D10"/>
    <w:rsid w:val="00856F8D"/>
    <w:rsid w:val="00856FB0"/>
    <w:rsid w:val="00856FBA"/>
    <w:rsid w:val="008570AA"/>
    <w:rsid w:val="00857157"/>
    <w:rsid w:val="008571CA"/>
    <w:rsid w:val="0085731D"/>
    <w:rsid w:val="0085780C"/>
    <w:rsid w:val="00857969"/>
    <w:rsid w:val="00857A45"/>
    <w:rsid w:val="00857B33"/>
    <w:rsid w:val="00857F36"/>
    <w:rsid w:val="00857F99"/>
    <w:rsid w:val="0086013D"/>
    <w:rsid w:val="00860313"/>
    <w:rsid w:val="0086040A"/>
    <w:rsid w:val="008604FC"/>
    <w:rsid w:val="0086056F"/>
    <w:rsid w:val="00860766"/>
    <w:rsid w:val="008607A5"/>
    <w:rsid w:val="00860A0E"/>
    <w:rsid w:val="00860A3E"/>
    <w:rsid w:val="00860A50"/>
    <w:rsid w:val="00860DEA"/>
    <w:rsid w:val="00860F3F"/>
    <w:rsid w:val="00860F79"/>
    <w:rsid w:val="00861070"/>
    <w:rsid w:val="008610D5"/>
    <w:rsid w:val="008612CC"/>
    <w:rsid w:val="008613AA"/>
    <w:rsid w:val="008613F5"/>
    <w:rsid w:val="00861469"/>
    <w:rsid w:val="00861537"/>
    <w:rsid w:val="008615D8"/>
    <w:rsid w:val="008616DB"/>
    <w:rsid w:val="008618EF"/>
    <w:rsid w:val="00861923"/>
    <w:rsid w:val="008619A2"/>
    <w:rsid w:val="008619D3"/>
    <w:rsid w:val="00861A49"/>
    <w:rsid w:val="00861A72"/>
    <w:rsid w:val="00861C55"/>
    <w:rsid w:val="00861C75"/>
    <w:rsid w:val="00861CC8"/>
    <w:rsid w:val="00861DA4"/>
    <w:rsid w:val="00861FC4"/>
    <w:rsid w:val="00862069"/>
    <w:rsid w:val="008620DD"/>
    <w:rsid w:val="0086217F"/>
    <w:rsid w:val="0086226A"/>
    <w:rsid w:val="0086235C"/>
    <w:rsid w:val="0086235F"/>
    <w:rsid w:val="008623D3"/>
    <w:rsid w:val="00862561"/>
    <w:rsid w:val="00862587"/>
    <w:rsid w:val="008625E0"/>
    <w:rsid w:val="008628DB"/>
    <w:rsid w:val="00862913"/>
    <w:rsid w:val="0086295C"/>
    <w:rsid w:val="008629E2"/>
    <w:rsid w:val="00862ADA"/>
    <w:rsid w:val="00862B56"/>
    <w:rsid w:val="00862B8A"/>
    <w:rsid w:val="00862BAB"/>
    <w:rsid w:val="00862D39"/>
    <w:rsid w:val="00862F30"/>
    <w:rsid w:val="00862F8B"/>
    <w:rsid w:val="00863249"/>
    <w:rsid w:val="0086324D"/>
    <w:rsid w:val="0086334E"/>
    <w:rsid w:val="008633A4"/>
    <w:rsid w:val="008633DB"/>
    <w:rsid w:val="008633DF"/>
    <w:rsid w:val="00863407"/>
    <w:rsid w:val="0086344F"/>
    <w:rsid w:val="008635A3"/>
    <w:rsid w:val="00863693"/>
    <w:rsid w:val="00863807"/>
    <w:rsid w:val="00863880"/>
    <w:rsid w:val="008639C4"/>
    <w:rsid w:val="00863AAE"/>
    <w:rsid w:val="00863AF3"/>
    <w:rsid w:val="00863B5D"/>
    <w:rsid w:val="00863D4F"/>
    <w:rsid w:val="00863D6A"/>
    <w:rsid w:val="008640E7"/>
    <w:rsid w:val="008640EE"/>
    <w:rsid w:val="00864285"/>
    <w:rsid w:val="0086432C"/>
    <w:rsid w:val="00864390"/>
    <w:rsid w:val="0086440E"/>
    <w:rsid w:val="0086441D"/>
    <w:rsid w:val="00864470"/>
    <w:rsid w:val="00864652"/>
    <w:rsid w:val="0086475C"/>
    <w:rsid w:val="00864802"/>
    <w:rsid w:val="008648F1"/>
    <w:rsid w:val="00864906"/>
    <w:rsid w:val="00864908"/>
    <w:rsid w:val="008649AC"/>
    <w:rsid w:val="00864A57"/>
    <w:rsid w:val="00864AC4"/>
    <w:rsid w:val="00864B25"/>
    <w:rsid w:val="00864BB2"/>
    <w:rsid w:val="00864BEB"/>
    <w:rsid w:val="00864CD6"/>
    <w:rsid w:val="00864D3E"/>
    <w:rsid w:val="00864EB6"/>
    <w:rsid w:val="00864EEA"/>
    <w:rsid w:val="00864F60"/>
    <w:rsid w:val="00864F67"/>
    <w:rsid w:val="00864FC8"/>
    <w:rsid w:val="00865087"/>
    <w:rsid w:val="0086511B"/>
    <w:rsid w:val="00865142"/>
    <w:rsid w:val="00865272"/>
    <w:rsid w:val="00865301"/>
    <w:rsid w:val="008653A2"/>
    <w:rsid w:val="008653E6"/>
    <w:rsid w:val="008654A3"/>
    <w:rsid w:val="008654EA"/>
    <w:rsid w:val="008655C9"/>
    <w:rsid w:val="008658A7"/>
    <w:rsid w:val="0086599E"/>
    <w:rsid w:val="00865AEC"/>
    <w:rsid w:val="00865CD2"/>
    <w:rsid w:val="00865DD9"/>
    <w:rsid w:val="00865EB5"/>
    <w:rsid w:val="00865EE2"/>
    <w:rsid w:val="00865F89"/>
    <w:rsid w:val="00865FC1"/>
    <w:rsid w:val="00866031"/>
    <w:rsid w:val="00866040"/>
    <w:rsid w:val="00866172"/>
    <w:rsid w:val="00866216"/>
    <w:rsid w:val="00866473"/>
    <w:rsid w:val="00866498"/>
    <w:rsid w:val="00866614"/>
    <w:rsid w:val="0086666C"/>
    <w:rsid w:val="008667D3"/>
    <w:rsid w:val="00866822"/>
    <w:rsid w:val="0086689D"/>
    <w:rsid w:val="008668FD"/>
    <w:rsid w:val="0086692F"/>
    <w:rsid w:val="00866A0C"/>
    <w:rsid w:val="00866AA3"/>
    <w:rsid w:val="00866B02"/>
    <w:rsid w:val="00866B25"/>
    <w:rsid w:val="00866BCD"/>
    <w:rsid w:val="00866C34"/>
    <w:rsid w:val="00866C76"/>
    <w:rsid w:val="00866DF5"/>
    <w:rsid w:val="00866F1E"/>
    <w:rsid w:val="00866FD0"/>
    <w:rsid w:val="0086713D"/>
    <w:rsid w:val="00867200"/>
    <w:rsid w:val="00867320"/>
    <w:rsid w:val="008673D2"/>
    <w:rsid w:val="008677CC"/>
    <w:rsid w:val="008677F5"/>
    <w:rsid w:val="00867821"/>
    <w:rsid w:val="00867856"/>
    <w:rsid w:val="00867906"/>
    <w:rsid w:val="00867A3A"/>
    <w:rsid w:val="00867A3B"/>
    <w:rsid w:val="00867B50"/>
    <w:rsid w:val="00867BE7"/>
    <w:rsid w:val="00867BFB"/>
    <w:rsid w:val="00867D0F"/>
    <w:rsid w:val="00867D76"/>
    <w:rsid w:val="00867E77"/>
    <w:rsid w:val="00867EA0"/>
    <w:rsid w:val="00867EE1"/>
    <w:rsid w:val="00867F5D"/>
    <w:rsid w:val="00867F62"/>
    <w:rsid w:val="00867FD6"/>
    <w:rsid w:val="00870026"/>
    <w:rsid w:val="008701ED"/>
    <w:rsid w:val="0087020E"/>
    <w:rsid w:val="00870331"/>
    <w:rsid w:val="00870422"/>
    <w:rsid w:val="00870672"/>
    <w:rsid w:val="0087096B"/>
    <w:rsid w:val="00870A53"/>
    <w:rsid w:val="00870C70"/>
    <w:rsid w:val="00870CA5"/>
    <w:rsid w:val="00870CA8"/>
    <w:rsid w:val="00870E19"/>
    <w:rsid w:val="00870E2C"/>
    <w:rsid w:val="00870F45"/>
    <w:rsid w:val="00870F59"/>
    <w:rsid w:val="00871079"/>
    <w:rsid w:val="00871215"/>
    <w:rsid w:val="008713CE"/>
    <w:rsid w:val="008714C1"/>
    <w:rsid w:val="00871588"/>
    <w:rsid w:val="0087160D"/>
    <w:rsid w:val="00871674"/>
    <w:rsid w:val="00871694"/>
    <w:rsid w:val="008716D9"/>
    <w:rsid w:val="00871A39"/>
    <w:rsid w:val="00871B4C"/>
    <w:rsid w:val="00871C54"/>
    <w:rsid w:val="00871C7D"/>
    <w:rsid w:val="00871D1F"/>
    <w:rsid w:val="00871F85"/>
    <w:rsid w:val="00872025"/>
    <w:rsid w:val="008720E5"/>
    <w:rsid w:val="0087216D"/>
    <w:rsid w:val="0087219D"/>
    <w:rsid w:val="008721BC"/>
    <w:rsid w:val="008722F0"/>
    <w:rsid w:val="00872312"/>
    <w:rsid w:val="00872412"/>
    <w:rsid w:val="008724D1"/>
    <w:rsid w:val="0087250E"/>
    <w:rsid w:val="008725FA"/>
    <w:rsid w:val="008727B6"/>
    <w:rsid w:val="008727ED"/>
    <w:rsid w:val="008729B8"/>
    <w:rsid w:val="00872A24"/>
    <w:rsid w:val="00872B5C"/>
    <w:rsid w:val="00872B76"/>
    <w:rsid w:val="00872BB6"/>
    <w:rsid w:val="00872CAC"/>
    <w:rsid w:val="00872CDB"/>
    <w:rsid w:val="00872CF3"/>
    <w:rsid w:val="00872D15"/>
    <w:rsid w:val="00872D27"/>
    <w:rsid w:val="00872DFB"/>
    <w:rsid w:val="00872E7A"/>
    <w:rsid w:val="00872ED3"/>
    <w:rsid w:val="00872EFB"/>
    <w:rsid w:val="00872F26"/>
    <w:rsid w:val="00872FFF"/>
    <w:rsid w:val="00873028"/>
    <w:rsid w:val="00873059"/>
    <w:rsid w:val="00873100"/>
    <w:rsid w:val="008731AC"/>
    <w:rsid w:val="0087324D"/>
    <w:rsid w:val="00873302"/>
    <w:rsid w:val="008733B9"/>
    <w:rsid w:val="0087347C"/>
    <w:rsid w:val="00873489"/>
    <w:rsid w:val="008734AD"/>
    <w:rsid w:val="00873573"/>
    <w:rsid w:val="008735A8"/>
    <w:rsid w:val="008735D0"/>
    <w:rsid w:val="008735F0"/>
    <w:rsid w:val="0087381C"/>
    <w:rsid w:val="00873C52"/>
    <w:rsid w:val="00873C77"/>
    <w:rsid w:val="00873F25"/>
    <w:rsid w:val="00873F40"/>
    <w:rsid w:val="00873F71"/>
    <w:rsid w:val="00873FB8"/>
    <w:rsid w:val="008740B2"/>
    <w:rsid w:val="008740F9"/>
    <w:rsid w:val="00874293"/>
    <w:rsid w:val="008742E7"/>
    <w:rsid w:val="00874516"/>
    <w:rsid w:val="0087460C"/>
    <w:rsid w:val="008746D5"/>
    <w:rsid w:val="008747D2"/>
    <w:rsid w:val="008748A1"/>
    <w:rsid w:val="008748AA"/>
    <w:rsid w:val="00874C80"/>
    <w:rsid w:val="00874D83"/>
    <w:rsid w:val="00874DF7"/>
    <w:rsid w:val="00874E7F"/>
    <w:rsid w:val="00874F21"/>
    <w:rsid w:val="00874F6A"/>
    <w:rsid w:val="0087531A"/>
    <w:rsid w:val="00875357"/>
    <w:rsid w:val="0087544E"/>
    <w:rsid w:val="008754BC"/>
    <w:rsid w:val="00875546"/>
    <w:rsid w:val="00875633"/>
    <w:rsid w:val="008756BC"/>
    <w:rsid w:val="00875734"/>
    <w:rsid w:val="0087579E"/>
    <w:rsid w:val="008757B2"/>
    <w:rsid w:val="008758A5"/>
    <w:rsid w:val="008759ED"/>
    <w:rsid w:val="00875AC5"/>
    <w:rsid w:val="00875B31"/>
    <w:rsid w:val="00875BD5"/>
    <w:rsid w:val="00875C0E"/>
    <w:rsid w:val="00875C96"/>
    <w:rsid w:val="00875CEC"/>
    <w:rsid w:val="00875D44"/>
    <w:rsid w:val="00875DAE"/>
    <w:rsid w:val="00875E01"/>
    <w:rsid w:val="00875E09"/>
    <w:rsid w:val="00875EB9"/>
    <w:rsid w:val="00875F60"/>
    <w:rsid w:val="008761FA"/>
    <w:rsid w:val="008762DE"/>
    <w:rsid w:val="008762E6"/>
    <w:rsid w:val="0087654B"/>
    <w:rsid w:val="00876552"/>
    <w:rsid w:val="0087664D"/>
    <w:rsid w:val="00876688"/>
    <w:rsid w:val="008767E1"/>
    <w:rsid w:val="00876A57"/>
    <w:rsid w:val="00876A5A"/>
    <w:rsid w:val="00876ADC"/>
    <w:rsid w:val="00876D21"/>
    <w:rsid w:val="00876E1F"/>
    <w:rsid w:val="00876FE7"/>
    <w:rsid w:val="00877023"/>
    <w:rsid w:val="0087708D"/>
    <w:rsid w:val="0087720E"/>
    <w:rsid w:val="0087735A"/>
    <w:rsid w:val="008773DB"/>
    <w:rsid w:val="00877415"/>
    <w:rsid w:val="0087742D"/>
    <w:rsid w:val="00877482"/>
    <w:rsid w:val="008775C4"/>
    <w:rsid w:val="00877656"/>
    <w:rsid w:val="008776B3"/>
    <w:rsid w:val="008778C0"/>
    <w:rsid w:val="0087794E"/>
    <w:rsid w:val="00877A12"/>
    <w:rsid w:val="00877A1F"/>
    <w:rsid w:val="00877B3E"/>
    <w:rsid w:val="00877BBB"/>
    <w:rsid w:val="00877DB3"/>
    <w:rsid w:val="00877E7C"/>
    <w:rsid w:val="00877EE1"/>
    <w:rsid w:val="00880000"/>
    <w:rsid w:val="00880088"/>
    <w:rsid w:val="008800A3"/>
    <w:rsid w:val="008800C5"/>
    <w:rsid w:val="0088019C"/>
    <w:rsid w:val="008801F3"/>
    <w:rsid w:val="00880207"/>
    <w:rsid w:val="00880378"/>
    <w:rsid w:val="008804E9"/>
    <w:rsid w:val="008805BA"/>
    <w:rsid w:val="0088073C"/>
    <w:rsid w:val="008809B2"/>
    <w:rsid w:val="008809C1"/>
    <w:rsid w:val="00880B95"/>
    <w:rsid w:val="00880BB2"/>
    <w:rsid w:val="00880C0F"/>
    <w:rsid w:val="00880C90"/>
    <w:rsid w:val="00880D9A"/>
    <w:rsid w:val="00880DAD"/>
    <w:rsid w:val="00880EB9"/>
    <w:rsid w:val="00880F0A"/>
    <w:rsid w:val="008810E4"/>
    <w:rsid w:val="00881363"/>
    <w:rsid w:val="008813D9"/>
    <w:rsid w:val="00881456"/>
    <w:rsid w:val="008814D1"/>
    <w:rsid w:val="008814FB"/>
    <w:rsid w:val="0088156A"/>
    <w:rsid w:val="00881612"/>
    <w:rsid w:val="008816F4"/>
    <w:rsid w:val="00881707"/>
    <w:rsid w:val="0088171D"/>
    <w:rsid w:val="00881864"/>
    <w:rsid w:val="00881892"/>
    <w:rsid w:val="008818DC"/>
    <w:rsid w:val="00881924"/>
    <w:rsid w:val="00881971"/>
    <w:rsid w:val="00881A03"/>
    <w:rsid w:val="00881A58"/>
    <w:rsid w:val="00881AA0"/>
    <w:rsid w:val="00881C43"/>
    <w:rsid w:val="00881CB6"/>
    <w:rsid w:val="00881D70"/>
    <w:rsid w:val="00881D85"/>
    <w:rsid w:val="00881E95"/>
    <w:rsid w:val="00882181"/>
    <w:rsid w:val="008821E8"/>
    <w:rsid w:val="0088230C"/>
    <w:rsid w:val="00882416"/>
    <w:rsid w:val="008824A1"/>
    <w:rsid w:val="00882676"/>
    <w:rsid w:val="008826D6"/>
    <w:rsid w:val="00882720"/>
    <w:rsid w:val="00882779"/>
    <w:rsid w:val="00882832"/>
    <w:rsid w:val="0088283C"/>
    <w:rsid w:val="008828DA"/>
    <w:rsid w:val="00882A95"/>
    <w:rsid w:val="00882AFB"/>
    <w:rsid w:val="00882B3F"/>
    <w:rsid w:val="00882BA3"/>
    <w:rsid w:val="00882C21"/>
    <w:rsid w:val="00882CC4"/>
    <w:rsid w:val="00882EBD"/>
    <w:rsid w:val="00883035"/>
    <w:rsid w:val="00883044"/>
    <w:rsid w:val="008832AB"/>
    <w:rsid w:val="008832E7"/>
    <w:rsid w:val="008834D4"/>
    <w:rsid w:val="0088352C"/>
    <w:rsid w:val="0088355B"/>
    <w:rsid w:val="00883756"/>
    <w:rsid w:val="00883767"/>
    <w:rsid w:val="008838DD"/>
    <w:rsid w:val="00883A0E"/>
    <w:rsid w:val="00883AC9"/>
    <w:rsid w:val="00883DB0"/>
    <w:rsid w:val="00884129"/>
    <w:rsid w:val="0088422E"/>
    <w:rsid w:val="00884232"/>
    <w:rsid w:val="00884244"/>
    <w:rsid w:val="0088426E"/>
    <w:rsid w:val="00884278"/>
    <w:rsid w:val="00884448"/>
    <w:rsid w:val="0088447C"/>
    <w:rsid w:val="008844AC"/>
    <w:rsid w:val="008844AE"/>
    <w:rsid w:val="0088460F"/>
    <w:rsid w:val="008846A6"/>
    <w:rsid w:val="008846A7"/>
    <w:rsid w:val="008846F6"/>
    <w:rsid w:val="008847FC"/>
    <w:rsid w:val="00884801"/>
    <w:rsid w:val="0088486B"/>
    <w:rsid w:val="00884926"/>
    <w:rsid w:val="00884B81"/>
    <w:rsid w:val="00884BBB"/>
    <w:rsid w:val="00884BC9"/>
    <w:rsid w:val="00884C80"/>
    <w:rsid w:val="00884D96"/>
    <w:rsid w:val="00884DF6"/>
    <w:rsid w:val="00884EAC"/>
    <w:rsid w:val="00884F3F"/>
    <w:rsid w:val="00884F92"/>
    <w:rsid w:val="00884FE6"/>
    <w:rsid w:val="00885000"/>
    <w:rsid w:val="008851CB"/>
    <w:rsid w:val="0088526A"/>
    <w:rsid w:val="00885341"/>
    <w:rsid w:val="0088537F"/>
    <w:rsid w:val="008853AB"/>
    <w:rsid w:val="008853E6"/>
    <w:rsid w:val="0088543C"/>
    <w:rsid w:val="00885486"/>
    <w:rsid w:val="008854F2"/>
    <w:rsid w:val="008854FE"/>
    <w:rsid w:val="00885512"/>
    <w:rsid w:val="00885554"/>
    <w:rsid w:val="00885604"/>
    <w:rsid w:val="00885710"/>
    <w:rsid w:val="0088574C"/>
    <w:rsid w:val="008857A1"/>
    <w:rsid w:val="0088581E"/>
    <w:rsid w:val="0088594E"/>
    <w:rsid w:val="00885980"/>
    <w:rsid w:val="00885A04"/>
    <w:rsid w:val="00885A14"/>
    <w:rsid w:val="00885ABB"/>
    <w:rsid w:val="00885ABC"/>
    <w:rsid w:val="00885B12"/>
    <w:rsid w:val="00885C88"/>
    <w:rsid w:val="00885C8C"/>
    <w:rsid w:val="00885CD8"/>
    <w:rsid w:val="00885DBB"/>
    <w:rsid w:val="00885DBD"/>
    <w:rsid w:val="00885DF6"/>
    <w:rsid w:val="00885E0F"/>
    <w:rsid w:val="00885E30"/>
    <w:rsid w:val="00886023"/>
    <w:rsid w:val="008864C6"/>
    <w:rsid w:val="0088656A"/>
    <w:rsid w:val="0088659C"/>
    <w:rsid w:val="008865ED"/>
    <w:rsid w:val="008865F7"/>
    <w:rsid w:val="00886625"/>
    <w:rsid w:val="0088666B"/>
    <w:rsid w:val="008866BD"/>
    <w:rsid w:val="0088670A"/>
    <w:rsid w:val="0088671B"/>
    <w:rsid w:val="008869CF"/>
    <w:rsid w:val="008869E1"/>
    <w:rsid w:val="00886A23"/>
    <w:rsid w:val="00886C2E"/>
    <w:rsid w:val="00886C98"/>
    <w:rsid w:val="00886CB7"/>
    <w:rsid w:val="00886CE5"/>
    <w:rsid w:val="00886DD6"/>
    <w:rsid w:val="00886E17"/>
    <w:rsid w:val="00886E69"/>
    <w:rsid w:val="00886E79"/>
    <w:rsid w:val="00886F32"/>
    <w:rsid w:val="00886FAE"/>
    <w:rsid w:val="00886FB7"/>
    <w:rsid w:val="00887047"/>
    <w:rsid w:val="00887049"/>
    <w:rsid w:val="00887087"/>
    <w:rsid w:val="008871A5"/>
    <w:rsid w:val="00887211"/>
    <w:rsid w:val="008872B6"/>
    <w:rsid w:val="008872ED"/>
    <w:rsid w:val="00887317"/>
    <w:rsid w:val="00887321"/>
    <w:rsid w:val="0088734C"/>
    <w:rsid w:val="0088735C"/>
    <w:rsid w:val="008874A2"/>
    <w:rsid w:val="00887822"/>
    <w:rsid w:val="00887850"/>
    <w:rsid w:val="008879A7"/>
    <w:rsid w:val="008879D1"/>
    <w:rsid w:val="00887AEB"/>
    <w:rsid w:val="00887CB8"/>
    <w:rsid w:val="00887CC7"/>
    <w:rsid w:val="00887DA0"/>
    <w:rsid w:val="00887DF0"/>
    <w:rsid w:val="00887E5C"/>
    <w:rsid w:val="00887F29"/>
    <w:rsid w:val="0089001D"/>
    <w:rsid w:val="00890088"/>
    <w:rsid w:val="008901AD"/>
    <w:rsid w:val="0089021A"/>
    <w:rsid w:val="00890248"/>
    <w:rsid w:val="00890292"/>
    <w:rsid w:val="008902AC"/>
    <w:rsid w:val="0089046F"/>
    <w:rsid w:val="00890492"/>
    <w:rsid w:val="008904B8"/>
    <w:rsid w:val="008904D9"/>
    <w:rsid w:val="008907E6"/>
    <w:rsid w:val="0089090D"/>
    <w:rsid w:val="00890A28"/>
    <w:rsid w:val="00890A35"/>
    <w:rsid w:val="00890B63"/>
    <w:rsid w:val="00890B97"/>
    <w:rsid w:val="00890C21"/>
    <w:rsid w:val="00890C44"/>
    <w:rsid w:val="00890D1E"/>
    <w:rsid w:val="00890E08"/>
    <w:rsid w:val="00890E3F"/>
    <w:rsid w:val="00890F5A"/>
    <w:rsid w:val="00891136"/>
    <w:rsid w:val="00891275"/>
    <w:rsid w:val="0089127A"/>
    <w:rsid w:val="00891533"/>
    <w:rsid w:val="008916A0"/>
    <w:rsid w:val="008918FF"/>
    <w:rsid w:val="00891BD7"/>
    <w:rsid w:val="00891C50"/>
    <w:rsid w:val="00891C59"/>
    <w:rsid w:val="00891CFD"/>
    <w:rsid w:val="00891D38"/>
    <w:rsid w:val="00891E7E"/>
    <w:rsid w:val="00891F92"/>
    <w:rsid w:val="00891FC1"/>
    <w:rsid w:val="00892021"/>
    <w:rsid w:val="008922CE"/>
    <w:rsid w:val="008922F7"/>
    <w:rsid w:val="00892584"/>
    <w:rsid w:val="008925D2"/>
    <w:rsid w:val="008925E9"/>
    <w:rsid w:val="00892611"/>
    <w:rsid w:val="008926FA"/>
    <w:rsid w:val="008929DF"/>
    <w:rsid w:val="00892AA0"/>
    <w:rsid w:val="00892ACF"/>
    <w:rsid w:val="00892B11"/>
    <w:rsid w:val="00892C83"/>
    <w:rsid w:val="00892D2C"/>
    <w:rsid w:val="00892DD5"/>
    <w:rsid w:val="00892F11"/>
    <w:rsid w:val="00892F36"/>
    <w:rsid w:val="00892F71"/>
    <w:rsid w:val="00892FB5"/>
    <w:rsid w:val="00892FD5"/>
    <w:rsid w:val="008930D6"/>
    <w:rsid w:val="0089318D"/>
    <w:rsid w:val="00893303"/>
    <w:rsid w:val="008933F1"/>
    <w:rsid w:val="0089341F"/>
    <w:rsid w:val="00893461"/>
    <w:rsid w:val="00893476"/>
    <w:rsid w:val="008934B9"/>
    <w:rsid w:val="008934D2"/>
    <w:rsid w:val="0089364D"/>
    <w:rsid w:val="00893693"/>
    <w:rsid w:val="008936B1"/>
    <w:rsid w:val="008937AE"/>
    <w:rsid w:val="008937F1"/>
    <w:rsid w:val="008938E7"/>
    <w:rsid w:val="00893921"/>
    <w:rsid w:val="00893A7E"/>
    <w:rsid w:val="00893AE6"/>
    <w:rsid w:val="00893D7E"/>
    <w:rsid w:val="00893DB7"/>
    <w:rsid w:val="00893E4C"/>
    <w:rsid w:val="00893F47"/>
    <w:rsid w:val="00893FF1"/>
    <w:rsid w:val="00893FFD"/>
    <w:rsid w:val="00894034"/>
    <w:rsid w:val="008940C8"/>
    <w:rsid w:val="008941D8"/>
    <w:rsid w:val="0089426E"/>
    <w:rsid w:val="008942EF"/>
    <w:rsid w:val="00894368"/>
    <w:rsid w:val="008943FB"/>
    <w:rsid w:val="00894597"/>
    <w:rsid w:val="0089459B"/>
    <w:rsid w:val="008945F0"/>
    <w:rsid w:val="0089460F"/>
    <w:rsid w:val="00894661"/>
    <w:rsid w:val="00894698"/>
    <w:rsid w:val="00894711"/>
    <w:rsid w:val="00894725"/>
    <w:rsid w:val="008947B2"/>
    <w:rsid w:val="008947BC"/>
    <w:rsid w:val="008948EB"/>
    <w:rsid w:val="0089496D"/>
    <w:rsid w:val="008949F5"/>
    <w:rsid w:val="00894A53"/>
    <w:rsid w:val="00894B0F"/>
    <w:rsid w:val="00894BDB"/>
    <w:rsid w:val="00894BE1"/>
    <w:rsid w:val="00894C4E"/>
    <w:rsid w:val="00894C96"/>
    <w:rsid w:val="00894EF5"/>
    <w:rsid w:val="00895034"/>
    <w:rsid w:val="00895084"/>
    <w:rsid w:val="008950A0"/>
    <w:rsid w:val="00895294"/>
    <w:rsid w:val="008953ED"/>
    <w:rsid w:val="008953EF"/>
    <w:rsid w:val="00895596"/>
    <w:rsid w:val="008956F3"/>
    <w:rsid w:val="00895727"/>
    <w:rsid w:val="0089581A"/>
    <w:rsid w:val="00895839"/>
    <w:rsid w:val="008958E7"/>
    <w:rsid w:val="00895A1D"/>
    <w:rsid w:val="00895A2B"/>
    <w:rsid w:val="00895A37"/>
    <w:rsid w:val="00895A41"/>
    <w:rsid w:val="00895B05"/>
    <w:rsid w:val="00895B4C"/>
    <w:rsid w:val="00895CAE"/>
    <w:rsid w:val="00895D02"/>
    <w:rsid w:val="00895EC2"/>
    <w:rsid w:val="00895F57"/>
    <w:rsid w:val="00896016"/>
    <w:rsid w:val="008960D5"/>
    <w:rsid w:val="00896236"/>
    <w:rsid w:val="0089625C"/>
    <w:rsid w:val="00896357"/>
    <w:rsid w:val="00896394"/>
    <w:rsid w:val="0089648F"/>
    <w:rsid w:val="008965D6"/>
    <w:rsid w:val="00896686"/>
    <w:rsid w:val="008968F5"/>
    <w:rsid w:val="00896A13"/>
    <w:rsid w:val="00896BB0"/>
    <w:rsid w:val="00896C81"/>
    <w:rsid w:val="00896CB2"/>
    <w:rsid w:val="00896DA4"/>
    <w:rsid w:val="00896DA9"/>
    <w:rsid w:val="00896DEA"/>
    <w:rsid w:val="00896DF4"/>
    <w:rsid w:val="00896E34"/>
    <w:rsid w:val="00896E51"/>
    <w:rsid w:val="0089702F"/>
    <w:rsid w:val="008972F0"/>
    <w:rsid w:val="00897567"/>
    <w:rsid w:val="0089756E"/>
    <w:rsid w:val="008976B0"/>
    <w:rsid w:val="008977AB"/>
    <w:rsid w:val="00897963"/>
    <w:rsid w:val="00897A2E"/>
    <w:rsid w:val="00897A8E"/>
    <w:rsid w:val="00897ABE"/>
    <w:rsid w:val="00897AFA"/>
    <w:rsid w:val="00897B30"/>
    <w:rsid w:val="00897BF9"/>
    <w:rsid w:val="00897D72"/>
    <w:rsid w:val="00897EBA"/>
    <w:rsid w:val="00897F46"/>
    <w:rsid w:val="00897FA0"/>
    <w:rsid w:val="008A0091"/>
    <w:rsid w:val="008A00D9"/>
    <w:rsid w:val="008A012C"/>
    <w:rsid w:val="008A018A"/>
    <w:rsid w:val="008A035E"/>
    <w:rsid w:val="008A039A"/>
    <w:rsid w:val="008A04CC"/>
    <w:rsid w:val="008A05B8"/>
    <w:rsid w:val="008A06AE"/>
    <w:rsid w:val="008A08A8"/>
    <w:rsid w:val="008A0920"/>
    <w:rsid w:val="008A093A"/>
    <w:rsid w:val="008A0961"/>
    <w:rsid w:val="008A09DD"/>
    <w:rsid w:val="008A0A95"/>
    <w:rsid w:val="008A0B09"/>
    <w:rsid w:val="008A0D95"/>
    <w:rsid w:val="008A0EBC"/>
    <w:rsid w:val="008A0FC8"/>
    <w:rsid w:val="008A12E7"/>
    <w:rsid w:val="008A12F1"/>
    <w:rsid w:val="008A13CC"/>
    <w:rsid w:val="008A1435"/>
    <w:rsid w:val="008A14F4"/>
    <w:rsid w:val="008A1541"/>
    <w:rsid w:val="008A1545"/>
    <w:rsid w:val="008A16E8"/>
    <w:rsid w:val="008A1707"/>
    <w:rsid w:val="008A170B"/>
    <w:rsid w:val="008A17EB"/>
    <w:rsid w:val="008A1887"/>
    <w:rsid w:val="008A1A0C"/>
    <w:rsid w:val="008A1A33"/>
    <w:rsid w:val="008A1A59"/>
    <w:rsid w:val="008A1AFD"/>
    <w:rsid w:val="008A1B2D"/>
    <w:rsid w:val="008A1BC5"/>
    <w:rsid w:val="008A1C11"/>
    <w:rsid w:val="008A1C83"/>
    <w:rsid w:val="008A1DA5"/>
    <w:rsid w:val="008A1F37"/>
    <w:rsid w:val="008A1F9A"/>
    <w:rsid w:val="008A1FD6"/>
    <w:rsid w:val="008A2000"/>
    <w:rsid w:val="008A2053"/>
    <w:rsid w:val="008A21C6"/>
    <w:rsid w:val="008A2375"/>
    <w:rsid w:val="008A237C"/>
    <w:rsid w:val="008A2496"/>
    <w:rsid w:val="008A24D8"/>
    <w:rsid w:val="008A24DA"/>
    <w:rsid w:val="008A2508"/>
    <w:rsid w:val="008A259D"/>
    <w:rsid w:val="008A265C"/>
    <w:rsid w:val="008A26C6"/>
    <w:rsid w:val="008A279A"/>
    <w:rsid w:val="008A291A"/>
    <w:rsid w:val="008A293C"/>
    <w:rsid w:val="008A2983"/>
    <w:rsid w:val="008A29BB"/>
    <w:rsid w:val="008A2ABD"/>
    <w:rsid w:val="008A2B05"/>
    <w:rsid w:val="008A2B6A"/>
    <w:rsid w:val="008A2B88"/>
    <w:rsid w:val="008A2BE5"/>
    <w:rsid w:val="008A2C21"/>
    <w:rsid w:val="008A2C4E"/>
    <w:rsid w:val="008A2D58"/>
    <w:rsid w:val="008A2D83"/>
    <w:rsid w:val="008A2F29"/>
    <w:rsid w:val="008A303B"/>
    <w:rsid w:val="008A311A"/>
    <w:rsid w:val="008A3143"/>
    <w:rsid w:val="008A31E3"/>
    <w:rsid w:val="008A3230"/>
    <w:rsid w:val="008A335A"/>
    <w:rsid w:val="008A3387"/>
    <w:rsid w:val="008A33C1"/>
    <w:rsid w:val="008A350C"/>
    <w:rsid w:val="008A35B3"/>
    <w:rsid w:val="008A35F4"/>
    <w:rsid w:val="008A3646"/>
    <w:rsid w:val="008A3725"/>
    <w:rsid w:val="008A37EC"/>
    <w:rsid w:val="008A385D"/>
    <w:rsid w:val="008A3890"/>
    <w:rsid w:val="008A3949"/>
    <w:rsid w:val="008A399A"/>
    <w:rsid w:val="008A3A81"/>
    <w:rsid w:val="008A3B93"/>
    <w:rsid w:val="008A3BC9"/>
    <w:rsid w:val="008A3C5D"/>
    <w:rsid w:val="008A3D8C"/>
    <w:rsid w:val="008A3EDC"/>
    <w:rsid w:val="008A3FBF"/>
    <w:rsid w:val="008A4013"/>
    <w:rsid w:val="008A4037"/>
    <w:rsid w:val="008A4078"/>
    <w:rsid w:val="008A427C"/>
    <w:rsid w:val="008A42F4"/>
    <w:rsid w:val="008A42FB"/>
    <w:rsid w:val="008A4319"/>
    <w:rsid w:val="008A4442"/>
    <w:rsid w:val="008A44E2"/>
    <w:rsid w:val="008A4579"/>
    <w:rsid w:val="008A465F"/>
    <w:rsid w:val="008A48B5"/>
    <w:rsid w:val="008A4A41"/>
    <w:rsid w:val="008A4A53"/>
    <w:rsid w:val="008A4A8E"/>
    <w:rsid w:val="008A4AAA"/>
    <w:rsid w:val="008A4B5C"/>
    <w:rsid w:val="008A4BA3"/>
    <w:rsid w:val="008A4C18"/>
    <w:rsid w:val="008A4C1C"/>
    <w:rsid w:val="008A4C33"/>
    <w:rsid w:val="008A4D53"/>
    <w:rsid w:val="008A4D9F"/>
    <w:rsid w:val="008A4DE3"/>
    <w:rsid w:val="008A4E41"/>
    <w:rsid w:val="008A4F04"/>
    <w:rsid w:val="008A4F44"/>
    <w:rsid w:val="008A4FD4"/>
    <w:rsid w:val="008A5016"/>
    <w:rsid w:val="008A5132"/>
    <w:rsid w:val="008A5167"/>
    <w:rsid w:val="008A51AF"/>
    <w:rsid w:val="008A534C"/>
    <w:rsid w:val="008A53B5"/>
    <w:rsid w:val="008A54B8"/>
    <w:rsid w:val="008A567F"/>
    <w:rsid w:val="008A5907"/>
    <w:rsid w:val="008A5B58"/>
    <w:rsid w:val="008A5B67"/>
    <w:rsid w:val="008A5C19"/>
    <w:rsid w:val="008A606F"/>
    <w:rsid w:val="008A6112"/>
    <w:rsid w:val="008A61A1"/>
    <w:rsid w:val="008A6277"/>
    <w:rsid w:val="008A6281"/>
    <w:rsid w:val="008A62D4"/>
    <w:rsid w:val="008A644D"/>
    <w:rsid w:val="008A644F"/>
    <w:rsid w:val="008A64A6"/>
    <w:rsid w:val="008A64A7"/>
    <w:rsid w:val="008A65C5"/>
    <w:rsid w:val="008A67A2"/>
    <w:rsid w:val="008A6818"/>
    <w:rsid w:val="008A6822"/>
    <w:rsid w:val="008A68A9"/>
    <w:rsid w:val="008A68C9"/>
    <w:rsid w:val="008A68F4"/>
    <w:rsid w:val="008A696D"/>
    <w:rsid w:val="008A6A0F"/>
    <w:rsid w:val="008A6A82"/>
    <w:rsid w:val="008A6A8D"/>
    <w:rsid w:val="008A6ACF"/>
    <w:rsid w:val="008A6E3A"/>
    <w:rsid w:val="008A6EA3"/>
    <w:rsid w:val="008A6ECB"/>
    <w:rsid w:val="008A7099"/>
    <w:rsid w:val="008A712F"/>
    <w:rsid w:val="008A7170"/>
    <w:rsid w:val="008A725B"/>
    <w:rsid w:val="008A72A8"/>
    <w:rsid w:val="008A72BA"/>
    <w:rsid w:val="008A7441"/>
    <w:rsid w:val="008A7488"/>
    <w:rsid w:val="008A7493"/>
    <w:rsid w:val="008A74FD"/>
    <w:rsid w:val="008A76CF"/>
    <w:rsid w:val="008A7760"/>
    <w:rsid w:val="008A77CC"/>
    <w:rsid w:val="008A7809"/>
    <w:rsid w:val="008A7842"/>
    <w:rsid w:val="008A7853"/>
    <w:rsid w:val="008A785E"/>
    <w:rsid w:val="008A788C"/>
    <w:rsid w:val="008A78A4"/>
    <w:rsid w:val="008A78C3"/>
    <w:rsid w:val="008A7BB3"/>
    <w:rsid w:val="008A7BF8"/>
    <w:rsid w:val="008A7D8E"/>
    <w:rsid w:val="008A7DA1"/>
    <w:rsid w:val="008A7E62"/>
    <w:rsid w:val="008B0082"/>
    <w:rsid w:val="008B016A"/>
    <w:rsid w:val="008B039C"/>
    <w:rsid w:val="008B0412"/>
    <w:rsid w:val="008B0451"/>
    <w:rsid w:val="008B04AA"/>
    <w:rsid w:val="008B04B5"/>
    <w:rsid w:val="008B04B6"/>
    <w:rsid w:val="008B052A"/>
    <w:rsid w:val="008B05EF"/>
    <w:rsid w:val="008B0663"/>
    <w:rsid w:val="008B0702"/>
    <w:rsid w:val="008B0785"/>
    <w:rsid w:val="008B082C"/>
    <w:rsid w:val="008B09D9"/>
    <w:rsid w:val="008B0A21"/>
    <w:rsid w:val="008B0A34"/>
    <w:rsid w:val="008B0B18"/>
    <w:rsid w:val="008B0B6C"/>
    <w:rsid w:val="008B0C10"/>
    <w:rsid w:val="008B0CDE"/>
    <w:rsid w:val="008B0D65"/>
    <w:rsid w:val="008B0F94"/>
    <w:rsid w:val="008B1147"/>
    <w:rsid w:val="008B1274"/>
    <w:rsid w:val="008B137E"/>
    <w:rsid w:val="008B1382"/>
    <w:rsid w:val="008B13B4"/>
    <w:rsid w:val="008B145B"/>
    <w:rsid w:val="008B14D8"/>
    <w:rsid w:val="008B14E3"/>
    <w:rsid w:val="008B188D"/>
    <w:rsid w:val="008B1993"/>
    <w:rsid w:val="008B1A2E"/>
    <w:rsid w:val="008B1A79"/>
    <w:rsid w:val="008B1B17"/>
    <w:rsid w:val="008B1B91"/>
    <w:rsid w:val="008B1E5C"/>
    <w:rsid w:val="008B1EEE"/>
    <w:rsid w:val="008B1F26"/>
    <w:rsid w:val="008B20D4"/>
    <w:rsid w:val="008B211E"/>
    <w:rsid w:val="008B2167"/>
    <w:rsid w:val="008B21EF"/>
    <w:rsid w:val="008B229F"/>
    <w:rsid w:val="008B2381"/>
    <w:rsid w:val="008B238F"/>
    <w:rsid w:val="008B2483"/>
    <w:rsid w:val="008B24FA"/>
    <w:rsid w:val="008B276E"/>
    <w:rsid w:val="008B2950"/>
    <w:rsid w:val="008B29B0"/>
    <w:rsid w:val="008B29F6"/>
    <w:rsid w:val="008B2B87"/>
    <w:rsid w:val="008B2BCE"/>
    <w:rsid w:val="008B2BD3"/>
    <w:rsid w:val="008B2CEA"/>
    <w:rsid w:val="008B2E58"/>
    <w:rsid w:val="008B2E8F"/>
    <w:rsid w:val="008B2ED1"/>
    <w:rsid w:val="008B2F75"/>
    <w:rsid w:val="008B3056"/>
    <w:rsid w:val="008B3301"/>
    <w:rsid w:val="008B3528"/>
    <w:rsid w:val="008B36C7"/>
    <w:rsid w:val="008B371E"/>
    <w:rsid w:val="008B37D7"/>
    <w:rsid w:val="008B3804"/>
    <w:rsid w:val="008B38FE"/>
    <w:rsid w:val="008B394C"/>
    <w:rsid w:val="008B3A6D"/>
    <w:rsid w:val="008B3BE2"/>
    <w:rsid w:val="008B3C84"/>
    <w:rsid w:val="008B3C85"/>
    <w:rsid w:val="008B3D06"/>
    <w:rsid w:val="008B3D39"/>
    <w:rsid w:val="008B3D93"/>
    <w:rsid w:val="008B3D95"/>
    <w:rsid w:val="008B3DBF"/>
    <w:rsid w:val="008B3E0D"/>
    <w:rsid w:val="008B3EB2"/>
    <w:rsid w:val="008B4003"/>
    <w:rsid w:val="008B406D"/>
    <w:rsid w:val="008B4098"/>
    <w:rsid w:val="008B418B"/>
    <w:rsid w:val="008B44B2"/>
    <w:rsid w:val="008B451D"/>
    <w:rsid w:val="008B461A"/>
    <w:rsid w:val="008B46B9"/>
    <w:rsid w:val="008B47AC"/>
    <w:rsid w:val="008B47F9"/>
    <w:rsid w:val="008B4AFF"/>
    <w:rsid w:val="008B4B43"/>
    <w:rsid w:val="008B4BA9"/>
    <w:rsid w:val="008B4C5B"/>
    <w:rsid w:val="008B4D02"/>
    <w:rsid w:val="008B4D96"/>
    <w:rsid w:val="008B4E41"/>
    <w:rsid w:val="008B4FDA"/>
    <w:rsid w:val="008B5046"/>
    <w:rsid w:val="008B5179"/>
    <w:rsid w:val="008B5213"/>
    <w:rsid w:val="008B52D3"/>
    <w:rsid w:val="008B536B"/>
    <w:rsid w:val="008B53C7"/>
    <w:rsid w:val="008B5482"/>
    <w:rsid w:val="008B55B8"/>
    <w:rsid w:val="008B5601"/>
    <w:rsid w:val="008B568A"/>
    <w:rsid w:val="008B57E0"/>
    <w:rsid w:val="008B57F4"/>
    <w:rsid w:val="008B58DE"/>
    <w:rsid w:val="008B599F"/>
    <w:rsid w:val="008B5A19"/>
    <w:rsid w:val="008B5C89"/>
    <w:rsid w:val="008B5DD7"/>
    <w:rsid w:val="008B5ED6"/>
    <w:rsid w:val="008B6196"/>
    <w:rsid w:val="008B6596"/>
    <w:rsid w:val="008B6736"/>
    <w:rsid w:val="008B682F"/>
    <w:rsid w:val="008B68E8"/>
    <w:rsid w:val="008B6B8A"/>
    <w:rsid w:val="008B6D71"/>
    <w:rsid w:val="008B6E27"/>
    <w:rsid w:val="008B6E33"/>
    <w:rsid w:val="008B7042"/>
    <w:rsid w:val="008B704C"/>
    <w:rsid w:val="008B708A"/>
    <w:rsid w:val="008B70E4"/>
    <w:rsid w:val="008B716A"/>
    <w:rsid w:val="008B718C"/>
    <w:rsid w:val="008B74F7"/>
    <w:rsid w:val="008B7531"/>
    <w:rsid w:val="008B757E"/>
    <w:rsid w:val="008B7674"/>
    <w:rsid w:val="008B769D"/>
    <w:rsid w:val="008B76E4"/>
    <w:rsid w:val="008B76F0"/>
    <w:rsid w:val="008B77DB"/>
    <w:rsid w:val="008B78B5"/>
    <w:rsid w:val="008B79A5"/>
    <w:rsid w:val="008B79C6"/>
    <w:rsid w:val="008B7AF1"/>
    <w:rsid w:val="008B7C59"/>
    <w:rsid w:val="008B7D3E"/>
    <w:rsid w:val="008B7DD8"/>
    <w:rsid w:val="008B7E59"/>
    <w:rsid w:val="008B7E79"/>
    <w:rsid w:val="008B7ED9"/>
    <w:rsid w:val="008B7F5A"/>
    <w:rsid w:val="008C00B3"/>
    <w:rsid w:val="008C0143"/>
    <w:rsid w:val="008C022D"/>
    <w:rsid w:val="008C0230"/>
    <w:rsid w:val="008C028A"/>
    <w:rsid w:val="008C045C"/>
    <w:rsid w:val="008C045F"/>
    <w:rsid w:val="008C0510"/>
    <w:rsid w:val="008C0529"/>
    <w:rsid w:val="008C05D6"/>
    <w:rsid w:val="008C060D"/>
    <w:rsid w:val="008C062A"/>
    <w:rsid w:val="008C09AB"/>
    <w:rsid w:val="008C09EC"/>
    <w:rsid w:val="008C0AA0"/>
    <w:rsid w:val="008C0AAE"/>
    <w:rsid w:val="008C0B59"/>
    <w:rsid w:val="008C0BBA"/>
    <w:rsid w:val="008C0BE2"/>
    <w:rsid w:val="008C0C21"/>
    <w:rsid w:val="008C0DC7"/>
    <w:rsid w:val="008C0E69"/>
    <w:rsid w:val="008C1044"/>
    <w:rsid w:val="008C10AD"/>
    <w:rsid w:val="008C10FE"/>
    <w:rsid w:val="008C1178"/>
    <w:rsid w:val="008C1322"/>
    <w:rsid w:val="008C133C"/>
    <w:rsid w:val="008C16FE"/>
    <w:rsid w:val="008C1737"/>
    <w:rsid w:val="008C1749"/>
    <w:rsid w:val="008C1ABE"/>
    <w:rsid w:val="008C1AED"/>
    <w:rsid w:val="008C1D1E"/>
    <w:rsid w:val="008C1DB5"/>
    <w:rsid w:val="008C1DB7"/>
    <w:rsid w:val="008C1EE6"/>
    <w:rsid w:val="008C1F60"/>
    <w:rsid w:val="008C201B"/>
    <w:rsid w:val="008C20FC"/>
    <w:rsid w:val="008C2357"/>
    <w:rsid w:val="008C2386"/>
    <w:rsid w:val="008C2407"/>
    <w:rsid w:val="008C24B1"/>
    <w:rsid w:val="008C24BB"/>
    <w:rsid w:val="008C25E5"/>
    <w:rsid w:val="008C25FB"/>
    <w:rsid w:val="008C26EF"/>
    <w:rsid w:val="008C279F"/>
    <w:rsid w:val="008C2870"/>
    <w:rsid w:val="008C288F"/>
    <w:rsid w:val="008C2936"/>
    <w:rsid w:val="008C2AF1"/>
    <w:rsid w:val="008C2CD8"/>
    <w:rsid w:val="008C309B"/>
    <w:rsid w:val="008C30D9"/>
    <w:rsid w:val="008C311A"/>
    <w:rsid w:val="008C311F"/>
    <w:rsid w:val="008C3198"/>
    <w:rsid w:val="008C31A8"/>
    <w:rsid w:val="008C328B"/>
    <w:rsid w:val="008C32BB"/>
    <w:rsid w:val="008C333D"/>
    <w:rsid w:val="008C33FA"/>
    <w:rsid w:val="008C346E"/>
    <w:rsid w:val="008C3489"/>
    <w:rsid w:val="008C34B8"/>
    <w:rsid w:val="008C3582"/>
    <w:rsid w:val="008C35B4"/>
    <w:rsid w:val="008C3688"/>
    <w:rsid w:val="008C3748"/>
    <w:rsid w:val="008C374D"/>
    <w:rsid w:val="008C3795"/>
    <w:rsid w:val="008C37E4"/>
    <w:rsid w:val="008C37F4"/>
    <w:rsid w:val="008C384A"/>
    <w:rsid w:val="008C38CD"/>
    <w:rsid w:val="008C3905"/>
    <w:rsid w:val="008C3999"/>
    <w:rsid w:val="008C3A4F"/>
    <w:rsid w:val="008C3A50"/>
    <w:rsid w:val="008C3A63"/>
    <w:rsid w:val="008C3AC1"/>
    <w:rsid w:val="008C3B8A"/>
    <w:rsid w:val="008C3C05"/>
    <w:rsid w:val="008C3C3C"/>
    <w:rsid w:val="008C3D57"/>
    <w:rsid w:val="008C3ECC"/>
    <w:rsid w:val="008C3EF7"/>
    <w:rsid w:val="008C404C"/>
    <w:rsid w:val="008C412E"/>
    <w:rsid w:val="008C4152"/>
    <w:rsid w:val="008C4169"/>
    <w:rsid w:val="008C41AE"/>
    <w:rsid w:val="008C42BA"/>
    <w:rsid w:val="008C430F"/>
    <w:rsid w:val="008C431D"/>
    <w:rsid w:val="008C43B0"/>
    <w:rsid w:val="008C43DC"/>
    <w:rsid w:val="008C4626"/>
    <w:rsid w:val="008C4640"/>
    <w:rsid w:val="008C4661"/>
    <w:rsid w:val="008C46AF"/>
    <w:rsid w:val="008C47F7"/>
    <w:rsid w:val="008C4927"/>
    <w:rsid w:val="008C4B22"/>
    <w:rsid w:val="008C4B29"/>
    <w:rsid w:val="008C4B68"/>
    <w:rsid w:val="008C4B6D"/>
    <w:rsid w:val="008C4BBE"/>
    <w:rsid w:val="008C4E88"/>
    <w:rsid w:val="008C4EC9"/>
    <w:rsid w:val="008C4F41"/>
    <w:rsid w:val="008C4FDD"/>
    <w:rsid w:val="008C5115"/>
    <w:rsid w:val="008C5146"/>
    <w:rsid w:val="008C515C"/>
    <w:rsid w:val="008C51B5"/>
    <w:rsid w:val="008C5482"/>
    <w:rsid w:val="008C5519"/>
    <w:rsid w:val="008C5559"/>
    <w:rsid w:val="008C55AD"/>
    <w:rsid w:val="008C569B"/>
    <w:rsid w:val="008C5771"/>
    <w:rsid w:val="008C5823"/>
    <w:rsid w:val="008C5905"/>
    <w:rsid w:val="008C591C"/>
    <w:rsid w:val="008C5927"/>
    <w:rsid w:val="008C593F"/>
    <w:rsid w:val="008C59D8"/>
    <w:rsid w:val="008C5A61"/>
    <w:rsid w:val="008C5C65"/>
    <w:rsid w:val="008C5D78"/>
    <w:rsid w:val="008C5D7E"/>
    <w:rsid w:val="008C5E4A"/>
    <w:rsid w:val="008C5F59"/>
    <w:rsid w:val="008C60F9"/>
    <w:rsid w:val="008C6150"/>
    <w:rsid w:val="008C6170"/>
    <w:rsid w:val="008C629C"/>
    <w:rsid w:val="008C6344"/>
    <w:rsid w:val="008C6394"/>
    <w:rsid w:val="008C6528"/>
    <w:rsid w:val="008C6549"/>
    <w:rsid w:val="008C6553"/>
    <w:rsid w:val="008C6615"/>
    <w:rsid w:val="008C661C"/>
    <w:rsid w:val="008C6657"/>
    <w:rsid w:val="008C67DF"/>
    <w:rsid w:val="008C68E9"/>
    <w:rsid w:val="008C6A4D"/>
    <w:rsid w:val="008C6AA9"/>
    <w:rsid w:val="008C6AF9"/>
    <w:rsid w:val="008C6B71"/>
    <w:rsid w:val="008C6C04"/>
    <w:rsid w:val="008C6C27"/>
    <w:rsid w:val="008C6C8B"/>
    <w:rsid w:val="008C6CB1"/>
    <w:rsid w:val="008C6CE1"/>
    <w:rsid w:val="008C6D12"/>
    <w:rsid w:val="008C6D52"/>
    <w:rsid w:val="008C6F72"/>
    <w:rsid w:val="008C6FB0"/>
    <w:rsid w:val="008C704E"/>
    <w:rsid w:val="008C705B"/>
    <w:rsid w:val="008C70C9"/>
    <w:rsid w:val="008C718F"/>
    <w:rsid w:val="008C71E0"/>
    <w:rsid w:val="008C728E"/>
    <w:rsid w:val="008C743B"/>
    <w:rsid w:val="008C7451"/>
    <w:rsid w:val="008C75D6"/>
    <w:rsid w:val="008C7674"/>
    <w:rsid w:val="008C77FC"/>
    <w:rsid w:val="008C79B7"/>
    <w:rsid w:val="008C79C4"/>
    <w:rsid w:val="008C79CC"/>
    <w:rsid w:val="008C7B8B"/>
    <w:rsid w:val="008C7DF8"/>
    <w:rsid w:val="008C7E23"/>
    <w:rsid w:val="008C7F10"/>
    <w:rsid w:val="008C7F71"/>
    <w:rsid w:val="008D0045"/>
    <w:rsid w:val="008D0163"/>
    <w:rsid w:val="008D0171"/>
    <w:rsid w:val="008D04E7"/>
    <w:rsid w:val="008D08E5"/>
    <w:rsid w:val="008D08F3"/>
    <w:rsid w:val="008D091F"/>
    <w:rsid w:val="008D09C4"/>
    <w:rsid w:val="008D09CC"/>
    <w:rsid w:val="008D0A4D"/>
    <w:rsid w:val="008D0A54"/>
    <w:rsid w:val="008D0AA9"/>
    <w:rsid w:val="008D0C21"/>
    <w:rsid w:val="008D0C57"/>
    <w:rsid w:val="008D0D36"/>
    <w:rsid w:val="008D0D38"/>
    <w:rsid w:val="008D0F6C"/>
    <w:rsid w:val="008D1005"/>
    <w:rsid w:val="008D107A"/>
    <w:rsid w:val="008D108E"/>
    <w:rsid w:val="008D11B5"/>
    <w:rsid w:val="008D121B"/>
    <w:rsid w:val="008D12AE"/>
    <w:rsid w:val="008D1400"/>
    <w:rsid w:val="008D14F7"/>
    <w:rsid w:val="008D15D3"/>
    <w:rsid w:val="008D1669"/>
    <w:rsid w:val="008D17D9"/>
    <w:rsid w:val="008D184A"/>
    <w:rsid w:val="008D1973"/>
    <w:rsid w:val="008D1A2C"/>
    <w:rsid w:val="008D1A9D"/>
    <w:rsid w:val="008D1A9E"/>
    <w:rsid w:val="008D1C4A"/>
    <w:rsid w:val="008D1DDF"/>
    <w:rsid w:val="008D1FA0"/>
    <w:rsid w:val="008D210D"/>
    <w:rsid w:val="008D21BF"/>
    <w:rsid w:val="008D2393"/>
    <w:rsid w:val="008D23A1"/>
    <w:rsid w:val="008D2786"/>
    <w:rsid w:val="008D27B1"/>
    <w:rsid w:val="008D2917"/>
    <w:rsid w:val="008D291F"/>
    <w:rsid w:val="008D2A39"/>
    <w:rsid w:val="008D2A9D"/>
    <w:rsid w:val="008D2AD3"/>
    <w:rsid w:val="008D2BCD"/>
    <w:rsid w:val="008D2C64"/>
    <w:rsid w:val="008D2D19"/>
    <w:rsid w:val="008D2DAB"/>
    <w:rsid w:val="008D2FE9"/>
    <w:rsid w:val="008D302D"/>
    <w:rsid w:val="008D30B8"/>
    <w:rsid w:val="008D323D"/>
    <w:rsid w:val="008D339F"/>
    <w:rsid w:val="008D33F7"/>
    <w:rsid w:val="008D34AB"/>
    <w:rsid w:val="008D34E6"/>
    <w:rsid w:val="008D34F6"/>
    <w:rsid w:val="008D3608"/>
    <w:rsid w:val="008D3625"/>
    <w:rsid w:val="008D36DC"/>
    <w:rsid w:val="008D3742"/>
    <w:rsid w:val="008D37CA"/>
    <w:rsid w:val="008D37F8"/>
    <w:rsid w:val="008D38AC"/>
    <w:rsid w:val="008D3920"/>
    <w:rsid w:val="008D39C2"/>
    <w:rsid w:val="008D39F0"/>
    <w:rsid w:val="008D3A2D"/>
    <w:rsid w:val="008D3BA2"/>
    <w:rsid w:val="008D3CB2"/>
    <w:rsid w:val="008D3D76"/>
    <w:rsid w:val="008D3EAA"/>
    <w:rsid w:val="008D3F8B"/>
    <w:rsid w:val="008D3F91"/>
    <w:rsid w:val="008D4069"/>
    <w:rsid w:val="008D4244"/>
    <w:rsid w:val="008D42B5"/>
    <w:rsid w:val="008D434A"/>
    <w:rsid w:val="008D43A2"/>
    <w:rsid w:val="008D43B4"/>
    <w:rsid w:val="008D4456"/>
    <w:rsid w:val="008D4457"/>
    <w:rsid w:val="008D445F"/>
    <w:rsid w:val="008D44B3"/>
    <w:rsid w:val="008D44BB"/>
    <w:rsid w:val="008D44BF"/>
    <w:rsid w:val="008D4538"/>
    <w:rsid w:val="008D4635"/>
    <w:rsid w:val="008D4742"/>
    <w:rsid w:val="008D4766"/>
    <w:rsid w:val="008D4793"/>
    <w:rsid w:val="008D48CC"/>
    <w:rsid w:val="008D4929"/>
    <w:rsid w:val="008D4935"/>
    <w:rsid w:val="008D499B"/>
    <w:rsid w:val="008D49EE"/>
    <w:rsid w:val="008D4C8D"/>
    <w:rsid w:val="008D4CC6"/>
    <w:rsid w:val="008D4D41"/>
    <w:rsid w:val="008D4D66"/>
    <w:rsid w:val="008D4DC1"/>
    <w:rsid w:val="008D4EF4"/>
    <w:rsid w:val="008D4F50"/>
    <w:rsid w:val="008D4F56"/>
    <w:rsid w:val="008D4FEF"/>
    <w:rsid w:val="008D5060"/>
    <w:rsid w:val="008D511B"/>
    <w:rsid w:val="008D5149"/>
    <w:rsid w:val="008D5280"/>
    <w:rsid w:val="008D52DA"/>
    <w:rsid w:val="008D5307"/>
    <w:rsid w:val="008D53CA"/>
    <w:rsid w:val="008D549E"/>
    <w:rsid w:val="008D54FB"/>
    <w:rsid w:val="008D5512"/>
    <w:rsid w:val="008D5530"/>
    <w:rsid w:val="008D5B06"/>
    <w:rsid w:val="008D5C51"/>
    <w:rsid w:val="008D5CF3"/>
    <w:rsid w:val="008D5E76"/>
    <w:rsid w:val="008D5E99"/>
    <w:rsid w:val="008D5E9D"/>
    <w:rsid w:val="008D5EA4"/>
    <w:rsid w:val="008D5FAD"/>
    <w:rsid w:val="008D609B"/>
    <w:rsid w:val="008D618D"/>
    <w:rsid w:val="008D61A3"/>
    <w:rsid w:val="008D61B8"/>
    <w:rsid w:val="008D6473"/>
    <w:rsid w:val="008D64C9"/>
    <w:rsid w:val="008D6704"/>
    <w:rsid w:val="008D6715"/>
    <w:rsid w:val="008D674D"/>
    <w:rsid w:val="008D67FD"/>
    <w:rsid w:val="008D6819"/>
    <w:rsid w:val="008D68C9"/>
    <w:rsid w:val="008D68E3"/>
    <w:rsid w:val="008D6908"/>
    <w:rsid w:val="008D6A5D"/>
    <w:rsid w:val="008D6AA8"/>
    <w:rsid w:val="008D6B99"/>
    <w:rsid w:val="008D6D8A"/>
    <w:rsid w:val="008D6DBE"/>
    <w:rsid w:val="008D6E84"/>
    <w:rsid w:val="008D6EED"/>
    <w:rsid w:val="008D6F96"/>
    <w:rsid w:val="008D6FFE"/>
    <w:rsid w:val="008D70D0"/>
    <w:rsid w:val="008D767C"/>
    <w:rsid w:val="008D769D"/>
    <w:rsid w:val="008D77C1"/>
    <w:rsid w:val="008D77D8"/>
    <w:rsid w:val="008D7A74"/>
    <w:rsid w:val="008D7B1A"/>
    <w:rsid w:val="008D7B1F"/>
    <w:rsid w:val="008D7BC7"/>
    <w:rsid w:val="008D7BD7"/>
    <w:rsid w:val="008D7C1B"/>
    <w:rsid w:val="008D7C99"/>
    <w:rsid w:val="008D7CEF"/>
    <w:rsid w:val="008D7D5A"/>
    <w:rsid w:val="008D7DE9"/>
    <w:rsid w:val="008D7F7C"/>
    <w:rsid w:val="008E0026"/>
    <w:rsid w:val="008E0116"/>
    <w:rsid w:val="008E0207"/>
    <w:rsid w:val="008E026A"/>
    <w:rsid w:val="008E02C4"/>
    <w:rsid w:val="008E0354"/>
    <w:rsid w:val="008E05B3"/>
    <w:rsid w:val="008E0716"/>
    <w:rsid w:val="008E071C"/>
    <w:rsid w:val="008E08C5"/>
    <w:rsid w:val="008E0993"/>
    <w:rsid w:val="008E09F1"/>
    <w:rsid w:val="008E0C23"/>
    <w:rsid w:val="008E0E88"/>
    <w:rsid w:val="008E0EC4"/>
    <w:rsid w:val="008E0FA7"/>
    <w:rsid w:val="008E118E"/>
    <w:rsid w:val="008E1383"/>
    <w:rsid w:val="008E13D0"/>
    <w:rsid w:val="008E13E9"/>
    <w:rsid w:val="008E1410"/>
    <w:rsid w:val="008E1480"/>
    <w:rsid w:val="008E15EF"/>
    <w:rsid w:val="008E16C7"/>
    <w:rsid w:val="008E16D6"/>
    <w:rsid w:val="008E173D"/>
    <w:rsid w:val="008E17DF"/>
    <w:rsid w:val="008E1830"/>
    <w:rsid w:val="008E19FD"/>
    <w:rsid w:val="008E1AE0"/>
    <w:rsid w:val="008E1CA0"/>
    <w:rsid w:val="008E1CBF"/>
    <w:rsid w:val="008E1CCE"/>
    <w:rsid w:val="008E1D5B"/>
    <w:rsid w:val="008E1F92"/>
    <w:rsid w:val="008E20C0"/>
    <w:rsid w:val="008E2143"/>
    <w:rsid w:val="008E22E3"/>
    <w:rsid w:val="008E22EE"/>
    <w:rsid w:val="008E2432"/>
    <w:rsid w:val="008E2545"/>
    <w:rsid w:val="008E2591"/>
    <w:rsid w:val="008E25ED"/>
    <w:rsid w:val="008E263E"/>
    <w:rsid w:val="008E26C7"/>
    <w:rsid w:val="008E28D3"/>
    <w:rsid w:val="008E28E9"/>
    <w:rsid w:val="008E28EA"/>
    <w:rsid w:val="008E29A2"/>
    <w:rsid w:val="008E2A7D"/>
    <w:rsid w:val="008E2B20"/>
    <w:rsid w:val="008E2B4A"/>
    <w:rsid w:val="008E2C18"/>
    <w:rsid w:val="008E2CAD"/>
    <w:rsid w:val="008E2D76"/>
    <w:rsid w:val="008E2DFB"/>
    <w:rsid w:val="008E2E10"/>
    <w:rsid w:val="008E2E66"/>
    <w:rsid w:val="008E2F0C"/>
    <w:rsid w:val="008E3039"/>
    <w:rsid w:val="008E325D"/>
    <w:rsid w:val="008E3263"/>
    <w:rsid w:val="008E3272"/>
    <w:rsid w:val="008E329C"/>
    <w:rsid w:val="008E32A0"/>
    <w:rsid w:val="008E3426"/>
    <w:rsid w:val="008E345B"/>
    <w:rsid w:val="008E3483"/>
    <w:rsid w:val="008E3686"/>
    <w:rsid w:val="008E375D"/>
    <w:rsid w:val="008E38A2"/>
    <w:rsid w:val="008E3906"/>
    <w:rsid w:val="008E3CC4"/>
    <w:rsid w:val="008E3D87"/>
    <w:rsid w:val="008E3E7A"/>
    <w:rsid w:val="008E4071"/>
    <w:rsid w:val="008E40A5"/>
    <w:rsid w:val="008E40F4"/>
    <w:rsid w:val="008E4130"/>
    <w:rsid w:val="008E41D4"/>
    <w:rsid w:val="008E4556"/>
    <w:rsid w:val="008E456D"/>
    <w:rsid w:val="008E45A1"/>
    <w:rsid w:val="008E45F6"/>
    <w:rsid w:val="008E467C"/>
    <w:rsid w:val="008E472E"/>
    <w:rsid w:val="008E4731"/>
    <w:rsid w:val="008E4831"/>
    <w:rsid w:val="008E498C"/>
    <w:rsid w:val="008E4AB7"/>
    <w:rsid w:val="008E4BC0"/>
    <w:rsid w:val="008E4BF7"/>
    <w:rsid w:val="008E4C26"/>
    <w:rsid w:val="008E4C9A"/>
    <w:rsid w:val="008E4D4B"/>
    <w:rsid w:val="008E4E21"/>
    <w:rsid w:val="008E4E60"/>
    <w:rsid w:val="008E4EF6"/>
    <w:rsid w:val="008E4FF9"/>
    <w:rsid w:val="008E4FFC"/>
    <w:rsid w:val="008E533E"/>
    <w:rsid w:val="008E5391"/>
    <w:rsid w:val="008E5441"/>
    <w:rsid w:val="008E547F"/>
    <w:rsid w:val="008E5622"/>
    <w:rsid w:val="008E5658"/>
    <w:rsid w:val="008E59D1"/>
    <w:rsid w:val="008E5AEB"/>
    <w:rsid w:val="008E5C02"/>
    <w:rsid w:val="008E5C15"/>
    <w:rsid w:val="008E5C79"/>
    <w:rsid w:val="008E5D5F"/>
    <w:rsid w:val="008E5DB6"/>
    <w:rsid w:val="008E5EF5"/>
    <w:rsid w:val="008E5F27"/>
    <w:rsid w:val="008E5F35"/>
    <w:rsid w:val="008E604B"/>
    <w:rsid w:val="008E6292"/>
    <w:rsid w:val="008E62B8"/>
    <w:rsid w:val="008E63FF"/>
    <w:rsid w:val="008E640E"/>
    <w:rsid w:val="008E6492"/>
    <w:rsid w:val="008E66EF"/>
    <w:rsid w:val="008E675C"/>
    <w:rsid w:val="008E675D"/>
    <w:rsid w:val="008E67CD"/>
    <w:rsid w:val="008E6814"/>
    <w:rsid w:val="008E6839"/>
    <w:rsid w:val="008E6872"/>
    <w:rsid w:val="008E69D1"/>
    <w:rsid w:val="008E6A0A"/>
    <w:rsid w:val="008E6A9F"/>
    <w:rsid w:val="008E6B2B"/>
    <w:rsid w:val="008E6B81"/>
    <w:rsid w:val="008E6BB1"/>
    <w:rsid w:val="008E6E03"/>
    <w:rsid w:val="008E6FC2"/>
    <w:rsid w:val="008E7002"/>
    <w:rsid w:val="008E7030"/>
    <w:rsid w:val="008E7033"/>
    <w:rsid w:val="008E704D"/>
    <w:rsid w:val="008E70F7"/>
    <w:rsid w:val="008E734B"/>
    <w:rsid w:val="008E73D5"/>
    <w:rsid w:val="008E7561"/>
    <w:rsid w:val="008E75BD"/>
    <w:rsid w:val="008E7659"/>
    <w:rsid w:val="008E769C"/>
    <w:rsid w:val="008E76ED"/>
    <w:rsid w:val="008E7732"/>
    <w:rsid w:val="008E775B"/>
    <w:rsid w:val="008E7844"/>
    <w:rsid w:val="008E78A1"/>
    <w:rsid w:val="008E78F5"/>
    <w:rsid w:val="008E79CD"/>
    <w:rsid w:val="008E7B1C"/>
    <w:rsid w:val="008E7B87"/>
    <w:rsid w:val="008E7B95"/>
    <w:rsid w:val="008E7C3A"/>
    <w:rsid w:val="008E7D27"/>
    <w:rsid w:val="008E7E52"/>
    <w:rsid w:val="008E7F45"/>
    <w:rsid w:val="008E7F47"/>
    <w:rsid w:val="008E7F70"/>
    <w:rsid w:val="008F0024"/>
    <w:rsid w:val="008F0061"/>
    <w:rsid w:val="008F0092"/>
    <w:rsid w:val="008F0135"/>
    <w:rsid w:val="008F0239"/>
    <w:rsid w:val="008F0486"/>
    <w:rsid w:val="008F057B"/>
    <w:rsid w:val="008F0621"/>
    <w:rsid w:val="008F067F"/>
    <w:rsid w:val="008F06B2"/>
    <w:rsid w:val="008F0754"/>
    <w:rsid w:val="008F0759"/>
    <w:rsid w:val="008F082E"/>
    <w:rsid w:val="008F085E"/>
    <w:rsid w:val="008F08FD"/>
    <w:rsid w:val="008F09E2"/>
    <w:rsid w:val="008F0A47"/>
    <w:rsid w:val="008F0AA7"/>
    <w:rsid w:val="008F0AD7"/>
    <w:rsid w:val="008F0C8C"/>
    <w:rsid w:val="008F0D45"/>
    <w:rsid w:val="008F0EDF"/>
    <w:rsid w:val="008F0F90"/>
    <w:rsid w:val="008F0FAD"/>
    <w:rsid w:val="008F10EF"/>
    <w:rsid w:val="008F1310"/>
    <w:rsid w:val="008F1362"/>
    <w:rsid w:val="008F13EC"/>
    <w:rsid w:val="008F1418"/>
    <w:rsid w:val="008F1469"/>
    <w:rsid w:val="008F1549"/>
    <w:rsid w:val="008F1659"/>
    <w:rsid w:val="008F16EE"/>
    <w:rsid w:val="008F171B"/>
    <w:rsid w:val="008F1A6F"/>
    <w:rsid w:val="008F1B44"/>
    <w:rsid w:val="008F1BB6"/>
    <w:rsid w:val="008F1D6A"/>
    <w:rsid w:val="008F1D74"/>
    <w:rsid w:val="008F1E04"/>
    <w:rsid w:val="008F1E7E"/>
    <w:rsid w:val="008F1F3B"/>
    <w:rsid w:val="008F1FAD"/>
    <w:rsid w:val="008F203F"/>
    <w:rsid w:val="008F2082"/>
    <w:rsid w:val="008F223A"/>
    <w:rsid w:val="008F224A"/>
    <w:rsid w:val="008F2297"/>
    <w:rsid w:val="008F22F7"/>
    <w:rsid w:val="008F23EB"/>
    <w:rsid w:val="008F2420"/>
    <w:rsid w:val="008F2630"/>
    <w:rsid w:val="008F2732"/>
    <w:rsid w:val="008F287C"/>
    <w:rsid w:val="008F2987"/>
    <w:rsid w:val="008F2989"/>
    <w:rsid w:val="008F29FC"/>
    <w:rsid w:val="008F2AFA"/>
    <w:rsid w:val="008F2B83"/>
    <w:rsid w:val="008F2B97"/>
    <w:rsid w:val="008F2C09"/>
    <w:rsid w:val="008F2D3C"/>
    <w:rsid w:val="008F2EFF"/>
    <w:rsid w:val="008F2F0B"/>
    <w:rsid w:val="008F310C"/>
    <w:rsid w:val="008F31AD"/>
    <w:rsid w:val="008F31CD"/>
    <w:rsid w:val="008F3262"/>
    <w:rsid w:val="008F326E"/>
    <w:rsid w:val="008F3382"/>
    <w:rsid w:val="008F350F"/>
    <w:rsid w:val="008F35B4"/>
    <w:rsid w:val="008F3791"/>
    <w:rsid w:val="008F3911"/>
    <w:rsid w:val="008F3927"/>
    <w:rsid w:val="008F398A"/>
    <w:rsid w:val="008F3A0D"/>
    <w:rsid w:val="008F3A64"/>
    <w:rsid w:val="008F3AD9"/>
    <w:rsid w:val="008F3DCC"/>
    <w:rsid w:val="008F409A"/>
    <w:rsid w:val="008F40FD"/>
    <w:rsid w:val="008F434D"/>
    <w:rsid w:val="008F43B5"/>
    <w:rsid w:val="008F43DE"/>
    <w:rsid w:val="008F4476"/>
    <w:rsid w:val="008F45F1"/>
    <w:rsid w:val="008F4676"/>
    <w:rsid w:val="008F46E6"/>
    <w:rsid w:val="008F480A"/>
    <w:rsid w:val="008F495A"/>
    <w:rsid w:val="008F4AAF"/>
    <w:rsid w:val="008F4B9B"/>
    <w:rsid w:val="008F4BDE"/>
    <w:rsid w:val="008F4C37"/>
    <w:rsid w:val="008F4C63"/>
    <w:rsid w:val="008F4D85"/>
    <w:rsid w:val="008F4E30"/>
    <w:rsid w:val="008F4E80"/>
    <w:rsid w:val="008F4EAB"/>
    <w:rsid w:val="008F4ECA"/>
    <w:rsid w:val="008F4F29"/>
    <w:rsid w:val="008F50C0"/>
    <w:rsid w:val="008F513C"/>
    <w:rsid w:val="008F537E"/>
    <w:rsid w:val="008F53A8"/>
    <w:rsid w:val="008F53B8"/>
    <w:rsid w:val="008F53F1"/>
    <w:rsid w:val="008F557C"/>
    <w:rsid w:val="008F5687"/>
    <w:rsid w:val="008F5752"/>
    <w:rsid w:val="008F590E"/>
    <w:rsid w:val="008F5945"/>
    <w:rsid w:val="008F5A0D"/>
    <w:rsid w:val="008F5A36"/>
    <w:rsid w:val="008F5B4F"/>
    <w:rsid w:val="008F5C04"/>
    <w:rsid w:val="008F5C11"/>
    <w:rsid w:val="008F5C48"/>
    <w:rsid w:val="008F5CCE"/>
    <w:rsid w:val="008F5F8E"/>
    <w:rsid w:val="008F5FC9"/>
    <w:rsid w:val="008F612F"/>
    <w:rsid w:val="008F61ED"/>
    <w:rsid w:val="008F62DF"/>
    <w:rsid w:val="008F6385"/>
    <w:rsid w:val="008F65AC"/>
    <w:rsid w:val="008F66D4"/>
    <w:rsid w:val="008F67F0"/>
    <w:rsid w:val="008F6A61"/>
    <w:rsid w:val="008F6AD0"/>
    <w:rsid w:val="008F6B50"/>
    <w:rsid w:val="008F6BA1"/>
    <w:rsid w:val="008F6C0E"/>
    <w:rsid w:val="008F6C80"/>
    <w:rsid w:val="008F6DFE"/>
    <w:rsid w:val="008F6FC7"/>
    <w:rsid w:val="008F71FE"/>
    <w:rsid w:val="008F7242"/>
    <w:rsid w:val="008F734B"/>
    <w:rsid w:val="008F75EE"/>
    <w:rsid w:val="008F7615"/>
    <w:rsid w:val="008F76A3"/>
    <w:rsid w:val="008F76EE"/>
    <w:rsid w:val="008F7788"/>
    <w:rsid w:val="008F77C2"/>
    <w:rsid w:val="008F77CB"/>
    <w:rsid w:val="008F77E9"/>
    <w:rsid w:val="008F782A"/>
    <w:rsid w:val="008F7840"/>
    <w:rsid w:val="008F7895"/>
    <w:rsid w:val="008F78FC"/>
    <w:rsid w:val="008F79E0"/>
    <w:rsid w:val="008F7A34"/>
    <w:rsid w:val="008F7C08"/>
    <w:rsid w:val="008F7C1B"/>
    <w:rsid w:val="008F7C81"/>
    <w:rsid w:val="008F7C9A"/>
    <w:rsid w:val="008F7D75"/>
    <w:rsid w:val="008F7EBE"/>
    <w:rsid w:val="008F7F3A"/>
    <w:rsid w:val="008F7FDA"/>
    <w:rsid w:val="00900025"/>
    <w:rsid w:val="009000E1"/>
    <w:rsid w:val="009002AA"/>
    <w:rsid w:val="009002CE"/>
    <w:rsid w:val="00900328"/>
    <w:rsid w:val="0090033A"/>
    <w:rsid w:val="0090049A"/>
    <w:rsid w:val="00900520"/>
    <w:rsid w:val="009005C4"/>
    <w:rsid w:val="009006F2"/>
    <w:rsid w:val="009007E8"/>
    <w:rsid w:val="00900802"/>
    <w:rsid w:val="0090088B"/>
    <w:rsid w:val="009008C3"/>
    <w:rsid w:val="009009F9"/>
    <w:rsid w:val="00900AE3"/>
    <w:rsid w:val="00900BE1"/>
    <w:rsid w:val="00900C75"/>
    <w:rsid w:val="00900C96"/>
    <w:rsid w:val="00900CF2"/>
    <w:rsid w:val="00900E6E"/>
    <w:rsid w:val="00900EAB"/>
    <w:rsid w:val="00900F18"/>
    <w:rsid w:val="009010A1"/>
    <w:rsid w:val="0090118E"/>
    <w:rsid w:val="0090123B"/>
    <w:rsid w:val="0090134C"/>
    <w:rsid w:val="0090136A"/>
    <w:rsid w:val="0090144C"/>
    <w:rsid w:val="00901459"/>
    <w:rsid w:val="0090153E"/>
    <w:rsid w:val="009015CC"/>
    <w:rsid w:val="00901631"/>
    <w:rsid w:val="009016E3"/>
    <w:rsid w:val="00901724"/>
    <w:rsid w:val="009018BC"/>
    <w:rsid w:val="009018D3"/>
    <w:rsid w:val="00901A3C"/>
    <w:rsid w:val="00901A47"/>
    <w:rsid w:val="00901B42"/>
    <w:rsid w:val="00901CF1"/>
    <w:rsid w:val="00901D56"/>
    <w:rsid w:val="00901E0D"/>
    <w:rsid w:val="00901E53"/>
    <w:rsid w:val="00901EB0"/>
    <w:rsid w:val="00901FD6"/>
    <w:rsid w:val="0090215F"/>
    <w:rsid w:val="009021E1"/>
    <w:rsid w:val="00902256"/>
    <w:rsid w:val="00902330"/>
    <w:rsid w:val="00902678"/>
    <w:rsid w:val="009026B0"/>
    <w:rsid w:val="009026EE"/>
    <w:rsid w:val="0090270F"/>
    <w:rsid w:val="0090296D"/>
    <w:rsid w:val="00902AE7"/>
    <w:rsid w:val="00902B52"/>
    <w:rsid w:val="00902CDA"/>
    <w:rsid w:val="00902D0E"/>
    <w:rsid w:val="00902FEC"/>
    <w:rsid w:val="00903130"/>
    <w:rsid w:val="0090330E"/>
    <w:rsid w:val="009033F2"/>
    <w:rsid w:val="00903556"/>
    <w:rsid w:val="00903623"/>
    <w:rsid w:val="0090365F"/>
    <w:rsid w:val="0090373E"/>
    <w:rsid w:val="00903786"/>
    <w:rsid w:val="009037BA"/>
    <w:rsid w:val="00903814"/>
    <w:rsid w:val="0090382E"/>
    <w:rsid w:val="00903868"/>
    <w:rsid w:val="009039E9"/>
    <w:rsid w:val="00903A25"/>
    <w:rsid w:val="00903AC2"/>
    <w:rsid w:val="00903AE0"/>
    <w:rsid w:val="00903C43"/>
    <w:rsid w:val="00903E75"/>
    <w:rsid w:val="00903EEB"/>
    <w:rsid w:val="00903FA0"/>
    <w:rsid w:val="00903FC3"/>
    <w:rsid w:val="00903FEE"/>
    <w:rsid w:val="00904255"/>
    <w:rsid w:val="009042D9"/>
    <w:rsid w:val="00904393"/>
    <w:rsid w:val="0090448F"/>
    <w:rsid w:val="0090469D"/>
    <w:rsid w:val="009047EE"/>
    <w:rsid w:val="0090484D"/>
    <w:rsid w:val="009048D0"/>
    <w:rsid w:val="00904934"/>
    <w:rsid w:val="009049FC"/>
    <w:rsid w:val="00904A32"/>
    <w:rsid w:val="00904BB7"/>
    <w:rsid w:val="00904C59"/>
    <w:rsid w:val="00905054"/>
    <w:rsid w:val="0090509E"/>
    <w:rsid w:val="009051A5"/>
    <w:rsid w:val="0090534C"/>
    <w:rsid w:val="00905526"/>
    <w:rsid w:val="009057D3"/>
    <w:rsid w:val="009057F3"/>
    <w:rsid w:val="00905A50"/>
    <w:rsid w:val="00905AEC"/>
    <w:rsid w:val="00905AF6"/>
    <w:rsid w:val="00905CFB"/>
    <w:rsid w:val="00905DF7"/>
    <w:rsid w:val="00905E41"/>
    <w:rsid w:val="00905E97"/>
    <w:rsid w:val="00905FAD"/>
    <w:rsid w:val="0090618B"/>
    <w:rsid w:val="009061BB"/>
    <w:rsid w:val="009064DB"/>
    <w:rsid w:val="009065DE"/>
    <w:rsid w:val="00906648"/>
    <w:rsid w:val="009066A7"/>
    <w:rsid w:val="009067A3"/>
    <w:rsid w:val="0090684F"/>
    <w:rsid w:val="00906887"/>
    <w:rsid w:val="009068B8"/>
    <w:rsid w:val="00906911"/>
    <w:rsid w:val="009069B2"/>
    <w:rsid w:val="00906A2D"/>
    <w:rsid w:val="00906A4C"/>
    <w:rsid w:val="00906AC4"/>
    <w:rsid w:val="00906DFF"/>
    <w:rsid w:val="00906E5D"/>
    <w:rsid w:val="00906E61"/>
    <w:rsid w:val="0090704B"/>
    <w:rsid w:val="00907065"/>
    <w:rsid w:val="0090712C"/>
    <w:rsid w:val="00907261"/>
    <w:rsid w:val="009072A7"/>
    <w:rsid w:val="00907310"/>
    <w:rsid w:val="00907405"/>
    <w:rsid w:val="00907476"/>
    <w:rsid w:val="009076CF"/>
    <w:rsid w:val="009076E4"/>
    <w:rsid w:val="0090787E"/>
    <w:rsid w:val="009078E7"/>
    <w:rsid w:val="009079B1"/>
    <w:rsid w:val="00907A3A"/>
    <w:rsid w:val="00907ABB"/>
    <w:rsid w:val="00907B43"/>
    <w:rsid w:val="00907CFC"/>
    <w:rsid w:val="00907DF1"/>
    <w:rsid w:val="00907E3F"/>
    <w:rsid w:val="00907EF6"/>
    <w:rsid w:val="009101CC"/>
    <w:rsid w:val="0091020F"/>
    <w:rsid w:val="009103A6"/>
    <w:rsid w:val="009105D4"/>
    <w:rsid w:val="00910754"/>
    <w:rsid w:val="009109FA"/>
    <w:rsid w:val="00910B68"/>
    <w:rsid w:val="00910B99"/>
    <w:rsid w:val="00910C5F"/>
    <w:rsid w:val="00910CDB"/>
    <w:rsid w:val="00910DF5"/>
    <w:rsid w:val="00910FC9"/>
    <w:rsid w:val="0091111F"/>
    <w:rsid w:val="0091114E"/>
    <w:rsid w:val="009111BE"/>
    <w:rsid w:val="00911426"/>
    <w:rsid w:val="0091147A"/>
    <w:rsid w:val="00911489"/>
    <w:rsid w:val="009114F6"/>
    <w:rsid w:val="009115B6"/>
    <w:rsid w:val="00911609"/>
    <w:rsid w:val="00911848"/>
    <w:rsid w:val="009118DF"/>
    <w:rsid w:val="00911970"/>
    <w:rsid w:val="00911B54"/>
    <w:rsid w:val="00911C53"/>
    <w:rsid w:val="00911CB8"/>
    <w:rsid w:val="00911E06"/>
    <w:rsid w:val="00911E2C"/>
    <w:rsid w:val="00911E3B"/>
    <w:rsid w:val="00911E58"/>
    <w:rsid w:val="00912019"/>
    <w:rsid w:val="00912028"/>
    <w:rsid w:val="00912061"/>
    <w:rsid w:val="009122F0"/>
    <w:rsid w:val="00912376"/>
    <w:rsid w:val="009123EB"/>
    <w:rsid w:val="00912542"/>
    <w:rsid w:val="009125C5"/>
    <w:rsid w:val="009125D7"/>
    <w:rsid w:val="00912672"/>
    <w:rsid w:val="009126A5"/>
    <w:rsid w:val="009127D1"/>
    <w:rsid w:val="009129BF"/>
    <w:rsid w:val="00912A22"/>
    <w:rsid w:val="00912AA8"/>
    <w:rsid w:val="00912D35"/>
    <w:rsid w:val="00912E8D"/>
    <w:rsid w:val="00912FC1"/>
    <w:rsid w:val="00913020"/>
    <w:rsid w:val="009130F4"/>
    <w:rsid w:val="009131FC"/>
    <w:rsid w:val="00913245"/>
    <w:rsid w:val="00913302"/>
    <w:rsid w:val="0091330B"/>
    <w:rsid w:val="00913340"/>
    <w:rsid w:val="009133A7"/>
    <w:rsid w:val="0091342C"/>
    <w:rsid w:val="00913472"/>
    <w:rsid w:val="00913519"/>
    <w:rsid w:val="009135C4"/>
    <w:rsid w:val="00913609"/>
    <w:rsid w:val="00913857"/>
    <w:rsid w:val="00913909"/>
    <w:rsid w:val="00913A45"/>
    <w:rsid w:val="00913B38"/>
    <w:rsid w:val="00913BE3"/>
    <w:rsid w:val="00913D26"/>
    <w:rsid w:val="00913DEE"/>
    <w:rsid w:val="009141E5"/>
    <w:rsid w:val="00914267"/>
    <w:rsid w:val="00914396"/>
    <w:rsid w:val="00914422"/>
    <w:rsid w:val="0091459F"/>
    <w:rsid w:val="009145FB"/>
    <w:rsid w:val="00914701"/>
    <w:rsid w:val="00914794"/>
    <w:rsid w:val="00914813"/>
    <w:rsid w:val="00914837"/>
    <w:rsid w:val="00914855"/>
    <w:rsid w:val="00914906"/>
    <w:rsid w:val="00914947"/>
    <w:rsid w:val="00914982"/>
    <w:rsid w:val="0091499E"/>
    <w:rsid w:val="009149AA"/>
    <w:rsid w:val="009149CA"/>
    <w:rsid w:val="00914A9C"/>
    <w:rsid w:val="00914B4D"/>
    <w:rsid w:val="00914CC0"/>
    <w:rsid w:val="00914E97"/>
    <w:rsid w:val="00914EA2"/>
    <w:rsid w:val="00914FCD"/>
    <w:rsid w:val="00915035"/>
    <w:rsid w:val="00915219"/>
    <w:rsid w:val="00915240"/>
    <w:rsid w:val="00915262"/>
    <w:rsid w:val="009152C1"/>
    <w:rsid w:val="00915311"/>
    <w:rsid w:val="00915482"/>
    <w:rsid w:val="009154AE"/>
    <w:rsid w:val="009154BB"/>
    <w:rsid w:val="00915638"/>
    <w:rsid w:val="009156D0"/>
    <w:rsid w:val="009156D5"/>
    <w:rsid w:val="00915910"/>
    <w:rsid w:val="00915BAD"/>
    <w:rsid w:val="00915C86"/>
    <w:rsid w:val="00915D4C"/>
    <w:rsid w:val="00915DF5"/>
    <w:rsid w:val="00915E00"/>
    <w:rsid w:val="00915EEC"/>
    <w:rsid w:val="00915FDA"/>
    <w:rsid w:val="00915FEB"/>
    <w:rsid w:val="0091601B"/>
    <w:rsid w:val="0091604C"/>
    <w:rsid w:val="009160AE"/>
    <w:rsid w:val="0091632D"/>
    <w:rsid w:val="00916395"/>
    <w:rsid w:val="009163F6"/>
    <w:rsid w:val="00916659"/>
    <w:rsid w:val="0091680C"/>
    <w:rsid w:val="009168C2"/>
    <w:rsid w:val="009169CB"/>
    <w:rsid w:val="00916A2E"/>
    <w:rsid w:val="00916A9F"/>
    <w:rsid w:val="00916B3B"/>
    <w:rsid w:val="00916B54"/>
    <w:rsid w:val="00916C9D"/>
    <w:rsid w:val="00916CB2"/>
    <w:rsid w:val="00916F11"/>
    <w:rsid w:val="00916F13"/>
    <w:rsid w:val="00916F27"/>
    <w:rsid w:val="00916FBF"/>
    <w:rsid w:val="00917152"/>
    <w:rsid w:val="00917156"/>
    <w:rsid w:val="00917390"/>
    <w:rsid w:val="009173F4"/>
    <w:rsid w:val="009174F7"/>
    <w:rsid w:val="0091754E"/>
    <w:rsid w:val="00917625"/>
    <w:rsid w:val="0091762A"/>
    <w:rsid w:val="009176FF"/>
    <w:rsid w:val="0091775E"/>
    <w:rsid w:val="009178A6"/>
    <w:rsid w:val="00917AC5"/>
    <w:rsid w:val="00917B25"/>
    <w:rsid w:val="00917BC0"/>
    <w:rsid w:val="00917BC9"/>
    <w:rsid w:val="00917D07"/>
    <w:rsid w:val="00917D3B"/>
    <w:rsid w:val="00917DC5"/>
    <w:rsid w:val="00917E28"/>
    <w:rsid w:val="0092021D"/>
    <w:rsid w:val="009203E4"/>
    <w:rsid w:val="00920427"/>
    <w:rsid w:val="0092045E"/>
    <w:rsid w:val="009204E0"/>
    <w:rsid w:val="009204FB"/>
    <w:rsid w:val="00920577"/>
    <w:rsid w:val="0092059C"/>
    <w:rsid w:val="00920817"/>
    <w:rsid w:val="009208AC"/>
    <w:rsid w:val="0092091F"/>
    <w:rsid w:val="00920958"/>
    <w:rsid w:val="00920B37"/>
    <w:rsid w:val="00920E89"/>
    <w:rsid w:val="00920E8F"/>
    <w:rsid w:val="00920F08"/>
    <w:rsid w:val="00920F0D"/>
    <w:rsid w:val="009210B2"/>
    <w:rsid w:val="009210EE"/>
    <w:rsid w:val="00921324"/>
    <w:rsid w:val="009213F8"/>
    <w:rsid w:val="00921452"/>
    <w:rsid w:val="00921565"/>
    <w:rsid w:val="009215DE"/>
    <w:rsid w:val="00921673"/>
    <w:rsid w:val="00921876"/>
    <w:rsid w:val="00921944"/>
    <w:rsid w:val="009219DE"/>
    <w:rsid w:val="00921A88"/>
    <w:rsid w:val="00921CBA"/>
    <w:rsid w:val="00921D58"/>
    <w:rsid w:val="00921F90"/>
    <w:rsid w:val="00922014"/>
    <w:rsid w:val="00922235"/>
    <w:rsid w:val="009223D7"/>
    <w:rsid w:val="0092258A"/>
    <w:rsid w:val="009225D8"/>
    <w:rsid w:val="0092261A"/>
    <w:rsid w:val="00922627"/>
    <w:rsid w:val="00922723"/>
    <w:rsid w:val="0092284C"/>
    <w:rsid w:val="009228AA"/>
    <w:rsid w:val="00922A19"/>
    <w:rsid w:val="00922AE0"/>
    <w:rsid w:val="00922B61"/>
    <w:rsid w:val="00922B8E"/>
    <w:rsid w:val="00922FAA"/>
    <w:rsid w:val="0092308C"/>
    <w:rsid w:val="009231C5"/>
    <w:rsid w:val="0092325D"/>
    <w:rsid w:val="00923492"/>
    <w:rsid w:val="009237AB"/>
    <w:rsid w:val="00923801"/>
    <w:rsid w:val="00923815"/>
    <w:rsid w:val="00923830"/>
    <w:rsid w:val="00923846"/>
    <w:rsid w:val="00923A63"/>
    <w:rsid w:val="00923A64"/>
    <w:rsid w:val="00923CD6"/>
    <w:rsid w:val="00923CDB"/>
    <w:rsid w:val="00923E71"/>
    <w:rsid w:val="00923EEA"/>
    <w:rsid w:val="009241C3"/>
    <w:rsid w:val="00924215"/>
    <w:rsid w:val="00924556"/>
    <w:rsid w:val="00924697"/>
    <w:rsid w:val="009246A1"/>
    <w:rsid w:val="0092471E"/>
    <w:rsid w:val="00924764"/>
    <w:rsid w:val="00924780"/>
    <w:rsid w:val="009248B3"/>
    <w:rsid w:val="0092496B"/>
    <w:rsid w:val="00924970"/>
    <w:rsid w:val="009249BB"/>
    <w:rsid w:val="009249C3"/>
    <w:rsid w:val="00924C6E"/>
    <w:rsid w:val="00924D13"/>
    <w:rsid w:val="00924DBA"/>
    <w:rsid w:val="00924DD1"/>
    <w:rsid w:val="00924F1B"/>
    <w:rsid w:val="00924F9D"/>
    <w:rsid w:val="009250E6"/>
    <w:rsid w:val="0092512B"/>
    <w:rsid w:val="00925195"/>
    <w:rsid w:val="00925258"/>
    <w:rsid w:val="00925295"/>
    <w:rsid w:val="009253CF"/>
    <w:rsid w:val="00925421"/>
    <w:rsid w:val="00925484"/>
    <w:rsid w:val="009254D9"/>
    <w:rsid w:val="009255F6"/>
    <w:rsid w:val="0092573E"/>
    <w:rsid w:val="0092580F"/>
    <w:rsid w:val="00925A94"/>
    <w:rsid w:val="00925AA5"/>
    <w:rsid w:val="00925C8F"/>
    <w:rsid w:val="00925FE3"/>
    <w:rsid w:val="0092609D"/>
    <w:rsid w:val="009260C7"/>
    <w:rsid w:val="009261A4"/>
    <w:rsid w:val="00926217"/>
    <w:rsid w:val="0092625E"/>
    <w:rsid w:val="0092626F"/>
    <w:rsid w:val="0092635E"/>
    <w:rsid w:val="009264A8"/>
    <w:rsid w:val="00926568"/>
    <w:rsid w:val="00926596"/>
    <w:rsid w:val="0092670D"/>
    <w:rsid w:val="00926787"/>
    <w:rsid w:val="00926823"/>
    <w:rsid w:val="00926963"/>
    <w:rsid w:val="009269C2"/>
    <w:rsid w:val="00926AB4"/>
    <w:rsid w:val="00926B5B"/>
    <w:rsid w:val="00926C94"/>
    <w:rsid w:val="00926C9C"/>
    <w:rsid w:val="00926D0A"/>
    <w:rsid w:val="00926DD5"/>
    <w:rsid w:val="00926DD6"/>
    <w:rsid w:val="00926EEB"/>
    <w:rsid w:val="00926F03"/>
    <w:rsid w:val="00926F2F"/>
    <w:rsid w:val="00926F32"/>
    <w:rsid w:val="00926F47"/>
    <w:rsid w:val="00926FF4"/>
    <w:rsid w:val="009271A6"/>
    <w:rsid w:val="009271C3"/>
    <w:rsid w:val="009271E6"/>
    <w:rsid w:val="009272D2"/>
    <w:rsid w:val="00927328"/>
    <w:rsid w:val="00927392"/>
    <w:rsid w:val="009273A7"/>
    <w:rsid w:val="009273B8"/>
    <w:rsid w:val="0092742B"/>
    <w:rsid w:val="00927436"/>
    <w:rsid w:val="009274DF"/>
    <w:rsid w:val="00927552"/>
    <w:rsid w:val="009275BC"/>
    <w:rsid w:val="009275FD"/>
    <w:rsid w:val="00927667"/>
    <w:rsid w:val="00927690"/>
    <w:rsid w:val="0092770E"/>
    <w:rsid w:val="0092792D"/>
    <w:rsid w:val="0092795F"/>
    <w:rsid w:val="00927B5F"/>
    <w:rsid w:val="00927B8B"/>
    <w:rsid w:val="00927BBF"/>
    <w:rsid w:val="00927CFE"/>
    <w:rsid w:val="00927D6A"/>
    <w:rsid w:val="00927D71"/>
    <w:rsid w:val="00927F6A"/>
    <w:rsid w:val="00927F6C"/>
    <w:rsid w:val="00927FAC"/>
    <w:rsid w:val="00930023"/>
    <w:rsid w:val="00930115"/>
    <w:rsid w:val="00930323"/>
    <w:rsid w:val="00930422"/>
    <w:rsid w:val="009305F5"/>
    <w:rsid w:val="0093069C"/>
    <w:rsid w:val="00930711"/>
    <w:rsid w:val="00930838"/>
    <w:rsid w:val="0093083B"/>
    <w:rsid w:val="00930864"/>
    <w:rsid w:val="00930876"/>
    <w:rsid w:val="009308CC"/>
    <w:rsid w:val="00930A11"/>
    <w:rsid w:val="00930BEE"/>
    <w:rsid w:val="00930CE4"/>
    <w:rsid w:val="00930F47"/>
    <w:rsid w:val="009310B8"/>
    <w:rsid w:val="00931143"/>
    <w:rsid w:val="00931146"/>
    <w:rsid w:val="0093115E"/>
    <w:rsid w:val="00931215"/>
    <w:rsid w:val="00931248"/>
    <w:rsid w:val="00931274"/>
    <w:rsid w:val="00931392"/>
    <w:rsid w:val="009315C7"/>
    <w:rsid w:val="0093169A"/>
    <w:rsid w:val="00931AC8"/>
    <w:rsid w:val="00931B6B"/>
    <w:rsid w:val="00931BC5"/>
    <w:rsid w:val="00931CB0"/>
    <w:rsid w:val="00931D7F"/>
    <w:rsid w:val="00931ECC"/>
    <w:rsid w:val="00931F8F"/>
    <w:rsid w:val="00931FC6"/>
    <w:rsid w:val="0093219B"/>
    <w:rsid w:val="009321AD"/>
    <w:rsid w:val="0093228F"/>
    <w:rsid w:val="009322E3"/>
    <w:rsid w:val="00932380"/>
    <w:rsid w:val="00932391"/>
    <w:rsid w:val="00932440"/>
    <w:rsid w:val="00932545"/>
    <w:rsid w:val="0093279D"/>
    <w:rsid w:val="009327C1"/>
    <w:rsid w:val="009327FD"/>
    <w:rsid w:val="009329FB"/>
    <w:rsid w:val="00932A3C"/>
    <w:rsid w:val="00932A43"/>
    <w:rsid w:val="00932BB9"/>
    <w:rsid w:val="00932BDF"/>
    <w:rsid w:val="00932C28"/>
    <w:rsid w:val="00932C65"/>
    <w:rsid w:val="00932CC1"/>
    <w:rsid w:val="00932D41"/>
    <w:rsid w:val="00932D88"/>
    <w:rsid w:val="00932D8E"/>
    <w:rsid w:val="00932E10"/>
    <w:rsid w:val="00932FF3"/>
    <w:rsid w:val="009330A7"/>
    <w:rsid w:val="00933107"/>
    <w:rsid w:val="00933121"/>
    <w:rsid w:val="00933124"/>
    <w:rsid w:val="0093334B"/>
    <w:rsid w:val="009333CC"/>
    <w:rsid w:val="00933468"/>
    <w:rsid w:val="009334F0"/>
    <w:rsid w:val="009334F4"/>
    <w:rsid w:val="00933859"/>
    <w:rsid w:val="00933A0A"/>
    <w:rsid w:val="00933B5D"/>
    <w:rsid w:val="00933BE1"/>
    <w:rsid w:val="00933F0E"/>
    <w:rsid w:val="00933F44"/>
    <w:rsid w:val="00934039"/>
    <w:rsid w:val="0093409D"/>
    <w:rsid w:val="0093411A"/>
    <w:rsid w:val="00934183"/>
    <w:rsid w:val="0093428D"/>
    <w:rsid w:val="009342D8"/>
    <w:rsid w:val="00934332"/>
    <w:rsid w:val="00934425"/>
    <w:rsid w:val="0093446D"/>
    <w:rsid w:val="009344A9"/>
    <w:rsid w:val="009344B9"/>
    <w:rsid w:val="009345F9"/>
    <w:rsid w:val="0093466B"/>
    <w:rsid w:val="0093466E"/>
    <w:rsid w:val="009346E5"/>
    <w:rsid w:val="009346EC"/>
    <w:rsid w:val="0093471D"/>
    <w:rsid w:val="00934757"/>
    <w:rsid w:val="00934883"/>
    <w:rsid w:val="00934924"/>
    <w:rsid w:val="00934C0B"/>
    <w:rsid w:val="00934C8A"/>
    <w:rsid w:val="00934DE9"/>
    <w:rsid w:val="00934FD6"/>
    <w:rsid w:val="00935097"/>
    <w:rsid w:val="009350D7"/>
    <w:rsid w:val="009351F2"/>
    <w:rsid w:val="00935250"/>
    <w:rsid w:val="0093529E"/>
    <w:rsid w:val="009352AF"/>
    <w:rsid w:val="0093540D"/>
    <w:rsid w:val="0093545B"/>
    <w:rsid w:val="0093552F"/>
    <w:rsid w:val="009355D0"/>
    <w:rsid w:val="009355F0"/>
    <w:rsid w:val="009357E7"/>
    <w:rsid w:val="009358DE"/>
    <w:rsid w:val="0093597B"/>
    <w:rsid w:val="00935A49"/>
    <w:rsid w:val="00935AD4"/>
    <w:rsid w:val="00935AE9"/>
    <w:rsid w:val="00935B74"/>
    <w:rsid w:val="00935C56"/>
    <w:rsid w:val="00935CAA"/>
    <w:rsid w:val="00935DC4"/>
    <w:rsid w:val="00935E93"/>
    <w:rsid w:val="00935F45"/>
    <w:rsid w:val="00936006"/>
    <w:rsid w:val="00936077"/>
    <w:rsid w:val="00936122"/>
    <w:rsid w:val="009361E8"/>
    <w:rsid w:val="009361F0"/>
    <w:rsid w:val="0093628D"/>
    <w:rsid w:val="00936341"/>
    <w:rsid w:val="00936642"/>
    <w:rsid w:val="00936794"/>
    <w:rsid w:val="009369D7"/>
    <w:rsid w:val="00936BD1"/>
    <w:rsid w:val="00936BEA"/>
    <w:rsid w:val="00936C8F"/>
    <w:rsid w:val="00936ECD"/>
    <w:rsid w:val="00936F0E"/>
    <w:rsid w:val="00936FB2"/>
    <w:rsid w:val="00936FBF"/>
    <w:rsid w:val="0093714F"/>
    <w:rsid w:val="00937186"/>
    <w:rsid w:val="009371FA"/>
    <w:rsid w:val="0093721B"/>
    <w:rsid w:val="00937248"/>
    <w:rsid w:val="0093728D"/>
    <w:rsid w:val="009372D6"/>
    <w:rsid w:val="009372D9"/>
    <w:rsid w:val="00937300"/>
    <w:rsid w:val="00937448"/>
    <w:rsid w:val="00937561"/>
    <w:rsid w:val="00937571"/>
    <w:rsid w:val="00937596"/>
    <w:rsid w:val="009377C3"/>
    <w:rsid w:val="009377DA"/>
    <w:rsid w:val="00937809"/>
    <w:rsid w:val="009379B0"/>
    <w:rsid w:val="00937B44"/>
    <w:rsid w:val="00937B94"/>
    <w:rsid w:val="00937BAA"/>
    <w:rsid w:val="00937C3C"/>
    <w:rsid w:val="00937D28"/>
    <w:rsid w:val="00937E86"/>
    <w:rsid w:val="00937FC7"/>
    <w:rsid w:val="009400AC"/>
    <w:rsid w:val="009400E3"/>
    <w:rsid w:val="0094019D"/>
    <w:rsid w:val="009402C8"/>
    <w:rsid w:val="0094046E"/>
    <w:rsid w:val="009404CD"/>
    <w:rsid w:val="00940519"/>
    <w:rsid w:val="00940529"/>
    <w:rsid w:val="00940664"/>
    <w:rsid w:val="009406B4"/>
    <w:rsid w:val="00940721"/>
    <w:rsid w:val="00940803"/>
    <w:rsid w:val="00940863"/>
    <w:rsid w:val="009408D6"/>
    <w:rsid w:val="00940948"/>
    <w:rsid w:val="009409B9"/>
    <w:rsid w:val="00940C35"/>
    <w:rsid w:val="00940CD9"/>
    <w:rsid w:val="00940DB9"/>
    <w:rsid w:val="009410CF"/>
    <w:rsid w:val="0094111D"/>
    <w:rsid w:val="0094126A"/>
    <w:rsid w:val="009412E3"/>
    <w:rsid w:val="00941356"/>
    <w:rsid w:val="009413FB"/>
    <w:rsid w:val="00941679"/>
    <w:rsid w:val="00941743"/>
    <w:rsid w:val="00941789"/>
    <w:rsid w:val="009417A6"/>
    <w:rsid w:val="00941950"/>
    <w:rsid w:val="0094197B"/>
    <w:rsid w:val="00941A65"/>
    <w:rsid w:val="00941A6C"/>
    <w:rsid w:val="00941B2B"/>
    <w:rsid w:val="00941C65"/>
    <w:rsid w:val="00941CB5"/>
    <w:rsid w:val="00941CBE"/>
    <w:rsid w:val="00941DCD"/>
    <w:rsid w:val="00941F0E"/>
    <w:rsid w:val="00941FFB"/>
    <w:rsid w:val="00942006"/>
    <w:rsid w:val="00942062"/>
    <w:rsid w:val="0094209A"/>
    <w:rsid w:val="009420CB"/>
    <w:rsid w:val="009421A8"/>
    <w:rsid w:val="00942238"/>
    <w:rsid w:val="00942253"/>
    <w:rsid w:val="009422C8"/>
    <w:rsid w:val="0094245B"/>
    <w:rsid w:val="00942650"/>
    <w:rsid w:val="00942653"/>
    <w:rsid w:val="0094269A"/>
    <w:rsid w:val="009427E2"/>
    <w:rsid w:val="009428B8"/>
    <w:rsid w:val="0094291C"/>
    <w:rsid w:val="009429BE"/>
    <w:rsid w:val="00942C11"/>
    <w:rsid w:val="00942C13"/>
    <w:rsid w:val="00942C40"/>
    <w:rsid w:val="00942D1F"/>
    <w:rsid w:val="00942E22"/>
    <w:rsid w:val="00942E7D"/>
    <w:rsid w:val="00942FD6"/>
    <w:rsid w:val="00943002"/>
    <w:rsid w:val="00943147"/>
    <w:rsid w:val="00943233"/>
    <w:rsid w:val="00943473"/>
    <w:rsid w:val="0094351F"/>
    <w:rsid w:val="0094352B"/>
    <w:rsid w:val="00943621"/>
    <w:rsid w:val="0094364D"/>
    <w:rsid w:val="00943685"/>
    <w:rsid w:val="00943757"/>
    <w:rsid w:val="00943758"/>
    <w:rsid w:val="00943908"/>
    <w:rsid w:val="00943939"/>
    <w:rsid w:val="00943AFE"/>
    <w:rsid w:val="00943B5E"/>
    <w:rsid w:val="00943C8C"/>
    <w:rsid w:val="00943CA3"/>
    <w:rsid w:val="00943D62"/>
    <w:rsid w:val="00943D6B"/>
    <w:rsid w:val="00943E92"/>
    <w:rsid w:val="00943EBB"/>
    <w:rsid w:val="00943FF0"/>
    <w:rsid w:val="00944000"/>
    <w:rsid w:val="0094407B"/>
    <w:rsid w:val="009440ED"/>
    <w:rsid w:val="00944226"/>
    <w:rsid w:val="0094430D"/>
    <w:rsid w:val="009443D4"/>
    <w:rsid w:val="009443FF"/>
    <w:rsid w:val="00944425"/>
    <w:rsid w:val="00944459"/>
    <w:rsid w:val="009445C5"/>
    <w:rsid w:val="009445E5"/>
    <w:rsid w:val="009447CD"/>
    <w:rsid w:val="0094497E"/>
    <w:rsid w:val="00944A8C"/>
    <w:rsid w:val="00944ACC"/>
    <w:rsid w:val="00944C1A"/>
    <w:rsid w:val="00944C8D"/>
    <w:rsid w:val="00944D2C"/>
    <w:rsid w:val="00944E7C"/>
    <w:rsid w:val="00944F9B"/>
    <w:rsid w:val="00944F9F"/>
    <w:rsid w:val="00945009"/>
    <w:rsid w:val="0094506A"/>
    <w:rsid w:val="00945098"/>
    <w:rsid w:val="0094511E"/>
    <w:rsid w:val="009451E4"/>
    <w:rsid w:val="00945357"/>
    <w:rsid w:val="009453BA"/>
    <w:rsid w:val="0094545F"/>
    <w:rsid w:val="00945460"/>
    <w:rsid w:val="009454EB"/>
    <w:rsid w:val="00945504"/>
    <w:rsid w:val="00945570"/>
    <w:rsid w:val="00945593"/>
    <w:rsid w:val="00945847"/>
    <w:rsid w:val="00945A47"/>
    <w:rsid w:val="00945B4E"/>
    <w:rsid w:val="00945B7E"/>
    <w:rsid w:val="00945D3C"/>
    <w:rsid w:val="00945D4D"/>
    <w:rsid w:val="00945FD9"/>
    <w:rsid w:val="00946014"/>
    <w:rsid w:val="009460AE"/>
    <w:rsid w:val="009460C6"/>
    <w:rsid w:val="00946210"/>
    <w:rsid w:val="009462D2"/>
    <w:rsid w:val="009464B5"/>
    <w:rsid w:val="009464B8"/>
    <w:rsid w:val="0094653B"/>
    <w:rsid w:val="00946546"/>
    <w:rsid w:val="009466F2"/>
    <w:rsid w:val="009468CB"/>
    <w:rsid w:val="009468E4"/>
    <w:rsid w:val="0094692A"/>
    <w:rsid w:val="00946AC4"/>
    <w:rsid w:val="00946BC9"/>
    <w:rsid w:val="00946D3F"/>
    <w:rsid w:val="00946D4A"/>
    <w:rsid w:val="00946DDC"/>
    <w:rsid w:val="00946F12"/>
    <w:rsid w:val="00946F4C"/>
    <w:rsid w:val="009470B2"/>
    <w:rsid w:val="00947311"/>
    <w:rsid w:val="009474EC"/>
    <w:rsid w:val="0094751B"/>
    <w:rsid w:val="0094754E"/>
    <w:rsid w:val="00947620"/>
    <w:rsid w:val="0094767E"/>
    <w:rsid w:val="0094787A"/>
    <w:rsid w:val="009478F8"/>
    <w:rsid w:val="009479FB"/>
    <w:rsid w:val="00947A1D"/>
    <w:rsid w:val="00947A2F"/>
    <w:rsid w:val="00947A47"/>
    <w:rsid w:val="00947B49"/>
    <w:rsid w:val="00947B67"/>
    <w:rsid w:val="00947BA0"/>
    <w:rsid w:val="00947BCE"/>
    <w:rsid w:val="00947C34"/>
    <w:rsid w:val="00947CC4"/>
    <w:rsid w:val="00947D87"/>
    <w:rsid w:val="00947F79"/>
    <w:rsid w:val="00950005"/>
    <w:rsid w:val="009500FC"/>
    <w:rsid w:val="00950208"/>
    <w:rsid w:val="00950279"/>
    <w:rsid w:val="00950320"/>
    <w:rsid w:val="00950325"/>
    <w:rsid w:val="00950371"/>
    <w:rsid w:val="009504DB"/>
    <w:rsid w:val="00950517"/>
    <w:rsid w:val="0095068F"/>
    <w:rsid w:val="0095081D"/>
    <w:rsid w:val="00950B41"/>
    <w:rsid w:val="00950C76"/>
    <w:rsid w:val="00950CB0"/>
    <w:rsid w:val="00950CBD"/>
    <w:rsid w:val="00950D46"/>
    <w:rsid w:val="00950D5E"/>
    <w:rsid w:val="00950E12"/>
    <w:rsid w:val="00950E44"/>
    <w:rsid w:val="00950EEA"/>
    <w:rsid w:val="00950F11"/>
    <w:rsid w:val="0095100B"/>
    <w:rsid w:val="0095101E"/>
    <w:rsid w:val="00951034"/>
    <w:rsid w:val="009510A0"/>
    <w:rsid w:val="0095110E"/>
    <w:rsid w:val="009514C8"/>
    <w:rsid w:val="009515B6"/>
    <w:rsid w:val="009517AF"/>
    <w:rsid w:val="0095191E"/>
    <w:rsid w:val="0095196F"/>
    <w:rsid w:val="00951996"/>
    <w:rsid w:val="009519AB"/>
    <w:rsid w:val="00951A1D"/>
    <w:rsid w:val="00951A8E"/>
    <w:rsid w:val="00951B4A"/>
    <w:rsid w:val="00951D1E"/>
    <w:rsid w:val="00951DEA"/>
    <w:rsid w:val="00951F38"/>
    <w:rsid w:val="0095200E"/>
    <w:rsid w:val="009520B4"/>
    <w:rsid w:val="009522C7"/>
    <w:rsid w:val="009522DB"/>
    <w:rsid w:val="0095234B"/>
    <w:rsid w:val="009523BA"/>
    <w:rsid w:val="00952613"/>
    <w:rsid w:val="009526D0"/>
    <w:rsid w:val="009527A2"/>
    <w:rsid w:val="0095294C"/>
    <w:rsid w:val="00952A1A"/>
    <w:rsid w:val="00952A61"/>
    <w:rsid w:val="00952A93"/>
    <w:rsid w:val="00952C5A"/>
    <w:rsid w:val="00952CD5"/>
    <w:rsid w:val="00952EA0"/>
    <w:rsid w:val="0095315C"/>
    <w:rsid w:val="00953360"/>
    <w:rsid w:val="0095342D"/>
    <w:rsid w:val="00953520"/>
    <w:rsid w:val="00953558"/>
    <w:rsid w:val="0095360F"/>
    <w:rsid w:val="00953627"/>
    <w:rsid w:val="009536BA"/>
    <w:rsid w:val="00953784"/>
    <w:rsid w:val="00953B62"/>
    <w:rsid w:val="00953BE8"/>
    <w:rsid w:val="00953C27"/>
    <w:rsid w:val="00953D1C"/>
    <w:rsid w:val="00953DBC"/>
    <w:rsid w:val="00953EC3"/>
    <w:rsid w:val="00953F73"/>
    <w:rsid w:val="009540AE"/>
    <w:rsid w:val="009540D6"/>
    <w:rsid w:val="009541E0"/>
    <w:rsid w:val="009542A9"/>
    <w:rsid w:val="00954317"/>
    <w:rsid w:val="00954404"/>
    <w:rsid w:val="0095467E"/>
    <w:rsid w:val="00954728"/>
    <w:rsid w:val="009547F8"/>
    <w:rsid w:val="0095494F"/>
    <w:rsid w:val="00954953"/>
    <w:rsid w:val="00954A1C"/>
    <w:rsid w:val="00954A56"/>
    <w:rsid w:val="00954B3B"/>
    <w:rsid w:val="00954B81"/>
    <w:rsid w:val="00954D9C"/>
    <w:rsid w:val="00954EED"/>
    <w:rsid w:val="00955089"/>
    <w:rsid w:val="00955206"/>
    <w:rsid w:val="0095561D"/>
    <w:rsid w:val="00955CAD"/>
    <w:rsid w:val="00955CE9"/>
    <w:rsid w:val="00955DEE"/>
    <w:rsid w:val="00955E86"/>
    <w:rsid w:val="00955ED2"/>
    <w:rsid w:val="00955F62"/>
    <w:rsid w:val="00956069"/>
    <w:rsid w:val="009560A9"/>
    <w:rsid w:val="00956111"/>
    <w:rsid w:val="0095629D"/>
    <w:rsid w:val="00956470"/>
    <w:rsid w:val="00956584"/>
    <w:rsid w:val="00956661"/>
    <w:rsid w:val="009566A5"/>
    <w:rsid w:val="00956701"/>
    <w:rsid w:val="00956775"/>
    <w:rsid w:val="00956888"/>
    <w:rsid w:val="00956B93"/>
    <w:rsid w:val="00956C10"/>
    <w:rsid w:val="00956C9D"/>
    <w:rsid w:val="00956CB7"/>
    <w:rsid w:val="00956D3B"/>
    <w:rsid w:val="00956DFE"/>
    <w:rsid w:val="00956E92"/>
    <w:rsid w:val="00956F0F"/>
    <w:rsid w:val="00956F78"/>
    <w:rsid w:val="00957157"/>
    <w:rsid w:val="0095717B"/>
    <w:rsid w:val="00957212"/>
    <w:rsid w:val="00957279"/>
    <w:rsid w:val="009572BE"/>
    <w:rsid w:val="009572D8"/>
    <w:rsid w:val="009574D7"/>
    <w:rsid w:val="00957601"/>
    <w:rsid w:val="00957646"/>
    <w:rsid w:val="0095768C"/>
    <w:rsid w:val="009577AC"/>
    <w:rsid w:val="00957834"/>
    <w:rsid w:val="00957B69"/>
    <w:rsid w:val="00957D49"/>
    <w:rsid w:val="00957D6B"/>
    <w:rsid w:val="00957EC4"/>
    <w:rsid w:val="00957F4A"/>
    <w:rsid w:val="00957FC3"/>
    <w:rsid w:val="0096002C"/>
    <w:rsid w:val="0096009F"/>
    <w:rsid w:val="00960186"/>
    <w:rsid w:val="00960285"/>
    <w:rsid w:val="00960309"/>
    <w:rsid w:val="0096037E"/>
    <w:rsid w:val="009603E3"/>
    <w:rsid w:val="0096053D"/>
    <w:rsid w:val="0096067A"/>
    <w:rsid w:val="009606F1"/>
    <w:rsid w:val="00960784"/>
    <w:rsid w:val="00960801"/>
    <w:rsid w:val="0096091D"/>
    <w:rsid w:val="009609AD"/>
    <w:rsid w:val="00960BCF"/>
    <w:rsid w:val="00960C26"/>
    <w:rsid w:val="00960DC7"/>
    <w:rsid w:val="00960ECA"/>
    <w:rsid w:val="00960EFD"/>
    <w:rsid w:val="00960FF0"/>
    <w:rsid w:val="00961060"/>
    <w:rsid w:val="00961163"/>
    <w:rsid w:val="00961175"/>
    <w:rsid w:val="00961196"/>
    <w:rsid w:val="009612E4"/>
    <w:rsid w:val="0096132A"/>
    <w:rsid w:val="0096137F"/>
    <w:rsid w:val="00961435"/>
    <w:rsid w:val="00961470"/>
    <w:rsid w:val="00961606"/>
    <w:rsid w:val="00961695"/>
    <w:rsid w:val="009616B2"/>
    <w:rsid w:val="00961760"/>
    <w:rsid w:val="00961849"/>
    <w:rsid w:val="0096195C"/>
    <w:rsid w:val="00961A01"/>
    <w:rsid w:val="00961B2D"/>
    <w:rsid w:val="00961C1C"/>
    <w:rsid w:val="00961C2A"/>
    <w:rsid w:val="00961CE1"/>
    <w:rsid w:val="00961D34"/>
    <w:rsid w:val="00961F15"/>
    <w:rsid w:val="00961F43"/>
    <w:rsid w:val="00961F71"/>
    <w:rsid w:val="0096205F"/>
    <w:rsid w:val="00962227"/>
    <w:rsid w:val="009623A1"/>
    <w:rsid w:val="00962555"/>
    <w:rsid w:val="00962578"/>
    <w:rsid w:val="009625A6"/>
    <w:rsid w:val="00962631"/>
    <w:rsid w:val="0096279C"/>
    <w:rsid w:val="00962924"/>
    <w:rsid w:val="00962958"/>
    <w:rsid w:val="0096295E"/>
    <w:rsid w:val="00962ACF"/>
    <w:rsid w:val="00962B0A"/>
    <w:rsid w:val="00962B8E"/>
    <w:rsid w:val="00962BD6"/>
    <w:rsid w:val="00962D12"/>
    <w:rsid w:val="00962D23"/>
    <w:rsid w:val="00962DEC"/>
    <w:rsid w:val="00962E51"/>
    <w:rsid w:val="00962EB5"/>
    <w:rsid w:val="00962FED"/>
    <w:rsid w:val="00962FF9"/>
    <w:rsid w:val="00963038"/>
    <w:rsid w:val="009630E6"/>
    <w:rsid w:val="009630EE"/>
    <w:rsid w:val="0096310B"/>
    <w:rsid w:val="0096315C"/>
    <w:rsid w:val="009635A5"/>
    <w:rsid w:val="009635AA"/>
    <w:rsid w:val="009635AC"/>
    <w:rsid w:val="00963678"/>
    <w:rsid w:val="00963768"/>
    <w:rsid w:val="009637D5"/>
    <w:rsid w:val="009637ED"/>
    <w:rsid w:val="00963892"/>
    <w:rsid w:val="00963985"/>
    <w:rsid w:val="009639E6"/>
    <w:rsid w:val="00963B14"/>
    <w:rsid w:val="00963B2B"/>
    <w:rsid w:val="00963B5C"/>
    <w:rsid w:val="00963B7A"/>
    <w:rsid w:val="00963BBB"/>
    <w:rsid w:val="00963BED"/>
    <w:rsid w:val="00963C57"/>
    <w:rsid w:val="00963C6B"/>
    <w:rsid w:val="00963DFC"/>
    <w:rsid w:val="00963E18"/>
    <w:rsid w:val="00963EDE"/>
    <w:rsid w:val="00963F74"/>
    <w:rsid w:val="0096408F"/>
    <w:rsid w:val="0096434F"/>
    <w:rsid w:val="00964396"/>
    <w:rsid w:val="0096448C"/>
    <w:rsid w:val="009646FF"/>
    <w:rsid w:val="0096472A"/>
    <w:rsid w:val="0096477C"/>
    <w:rsid w:val="00964823"/>
    <w:rsid w:val="009648A9"/>
    <w:rsid w:val="009648E7"/>
    <w:rsid w:val="00964A1F"/>
    <w:rsid w:val="00964A8D"/>
    <w:rsid w:val="00964D8E"/>
    <w:rsid w:val="00964E25"/>
    <w:rsid w:val="00964EED"/>
    <w:rsid w:val="009651FF"/>
    <w:rsid w:val="009652C2"/>
    <w:rsid w:val="009652D2"/>
    <w:rsid w:val="009653DD"/>
    <w:rsid w:val="00965482"/>
    <w:rsid w:val="009654B3"/>
    <w:rsid w:val="009655DB"/>
    <w:rsid w:val="009656D3"/>
    <w:rsid w:val="00965783"/>
    <w:rsid w:val="00965808"/>
    <w:rsid w:val="009658D0"/>
    <w:rsid w:val="00965A0F"/>
    <w:rsid w:val="00965ACF"/>
    <w:rsid w:val="00965B37"/>
    <w:rsid w:val="00965BB6"/>
    <w:rsid w:val="00965BEF"/>
    <w:rsid w:val="00965C87"/>
    <w:rsid w:val="00965C97"/>
    <w:rsid w:val="00965EC2"/>
    <w:rsid w:val="00965F09"/>
    <w:rsid w:val="00965F6C"/>
    <w:rsid w:val="00965FB6"/>
    <w:rsid w:val="00966142"/>
    <w:rsid w:val="00966155"/>
    <w:rsid w:val="00966161"/>
    <w:rsid w:val="0096616B"/>
    <w:rsid w:val="00966187"/>
    <w:rsid w:val="009662DA"/>
    <w:rsid w:val="009662DE"/>
    <w:rsid w:val="009662FA"/>
    <w:rsid w:val="00966403"/>
    <w:rsid w:val="00966573"/>
    <w:rsid w:val="00966581"/>
    <w:rsid w:val="009666B4"/>
    <w:rsid w:val="0096677B"/>
    <w:rsid w:val="00966837"/>
    <w:rsid w:val="0096683E"/>
    <w:rsid w:val="00966A1B"/>
    <w:rsid w:val="00966A54"/>
    <w:rsid w:val="00966C59"/>
    <w:rsid w:val="00966DB5"/>
    <w:rsid w:val="00966ECB"/>
    <w:rsid w:val="00966F4E"/>
    <w:rsid w:val="00966F82"/>
    <w:rsid w:val="00966FD5"/>
    <w:rsid w:val="009670CF"/>
    <w:rsid w:val="009671CE"/>
    <w:rsid w:val="00967266"/>
    <w:rsid w:val="00967314"/>
    <w:rsid w:val="00967455"/>
    <w:rsid w:val="0096752E"/>
    <w:rsid w:val="00967540"/>
    <w:rsid w:val="0096756E"/>
    <w:rsid w:val="00967647"/>
    <w:rsid w:val="009676C1"/>
    <w:rsid w:val="00967723"/>
    <w:rsid w:val="009677FD"/>
    <w:rsid w:val="0096780E"/>
    <w:rsid w:val="0096787D"/>
    <w:rsid w:val="009678DA"/>
    <w:rsid w:val="00967906"/>
    <w:rsid w:val="009679A7"/>
    <w:rsid w:val="00967A51"/>
    <w:rsid w:val="00967A7D"/>
    <w:rsid w:val="00967AF3"/>
    <w:rsid w:val="00967B30"/>
    <w:rsid w:val="00967B83"/>
    <w:rsid w:val="00967BB6"/>
    <w:rsid w:val="00967BBA"/>
    <w:rsid w:val="00967C7C"/>
    <w:rsid w:val="00967EEC"/>
    <w:rsid w:val="00967F11"/>
    <w:rsid w:val="0097004B"/>
    <w:rsid w:val="00970099"/>
    <w:rsid w:val="009700E5"/>
    <w:rsid w:val="0097015D"/>
    <w:rsid w:val="0097023F"/>
    <w:rsid w:val="0097025E"/>
    <w:rsid w:val="00970394"/>
    <w:rsid w:val="0097053C"/>
    <w:rsid w:val="009705B8"/>
    <w:rsid w:val="0097067C"/>
    <w:rsid w:val="0097076B"/>
    <w:rsid w:val="009707CE"/>
    <w:rsid w:val="00970A0B"/>
    <w:rsid w:val="00970AD2"/>
    <w:rsid w:val="00970B0D"/>
    <w:rsid w:val="00970DEA"/>
    <w:rsid w:val="00970EEC"/>
    <w:rsid w:val="00970F53"/>
    <w:rsid w:val="00970FC5"/>
    <w:rsid w:val="009710A0"/>
    <w:rsid w:val="009710C0"/>
    <w:rsid w:val="0097123F"/>
    <w:rsid w:val="0097129C"/>
    <w:rsid w:val="0097133F"/>
    <w:rsid w:val="0097136F"/>
    <w:rsid w:val="009713EA"/>
    <w:rsid w:val="00971461"/>
    <w:rsid w:val="00971607"/>
    <w:rsid w:val="00971663"/>
    <w:rsid w:val="009716A4"/>
    <w:rsid w:val="00971807"/>
    <w:rsid w:val="009718FE"/>
    <w:rsid w:val="0097196E"/>
    <w:rsid w:val="0097197C"/>
    <w:rsid w:val="00971ABE"/>
    <w:rsid w:val="00971C12"/>
    <w:rsid w:val="00971C21"/>
    <w:rsid w:val="00971C8B"/>
    <w:rsid w:val="00971CDB"/>
    <w:rsid w:val="00971D1E"/>
    <w:rsid w:val="00971D80"/>
    <w:rsid w:val="00971FA4"/>
    <w:rsid w:val="0097204B"/>
    <w:rsid w:val="009721A1"/>
    <w:rsid w:val="009721D9"/>
    <w:rsid w:val="009721FB"/>
    <w:rsid w:val="009723EA"/>
    <w:rsid w:val="00972523"/>
    <w:rsid w:val="00972559"/>
    <w:rsid w:val="00972560"/>
    <w:rsid w:val="00972632"/>
    <w:rsid w:val="00972777"/>
    <w:rsid w:val="009727C0"/>
    <w:rsid w:val="00972978"/>
    <w:rsid w:val="009729D4"/>
    <w:rsid w:val="00972A85"/>
    <w:rsid w:val="00972F1F"/>
    <w:rsid w:val="009731D8"/>
    <w:rsid w:val="009732EE"/>
    <w:rsid w:val="00973322"/>
    <w:rsid w:val="00973400"/>
    <w:rsid w:val="00973403"/>
    <w:rsid w:val="009736C0"/>
    <w:rsid w:val="009736E3"/>
    <w:rsid w:val="009737A6"/>
    <w:rsid w:val="00973906"/>
    <w:rsid w:val="0097392D"/>
    <w:rsid w:val="00973BFF"/>
    <w:rsid w:val="00973C5D"/>
    <w:rsid w:val="00973D77"/>
    <w:rsid w:val="00973E0B"/>
    <w:rsid w:val="00973F11"/>
    <w:rsid w:val="00973F96"/>
    <w:rsid w:val="00974161"/>
    <w:rsid w:val="0097416C"/>
    <w:rsid w:val="009742CC"/>
    <w:rsid w:val="00974433"/>
    <w:rsid w:val="00974491"/>
    <w:rsid w:val="009744F0"/>
    <w:rsid w:val="009747F9"/>
    <w:rsid w:val="0097480C"/>
    <w:rsid w:val="00974A83"/>
    <w:rsid w:val="00974AFF"/>
    <w:rsid w:val="00974B25"/>
    <w:rsid w:val="00974C1A"/>
    <w:rsid w:val="00974DF0"/>
    <w:rsid w:val="00974EFA"/>
    <w:rsid w:val="00974F75"/>
    <w:rsid w:val="00974FC7"/>
    <w:rsid w:val="00974FD1"/>
    <w:rsid w:val="00975186"/>
    <w:rsid w:val="009751A6"/>
    <w:rsid w:val="009751E2"/>
    <w:rsid w:val="00975292"/>
    <w:rsid w:val="009753D4"/>
    <w:rsid w:val="00975426"/>
    <w:rsid w:val="009754B3"/>
    <w:rsid w:val="009757FD"/>
    <w:rsid w:val="00975970"/>
    <w:rsid w:val="00975977"/>
    <w:rsid w:val="009759BA"/>
    <w:rsid w:val="00975CE4"/>
    <w:rsid w:val="00975DB2"/>
    <w:rsid w:val="00975E6C"/>
    <w:rsid w:val="0097618C"/>
    <w:rsid w:val="009762D3"/>
    <w:rsid w:val="009762F5"/>
    <w:rsid w:val="00976389"/>
    <w:rsid w:val="009763A6"/>
    <w:rsid w:val="009763F4"/>
    <w:rsid w:val="009764D1"/>
    <w:rsid w:val="00976543"/>
    <w:rsid w:val="00976675"/>
    <w:rsid w:val="009768D1"/>
    <w:rsid w:val="009768DD"/>
    <w:rsid w:val="009768FF"/>
    <w:rsid w:val="0097694A"/>
    <w:rsid w:val="009769ED"/>
    <w:rsid w:val="00976ACD"/>
    <w:rsid w:val="00976B2E"/>
    <w:rsid w:val="00976B31"/>
    <w:rsid w:val="00976B9C"/>
    <w:rsid w:val="00976BFA"/>
    <w:rsid w:val="00976C2A"/>
    <w:rsid w:val="00976C8C"/>
    <w:rsid w:val="00976CCC"/>
    <w:rsid w:val="00976D38"/>
    <w:rsid w:val="00977122"/>
    <w:rsid w:val="009771E7"/>
    <w:rsid w:val="00977259"/>
    <w:rsid w:val="00977276"/>
    <w:rsid w:val="00977302"/>
    <w:rsid w:val="009773AA"/>
    <w:rsid w:val="00977492"/>
    <w:rsid w:val="0097757B"/>
    <w:rsid w:val="00977582"/>
    <w:rsid w:val="009775C9"/>
    <w:rsid w:val="009776AD"/>
    <w:rsid w:val="009776B5"/>
    <w:rsid w:val="0097770E"/>
    <w:rsid w:val="00977809"/>
    <w:rsid w:val="0097780A"/>
    <w:rsid w:val="00977A79"/>
    <w:rsid w:val="00977BA2"/>
    <w:rsid w:val="00977BD7"/>
    <w:rsid w:val="00977C27"/>
    <w:rsid w:val="00977D01"/>
    <w:rsid w:val="009800EE"/>
    <w:rsid w:val="00980190"/>
    <w:rsid w:val="00980208"/>
    <w:rsid w:val="00980385"/>
    <w:rsid w:val="009805BC"/>
    <w:rsid w:val="00980622"/>
    <w:rsid w:val="00980640"/>
    <w:rsid w:val="009806AA"/>
    <w:rsid w:val="009806DA"/>
    <w:rsid w:val="009806EF"/>
    <w:rsid w:val="00980759"/>
    <w:rsid w:val="009809D2"/>
    <w:rsid w:val="00980A0B"/>
    <w:rsid w:val="00980A79"/>
    <w:rsid w:val="00980BC5"/>
    <w:rsid w:val="00980BE1"/>
    <w:rsid w:val="00980CCF"/>
    <w:rsid w:val="00980D10"/>
    <w:rsid w:val="00981160"/>
    <w:rsid w:val="0098119B"/>
    <w:rsid w:val="009811EB"/>
    <w:rsid w:val="0098130A"/>
    <w:rsid w:val="00981427"/>
    <w:rsid w:val="00981483"/>
    <w:rsid w:val="009814A2"/>
    <w:rsid w:val="009814AC"/>
    <w:rsid w:val="00981616"/>
    <w:rsid w:val="009816AD"/>
    <w:rsid w:val="009816C8"/>
    <w:rsid w:val="00981728"/>
    <w:rsid w:val="009817B0"/>
    <w:rsid w:val="0098188A"/>
    <w:rsid w:val="0098189F"/>
    <w:rsid w:val="00981905"/>
    <w:rsid w:val="00981988"/>
    <w:rsid w:val="009819BF"/>
    <w:rsid w:val="00981A1B"/>
    <w:rsid w:val="00981A31"/>
    <w:rsid w:val="00981A46"/>
    <w:rsid w:val="00981AF6"/>
    <w:rsid w:val="00981DD1"/>
    <w:rsid w:val="00981E2A"/>
    <w:rsid w:val="00981ED7"/>
    <w:rsid w:val="00981F1F"/>
    <w:rsid w:val="00981F55"/>
    <w:rsid w:val="00981FF9"/>
    <w:rsid w:val="00982046"/>
    <w:rsid w:val="00982067"/>
    <w:rsid w:val="0098210F"/>
    <w:rsid w:val="0098216C"/>
    <w:rsid w:val="009821CE"/>
    <w:rsid w:val="009822AE"/>
    <w:rsid w:val="009822E4"/>
    <w:rsid w:val="0098247C"/>
    <w:rsid w:val="00982583"/>
    <w:rsid w:val="009825AB"/>
    <w:rsid w:val="0098266A"/>
    <w:rsid w:val="009826A6"/>
    <w:rsid w:val="009826EA"/>
    <w:rsid w:val="0098277A"/>
    <w:rsid w:val="00982A71"/>
    <w:rsid w:val="00982B18"/>
    <w:rsid w:val="00982BBA"/>
    <w:rsid w:val="00982BBF"/>
    <w:rsid w:val="00982CD4"/>
    <w:rsid w:val="00982DE6"/>
    <w:rsid w:val="00982EA4"/>
    <w:rsid w:val="00982EA9"/>
    <w:rsid w:val="00982EFF"/>
    <w:rsid w:val="00982FF7"/>
    <w:rsid w:val="00983180"/>
    <w:rsid w:val="0098323B"/>
    <w:rsid w:val="009832AF"/>
    <w:rsid w:val="00983325"/>
    <w:rsid w:val="00983407"/>
    <w:rsid w:val="009834A3"/>
    <w:rsid w:val="009834C3"/>
    <w:rsid w:val="00983941"/>
    <w:rsid w:val="00983984"/>
    <w:rsid w:val="00983A09"/>
    <w:rsid w:val="00983AF7"/>
    <w:rsid w:val="00983BC8"/>
    <w:rsid w:val="00983CE2"/>
    <w:rsid w:val="00983D23"/>
    <w:rsid w:val="00983D47"/>
    <w:rsid w:val="00983E31"/>
    <w:rsid w:val="00983E84"/>
    <w:rsid w:val="00983F10"/>
    <w:rsid w:val="00983F73"/>
    <w:rsid w:val="00984073"/>
    <w:rsid w:val="009841B4"/>
    <w:rsid w:val="00984237"/>
    <w:rsid w:val="009842E0"/>
    <w:rsid w:val="009845E0"/>
    <w:rsid w:val="00984688"/>
    <w:rsid w:val="009846D4"/>
    <w:rsid w:val="0098473B"/>
    <w:rsid w:val="00984887"/>
    <w:rsid w:val="009848BF"/>
    <w:rsid w:val="00984978"/>
    <w:rsid w:val="0098498A"/>
    <w:rsid w:val="00984C02"/>
    <w:rsid w:val="00984C36"/>
    <w:rsid w:val="00984D02"/>
    <w:rsid w:val="00984D7B"/>
    <w:rsid w:val="00984DE1"/>
    <w:rsid w:val="00984DF9"/>
    <w:rsid w:val="00984E08"/>
    <w:rsid w:val="00984ECE"/>
    <w:rsid w:val="00984F23"/>
    <w:rsid w:val="009850C3"/>
    <w:rsid w:val="009851D2"/>
    <w:rsid w:val="00985461"/>
    <w:rsid w:val="00985497"/>
    <w:rsid w:val="009854C5"/>
    <w:rsid w:val="009854F9"/>
    <w:rsid w:val="0098550C"/>
    <w:rsid w:val="00985574"/>
    <w:rsid w:val="009856D3"/>
    <w:rsid w:val="0098579D"/>
    <w:rsid w:val="009857B8"/>
    <w:rsid w:val="00985C8F"/>
    <w:rsid w:val="00985F13"/>
    <w:rsid w:val="00985FCF"/>
    <w:rsid w:val="0098602C"/>
    <w:rsid w:val="009860BB"/>
    <w:rsid w:val="009860E4"/>
    <w:rsid w:val="00986141"/>
    <w:rsid w:val="0098617B"/>
    <w:rsid w:val="0098627B"/>
    <w:rsid w:val="00986355"/>
    <w:rsid w:val="00986470"/>
    <w:rsid w:val="00986483"/>
    <w:rsid w:val="00986645"/>
    <w:rsid w:val="00986686"/>
    <w:rsid w:val="00986710"/>
    <w:rsid w:val="00986760"/>
    <w:rsid w:val="0098683B"/>
    <w:rsid w:val="00986930"/>
    <w:rsid w:val="00986A74"/>
    <w:rsid w:val="00986A79"/>
    <w:rsid w:val="00986B6E"/>
    <w:rsid w:val="00986C42"/>
    <w:rsid w:val="00986D14"/>
    <w:rsid w:val="00986E2F"/>
    <w:rsid w:val="00986ED3"/>
    <w:rsid w:val="00986F09"/>
    <w:rsid w:val="00986F3D"/>
    <w:rsid w:val="00986FD9"/>
    <w:rsid w:val="00987049"/>
    <w:rsid w:val="009870C8"/>
    <w:rsid w:val="00987113"/>
    <w:rsid w:val="00987178"/>
    <w:rsid w:val="0098730B"/>
    <w:rsid w:val="0098733D"/>
    <w:rsid w:val="00987402"/>
    <w:rsid w:val="00987546"/>
    <w:rsid w:val="009875E9"/>
    <w:rsid w:val="00987602"/>
    <w:rsid w:val="00987634"/>
    <w:rsid w:val="009876D2"/>
    <w:rsid w:val="009876D9"/>
    <w:rsid w:val="009878F6"/>
    <w:rsid w:val="00987953"/>
    <w:rsid w:val="009879A4"/>
    <w:rsid w:val="009879B5"/>
    <w:rsid w:val="00987E0E"/>
    <w:rsid w:val="00987E59"/>
    <w:rsid w:val="00987E9F"/>
    <w:rsid w:val="00990069"/>
    <w:rsid w:val="00990089"/>
    <w:rsid w:val="009900A4"/>
    <w:rsid w:val="009900C5"/>
    <w:rsid w:val="009901D5"/>
    <w:rsid w:val="00990212"/>
    <w:rsid w:val="0099026F"/>
    <w:rsid w:val="009902F2"/>
    <w:rsid w:val="00990338"/>
    <w:rsid w:val="0099042F"/>
    <w:rsid w:val="009904AD"/>
    <w:rsid w:val="00990547"/>
    <w:rsid w:val="00990560"/>
    <w:rsid w:val="009905EF"/>
    <w:rsid w:val="00990675"/>
    <w:rsid w:val="009906EE"/>
    <w:rsid w:val="0099070C"/>
    <w:rsid w:val="0099071B"/>
    <w:rsid w:val="00990779"/>
    <w:rsid w:val="009908B3"/>
    <w:rsid w:val="0099093B"/>
    <w:rsid w:val="0099093C"/>
    <w:rsid w:val="0099094B"/>
    <w:rsid w:val="0099095C"/>
    <w:rsid w:val="0099097B"/>
    <w:rsid w:val="00990A03"/>
    <w:rsid w:val="00990A5C"/>
    <w:rsid w:val="00990B09"/>
    <w:rsid w:val="00990BB2"/>
    <w:rsid w:val="00990CA9"/>
    <w:rsid w:val="00990CD5"/>
    <w:rsid w:val="00990ED2"/>
    <w:rsid w:val="00991020"/>
    <w:rsid w:val="009910E9"/>
    <w:rsid w:val="0099117F"/>
    <w:rsid w:val="00991284"/>
    <w:rsid w:val="00991325"/>
    <w:rsid w:val="009913D6"/>
    <w:rsid w:val="0099140B"/>
    <w:rsid w:val="00991863"/>
    <w:rsid w:val="009918F0"/>
    <w:rsid w:val="00991913"/>
    <w:rsid w:val="00991984"/>
    <w:rsid w:val="00991ACD"/>
    <w:rsid w:val="00991B05"/>
    <w:rsid w:val="00991B40"/>
    <w:rsid w:val="00991C22"/>
    <w:rsid w:val="00991C5B"/>
    <w:rsid w:val="00991CFF"/>
    <w:rsid w:val="00991D1A"/>
    <w:rsid w:val="00991E66"/>
    <w:rsid w:val="00991EDA"/>
    <w:rsid w:val="00991F59"/>
    <w:rsid w:val="00992040"/>
    <w:rsid w:val="009920F1"/>
    <w:rsid w:val="00992142"/>
    <w:rsid w:val="00992173"/>
    <w:rsid w:val="009921C9"/>
    <w:rsid w:val="009922C4"/>
    <w:rsid w:val="00992353"/>
    <w:rsid w:val="0099236A"/>
    <w:rsid w:val="009924BD"/>
    <w:rsid w:val="00992502"/>
    <w:rsid w:val="0099252E"/>
    <w:rsid w:val="009926CF"/>
    <w:rsid w:val="009928BA"/>
    <w:rsid w:val="0099292A"/>
    <w:rsid w:val="00992937"/>
    <w:rsid w:val="00992A19"/>
    <w:rsid w:val="00992AC9"/>
    <w:rsid w:val="00992AD0"/>
    <w:rsid w:val="00992BC7"/>
    <w:rsid w:val="00992C02"/>
    <w:rsid w:val="00992C4E"/>
    <w:rsid w:val="00992D6C"/>
    <w:rsid w:val="00992D75"/>
    <w:rsid w:val="00992E2A"/>
    <w:rsid w:val="00992EB5"/>
    <w:rsid w:val="0099308C"/>
    <w:rsid w:val="009930B5"/>
    <w:rsid w:val="00993577"/>
    <w:rsid w:val="009935C5"/>
    <w:rsid w:val="009936C7"/>
    <w:rsid w:val="0099370B"/>
    <w:rsid w:val="0099378B"/>
    <w:rsid w:val="009937D2"/>
    <w:rsid w:val="009937F9"/>
    <w:rsid w:val="009938BB"/>
    <w:rsid w:val="009938FB"/>
    <w:rsid w:val="00993A8A"/>
    <w:rsid w:val="00993ABC"/>
    <w:rsid w:val="00993B3A"/>
    <w:rsid w:val="00993BC4"/>
    <w:rsid w:val="00994094"/>
    <w:rsid w:val="009941D4"/>
    <w:rsid w:val="009941F8"/>
    <w:rsid w:val="009943B9"/>
    <w:rsid w:val="00994472"/>
    <w:rsid w:val="00994561"/>
    <w:rsid w:val="009945EF"/>
    <w:rsid w:val="00994641"/>
    <w:rsid w:val="009946B3"/>
    <w:rsid w:val="00994816"/>
    <w:rsid w:val="00994907"/>
    <w:rsid w:val="0099490F"/>
    <w:rsid w:val="0099492C"/>
    <w:rsid w:val="00994978"/>
    <w:rsid w:val="009949D2"/>
    <w:rsid w:val="00994AD3"/>
    <w:rsid w:val="00994C3A"/>
    <w:rsid w:val="00994CC1"/>
    <w:rsid w:val="00994CFD"/>
    <w:rsid w:val="00994D76"/>
    <w:rsid w:val="00994D7F"/>
    <w:rsid w:val="00994E1D"/>
    <w:rsid w:val="00994E40"/>
    <w:rsid w:val="009955B5"/>
    <w:rsid w:val="009956B1"/>
    <w:rsid w:val="009959CA"/>
    <w:rsid w:val="00995A2D"/>
    <w:rsid w:val="00995AB5"/>
    <w:rsid w:val="00995AEC"/>
    <w:rsid w:val="00995B78"/>
    <w:rsid w:val="00995DF3"/>
    <w:rsid w:val="00995EE5"/>
    <w:rsid w:val="00995FFB"/>
    <w:rsid w:val="0099602A"/>
    <w:rsid w:val="00996177"/>
    <w:rsid w:val="00996180"/>
    <w:rsid w:val="00996318"/>
    <w:rsid w:val="00996336"/>
    <w:rsid w:val="00996423"/>
    <w:rsid w:val="009964BE"/>
    <w:rsid w:val="009965F7"/>
    <w:rsid w:val="00996652"/>
    <w:rsid w:val="0099667B"/>
    <w:rsid w:val="00996695"/>
    <w:rsid w:val="009968D7"/>
    <w:rsid w:val="0099694B"/>
    <w:rsid w:val="00996A1D"/>
    <w:rsid w:val="00996A5B"/>
    <w:rsid w:val="00996B32"/>
    <w:rsid w:val="00996B94"/>
    <w:rsid w:val="00996C16"/>
    <w:rsid w:val="00996D6D"/>
    <w:rsid w:val="00996E43"/>
    <w:rsid w:val="00996E49"/>
    <w:rsid w:val="00996E98"/>
    <w:rsid w:val="009970EF"/>
    <w:rsid w:val="009971B2"/>
    <w:rsid w:val="009973D1"/>
    <w:rsid w:val="009975EE"/>
    <w:rsid w:val="0099769B"/>
    <w:rsid w:val="00997822"/>
    <w:rsid w:val="0099785C"/>
    <w:rsid w:val="009979CD"/>
    <w:rsid w:val="00997B36"/>
    <w:rsid w:val="00997CDB"/>
    <w:rsid w:val="00997D1B"/>
    <w:rsid w:val="00997DC1"/>
    <w:rsid w:val="009A0132"/>
    <w:rsid w:val="009A01CE"/>
    <w:rsid w:val="009A05CA"/>
    <w:rsid w:val="009A067D"/>
    <w:rsid w:val="009A069F"/>
    <w:rsid w:val="009A06E8"/>
    <w:rsid w:val="009A070B"/>
    <w:rsid w:val="009A0895"/>
    <w:rsid w:val="009A0BE1"/>
    <w:rsid w:val="009A0D15"/>
    <w:rsid w:val="009A0D27"/>
    <w:rsid w:val="009A0DE7"/>
    <w:rsid w:val="009A0E6F"/>
    <w:rsid w:val="009A0EBC"/>
    <w:rsid w:val="009A0ED7"/>
    <w:rsid w:val="009A0FC5"/>
    <w:rsid w:val="009A1005"/>
    <w:rsid w:val="009A1116"/>
    <w:rsid w:val="009A13AC"/>
    <w:rsid w:val="009A14D7"/>
    <w:rsid w:val="009A1581"/>
    <w:rsid w:val="009A167F"/>
    <w:rsid w:val="009A1717"/>
    <w:rsid w:val="009A1973"/>
    <w:rsid w:val="009A1C69"/>
    <w:rsid w:val="009A1D38"/>
    <w:rsid w:val="009A1DD9"/>
    <w:rsid w:val="009A1E7B"/>
    <w:rsid w:val="009A1F73"/>
    <w:rsid w:val="009A2133"/>
    <w:rsid w:val="009A21C6"/>
    <w:rsid w:val="009A2261"/>
    <w:rsid w:val="009A22BD"/>
    <w:rsid w:val="009A2350"/>
    <w:rsid w:val="009A23BA"/>
    <w:rsid w:val="009A23EC"/>
    <w:rsid w:val="009A2430"/>
    <w:rsid w:val="009A2626"/>
    <w:rsid w:val="009A263F"/>
    <w:rsid w:val="009A2712"/>
    <w:rsid w:val="009A277C"/>
    <w:rsid w:val="009A27BA"/>
    <w:rsid w:val="009A2835"/>
    <w:rsid w:val="009A2863"/>
    <w:rsid w:val="009A28B3"/>
    <w:rsid w:val="009A28BD"/>
    <w:rsid w:val="009A2A91"/>
    <w:rsid w:val="009A2ABC"/>
    <w:rsid w:val="009A2B41"/>
    <w:rsid w:val="009A2BED"/>
    <w:rsid w:val="009A2C63"/>
    <w:rsid w:val="009A2CCF"/>
    <w:rsid w:val="009A2E12"/>
    <w:rsid w:val="009A2E3D"/>
    <w:rsid w:val="009A2E43"/>
    <w:rsid w:val="009A2F28"/>
    <w:rsid w:val="009A2F5A"/>
    <w:rsid w:val="009A334B"/>
    <w:rsid w:val="009A33BD"/>
    <w:rsid w:val="009A33E0"/>
    <w:rsid w:val="009A3449"/>
    <w:rsid w:val="009A3542"/>
    <w:rsid w:val="009A35C9"/>
    <w:rsid w:val="009A378C"/>
    <w:rsid w:val="009A395D"/>
    <w:rsid w:val="009A3A42"/>
    <w:rsid w:val="009A3B07"/>
    <w:rsid w:val="009A3B40"/>
    <w:rsid w:val="009A3B58"/>
    <w:rsid w:val="009A3B62"/>
    <w:rsid w:val="009A3C7F"/>
    <w:rsid w:val="009A3C80"/>
    <w:rsid w:val="009A3CEB"/>
    <w:rsid w:val="009A3D06"/>
    <w:rsid w:val="009A3D4A"/>
    <w:rsid w:val="009A40C7"/>
    <w:rsid w:val="009A40EA"/>
    <w:rsid w:val="009A4117"/>
    <w:rsid w:val="009A41B6"/>
    <w:rsid w:val="009A4215"/>
    <w:rsid w:val="009A43C5"/>
    <w:rsid w:val="009A43C7"/>
    <w:rsid w:val="009A45DE"/>
    <w:rsid w:val="009A461B"/>
    <w:rsid w:val="009A4638"/>
    <w:rsid w:val="009A4745"/>
    <w:rsid w:val="009A485E"/>
    <w:rsid w:val="009A49D1"/>
    <w:rsid w:val="009A4C3A"/>
    <w:rsid w:val="009A4C50"/>
    <w:rsid w:val="009A4C6F"/>
    <w:rsid w:val="009A4C90"/>
    <w:rsid w:val="009A4D72"/>
    <w:rsid w:val="009A4D84"/>
    <w:rsid w:val="009A4DA0"/>
    <w:rsid w:val="009A4DBD"/>
    <w:rsid w:val="009A4DFE"/>
    <w:rsid w:val="009A4E42"/>
    <w:rsid w:val="009A4FFB"/>
    <w:rsid w:val="009A5098"/>
    <w:rsid w:val="009A5160"/>
    <w:rsid w:val="009A517C"/>
    <w:rsid w:val="009A5367"/>
    <w:rsid w:val="009A542E"/>
    <w:rsid w:val="009A5534"/>
    <w:rsid w:val="009A5627"/>
    <w:rsid w:val="009A578E"/>
    <w:rsid w:val="009A57E1"/>
    <w:rsid w:val="009A585F"/>
    <w:rsid w:val="009A5AEB"/>
    <w:rsid w:val="009A5BCB"/>
    <w:rsid w:val="009A5D05"/>
    <w:rsid w:val="009A5FB1"/>
    <w:rsid w:val="009A601A"/>
    <w:rsid w:val="009A60D6"/>
    <w:rsid w:val="009A6149"/>
    <w:rsid w:val="009A6296"/>
    <w:rsid w:val="009A62C7"/>
    <w:rsid w:val="009A62E6"/>
    <w:rsid w:val="009A6373"/>
    <w:rsid w:val="009A649D"/>
    <w:rsid w:val="009A656D"/>
    <w:rsid w:val="009A658F"/>
    <w:rsid w:val="009A65CD"/>
    <w:rsid w:val="009A65D9"/>
    <w:rsid w:val="009A6704"/>
    <w:rsid w:val="009A67A0"/>
    <w:rsid w:val="009A6825"/>
    <w:rsid w:val="009A6884"/>
    <w:rsid w:val="009A6A8B"/>
    <w:rsid w:val="009A6B12"/>
    <w:rsid w:val="009A6B5D"/>
    <w:rsid w:val="009A6B70"/>
    <w:rsid w:val="009A6C16"/>
    <w:rsid w:val="009A6CFB"/>
    <w:rsid w:val="009A6ED5"/>
    <w:rsid w:val="009A6F38"/>
    <w:rsid w:val="009A6F77"/>
    <w:rsid w:val="009A7152"/>
    <w:rsid w:val="009A717D"/>
    <w:rsid w:val="009A723E"/>
    <w:rsid w:val="009A723F"/>
    <w:rsid w:val="009A72D4"/>
    <w:rsid w:val="009A7301"/>
    <w:rsid w:val="009A7305"/>
    <w:rsid w:val="009A730C"/>
    <w:rsid w:val="009A73AD"/>
    <w:rsid w:val="009A75A0"/>
    <w:rsid w:val="009A75A1"/>
    <w:rsid w:val="009A765D"/>
    <w:rsid w:val="009A7747"/>
    <w:rsid w:val="009A784F"/>
    <w:rsid w:val="009A799E"/>
    <w:rsid w:val="009A79E2"/>
    <w:rsid w:val="009A7A47"/>
    <w:rsid w:val="009A7BE6"/>
    <w:rsid w:val="009A7DA6"/>
    <w:rsid w:val="009A7DF6"/>
    <w:rsid w:val="009A7E20"/>
    <w:rsid w:val="009A7ED4"/>
    <w:rsid w:val="009B0027"/>
    <w:rsid w:val="009B003E"/>
    <w:rsid w:val="009B00ED"/>
    <w:rsid w:val="009B011D"/>
    <w:rsid w:val="009B01A9"/>
    <w:rsid w:val="009B0267"/>
    <w:rsid w:val="009B03C5"/>
    <w:rsid w:val="009B0634"/>
    <w:rsid w:val="009B069E"/>
    <w:rsid w:val="009B06CA"/>
    <w:rsid w:val="009B06D7"/>
    <w:rsid w:val="009B074A"/>
    <w:rsid w:val="009B076D"/>
    <w:rsid w:val="009B088F"/>
    <w:rsid w:val="009B0B5A"/>
    <w:rsid w:val="009B0C20"/>
    <w:rsid w:val="009B0D5E"/>
    <w:rsid w:val="009B0E69"/>
    <w:rsid w:val="009B0F81"/>
    <w:rsid w:val="009B0FCB"/>
    <w:rsid w:val="009B0FE8"/>
    <w:rsid w:val="009B1074"/>
    <w:rsid w:val="009B10B3"/>
    <w:rsid w:val="009B1191"/>
    <w:rsid w:val="009B1199"/>
    <w:rsid w:val="009B11BC"/>
    <w:rsid w:val="009B1201"/>
    <w:rsid w:val="009B1298"/>
    <w:rsid w:val="009B12CC"/>
    <w:rsid w:val="009B1317"/>
    <w:rsid w:val="009B13FE"/>
    <w:rsid w:val="009B149C"/>
    <w:rsid w:val="009B14B7"/>
    <w:rsid w:val="009B14C2"/>
    <w:rsid w:val="009B16FB"/>
    <w:rsid w:val="009B1702"/>
    <w:rsid w:val="009B17B0"/>
    <w:rsid w:val="009B18C1"/>
    <w:rsid w:val="009B18F4"/>
    <w:rsid w:val="009B192A"/>
    <w:rsid w:val="009B197F"/>
    <w:rsid w:val="009B1A13"/>
    <w:rsid w:val="009B1A26"/>
    <w:rsid w:val="009B1A84"/>
    <w:rsid w:val="009B1BB1"/>
    <w:rsid w:val="009B1E40"/>
    <w:rsid w:val="009B1F00"/>
    <w:rsid w:val="009B1F6F"/>
    <w:rsid w:val="009B1FFA"/>
    <w:rsid w:val="009B2055"/>
    <w:rsid w:val="009B217B"/>
    <w:rsid w:val="009B2249"/>
    <w:rsid w:val="009B2296"/>
    <w:rsid w:val="009B235A"/>
    <w:rsid w:val="009B259F"/>
    <w:rsid w:val="009B25B5"/>
    <w:rsid w:val="009B25FD"/>
    <w:rsid w:val="009B278A"/>
    <w:rsid w:val="009B28AD"/>
    <w:rsid w:val="009B2934"/>
    <w:rsid w:val="009B2A29"/>
    <w:rsid w:val="009B2A2A"/>
    <w:rsid w:val="009B2A89"/>
    <w:rsid w:val="009B2A9B"/>
    <w:rsid w:val="009B2AC8"/>
    <w:rsid w:val="009B2B30"/>
    <w:rsid w:val="009B2BE5"/>
    <w:rsid w:val="009B2D32"/>
    <w:rsid w:val="009B2F8D"/>
    <w:rsid w:val="009B31A4"/>
    <w:rsid w:val="009B3338"/>
    <w:rsid w:val="009B3352"/>
    <w:rsid w:val="009B3364"/>
    <w:rsid w:val="009B33C7"/>
    <w:rsid w:val="009B33E7"/>
    <w:rsid w:val="009B35DE"/>
    <w:rsid w:val="009B375B"/>
    <w:rsid w:val="009B3767"/>
    <w:rsid w:val="009B389D"/>
    <w:rsid w:val="009B38A5"/>
    <w:rsid w:val="009B3936"/>
    <w:rsid w:val="009B3A9B"/>
    <w:rsid w:val="009B3AA6"/>
    <w:rsid w:val="009B3B36"/>
    <w:rsid w:val="009B3B44"/>
    <w:rsid w:val="009B3B4C"/>
    <w:rsid w:val="009B3BF0"/>
    <w:rsid w:val="009B3C50"/>
    <w:rsid w:val="009B3C5F"/>
    <w:rsid w:val="009B3D18"/>
    <w:rsid w:val="009B3F40"/>
    <w:rsid w:val="009B3FDA"/>
    <w:rsid w:val="009B404B"/>
    <w:rsid w:val="009B4081"/>
    <w:rsid w:val="009B4091"/>
    <w:rsid w:val="009B40D4"/>
    <w:rsid w:val="009B41AF"/>
    <w:rsid w:val="009B4236"/>
    <w:rsid w:val="009B4357"/>
    <w:rsid w:val="009B43F2"/>
    <w:rsid w:val="009B43F9"/>
    <w:rsid w:val="009B476C"/>
    <w:rsid w:val="009B47D3"/>
    <w:rsid w:val="009B47DA"/>
    <w:rsid w:val="009B4804"/>
    <w:rsid w:val="009B4815"/>
    <w:rsid w:val="009B4984"/>
    <w:rsid w:val="009B49FD"/>
    <w:rsid w:val="009B4A76"/>
    <w:rsid w:val="009B4A9A"/>
    <w:rsid w:val="009B4AC5"/>
    <w:rsid w:val="009B4AF4"/>
    <w:rsid w:val="009B4C3D"/>
    <w:rsid w:val="009B4C73"/>
    <w:rsid w:val="009B4E56"/>
    <w:rsid w:val="009B4E6E"/>
    <w:rsid w:val="009B4FA6"/>
    <w:rsid w:val="009B50F8"/>
    <w:rsid w:val="009B5278"/>
    <w:rsid w:val="009B5292"/>
    <w:rsid w:val="009B5346"/>
    <w:rsid w:val="009B5519"/>
    <w:rsid w:val="009B5542"/>
    <w:rsid w:val="009B55E0"/>
    <w:rsid w:val="009B58DD"/>
    <w:rsid w:val="009B596D"/>
    <w:rsid w:val="009B59FB"/>
    <w:rsid w:val="009B5A2C"/>
    <w:rsid w:val="009B5BBD"/>
    <w:rsid w:val="009B5CD6"/>
    <w:rsid w:val="009B5CDD"/>
    <w:rsid w:val="009B5D50"/>
    <w:rsid w:val="009B5E18"/>
    <w:rsid w:val="009B5E6D"/>
    <w:rsid w:val="009B5EA5"/>
    <w:rsid w:val="009B5ED7"/>
    <w:rsid w:val="009B5FF4"/>
    <w:rsid w:val="009B6041"/>
    <w:rsid w:val="009B60EF"/>
    <w:rsid w:val="009B6112"/>
    <w:rsid w:val="009B6151"/>
    <w:rsid w:val="009B6162"/>
    <w:rsid w:val="009B6261"/>
    <w:rsid w:val="009B63AE"/>
    <w:rsid w:val="009B63EB"/>
    <w:rsid w:val="009B66D4"/>
    <w:rsid w:val="009B66DB"/>
    <w:rsid w:val="009B66EB"/>
    <w:rsid w:val="009B6818"/>
    <w:rsid w:val="009B6927"/>
    <w:rsid w:val="009B69AB"/>
    <w:rsid w:val="009B69C5"/>
    <w:rsid w:val="009B69FD"/>
    <w:rsid w:val="009B6B16"/>
    <w:rsid w:val="009B6C51"/>
    <w:rsid w:val="009B6CEE"/>
    <w:rsid w:val="009B6D4A"/>
    <w:rsid w:val="009B6D8E"/>
    <w:rsid w:val="009B71D0"/>
    <w:rsid w:val="009B7214"/>
    <w:rsid w:val="009B7252"/>
    <w:rsid w:val="009B72AC"/>
    <w:rsid w:val="009B72EC"/>
    <w:rsid w:val="009B72FE"/>
    <w:rsid w:val="009B7580"/>
    <w:rsid w:val="009B7A35"/>
    <w:rsid w:val="009B7BBE"/>
    <w:rsid w:val="009B7C22"/>
    <w:rsid w:val="009B7C8B"/>
    <w:rsid w:val="009B7CB4"/>
    <w:rsid w:val="009B7E26"/>
    <w:rsid w:val="009B7F85"/>
    <w:rsid w:val="009B7FAD"/>
    <w:rsid w:val="009C003E"/>
    <w:rsid w:val="009C00EA"/>
    <w:rsid w:val="009C0147"/>
    <w:rsid w:val="009C0267"/>
    <w:rsid w:val="009C035C"/>
    <w:rsid w:val="009C03E3"/>
    <w:rsid w:val="009C051A"/>
    <w:rsid w:val="009C05DC"/>
    <w:rsid w:val="009C09DA"/>
    <w:rsid w:val="009C0A71"/>
    <w:rsid w:val="009C0AA5"/>
    <w:rsid w:val="009C0AAF"/>
    <w:rsid w:val="009C0B5B"/>
    <w:rsid w:val="009C0B73"/>
    <w:rsid w:val="009C0CC4"/>
    <w:rsid w:val="009C0CCB"/>
    <w:rsid w:val="009C0CDE"/>
    <w:rsid w:val="009C0D5F"/>
    <w:rsid w:val="009C0DAF"/>
    <w:rsid w:val="009C0E1A"/>
    <w:rsid w:val="009C0E87"/>
    <w:rsid w:val="009C0EAD"/>
    <w:rsid w:val="009C10C1"/>
    <w:rsid w:val="009C1266"/>
    <w:rsid w:val="009C13F0"/>
    <w:rsid w:val="009C1523"/>
    <w:rsid w:val="009C1563"/>
    <w:rsid w:val="009C15EC"/>
    <w:rsid w:val="009C160E"/>
    <w:rsid w:val="009C1631"/>
    <w:rsid w:val="009C1667"/>
    <w:rsid w:val="009C1718"/>
    <w:rsid w:val="009C1A9F"/>
    <w:rsid w:val="009C1D8A"/>
    <w:rsid w:val="009C1EB8"/>
    <w:rsid w:val="009C1FDD"/>
    <w:rsid w:val="009C22A9"/>
    <w:rsid w:val="009C237E"/>
    <w:rsid w:val="009C2609"/>
    <w:rsid w:val="009C269A"/>
    <w:rsid w:val="009C27CE"/>
    <w:rsid w:val="009C27E6"/>
    <w:rsid w:val="009C2802"/>
    <w:rsid w:val="009C293A"/>
    <w:rsid w:val="009C2A21"/>
    <w:rsid w:val="009C2AC6"/>
    <w:rsid w:val="009C2C91"/>
    <w:rsid w:val="009C2CC2"/>
    <w:rsid w:val="009C2CF5"/>
    <w:rsid w:val="009C2D4D"/>
    <w:rsid w:val="009C2DF0"/>
    <w:rsid w:val="009C2F1C"/>
    <w:rsid w:val="009C2FFE"/>
    <w:rsid w:val="009C306D"/>
    <w:rsid w:val="009C30E3"/>
    <w:rsid w:val="009C31C8"/>
    <w:rsid w:val="009C31E9"/>
    <w:rsid w:val="009C33B6"/>
    <w:rsid w:val="009C34B2"/>
    <w:rsid w:val="009C3552"/>
    <w:rsid w:val="009C35A0"/>
    <w:rsid w:val="009C3892"/>
    <w:rsid w:val="009C38B5"/>
    <w:rsid w:val="009C3919"/>
    <w:rsid w:val="009C39EA"/>
    <w:rsid w:val="009C3AB3"/>
    <w:rsid w:val="009C3BA2"/>
    <w:rsid w:val="009C3BA9"/>
    <w:rsid w:val="009C3C9C"/>
    <w:rsid w:val="009C3D7D"/>
    <w:rsid w:val="009C3DC8"/>
    <w:rsid w:val="009C3DF2"/>
    <w:rsid w:val="009C3ED3"/>
    <w:rsid w:val="009C3F56"/>
    <w:rsid w:val="009C3FCD"/>
    <w:rsid w:val="009C4051"/>
    <w:rsid w:val="009C41D0"/>
    <w:rsid w:val="009C42F0"/>
    <w:rsid w:val="009C43D5"/>
    <w:rsid w:val="009C44CE"/>
    <w:rsid w:val="009C4627"/>
    <w:rsid w:val="009C4692"/>
    <w:rsid w:val="009C4792"/>
    <w:rsid w:val="009C49B6"/>
    <w:rsid w:val="009C4A14"/>
    <w:rsid w:val="009C4AA8"/>
    <w:rsid w:val="009C4B07"/>
    <w:rsid w:val="009C4D49"/>
    <w:rsid w:val="009C4F04"/>
    <w:rsid w:val="009C4F26"/>
    <w:rsid w:val="009C500E"/>
    <w:rsid w:val="009C5017"/>
    <w:rsid w:val="009C503B"/>
    <w:rsid w:val="009C5049"/>
    <w:rsid w:val="009C50D0"/>
    <w:rsid w:val="009C50E6"/>
    <w:rsid w:val="009C5130"/>
    <w:rsid w:val="009C517F"/>
    <w:rsid w:val="009C528A"/>
    <w:rsid w:val="009C5355"/>
    <w:rsid w:val="009C5389"/>
    <w:rsid w:val="009C5399"/>
    <w:rsid w:val="009C5444"/>
    <w:rsid w:val="009C5515"/>
    <w:rsid w:val="009C55ED"/>
    <w:rsid w:val="009C5664"/>
    <w:rsid w:val="009C56DC"/>
    <w:rsid w:val="009C5704"/>
    <w:rsid w:val="009C573B"/>
    <w:rsid w:val="009C588D"/>
    <w:rsid w:val="009C588F"/>
    <w:rsid w:val="009C58DF"/>
    <w:rsid w:val="009C5965"/>
    <w:rsid w:val="009C59F7"/>
    <w:rsid w:val="009C5A28"/>
    <w:rsid w:val="009C5AD2"/>
    <w:rsid w:val="009C5AF4"/>
    <w:rsid w:val="009C5B33"/>
    <w:rsid w:val="009C5C36"/>
    <w:rsid w:val="009C5D4A"/>
    <w:rsid w:val="009C5F3A"/>
    <w:rsid w:val="009C5FCE"/>
    <w:rsid w:val="009C5FEB"/>
    <w:rsid w:val="009C6018"/>
    <w:rsid w:val="009C622D"/>
    <w:rsid w:val="009C628E"/>
    <w:rsid w:val="009C62D2"/>
    <w:rsid w:val="009C6308"/>
    <w:rsid w:val="009C630F"/>
    <w:rsid w:val="009C632C"/>
    <w:rsid w:val="009C635C"/>
    <w:rsid w:val="009C6407"/>
    <w:rsid w:val="009C64B0"/>
    <w:rsid w:val="009C651B"/>
    <w:rsid w:val="009C6542"/>
    <w:rsid w:val="009C66EA"/>
    <w:rsid w:val="009C675B"/>
    <w:rsid w:val="009C6964"/>
    <w:rsid w:val="009C6A63"/>
    <w:rsid w:val="009C6A8F"/>
    <w:rsid w:val="009C6B27"/>
    <w:rsid w:val="009C6BE3"/>
    <w:rsid w:val="009C6D9D"/>
    <w:rsid w:val="009C6DE4"/>
    <w:rsid w:val="009C6E0D"/>
    <w:rsid w:val="009C6E6C"/>
    <w:rsid w:val="009C6E76"/>
    <w:rsid w:val="009C6F1C"/>
    <w:rsid w:val="009C701E"/>
    <w:rsid w:val="009C70D9"/>
    <w:rsid w:val="009C7173"/>
    <w:rsid w:val="009C727B"/>
    <w:rsid w:val="009C7344"/>
    <w:rsid w:val="009C73D7"/>
    <w:rsid w:val="009C7456"/>
    <w:rsid w:val="009C75B0"/>
    <w:rsid w:val="009C75B7"/>
    <w:rsid w:val="009C76AF"/>
    <w:rsid w:val="009C777E"/>
    <w:rsid w:val="009C77B1"/>
    <w:rsid w:val="009C77C4"/>
    <w:rsid w:val="009C78D6"/>
    <w:rsid w:val="009C7AB9"/>
    <w:rsid w:val="009C7C19"/>
    <w:rsid w:val="009C7C28"/>
    <w:rsid w:val="009C7D9F"/>
    <w:rsid w:val="009C7EF4"/>
    <w:rsid w:val="009D011F"/>
    <w:rsid w:val="009D013A"/>
    <w:rsid w:val="009D01AF"/>
    <w:rsid w:val="009D0239"/>
    <w:rsid w:val="009D02B6"/>
    <w:rsid w:val="009D03A4"/>
    <w:rsid w:val="009D05CD"/>
    <w:rsid w:val="009D067A"/>
    <w:rsid w:val="009D06BB"/>
    <w:rsid w:val="009D06BE"/>
    <w:rsid w:val="009D06FD"/>
    <w:rsid w:val="009D0769"/>
    <w:rsid w:val="009D07CC"/>
    <w:rsid w:val="009D07E4"/>
    <w:rsid w:val="009D09AF"/>
    <w:rsid w:val="009D09DE"/>
    <w:rsid w:val="009D0A40"/>
    <w:rsid w:val="009D0BED"/>
    <w:rsid w:val="009D0DE4"/>
    <w:rsid w:val="009D0ECB"/>
    <w:rsid w:val="009D1092"/>
    <w:rsid w:val="009D10C4"/>
    <w:rsid w:val="009D11EA"/>
    <w:rsid w:val="009D1232"/>
    <w:rsid w:val="009D12A2"/>
    <w:rsid w:val="009D130A"/>
    <w:rsid w:val="009D1343"/>
    <w:rsid w:val="009D1419"/>
    <w:rsid w:val="009D1458"/>
    <w:rsid w:val="009D14D2"/>
    <w:rsid w:val="009D15D5"/>
    <w:rsid w:val="009D1617"/>
    <w:rsid w:val="009D16B4"/>
    <w:rsid w:val="009D1763"/>
    <w:rsid w:val="009D1788"/>
    <w:rsid w:val="009D18F0"/>
    <w:rsid w:val="009D1A34"/>
    <w:rsid w:val="009D1C22"/>
    <w:rsid w:val="009D1CFF"/>
    <w:rsid w:val="009D1E64"/>
    <w:rsid w:val="009D1EF2"/>
    <w:rsid w:val="009D1FBE"/>
    <w:rsid w:val="009D1FF1"/>
    <w:rsid w:val="009D1FF3"/>
    <w:rsid w:val="009D20E5"/>
    <w:rsid w:val="009D22EF"/>
    <w:rsid w:val="009D2327"/>
    <w:rsid w:val="009D2356"/>
    <w:rsid w:val="009D2433"/>
    <w:rsid w:val="009D2483"/>
    <w:rsid w:val="009D24AB"/>
    <w:rsid w:val="009D24EB"/>
    <w:rsid w:val="009D26A1"/>
    <w:rsid w:val="009D2700"/>
    <w:rsid w:val="009D27CC"/>
    <w:rsid w:val="009D28E4"/>
    <w:rsid w:val="009D28FE"/>
    <w:rsid w:val="009D2967"/>
    <w:rsid w:val="009D2A46"/>
    <w:rsid w:val="009D2AA0"/>
    <w:rsid w:val="009D2AFC"/>
    <w:rsid w:val="009D2B30"/>
    <w:rsid w:val="009D2BF7"/>
    <w:rsid w:val="009D2CA0"/>
    <w:rsid w:val="009D2CFF"/>
    <w:rsid w:val="009D2D3C"/>
    <w:rsid w:val="009D2D7B"/>
    <w:rsid w:val="009D2DA0"/>
    <w:rsid w:val="009D2E9E"/>
    <w:rsid w:val="009D2EEC"/>
    <w:rsid w:val="009D2EFB"/>
    <w:rsid w:val="009D2FD8"/>
    <w:rsid w:val="009D316B"/>
    <w:rsid w:val="009D318E"/>
    <w:rsid w:val="009D336F"/>
    <w:rsid w:val="009D33C5"/>
    <w:rsid w:val="009D3427"/>
    <w:rsid w:val="009D34C6"/>
    <w:rsid w:val="009D353E"/>
    <w:rsid w:val="009D3652"/>
    <w:rsid w:val="009D3678"/>
    <w:rsid w:val="009D3832"/>
    <w:rsid w:val="009D3857"/>
    <w:rsid w:val="009D388A"/>
    <w:rsid w:val="009D391A"/>
    <w:rsid w:val="009D3AA3"/>
    <w:rsid w:val="009D3C55"/>
    <w:rsid w:val="009D3C6C"/>
    <w:rsid w:val="009D3CC1"/>
    <w:rsid w:val="009D3DD0"/>
    <w:rsid w:val="009D3E67"/>
    <w:rsid w:val="009D3F0D"/>
    <w:rsid w:val="009D3F69"/>
    <w:rsid w:val="009D4043"/>
    <w:rsid w:val="009D4096"/>
    <w:rsid w:val="009D40AC"/>
    <w:rsid w:val="009D43D6"/>
    <w:rsid w:val="009D43EC"/>
    <w:rsid w:val="009D44C2"/>
    <w:rsid w:val="009D4632"/>
    <w:rsid w:val="009D4733"/>
    <w:rsid w:val="009D4841"/>
    <w:rsid w:val="009D49AB"/>
    <w:rsid w:val="009D4A63"/>
    <w:rsid w:val="009D4ABC"/>
    <w:rsid w:val="009D4AF2"/>
    <w:rsid w:val="009D4B2B"/>
    <w:rsid w:val="009D4C5D"/>
    <w:rsid w:val="009D4C8C"/>
    <w:rsid w:val="009D4CDB"/>
    <w:rsid w:val="009D4EB8"/>
    <w:rsid w:val="009D4EEA"/>
    <w:rsid w:val="009D4EFC"/>
    <w:rsid w:val="009D4FC3"/>
    <w:rsid w:val="009D5008"/>
    <w:rsid w:val="009D5062"/>
    <w:rsid w:val="009D5102"/>
    <w:rsid w:val="009D5326"/>
    <w:rsid w:val="009D53D0"/>
    <w:rsid w:val="009D55B0"/>
    <w:rsid w:val="009D55C6"/>
    <w:rsid w:val="009D5669"/>
    <w:rsid w:val="009D57A6"/>
    <w:rsid w:val="009D5852"/>
    <w:rsid w:val="009D5ABB"/>
    <w:rsid w:val="009D5C4A"/>
    <w:rsid w:val="009D5DBE"/>
    <w:rsid w:val="009D5F02"/>
    <w:rsid w:val="009D5F49"/>
    <w:rsid w:val="009D60C4"/>
    <w:rsid w:val="009D61F7"/>
    <w:rsid w:val="009D61FA"/>
    <w:rsid w:val="009D621A"/>
    <w:rsid w:val="009D6253"/>
    <w:rsid w:val="009D6279"/>
    <w:rsid w:val="009D63A6"/>
    <w:rsid w:val="009D63D8"/>
    <w:rsid w:val="009D65E5"/>
    <w:rsid w:val="009D6679"/>
    <w:rsid w:val="009D66AF"/>
    <w:rsid w:val="009D66EF"/>
    <w:rsid w:val="009D6833"/>
    <w:rsid w:val="009D684B"/>
    <w:rsid w:val="009D6A0B"/>
    <w:rsid w:val="009D6A23"/>
    <w:rsid w:val="009D6AD5"/>
    <w:rsid w:val="009D6B0A"/>
    <w:rsid w:val="009D6BF5"/>
    <w:rsid w:val="009D6D43"/>
    <w:rsid w:val="009D6EE5"/>
    <w:rsid w:val="009D7020"/>
    <w:rsid w:val="009D7027"/>
    <w:rsid w:val="009D7068"/>
    <w:rsid w:val="009D7075"/>
    <w:rsid w:val="009D71A1"/>
    <w:rsid w:val="009D7248"/>
    <w:rsid w:val="009D7252"/>
    <w:rsid w:val="009D7333"/>
    <w:rsid w:val="009D73B7"/>
    <w:rsid w:val="009D7413"/>
    <w:rsid w:val="009D74BC"/>
    <w:rsid w:val="009D7523"/>
    <w:rsid w:val="009D7580"/>
    <w:rsid w:val="009D7659"/>
    <w:rsid w:val="009D779B"/>
    <w:rsid w:val="009D779C"/>
    <w:rsid w:val="009D784D"/>
    <w:rsid w:val="009D796B"/>
    <w:rsid w:val="009D7A9F"/>
    <w:rsid w:val="009D7B8F"/>
    <w:rsid w:val="009D7CBE"/>
    <w:rsid w:val="009D7EC3"/>
    <w:rsid w:val="009E004F"/>
    <w:rsid w:val="009E00B9"/>
    <w:rsid w:val="009E00E9"/>
    <w:rsid w:val="009E01E7"/>
    <w:rsid w:val="009E01EB"/>
    <w:rsid w:val="009E025D"/>
    <w:rsid w:val="009E039F"/>
    <w:rsid w:val="009E03B6"/>
    <w:rsid w:val="009E04BA"/>
    <w:rsid w:val="009E04E4"/>
    <w:rsid w:val="009E0728"/>
    <w:rsid w:val="009E0750"/>
    <w:rsid w:val="009E0888"/>
    <w:rsid w:val="009E0913"/>
    <w:rsid w:val="009E0940"/>
    <w:rsid w:val="009E0989"/>
    <w:rsid w:val="009E0A51"/>
    <w:rsid w:val="009E0AA1"/>
    <w:rsid w:val="009E0B33"/>
    <w:rsid w:val="009E0B81"/>
    <w:rsid w:val="009E0C92"/>
    <w:rsid w:val="009E0CA5"/>
    <w:rsid w:val="009E0E1C"/>
    <w:rsid w:val="009E0E21"/>
    <w:rsid w:val="009E0FBA"/>
    <w:rsid w:val="009E11BE"/>
    <w:rsid w:val="009E1446"/>
    <w:rsid w:val="009E1497"/>
    <w:rsid w:val="009E14CD"/>
    <w:rsid w:val="009E14D4"/>
    <w:rsid w:val="009E153E"/>
    <w:rsid w:val="009E171B"/>
    <w:rsid w:val="009E17EB"/>
    <w:rsid w:val="009E1845"/>
    <w:rsid w:val="009E19D0"/>
    <w:rsid w:val="009E1A5A"/>
    <w:rsid w:val="009E1ABA"/>
    <w:rsid w:val="009E1B1D"/>
    <w:rsid w:val="009E1B9A"/>
    <w:rsid w:val="009E1BFC"/>
    <w:rsid w:val="009E1C29"/>
    <w:rsid w:val="009E1D2A"/>
    <w:rsid w:val="009E1FC5"/>
    <w:rsid w:val="009E2085"/>
    <w:rsid w:val="009E217B"/>
    <w:rsid w:val="009E24A8"/>
    <w:rsid w:val="009E2525"/>
    <w:rsid w:val="009E2641"/>
    <w:rsid w:val="009E2692"/>
    <w:rsid w:val="009E2703"/>
    <w:rsid w:val="009E2872"/>
    <w:rsid w:val="009E29BB"/>
    <w:rsid w:val="009E29FB"/>
    <w:rsid w:val="009E2AE5"/>
    <w:rsid w:val="009E2C36"/>
    <w:rsid w:val="009E2C8B"/>
    <w:rsid w:val="009E2CA4"/>
    <w:rsid w:val="009E2D8A"/>
    <w:rsid w:val="009E2E36"/>
    <w:rsid w:val="009E2E3F"/>
    <w:rsid w:val="009E30CD"/>
    <w:rsid w:val="009E31BD"/>
    <w:rsid w:val="009E3373"/>
    <w:rsid w:val="009E33AC"/>
    <w:rsid w:val="009E33CF"/>
    <w:rsid w:val="009E33F8"/>
    <w:rsid w:val="009E342A"/>
    <w:rsid w:val="009E34A4"/>
    <w:rsid w:val="009E35CA"/>
    <w:rsid w:val="009E363C"/>
    <w:rsid w:val="009E370B"/>
    <w:rsid w:val="009E375C"/>
    <w:rsid w:val="009E3776"/>
    <w:rsid w:val="009E3898"/>
    <w:rsid w:val="009E389A"/>
    <w:rsid w:val="009E38D0"/>
    <w:rsid w:val="009E38E3"/>
    <w:rsid w:val="009E3A02"/>
    <w:rsid w:val="009E3A65"/>
    <w:rsid w:val="009E3B26"/>
    <w:rsid w:val="009E3B52"/>
    <w:rsid w:val="009E3B6C"/>
    <w:rsid w:val="009E3C75"/>
    <w:rsid w:val="009E4036"/>
    <w:rsid w:val="009E4082"/>
    <w:rsid w:val="009E4090"/>
    <w:rsid w:val="009E4142"/>
    <w:rsid w:val="009E4150"/>
    <w:rsid w:val="009E41F5"/>
    <w:rsid w:val="009E434F"/>
    <w:rsid w:val="009E438F"/>
    <w:rsid w:val="009E464F"/>
    <w:rsid w:val="009E4715"/>
    <w:rsid w:val="009E4766"/>
    <w:rsid w:val="009E47A3"/>
    <w:rsid w:val="009E4811"/>
    <w:rsid w:val="009E486B"/>
    <w:rsid w:val="009E4ADB"/>
    <w:rsid w:val="009E4B39"/>
    <w:rsid w:val="009E4D91"/>
    <w:rsid w:val="009E51A4"/>
    <w:rsid w:val="009E51CF"/>
    <w:rsid w:val="009E52E2"/>
    <w:rsid w:val="009E5337"/>
    <w:rsid w:val="009E55CF"/>
    <w:rsid w:val="009E570E"/>
    <w:rsid w:val="009E578B"/>
    <w:rsid w:val="009E587F"/>
    <w:rsid w:val="009E5A47"/>
    <w:rsid w:val="009E5A56"/>
    <w:rsid w:val="009E5A82"/>
    <w:rsid w:val="009E5B41"/>
    <w:rsid w:val="009E5C48"/>
    <w:rsid w:val="009E5C90"/>
    <w:rsid w:val="009E5DC3"/>
    <w:rsid w:val="009E5F31"/>
    <w:rsid w:val="009E60AC"/>
    <w:rsid w:val="009E627D"/>
    <w:rsid w:val="009E6316"/>
    <w:rsid w:val="009E63CA"/>
    <w:rsid w:val="009E64B6"/>
    <w:rsid w:val="009E66E0"/>
    <w:rsid w:val="009E67CD"/>
    <w:rsid w:val="009E67EB"/>
    <w:rsid w:val="009E6850"/>
    <w:rsid w:val="009E69A0"/>
    <w:rsid w:val="009E6A81"/>
    <w:rsid w:val="009E6C4C"/>
    <w:rsid w:val="009E6CD4"/>
    <w:rsid w:val="009E6D91"/>
    <w:rsid w:val="009E6F23"/>
    <w:rsid w:val="009E6F27"/>
    <w:rsid w:val="009E6F40"/>
    <w:rsid w:val="009E6F86"/>
    <w:rsid w:val="009E6FFB"/>
    <w:rsid w:val="009E7092"/>
    <w:rsid w:val="009E7419"/>
    <w:rsid w:val="009E74EF"/>
    <w:rsid w:val="009E7882"/>
    <w:rsid w:val="009E7D11"/>
    <w:rsid w:val="009E7DC6"/>
    <w:rsid w:val="009E7E28"/>
    <w:rsid w:val="009E7E98"/>
    <w:rsid w:val="009E7EBB"/>
    <w:rsid w:val="009E7ECC"/>
    <w:rsid w:val="009E7FC6"/>
    <w:rsid w:val="009F0087"/>
    <w:rsid w:val="009F00EC"/>
    <w:rsid w:val="009F0268"/>
    <w:rsid w:val="009F02A2"/>
    <w:rsid w:val="009F030D"/>
    <w:rsid w:val="009F03A4"/>
    <w:rsid w:val="009F03C2"/>
    <w:rsid w:val="009F059F"/>
    <w:rsid w:val="009F0668"/>
    <w:rsid w:val="009F06A8"/>
    <w:rsid w:val="009F06B5"/>
    <w:rsid w:val="009F07CB"/>
    <w:rsid w:val="009F08DA"/>
    <w:rsid w:val="009F08EC"/>
    <w:rsid w:val="009F0966"/>
    <w:rsid w:val="009F0A7D"/>
    <w:rsid w:val="009F0AC0"/>
    <w:rsid w:val="009F0C5F"/>
    <w:rsid w:val="009F10BF"/>
    <w:rsid w:val="009F10EA"/>
    <w:rsid w:val="009F1138"/>
    <w:rsid w:val="009F1290"/>
    <w:rsid w:val="009F12B6"/>
    <w:rsid w:val="009F12EE"/>
    <w:rsid w:val="009F1311"/>
    <w:rsid w:val="009F13D3"/>
    <w:rsid w:val="009F1459"/>
    <w:rsid w:val="009F1572"/>
    <w:rsid w:val="009F15C1"/>
    <w:rsid w:val="009F169B"/>
    <w:rsid w:val="009F173E"/>
    <w:rsid w:val="009F1906"/>
    <w:rsid w:val="009F1909"/>
    <w:rsid w:val="009F19AD"/>
    <w:rsid w:val="009F19EF"/>
    <w:rsid w:val="009F1A1C"/>
    <w:rsid w:val="009F1A28"/>
    <w:rsid w:val="009F1A5E"/>
    <w:rsid w:val="009F1AC5"/>
    <w:rsid w:val="009F1B87"/>
    <w:rsid w:val="009F1BED"/>
    <w:rsid w:val="009F1DAE"/>
    <w:rsid w:val="009F1DEA"/>
    <w:rsid w:val="009F1ED6"/>
    <w:rsid w:val="009F1F68"/>
    <w:rsid w:val="009F1FE9"/>
    <w:rsid w:val="009F212C"/>
    <w:rsid w:val="009F21C1"/>
    <w:rsid w:val="009F21C3"/>
    <w:rsid w:val="009F221D"/>
    <w:rsid w:val="009F2449"/>
    <w:rsid w:val="009F24C4"/>
    <w:rsid w:val="009F25B8"/>
    <w:rsid w:val="009F25BC"/>
    <w:rsid w:val="009F2660"/>
    <w:rsid w:val="009F26D4"/>
    <w:rsid w:val="009F2702"/>
    <w:rsid w:val="009F2752"/>
    <w:rsid w:val="009F2853"/>
    <w:rsid w:val="009F286C"/>
    <w:rsid w:val="009F28E3"/>
    <w:rsid w:val="009F2AEB"/>
    <w:rsid w:val="009F2B88"/>
    <w:rsid w:val="009F2D21"/>
    <w:rsid w:val="009F2D40"/>
    <w:rsid w:val="009F2F48"/>
    <w:rsid w:val="009F32AD"/>
    <w:rsid w:val="009F32B3"/>
    <w:rsid w:val="009F33B1"/>
    <w:rsid w:val="009F33C2"/>
    <w:rsid w:val="009F3455"/>
    <w:rsid w:val="009F34E4"/>
    <w:rsid w:val="009F35AF"/>
    <w:rsid w:val="009F35C1"/>
    <w:rsid w:val="009F367B"/>
    <w:rsid w:val="009F36AF"/>
    <w:rsid w:val="009F37DA"/>
    <w:rsid w:val="009F3816"/>
    <w:rsid w:val="009F3828"/>
    <w:rsid w:val="009F3843"/>
    <w:rsid w:val="009F398A"/>
    <w:rsid w:val="009F39DB"/>
    <w:rsid w:val="009F3AAD"/>
    <w:rsid w:val="009F3AEB"/>
    <w:rsid w:val="009F3C68"/>
    <w:rsid w:val="009F3C6C"/>
    <w:rsid w:val="009F3CE2"/>
    <w:rsid w:val="009F3CEA"/>
    <w:rsid w:val="009F3E4E"/>
    <w:rsid w:val="009F3EAE"/>
    <w:rsid w:val="009F412C"/>
    <w:rsid w:val="009F4232"/>
    <w:rsid w:val="009F426E"/>
    <w:rsid w:val="009F42BB"/>
    <w:rsid w:val="009F44F1"/>
    <w:rsid w:val="009F463D"/>
    <w:rsid w:val="009F473E"/>
    <w:rsid w:val="009F4781"/>
    <w:rsid w:val="009F47D7"/>
    <w:rsid w:val="009F4840"/>
    <w:rsid w:val="009F4864"/>
    <w:rsid w:val="009F499A"/>
    <w:rsid w:val="009F49FE"/>
    <w:rsid w:val="009F4A07"/>
    <w:rsid w:val="009F4A86"/>
    <w:rsid w:val="009F4AAF"/>
    <w:rsid w:val="009F4B86"/>
    <w:rsid w:val="009F4B90"/>
    <w:rsid w:val="009F4C75"/>
    <w:rsid w:val="009F4CF6"/>
    <w:rsid w:val="009F4DAD"/>
    <w:rsid w:val="009F4E4A"/>
    <w:rsid w:val="009F4EB7"/>
    <w:rsid w:val="009F4F1B"/>
    <w:rsid w:val="009F4F36"/>
    <w:rsid w:val="009F4FDB"/>
    <w:rsid w:val="009F4FF5"/>
    <w:rsid w:val="009F51E9"/>
    <w:rsid w:val="009F5309"/>
    <w:rsid w:val="009F5395"/>
    <w:rsid w:val="009F548B"/>
    <w:rsid w:val="009F5542"/>
    <w:rsid w:val="009F556B"/>
    <w:rsid w:val="009F5582"/>
    <w:rsid w:val="009F55EB"/>
    <w:rsid w:val="009F5696"/>
    <w:rsid w:val="009F56C9"/>
    <w:rsid w:val="009F5990"/>
    <w:rsid w:val="009F5AED"/>
    <w:rsid w:val="009F5C7E"/>
    <w:rsid w:val="009F5DB8"/>
    <w:rsid w:val="009F5E99"/>
    <w:rsid w:val="009F6009"/>
    <w:rsid w:val="009F6213"/>
    <w:rsid w:val="009F629C"/>
    <w:rsid w:val="009F6468"/>
    <w:rsid w:val="009F6487"/>
    <w:rsid w:val="009F6562"/>
    <w:rsid w:val="009F65C9"/>
    <w:rsid w:val="009F663E"/>
    <w:rsid w:val="009F6664"/>
    <w:rsid w:val="009F68E6"/>
    <w:rsid w:val="009F696E"/>
    <w:rsid w:val="009F6AA5"/>
    <w:rsid w:val="009F6AE0"/>
    <w:rsid w:val="009F6AF1"/>
    <w:rsid w:val="009F6B03"/>
    <w:rsid w:val="009F6C07"/>
    <w:rsid w:val="009F6CFF"/>
    <w:rsid w:val="009F6D2A"/>
    <w:rsid w:val="009F6D36"/>
    <w:rsid w:val="009F7019"/>
    <w:rsid w:val="009F71F4"/>
    <w:rsid w:val="009F7218"/>
    <w:rsid w:val="009F724D"/>
    <w:rsid w:val="009F736F"/>
    <w:rsid w:val="009F73E5"/>
    <w:rsid w:val="009F74A3"/>
    <w:rsid w:val="009F752C"/>
    <w:rsid w:val="009F756A"/>
    <w:rsid w:val="009F7582"/>
    <w:rsid w:val="009F75A4"/>
    <w:rsid w:val="009F75C4"/>
    <w:rsid w:val="009F7629"/>
    <w:rsid w:val="009F7679"/>
    <w:rsid w:val="009F7705"/>
    <w:rsid w:val="009F7707"/>
    <w:rsid w:val="009F7792"/>
    <w:rsid w:val="009F7848"/>
    <w:rsid w:val="009F7968"/>
    <w:rsid w:val="009F79C7"/>
    <w:rsid w:val="009F79FC"/>
    <w:rsid w:val="009F7A07"/>
    <w:rsid w:val="009F7A19"/>
    <w:rsid w:val="009F7AB7"/>
    <w:rsid w:val="009F7AE2"/>
    <w:rsid w:val="009F7BA1"/>
    <w:rsid w:val="009F7BB3"/>
    <w:rsid w:val="009F7BC5"/>
    <w:rsid w:val="009F7BDD"/>
    <w:rsid w:val="009F7CC4"/>
    <w:rsid w:val="009F7D07"/>
    <w:rsid w:val="009F7D26"/>
    <w:rsid w:val="009F7DA5"/>
    <w:rsid w:val="009F7DDF"/>
    <w:rsid w:val="009F7F49"/>
    <w:rsid w:val="009F7F60"/>
    <w:rsid w:val="009F7F6A"/>
    <w:rsid w:val="009F7FB9"/>
    <w:rsid w:val="00A0009B"/>
    <w:rsid w:val="00A000AA"/>
    <w:rsid w:val="00A0032B"/>
    <w:rsid w:val="00A0035A"/>
    <w:rsid w:val="00A00436"/>
    <w:rsid w:val="00A00535"/>
    <w:rsid w:val="00A005E8"/>
    <w:rsid w:val="00A008E1"/>
    <w:rsid w:val="00A009BE"/>
    <w:rsid w:val="00A009C5"/>
    <w:rsid w:val="00A00AC8"/>
    <w:rsid w:val="00A00B22"/>
    <w:rsid w:val="00A00C3B"/>
    <w:rsid w:val="00A00D82"/>
    <w:rsid w:val="00A00D93"/>
    <w:rsid w:val="00A00DA6"/>
    <w:rsid w:val="00A00E5B"/>
    <w:rsid w:val="00A00EE7"/>
    <w:rsid w:val="00A00F08"/>
    <w:rsid w:val="00A00F59"/>
    <w:rsid w:val="00A0118A"/>
    <w:rsid w:val="00A011E6"/>
    <w:rsid w:val="00A012BB"/>
    <w:rsid w:val="00A01362"/>
    <w:rsid w:val="00A013A3"/>
    <w:rsid w:val="00A015E0"/>
    <w:rsid w:val="00A015E8"/>
    <w:rsid w:val="00A016D1"/>
    <w:rsid w:val="00A018BA"/>
    <w:rsid w:val="00A01906"/>
    <w:rsid w:val="00A01911"/>
    <w:rsid w:val="00A01C5E"/>
    <w:rsid w:val="00A01CCD"/>
    <w:rsid w:val="00A01F69"/>
    <w:rsid w:val="00A01FCF"/>
    <w:rsid w:val="00A02083"/>
    <w:rsid w:val="00A020D2"/>
    <w:rsid w:val="00A020DA"/>
    <w:rsid w:val="00A02126"/>
    <w:rsid w:val="00A02156"/>
    <w:rsid w:val="00A021AC"/>
    <w:rsid w:val="00A0222D"/>
    <w:rsid w:val="00A023C2"/>
    <w:rsid w:val="00A02607"/>
    <w:rsid w:val="00A027CE"/>
    <w:rsid w:val="00A028B7"/>
    <w:rsid w:val="00A029A8"/>
    <w:rsid w:val="00A02A63"/>
    <w:rsid w:val="00A02A9C"/>
    <w:rsid w:val="00A02B03"/>
    <w:rsid w:val="00A02BA6"/>
    <w:rsid w:val="00A02C3E"/>
    <w:rsid w:val="00A02D67"/>
    <w:rsid w:val="00A02DAE"/>
    <w:rsid w:val="00A02DD7"/>
    <w:rsid w:val="00A02E65"/>
    <w:rsid w:val="00A02EFE"/>
    <w:rsid w:val="00A02F95"/>
    <w:rsid w:val="00A03144"/>
    <w:rsid w:val="00A032D8"/>
    <w:rsid w:val="00A0334D"/>
    <w:rsid w:val="00A0340A"/>
    <w:rsid w:val="00A034D6"/>
    <w:rsid w:val="00A035F8"/>
    <w:rsid w:val="00A0363F"/>
    <w:rsid w:val="00A0375F"/>
    <w:rsid w:val="00A03799"/>
    <w:rsid w:val="00A0381F"/>
    <w:rsid w:val="00A03957"/>
    <w:rsid w:val="00A039BD"/>
    <w:rsid w:val="00A03AAA"/>
    <w:rsid w:val="00A03AE1"/>
    <w:rsid w:val="00A03B09"/>
    <w:rsid w:val="00A03B78"/>
    <w:rsid w:val="00A03B99"/>
    <w:rsid w:val="00A03C33"/>
    <w:rsid w:val="00A03C7D"/>
    <w:rsid w:val="00A03D11"/>
    <w:rsid w:val="00A03D7E"/>
    <w:rsid w:val="00A03DF4"/>
    <w:rsid w:val="00A03E62"/>
    <w:rsid w:val="00A04091"/>
    <w:rsid w:val="00A04252"/>
    <w:rsid w:val="00A042B8"/>
    <w:rsid w:val="00A043C2"/>
    <w:rsid w:val="00A0443C"/>
    <w:rsid w:val="00A04490"/>
    <w:rsid w:val="00A044F2"/>
    <w:rsid w:val="00A04720"/>
    <w:rsid w:val="00A047D9"/>
    <w:rsid w:val="00A0484C"/>
    <w:rsid w:val="00A04880"/>
    <w:rsid w:val="00A049A2"/>
    <w:rsid w:val="00A049C4"/>
    <w:rsid w:val="00A04B26"/>
    <w:rsid w:val="00A04C9B"/>
    <w:rsid w:val="00A04CC9"/>
    <w:rsid w:val="00A04D88"/>
    <w:rsid w:val="00A04EEF"/>
    <w:rsid w:val="00A04F05"/>
    <w:rsid w:val="00A04F1E"/>
    <w:rsid w:val="00A04FBC"/>
    <w:rsid w:val="00A05030"/>
    <w:rsid w:val="00A0508B"/>
    <w:rsid w:val="00A051E6"/>
    <w:rsid w:val="00A052DC"/>
    <w:rsid w:val="00A052DD"/>
    <w:rsid w:val="00A05393"/>
    <w:rsid w:val="00A05409"/>
    <w:rsid w:val="00A054BB"/>
    <w:rsid w:val="00A05584"/>
    <w:rsid w:val="00A055BB"/>
    <w:rsid w:val="00A05653"/>
    <w:rsid w:val="00A05714"/>
    <w:rsid w:val="00A05720"/>
    <w:rsid w:val="00A059CC"/>
    <w:rsid w:val="00A059E4"/>
    <w:rsid w:val="00A05A3B"/>
    <w:rsid w:val="00A05A74"/>
    <w:rsid w:val="00A05B50"/>
    <w:rsid w:val="00A05B75"/>
    <w:rsid w:val="00A05BF0"/>
    <w:rsid w:val="00A05D72"/>
    <w:rsid w:val="00A05EC3"/>
    <w:rsid w:val="00A06024"/>
    <w:rsid w:val="00A061CC"/>
    <w:rsid w:val="00A0624A"/>
    <w:rsid w:val="00A06253"/>
    <w:rsid w:val="00A06259"/>
    <w:rsid w:val="00A06320"/>
    <w:rsid w:val="00A0643E"/>
    <w:rsid w:val="00A06494"/>
    <w:rsid w:val="00A0649B"/>
    <w:rsid w:val="00A064A2"/>
    <w:rsid w:val="00A066AC"/>
    <w:rsid w:val="00A066EB"/>
    <w:rsid w:val="00A06765"/>
    <w:rsid w:val="00A067F2"/>
    <w:rsid w:val="00A06A4B"/>
    <w:rsid w:val="00A06ACC"/>
    <w:rsid w:val="00A06B11"/>
    <w:rsid w:val="00A06E5A"/>
    <w:rsid w:val="00A06FC9"/>
    <w:rsid w:val="00A07047"/>
    <w:rsid w:val="00A07088"/>
    <w:rsid w:val="00A070EF"/>
    <w:rsid w:val="00A07187"/>
    <w:rsid w:val="00A07306"/>
    <w:rsid w:val="00A0732C"/>
    <w:rsid w:val="00A07451"/>
    <w:rsid w:val="00A075BC"/>
    <w:rsid w:val="00A0760F"/>
    <w:rsid w:val="00A0761A"/>
    <w:rsid w:val="00A07654"/>
    <w:rsid w:val="00A076C2"/>
    <w:rsid w:val="00A0772C"/>
    <w:rsid w:val="00A07778"/>
    <w:rsid w:val="00A07A08"/>
    <w:rsid w:val="00A07AB2"/>
    <w:rsid w:val="00A07AFA"/>
    <w:rsid w:val="00A07BE9"/>
    <w:rsid w:val="00A07C67"/>
    <w:rsid w:val="00A07D47"/>
    <w:rsid w:val="00A07DEB"/>
    <w:rsid w:val="00A07F9E"/>
    <w:rsid w:val="00A10012"/>
    <w:rsid w:val="00A1005D"/>
    <w:rsid w:val="00A10233"/>
    <w:rsid w:val="00A10286"/>
    <w:rsid w:val="00A10292"/>
    <w:rsid w:val="00A10304"/>
    <w:rsid w:val="00A103C1"/>
    <w:rsid w:val="00A104EC"/>
    <w:rsid w:val="00A10593"/>
    <w:rsid w:val="00A105EA"/>
    <w:rsid w:val="00A10666"/>
    <w:rsid w:val="00A10668"/>
    <w:rsid w:val="00A106C3"/>
    <w:rsid w:val="00A106F3"/>
    <w:rsid w:val="00A10719"/>
    <w:rsid w:val="00A108DD"/>
    <w:rsid w:val="00A1097F"/>
    <w:rsid w:val="00A10C4C"/>
    <w:rsid w:val="00A10CAE"/>
    <w:rsid w:val="00A10CC5"/>
    <w:rsid w:val="00A10CCC"/>
    <w:rsid w:val="00A10FEC"/>
    <w:rsid w:val="00A11070"/>
    <w:rsid w:val="00A1124D"/>
    <w:rsid w:val="00A112C3"/>
    <w:rsid w:val="00A1135D"/>
    <w:rsid w:val="00A11387"/>
    <w:rsid w:val="00A116EE"/>
    <w:rsid w:val="00A117B4"/>
    <w:rsid w:val="00A117E1"/>
    <w:rsid w:val="00A11A09"/>
    <w:rsid w:val="00A11A5D"/>
    <w:rsid w:val="00A11B64"/>
    <w:rsid w:val="00A11BB0"/>
    <w:rsid w:val="00A11BCB"/>
    <w:rsid w:val="00A11BD8"/>
    <w:rsid w:val="00A11D13"/>
    <w:rsid w:val="00A11D23"/>
    <w:rsid w:val="00A11D45"/>
    <w:rsid w:val="00A11DCE"/>
    <w:rsid w:val="00A1202E"/>
    <w:rsid w:val="00A12072"/>
    <w:rsid w:val="00A12153"/>
    <w:rsid w:val="00A121E1"/>
    <w:rsid w:val="00A12284"/>
    <w:rsid w:val="00A12306"/>
    <w:rsid w:val="00A12338"/>
    <w:rsid w:val="00A12462"/>
    <w:rsid w:val="00A12500"/>
    <w:rsid w:val="00A12594"/>
    <w:rsid w:val="00A125F2"/>
    <w:rsid w:val="00A126F2"/>
    <w:rsid w:val="00A12745"/>
    <w:rsid w:val="00A12A49"/>
    <w:rsid w:val="00A12B80"/>
    <w:rsid w:val="00A12C56"/>
    <w:rsid w:val="00A12E2E"/>
    <w:rsid w:val="00A12E8F"/>
    <w:rsid w:val="00A12F62"/>
    <w:rsid w:val="00A13096"/>
    <w:rsid w:val="00A130D1"/>
    <w:rsid w:val="00A13177"/>
    <w:rsid w:val="00A131CE"/>
    <w:rsid w:val="00A132A4"/>
    <w:rsid w:val="00A1339C"/>
    <w:rsid w:val="00A133E8"/>
    <w:rsid w:val="00A13448"/>
    <w:rsid w:val="00A13557"/>
    <w:rsid w:val="00A13589"/>
    <w:rsid w:val="00A1370F"/>
    <w:rsid w:val="00A137FC"/>
    <w:rsid w:val="00A13802"/>
    <w:rsid w:val="00A138C3"/>
    <w:rsid w:val="00A13942"/>
    <w:rsid w:val="00A1395D"/>
    <w:rsid w:val="00A1399B"/>
    <w:rsid w:val="00A139EF"/>
    <w:rsid w:val="00A13A1C"/>
    <w:rsid w:val="00A13B46"/>
    <w:rsid w:val="00A13C0C"/>
    <w:rsid w:val="00A13D3A"/>
    <w:rsid w:val="00A13D4B"/>
    <w:rsid w:val="00A13E3D"/>
    <w:rsid w:val="00A13E61"/>
    <w:rsid w:val="00A14146"/>
    <w:rsid w:val="00A14403"/>
    <w:rsid w:val="00A1455D"/>
    <w:rsid w:val="00A145D8"/>
    <w:rsid w:val="00A1460E"/>
    <w:rsid w:val="00A1465B"/>
    <w:rsid w:val="00A14699"/>
    <w:rsid w:val="00A146BA"/>
    <w:rsid w:val="00A1472D"/>
    <w:rsid w:val="00A1473B"/>
    <w:rsid w:val="00A147E1"/>
    <w:rsid w:val="00A1480E"/>
    <w:rsid w:val="00A1481B"/>
    <w:rsid w:val="00A14851"/>
    <w:rsid w:val="00A14897"/>
    <w:rsid w:val="00A14911"/>
    <w:rsid w:val="00A149B2"/>
    <w:rsid w:val="00A14AA8"/>
    <w:rsid w:val="00A14C0B"/>
    <w:rsid w:val="00A14CA8"/>
    <w:rsid w:val="00A14D22"/>
    <w:rsid w:val="00A14D64"/>
    <w:rsid w:val="00A14FE9"/>
    <w:rsid w:val="00A15030"/>
    <w:rsid w:val="00A15075"/>
    <w:rsid w:val="00A150CF"/>
    <w:rsid w:val="00A15149"/>
    <w:rsid w:val="00A151C8"/>
    <w:rsid w:val="00A151EE"/>
    <w:rsid w:val="00A152CD"/>
    <w:rsid w:val="00A152D6"/>
    <w:rsid w:val="00A15390"/>
    <w:rsid w:val="00A153B2"/>
    <w:rsid w:val="00A153D8"/>
    <w:rsid w:val="00A1547A"/>
    <w:rsid w:val="00A1549F"/>
    <w:rsid w:val="00A154C8"/>
    <w:rsid w:val="00A154D7"/>
    <w:rsid w:val="00A15500"/>
    <w:rsid w:val="00A15521"/>
    <w:rsid w:val="00A15722"/>
    <w:rsid w:val="00A15826"/>
    <w:rsid w:val="00A158C0"/>
    <w:rsid w:val="00A159D5"/>
    <w:rsid w:val="00A15A1E"/>
    <w:rsid w:val="00A15A44"/>
    <w:rsid w:val="00A15AA1"/>
    <w:rsid w:val="00A15B19"/>
    <w:rsid w:val="00A15B2F"/>
    <w:rsid w:val="00A15BB9"/>
    <w:rsid w:val="00A15CD1"/>
    <w:rsid w:val="00A15D8B"/>
    <w:rsid w:val="00A16036"/>
    <w:rsid w:val="00A1613E"/>
    <w:rsid w:val="00A16173"/>
    <w:rsid w:val="00A161C5"/>
    <w:rsid w:val="00A1631A"/>
    <w:rsid w:val="00A16353"/>
    <w:rsid w:val="00A1640A"/>
    <w:rsid w:val="00A1640B"/>
    <w:rsid w:val="00A16410"/>
    <w:rsid w:val="00A1646B"/>
    <w:rsid w:val="00A164C5"/>
    <w:rsid w:val="00A166F9"/>
    <w:rsid w:val="00A16932"/>
    <w:rsid w:val="00A169DA"/>
    <w:rsid w:val="00A16ACF"/>
    <w:rsid w:val="00A16AD4"/>
    <w:rsid w:val="00A16B3E"/>
    <w:rsid w:val="00A16B61"/>
    <w:rsid w:val="00A16C1F"/>
    <w:rsid w:val="00A16C27"/>
    <w:rsid w:val="00A16C72"/>
    <w:rsid w:val="00A16C74"/>
    <w:rsid w:val="00A16C76"/>
    <w:rsid w:val="00A16CBB"/>
    <w:rsid w:val="00A16CFD"/>
    <w:rsid w:val="00A16D4B"/>
    <w:rsid w:val="00A16D6C"/>
    <w:rsid w:val="00A16E30"/>
    <w:rsid w:val="00A16ECE"/>
    <w:rsid w:val="00A16ED9"/>
    <w:rsid w:val="00A16F6B"/>
    <w:rsid w:val="00A170C1"/>
    <w:rsid w:val="00A1742F"/>
    <w:rsid w:val="00A17480"/>
    <w:rsid w:val="00A17573"/>
    <w:rsid w:val="00A17582"/>
    <w:rsid w:val="00A175A2"/>
    <w:rsid w:val="00A17607"/>
    <w:rsid w:val="00A176C1"/>
    <w:rsid w:val="00A178F9"/>
    <w:rsid w:val="00A17928"/>
    <w:rsid w:val="00A179E3"/>
    <w:rsid w:val="00A17B61"/>
    <w:rsid w:val="00A17C03"/>
    <w:rsid w:val="00A17C7D"/>
    <w:rsid w:val="00A17CFA"/>
    <w:rsid w:val="00A17D48"/>
    <w:rsid w:val="00A17D9C"/>
    <w:rsid w:val="00A17FCF"/>
    <w:rsid w:val="00A17FD0"/>
    <w:rsid w:val="00A20062"/>
    <w:rsid w:val="00A2009B"/>
    <w:rsid w:val="00A2011B"/>
    <w:rsid w:val="00A20144"/>
    <w:rsid w:val="00A20235"/>
    <w:rsid w:val="00A2027C"/>
    <w:rsid w:val="00A202B4"/>
    <w:rsid w:val="00A202D6"/>
    <w:rsid w:val="00A2038F"/>
    <w:rsid w:val="00A2045C"/>
    <w:rsid w:val="00A20588"/>
    <w:rsid w:val="00A205B6"/>
    <w:rsid w:val="00A20849"/>
    <w:rsid w:val="00A208D5"/>
    <w:rsid w:val="00A20A5C"/>
    <w:rsid w:val="00A20AF5"/>
    <w:rsid w:val="00A20AFB"/>
    <w:rsid w:val="00A20B21"/>
    <w:rsid w:val="00A20DAA"/>
    <w:rsid w:val="00A20DE4"/>
    <w:rsid w:val="00A20F46"/>
    <w:rsid w:val="00A20FB8"/>
    <w:rsid w:val="00A20FDF"/>
    <w:rsid w:val="00A20FE7"/>
    <w:rsid w:val="00A21005"/>
    <w:rsid w:val="00A21108"/>
    <w:rsid w:val="00A211F5"/>
    <w:rsid w:val="00A213C1"/>
    <w:rsid w:val="00A215B9"/>
    <w:rsid w:val="00A216A8"/>
    <w:rsid w:val="00A216CC"/>
    <w:rsid w:val="00A216FA"/>
    <w:rsid w:val="00A217A2"/>
    <w:rsid w:val="00A21884"/>
    <w:rsid w:val="00A218C8"/>
    <w:rsid w:val="00A218D7"/>
    <w:rsid w:val="00A21936"/>
    <w:rsid w:val="00A2194E"/>
    <w:rsid w:val="00A2196A"/>
    <w:rsid w:val="00A21A98"/>
    <w:rsid w:val="00A21C0D"/>
    <w:rsid w:val="00A21C65"/>
    <w:rsid w:val="00A21C8A"/>
    <w:rsid w:val="00A21D60"/>
    <w:rsid w:val="00A21E0D"/>
    <w:rsid w:val="00A21E1F"/>
    <w:rsid w:val="00A21F5A"/>
    <w:rsid w:val="00A21FBE"/>
    <w:rsid w:val="00A21FFE"/>
    <w:rsid w:val="00A2205C"/>
    <w:rsid w:val="00A2210A"/>
    <w:rsid w:val="00A223DD"/>
    <w:rsid w:val="00A2242C"/>
    <w:rsid w:val="00A22473"/>
    <w:rsid w:val="00A224DE"/>
    <w:rsid w:val="00A22520"/>
    <w:rsid w:val="00A22551"/>
    <w:rsid w:val="00A2255F"/>
    <w:rsid w:val="00A2257D"/>
    <w:rsid w:val="00A22644"/>
    <w:rsid w:val="00A2269C"/>
    <w:rsid w:val="00A22721"/>
    <w:rsid w:val="00A227BD"/>
    <w:rsid w:val="00A22801"/>
    <w:rsid w:val="00A22858"/>
    <w:rsid w:val="00A22892"/>
    <w:rsid w:val="00A228A6"/>
    <w:rsid w:val="00A228DF"/>
    <w:rsid w:val="00A228F5"/>
    <w:rsid w:val="00A22911"/>
    <w:rsid w:val="00A22A20"/>
    <w:rsid w:val="00A22CD0"/>
    <w:rsid w:val="00A22D6D"/>
    <w:rsid w:val="00A2316B"/>
    <w:rsid w:val="00A23206"/>
    <w:rsid w:val="00A23236"/>
    <w:rsid w:val="00A23261"/>
    <w:rsid w:val="00A23273"/>
    <w:rsid w:val="00A232C8"/>
    <w:rsid w:val="00A233AA"/>
    <w:rsid w:val="00A233D9"/>
    <w:rsid w:val="00A2341B"/>
    <w:rsid w:val="00A234A8"/>
    <w:rsid w:val="00A2369E"/>
    <w:rsid w:val="00A23792"/>
    <w:rsid w:val="00A23924"/>
    <w:rsid w:val="00A23A0D"/>
    <w:rsid w:val="00A23ACC"/>
    <w:rsid w:val="00A23B1D"/>
    <w:rsid w:val="00A23BFE"/>
    <w:rsid w:val="00A23C6B"/>
    <w:rsid w:val="00A23D02"/>
    <w:rsid w:val="00A23DE5"/>
    <w:rsid w:val="00A23E52"/>
    <w:rsid w:val="00A23F04"/>
    <w:rsid w:val="00A23FC4"/>
    <w:rsid w:val="00A24072"/>
    <w:rsid w:val="00A240F2"/>
    <w:rsid w:val="00A241D3"/>
    <w:rsid w:val="00A241F5"/>
    <w:rsid w:val="00A2422B"/>
    <w:rsid w:val="00A2432B"/>
    <w:rsid w:val="00A244EE"/>
    <w:rsid w:val="00A2466B"/>
    <w:rsid w:val="00A246C4"/>
    <w:rsid w:val="00A246FD"/>
    <w:rsid w:val="00A24841"/>
    <w:rsid w:val="00A24858"/>
    <w:rsid w:val="00A248BA"/>
    <w:rsid w:val="00A248C0"/>
    <w:rsid w:val="00A248C2"/>
    <w:rsid w:val="00A248D9"/>
    <w:rsid w:val="00A24911"/>
    <w:rsid w:val="00A2492C"/>
    <w:rsid w:val="00A249E1"/>
    <w:rsid w:val="00A24AE8"/>
    <w:rsid w:val="00A24B3F"/>
    <w:rsid w:val="00A24D6C"/>
    <w:rsid w:val="00A24EB5"/>
    <w:rsid w:val="00A24ECE"/>
    <w:rsid w:val="00A24F17"/>
    <w:rsid w:val="00A2501E"/>
    <w:rsid w:val="00A25043"/>
    <w:rsid w:val="00A2504E"/>
    <w:rsid w:val="00A2506D"/>
    <w:rsid w:val="00A2515F"/>
    <w:rsid w:val="00A25175"/>
    <w:rsid w:val="00A251AB"/>
    <w:rsid w:val="00A25314"/>
    <w:rsid w:val="00A25454"/>
    <w:rsid w:val="00A254B1"/>
    <w:rsid w:val="00A254E9"/>
    <w:rsid w:val="00A25584"/>
    <w:rsid w:val="00A25632"/>
    <w:rsid w:val="00A2571D"/>
    <w:rsid w:val="00A2576C"/>
    <w:rsid w:val="00A25854"/>
    <w:rsid w:val="00A25880"/>
    <w:rsid w:val="00A25985"/>
    <w:rsid w:val="00A25BF4"/>
    <w:rsid w:val="00A25C4B"/>
    <w:rsid w:val="00A25C8F"/>
    <w:rsid w:val="00A25D52"/>
    <w:rsid w:val="00A25DE4"/>
    <w:rsid w:val="00A25E22"/>
    <w:rsid w:val="00A25F4D"/>
    <w:rsid w:val="00A2618A"/>
    <w:rsid w:val="00A261F4"/>
    <w:rsid w:val="00A26363"/>
    <w:rsid w:val="00A2644E"/>
    <w:rsid w:val="00A2648E"/>
    <w:rsid w:val="00A26536"/>
    <w:rsid w:val="00A2665F"/>
    <w:rsid w:val="00A26668"/>
    <w:rsid w:val="00A26670"/>
    <w:rsid w:val="00A2669A"/>
    <w:rsid w:val="00A266F5"/>
    <w:rsid w:val="00A26704"/>
    <w:rsid w:val="00A26943"/>
    <w:rsid w:val="00A26A9F"/>
    <w:rsid w:val="00A26B4A"/>
    <w:rsid w:val="00A26C98"/>
    <w:rsid w:val="00A26D64"/>
    <w:rsid w:val="00A26E44"/>
    <w:rsid w:val="00A26EB5"/>
    <w:rsid w:val="00A26EFB"/>
    <w:rsid w:val="00A26FA9"/>
    <w:rsid w:val="00A26FB0"/>
    <w:rsid w:val="00A2708A"/>
    <w:rsid w:val="00A2717C"/>
    <w:rsid w:val="00A27333"/>
    <w:rsid w:val="00A273CA"/>
    <w:rsid w:val="00A2749B"/>
    <w:rsid w:val="00A274F8"/>
    <w:rsid w:val="00A27674"/>
    <w:rsid w:val="00A276F6"/>
    <w:rsid w:val="00A2773D"/>
    <w:rsid w:val="00A277C9"/>
    <w:rsid w:val="00A27817"/>
    <w:rsid w:val="00A27A0B"/>
    <w:rsid w:val="00A27A0C"/>
    <w:rsid w:val="00A27AB4"/>
    <w:rsid w:val="00A27BD6"/>
    <w:rsid w:val="00A27DDE"/>
    <w:rsid w:val="00A27E39"/>
    <w:rsid w:val="00A27E53"/>
    <w:rsid w:val="00A27E94"/>
    <w:rsid w:val="00A27EBF"/>
    <w:rsid w:val="00A27EEA"/>
    <w:rsid w:val="00A27F94"/>
    <w:rsid w:val="00A30059"/>
    <w:rsid w:val="00A30150"/>
    <w:rsid w:val="00A3015F"/>
    <w:rsid w:val="00A30379"/>
    <w:rsid w:val="00A30664"/>
    <w:rsid w:val="00A3072A"/>
    <w:rsid w:val="00A307EF"/>
    <w:rsid w:val="00A30836"/>
    <w:rsid w:val="00A30878"/>
    <w:rsid w:val="00A308F8"/>
    <w:rsid w:val="00A30AEE"/>
    <w:rsid w:val="00A30AF7"/>
    <w:rsid w:val="00A30B2A"/>
    <w:rsid w:val="00A30C61"/>
    <w:rsid w:val="00A30CA7"/>
    <w:rsid w:val="00A30D2F"/>
    <w:rsid w:val="00A30F6B"/>
    <w:rsid w:val="00A30F9E"/>
    <w:rsid w:val="00A30FAB"/>
    <w:rsid w:val="00A31058"/>
    <w:rsid w:val="00A310AD"/>
    <w:rsid w:val="00A31145"/>
    <w:rsid w:val="00A311CD"/>
    <w:rsid w:val="00A3140F"/>
    <w:rsid w:val="00A314BA"/>
    <w:rsid w:val="00A31523"/>
    <w:rsid w:val="00A3153E"/>
    <w:rsid w:val="00A31576"/>
    <w:rsid w:val="00A315A1"/>
    <w:rsid w:val="00A315D6"/>
    <w:rsid w:val="00A315DE"/>
    <w:rsid w:val="00A31631"/>
    <w:rsid w:val="00A317B9"/>
    <w:rsid w:val="00A3186F"/>
    <w:rsid w:val="00A3188E"/>
    <w:rsid w:val="00A318C1"/>
    <w:rsid w:val="00A319CC"/>
    <w:rsid w:val="00A31A52"/>
    <w:rsid w:val="00A31A8F"/>
    <w:rsid w:val="00A31AF1"/>
    <w:rsid w:val="00A31B0E"/>
    <w:rsid w:val="00A31B18"/>
    <w:rsid w:val="00A31B27"/>
    <w:rsid w:val="00A31BF2"/>
    <w:rsid w:val="00A31BFA"/>
    <w:rsid w:val="00A31C3C"/>
    <w:rsid w:val="00A31D86"/>
    <w:rsid w:val="00A31F55"/>
    <w:rsid w:val="00A32147"/>
    <w:rsid w:val="00A321CD"/>
    <w:rsid w:val="00A32487"/>
    <w:rsid w:val="00A32492"/>
    <w:rsid w:val="00A325F7"/>
    <w:rsid w:val="00A325FA"/>
    <w:rsid w:val="00A32611"/>
    <w:rsid w:val="00A327CE"/>
    <w:rsid w:val="00A32910"/>
    <w:rsid w:val="00A32976"/>
    <w:rsid w:val="00A32A76"/>
    <w:rsid w:val="00A32AA3"/>
    <w:rsid w:val="00A32BC7"/>
    <w:rsid w:val="00A32DBC"/>
    <w:rsid w:val="00A32E89"/>
    <w:rsid w:val="00A32F5C"/>
    <w:rsid w:val="00A32FC7"/>
    <w:rsid w:val="00A3325B"/>
    <w:rsid w:val="00A33281"/>
    <w:rsid w:val="00A3329A"/>
    <w:rsid w:val="00A3335E"/>
    <w:rsid w:val="00A333E8"/>
    <w:rsid w:val="00A3348A"/>
    <w:rsid w:val="00A3363D"/>
    <w:rsid w:val="00A33839"/>
    <w:rsid w:val="00A339B3"/>
    <w:rsid w:val="00A33B2C"/>
    <w:rsid w:val="00A33C37"/>
    <w:rsid w:val="00A33CFA"/>
    <w:rsid w:val="00A33E5C"/>
    <w:rsid w:val="00A33F05"/>
    <w:rsid w:val="00A34122"/>
    <w:rsid w:val="00A34255"/>
    <w:rsid w:val="00A34373"/>
    <w:rsid w:val="00A343CD"/>
    <w:rsid w:val="00A34467"/>
    <w:rsid w:val="00A34471"/>
    <w:rsid w:val="00A344AD"/>
    <w:rsid w:val="00A3457F"/>
    <w:rsid w:val="00A345E2"/>
    <w:rsid w:val="00A34639"/>
    <w:rsid w:val="00A346F6"/>
    <w:rsid w:val="00A34819"/>
    <w:rsid w:val="00A348B0"/>
    <w:rsid w:val="00A349E9"/>
    <w:rsid w:val="00A34A3D"/>
    <w:rsid w:val="00A34A61"/>
    <w:rsid w:val="00A34AF2"/>
    <w:rsid w:val="00A34D74"/>
    <w:rsid w:val="00A34F0E"/>
    <w:rsid w:val="00A34F4A"/>
    <w:rsid w:val="00A3505B"/>
    <w:rsid w:val="00A351E1"/>
    <w:rsid w:val="00A3521D"/>
    <w:rsid w:val="00A352C6"/>
    <w:rsid w:val="00A353E6"/>
    <w:rsid w:val="00A355DC"/>
    <w:rsid w:val="00A35780"/>
    <w:rsid w:val="00A357CA"/>
    <w:rsid w:val="00A359E3"/>
    <w:rsid w:val="00A35BD9"/>
    <w:rsid w:val="00A35D8B"/>
    <w:rsid w:val="00A35FD8"/>
    <w:rsid w:val="00A361C9"/>
    <w:rsid w:val="00A3624E"/>
    <w:rsid w:val="00A364D1"/>
    <w:rsid w:val="00A36566"/>
    <w:rsid w:val="00A3666C"/>
    <w:rsid w:val="00A366B4"/>
    <w:rsid w:val="00A368FB"/>
    <w:rsid w:val="00A36AB4"/>
    <w:rsid w:val="00A36B10"/>
    <w:rsid w:val="00A36C1C"/>
    <w:rsid w:val="00A36F46"/>
    <w:rsid w:val="00A36F9D"/>
    <w:rsid w:val="00A36FCF"/>
    <w:rsid w:val="00A370BB"/>
    <w:rsid w:val="00A370DC"/>
    <w:rsid w:val="00A37285"/>
    <w:rsid w:val="00A373C2"/>
    <w:rsid w:val="00A3749B"/>
    <w:rsid w:val="00A37532"/>
    <w:rsid w:val="00A377A5"/>
    <w:rsid w:val="00A377F9"/>
    <w:rsid w:val="00A37831"/>
    <w:rsid w:val="00A379CB"/>
    <w:rsid w:val="00A37A45"/>
    <w:rsid w:val="00A37AC4"/>
    <w:rsid w:val="00A37ACE"/>
    <w:rsid w:val="00A37B11"/>
    <w:rsid w:val="00A37B2E"/>
    <w:rsid w:val="00A37D87"/>
    <w:rsid w:val="00A37DE5"/>
    <w:rsid w:val="00A37E13"/>
    <w:rsid w:val="00A40061"/>
    <w:rsid w:val="00A400E8"/>
    <w:rsid w:val="00A4013A"/>
    <w:rsid w:val="00A401B0"/>
    <w:rsid w:val="00A40322"/>
    <w:rsid w:val="00A4037C"/>
    <w:rsid w:val="00A4037E"/>
    <w:rsid w:val="00A403B3"/>
    <w:rsid w:val="00A4044A"/>
    <w:rsid w:val="00A40462"/>
    <w:rsid w:val="00A404F0"/>
    <w:rsid w:val="00A40549"/>
    <w:rsid w:val="00A40725"/>
    <w:rsid w:val="00A4074C"/>
    <w:rsid w:val="00A407C7"/>
    <w:rsid w:val="00A407D1"/>
    <w:rsid w:val="00A40B77"/>
    <w:rsid w:val="00A40BFE"/>
    <w:rsid w:val="00A40C95"/>
    <w:rsid w:val="00A40D1B"/>
    <w:rsid w:val="00A40E91"/>
    <w:rsid w:val="00A40FCE"/>
    <w:rsid w:val="00A410D9"/>
    <w:rsid w:val="00A410E0"/>
    <w:rsid w:val="00A4142B"/>
    <w:rsid w:val="00A415F8"/>
    <w:rsid w:val="00A41666"/>
    <w:rsid w:val="00A417FA"/>
    <w:rsid w:val="00A4180A"/>
    <w:rsid w:val="00A41910"/>
    <w:rsid w:val="00A419B6"/>
    <w:rsid w:val="00A419C9"/>
    <w:rsid w:val="00A41A44"/>
    <w:rsid w:val="00A41AB6"/>
    <w:rsid w:val="00A41B71"/>
    <w:rsid w:val="00A41B94"/>
    <w:rsid w:val="00A41BBE"/>
    <w:rsid w:val="00A41C92"/>
    <w:rsid w:val="00A41CE3"/>
    <w:rsid w:val="00A41D87"/>
    <w:rsid w:val="00A423B0"/>
    <w:rsid w:val="00A423C9"/>
    <w:rsid w:val="00A423D2"/>
    <w:rsid w:val="00A4240F"/>
    <w:rsid w:val="00A424F8"/>
    <w:rsid w:val="00A427A5"/>
    <w:rsid w:val="00A427A8"/>
    <w:rsid w:val="00A42A20"/>
    <w:rsid w:val="00A42C58"/>
    <w:rsid w:val="00A42C9C"/>
    <w:rsid w:val="00A42DCE"/>
    <w:rsid w:val="00A42E56"/>
    <w:rsid w:val="00A42E9E"/>
    <w:rsid w:val="00A4317F"/>
    <w:rsid w:val="00A431B3"/>
    <w:rsid w:val="00A43205"/>
    <w:rsid w:val="00A43345"/>
    <w:rsid w:val="00A4336A"/>
    <w:rsid w:val="00A43462"/>
    <w:rsid w:val="00A43544"/>
    <w:rsid w:val="00A43727"/>
    <w:rsid w:val="00A4373A"/>
    <w:rsid w:val="00A43B3D"/>
    <w:rsid w:val="00A43BD4"/>
    <w:rsid w:val="00A43C46"/>
    <w:rsid w:val="00A43D9A"/>
    <w:rsid w:val="00A43E32"/>
    <w:rsid w:val="00A44146"/>
    <w:rsid w:val="00A44150"/>
    <w:rsid w:val="00A4432B"/>
    <w:rsid w:val="00A44407"/>
    <w:rsid w:val="00A447E6"/>
    <w:rsid w:val="00A44918"/>
    <w:rsid w:val="00A44946"/>
    <w:rsid w:val="00A44998"/>
    <w:rsid w:val="00A449A0"/>
    <w:rsid w:val="00A44A87"/>
    <w:rsid w:val="00A44AD9"/>
    <w:rsid w:val="00A44AFA"/>
    <w:rsid w:val="00A450D4"/>
    <w:rsid w:val="00A4514E"/>
    <w:rsid w:val="00A45274"/>
    <w:rsid w:val="00A45314"/>
    <w:rsid w:val="00A45647"/>
    <w:rsid w:val="00A4579F"/>
    <w:rsid w:val="00A45804"/>
    <w:rsid w:val="00A4588F"/>
    <w:rsid w:val="00A458F2"/>
    <w:rsid w:val="00A45A90"/>
    <w:rsid w:val="00A45A9C"/>
    <w:rsid w:val="00A45B15"/>
    <w:rsid w:val="00A45BAB"/>
    <w:rsid w:val="00A45BDA"/>
    <w:rsid w:val="00A45C31"/>
    <w:rsid w:val="00A45DD6"/>
    <w:rsid w:val="00A4600B"/>
    <w:rsid w:val="00A46019"/>
    <w:rsid w:val="00A46035"/>
    <w:rsid w:val="00A460AB"/>
    <w:rsid w:val="00A46106"/>
    <w:rsid w:val="00A46125"/>
    <w:rsid w:val="00A4616C"/>
    <w:rsid w:val="00A46311"/>
    <w:rsid w:val="00A463AA"/>
    <w:rsid w:val="00A464CB"/>
    <w:rsid w:val="00A46515"/>
    <w:rsid w:val="00A46543"/>
    <w:rsid w:val="00A465FD"/>
    <w:rsid w:val="00A46601"/>
    <w:rsid w:val="00A46687"/>
    <w:rsid w:val="00A466D0"/>
    <w:rsid w:val="00A46756"/>
    <w:rsid w:val="00A468A7"/>
    <w:rsid w:val="00A46998"/>
    <w:rsid w:val="00A469FF"/>
    <w:rsid w:val="00A46A52"/>
    <w:rsid w:val="00A46B02"/>
    <w:rsid w:val="00A46B7A"/>
    <w:rsid w:val="00A46CD7"/>
    <w:rsid w:val="00A46CF5"/>
    <w:rsid w:val="00A46DB6"/>
    <w:rsid w:val="00A46DCD"/>
    <w:rsid w:val="00A47081"/>
    <w:rsid w:val="00A470BE"/>
    <w:rsid w:val="00A470EF"/>
    <w:rsid w:val="00A47158"/>
    <w:rsid w:val="00A47243"/>
    <w:rsid w:val="00A4726C"/>
    <w:rsid w:val="00A472A2"/>
    <w:rsid w:val="00A47381"/>
    <w:rsid w:val="00A473BA"/>
    <w:rsid w:val="00A47545"/>
    <w:rsid w:val="00A47591"/>
    <w:rsid w:val="00A47730"/>
    <w:rsid w:val="00A4778C"/>
    <w:rsid w:val="00A477E6"/>
    <w:rsid w:val="00A4795E"/>
    <w:rsid w:val="00A479EF"/>
    <w:rsid w:val="00A479F0"/>
    <w:rsid w:val="00A47A77"/>
    <w:rsid w:val="00A47A9D"/>
    <w:rsid w:val="00A47B53"/>
    <w:rsid w:val="00A47E35"/>
    <w:rsid w:val="00A47E4E"/>
    <w:rsid w:val="00A47F86"/>
    <w:rsid w:val="00A47FAE"/>
    <w:rsid w:val="00A50005"/>
    <w:rsid w:val="00A50057"/>
    <w:rsid w:val="00A501D5"/>
    <w:rsid w:val="00A502AD"/>
    <w:rsid w:val="00A5038D"/>
    <w:rsid w:val="00A503C0"/>
    <w:rsid w:val="00A503D1"/>
    <w:rsid w:val="00A503D6"/>
    <w:rsid w:val="00A50493"/>
    <w:rsid w:val="00A50505"/>
    <w:rsid w:val="00A505C3"/>
    <w:rsid w:val="00A50676"/>
    <w:rsid w:val="00A506CB"/>
    <w:rsid w:val="00A50818"/>
    <w:rsid w:val="00A508E1"/>
    <w:rsid w:val="00A5095E"/>
    <w:rsid w:val="00A50A54"/>
    <w:rsid w:val="00A50B68"/>
    <w:rsid w:val="00A50C49"/>
    <w:rsid w:val="00A50C9B"/>
    <w:rsid w:val="00A50D86"/>
    <w:rsid w:val="00A50D88"/>
    <w:rsid w:val="00A50DDE"/>
    <w:rsid w:val="00A50EBD"/>
    <w:rsid w:val="00A50FCE"/>
    <w:rsid w:val="00A5100C"/>
    <w:rsid w:val="00A5115B"/>
    <w:rsid w:val="00A5122E"/>
    <w:rsid w:val="00A5123D"/>
    <w:rsid w:val="00A51378"/>
    <w:rsid w:val="00A513E4"/>
    <w:rsid w:val="00A513F9"/>
    <w:rsid w:val="00A517F2"/>
    <w:rsid w:val="00A51816"/>
    <w:rsid w:val="00A5184E"/>
    <w:rsid w:val="00A51AAF"/>
    <w:rsid w:val="00A51C24"/>
    <w:rsid w:val="00A51C6C"/>
    <w:rsid w:val="00A51CD8"/>
    <w:rsid w:val="00A51D35"/>
    <w:rsid w:val="00A51D5F"/>
    <w:rsid w:val="00A51E17"/>
    <w:rsid w:val="00A51ECB"/>
    <w:rsid w:val="00A51EFC"/>
    <w:rsid w:val="00A51FFC"/>
    <w:rsid w:val="00A520AE"/>
    <w:rsid w:val="00A520D2"/>
    <w:rsid w:val="00A52141"/>
    <w:rsid w:val="00A5219F"/>
    <w:rsid w:val="00A521A2"/>
    <w:rsid w:val="00A523C3"/>
    <w:rsid w:val="00A52492"/>
    <w:rsid w:val="00A525F6"/>
    <w:rsid w:val="00A526F3"/>
    <w:rsid w:val="00A5286A"/>
    <w:rsid w:val="00A528B2"/>
    <w:rsid w:val="00A5298C"/>
    <w:rsid w:val="00A529FE"/>
    <w:rsid w:val="00A52AF0"/>
    <w:rsid w:val="00A52B28"/>
    <w:rsid w:val="00A52C95"/>
    <w:rsid w:val="00A52CB0"/>
    <w:rsid w:val="00A52CC2"/>
    <w:rsid w:val="00A52D97"/>
    <w:rsid w:val="00A52DF4"/>
    <w:rsid w:val="00A52E61"/>
    <w:rsid w:val="00A52E6B"/>
    <w:rsid w:val="00A52E7B"/>
    <w:rsid w:val="00A52E95"/>
    <w:rsid w:val="00A52F79"/>
    <w:rsid w:val="00A53029"/>
    <w:rsid w:val="00A53082"/>
    <w:rsid w:val="00A53112"/>
    <w:rsid w:val="00A53190"/>
    <w:rsid w:val="00A531FB"/>
    <w:rsid w:val="00A531FF"/>
    <w:rsid w:val="00A533E7"/>
    <w:rsid w:val="00A53482"/>
    <w:rsid w:val="00A53603"/>
    <w:rsid w:val="00A5365A"/>
    <w:rsid w:val="00A537B9"/>
    <w:rsid w:val="00A53960"/>
    <w:rsid w:val="00A53986"/>
    <w:rsid w:val="00A539A4"/>
    <w:rsid w:val="00A53CBD"/>
    <w:rsid w:val="00A53CF5"/>
    <w:rsid w:val="00A53D15"/>
    <w:rsid w:val="00A53D1C"/>
    <w:rsid w:val="00A53ED5"/>
    <w:rsid w:val="00A540CF"/>
    <w:rsid w:val="00A5420E"/>
    <w:rsid w:val="00A54229"/>
    <w:rsid w:val="00A542B7"/>
    <w:rsid w:val="00A543F4"/>
    <w:rsid w:val="00A5440F"/>
    <w:rsid w:val="00A54470"/>
    <w:rsid w:val="00A5458B"/>
    <w:rsid w:val="00A5462F"/>
    <w:rsid w:val="00A54649"/>
    <w:rsid w:val="00A54654"/>
    <w:rsid w:val="00A54689"/>
    <w:rsid w:val="00A5477B"/>
    <w:rsid w:val="00A54788"/>
    <w:rsid w:val="00A547BC"/>
    <w:rsid w:val="00A5483A"/>
    <w:rsid w:val="00A548E2"/>
    <w:rsid w:val="00A5495B"/>
    <w:rsid w:val="00A54A92"/>
    <w:rsid w:val="00A54AD4"/>
    <w:rsid w:val="00A54BF3"/>
    <w:rsid w:val="00A54FF1"/>
    <w:rsid w:val="00A55113"/>
    <w:rsid w:val="00A5511D"/>
    <w:rsid w:val="00A55155"/>
    <w:rsid w:val="00A5519C"/>
    <w:rsid w:val="00A55242"/>
    <w:rsid w:val="00A55405"/>
    <w:rsid w:val="00A5543B"/>
    <w:rsid w:val="00A55548"/>
    <w:rsid w:val="00A555A1"/>
    <w:rsid w:val="00A557AD"/>
    <w:rsid w:val="00A5585C"/>
    <w:rsid w:val="00A55883"/>
    <w:rsid w:val="00A558F9"/>
    <w:rsid w:val="00A55938"/>
    <w:rsid w:val="00A55965"/>
    <w:rsid w:val="00A55A38"/>
    <w:rsid w:val="00A55A7F"/>
    <w:rsid w:val="00A55BAE"/>
    <w:rsid w:val="00A55E57"/>
    <w:rsid w:val="00A55EAE"/>
    <w:rsid w:val="00A55FE0"/>
    <w:rsid w:val="00A560C1"/>
    <w:rsid w:val="00A563DE"/>
    <w:rsid w:val="00A56447"/>
    <w:rsid w:val="00A566B4"/>
    <w:rsid w:val="00A56720"/>
    <w:rsid w:val="00A567CF"/>
    <w:rsid w:val="00A5689D"/>
    <w:rsid w:val="00A56923"/>
    <w:rsid w:val="00A56B38"/>
    <w:rsid w:val="00A56B9E"/>
    <w:rsid w:val="00A56DA7"/>
    <w:rsid w:val="00A56E4E"/>
    <w:rsid w:val="00A56EC7"/>
    <w:rsid w:val="00A56F6F"/>
    <w:rsid w:val="00A56FDC"/>
    <w:rsid w:val="00A57335"/>
    <w:rsid w:val="00A57336"/>
    <w:rsid w:val="00A57351"/>
    <w:rsid w:val="00A573DD"/>
    <w:rsid w:val="00A5749B"/>
    <w:rsid w:val="00A574F7"/>
    <w:rsid w:val="00A5752B"/>
    <w:rsid w:val="00A575E7"/>
    <w:rsid w:val="00A57662"/>
    <w:rsid w:val="00A57663"/>
    <w:rsid w:val="00A57881"/>
    <w:rsid w:val="00A57B8A"/>
    <w:rsid w:val="00A57B98"/>
    <w:rsid w:val="00A57C92"/>
    <w:rsid w:val="00A57CAA"/>
    <w:rsid w:val="00A57D2C"/>
    <w:rsid w:val="00A57E34"/>
    <w:rsid w:val="00A57E74"/>
    <w:rsid w:val="00A602B2"/>
    <w:rsid w:val="00A60382"/>
    <w:rsid w:val="00A604FF"/>
    <w:rsid w:val="00A6050B"/>
    <w:rsid w:val="00A60651"/>
    <w:rsid w:val="00A606CA"/>
    <w:rsid w:val="00A606F9"/>
    <w:rsid w:val="00A6077C"/>
    <w:rsid w:val="00A60830"/>
    <w:rsid w:val="00A608EB"/>
    <w:rsid w:val="00A609EC"/>
    <w:rsid w:val="00A60A78"/>
    <w:rsid w:val="00A60AD8"/>
    <w:rsid w:val="00A60B06"/>
    <w:rsid w:val="00A60B22"/>
    <w:rsid w:val="00A60B4D"/>
    <w:rsid w:val="00A60B6C"/>
    <w:rsid w:val="00A60B70"/>
    <w:rsid w:val="00A60BE5"/>
    <w:rsid w:val="00A60C3F"/>
    <w:rsid w:val="00A60CBF"/>
    <w:rsid w:val="00A60CF7"/>
    <w:rsid w:val="00A60E4C"/>
    <w:rsid w:val="00A60E9F"/>
    <w:rsid w:val="00A60FAA"/>
    <w:rsid w:val="00A6106C"/>
    <w:rsid w:val="00A610B7"/>
    <w:rsid w:val="00A612A0"/>
    <w:rsid w:val="00A61378"/>
    <w:rsid w:val="00A61497"/>
    <w:rsid w:val="00A614AB"/>
    <w:rsid w:val="00A61612"/>
    <w:rsid w:val="00A61641"/>
    <w:rsid w:val="00A61670"/>
    <w:rsid w:val="00A61687"/>
    <w:rsid w:val="00A6172D"/>
    <w:rsid w:val="00A617C1"/>
    <w:rsid w:val="00A618AF"/>
    <w:rsid w:val="00A61B00"/>
    <w:rsid w:val="00A61B11"/>
    <w:rsid w:val="00A61B1C"/>
    <w:rsid w:val="00A61B20"/>
    <w:rsid w:val="00A61BD1"/>
    <w:rsid w:val="00A61C70"/>
    <w:rsid w:val="00A61C86"/>
    <w:rsid w:val="00A61DD3"/>
    <w:rsid w:val="00A61E6D"/>
    <w:rsid w:val="00A61F08"/>
    <w:rsid w:val="00A6204E"/>
    <w:rsid w:val="00A620C2"/>
    <w:rsid w:val="00A620C6"/>
    <w:rsid w:val="00A620DD"/>
    <w:rsid w:val="00A620FE"/>
    <w:rsid w:val="00A62103"/>
    <w:rsid w:val="00A6220C"/>
    <w:rsid w:val="00A62265"/>
    <w:rsid w:val="00A62358"/>
    <w:rsid w:val="00A623CD"/>
    <w:rsid w:val="00A62417"/>
    <w:rsid w:val="00A62467"/>
    <w:rsid w:val="00A62499"/>
    <w:rsid w:val="00A6262E"/>
    <w:rsid w:val="00A6286D"/>
    <w:rsid w:val="00A62958"/>
    <w:rsid w:val="00A62A1F"/>
    <w:rsid w:val="00A62B41"/>
    <w:rsid w:val="00A62BCB"/>
    <w:rsid w:val="00A62BCD"/>
    <w:rsid w:val="00A62D57"/>
    <w:rsid w:val="00A62DE3"/>
    <w:rsid w:val="00A62E42"/>
    <w:rsid w:val="00A62EA4"/>
    <w:rsid w:val="00A62F56"/>
    <w:rsid w:val="00A633AC"/>
    <w:rsid w:val="00A63492"/>
    <w:rsid w:val="00A634F3"/>
    <w:rsid w:val="00A63611"/>
    <w:rsid w:val="00A6363D"/>
    <w:rsid w:val="00A636DB"/>
    <w:rsid w:val="00A639BF"/>
    <w:rsid w:val="00A63A82"/>
    <w:rsid w:val="00A63AFA"/>
    <w:rsid w:val="00A63B12"/>
    <w:rsid w:val="00A63CBA"/>
    <w:rsid w:val="00A63CD3"/>
    <w:rsid w:val="00A63CEB"/>
    <w:rsid w:val="00A64066"/>
    <w:rsid w:val="00A641B8"/>
    <w:rsid w:val="00A641FE"/>
    <w:rsid w:val="00A642AB"/>
    <w:rsid w:val="00A6430B"/>
    <w:rsid w:val="00A6442C"/>
    <w:rsid w:val="00A64497"/>
    <w:rsid w:val="00A64513"/>
    <w:rsid w:val="00A645F1"/>
    <w:rsid w:val="00A6464D"/>
    <w:rsid w:val="00A6465A"/>
    <w:rsid w:val="00A64701"/>
    <w:rsid w:val="00A647B1"/>
    <w:rsid w:val="00A6487C"/>
    <w:rsid w:val="00A648F9"/>
    <w:rsid w:val="00A6494E"/>
    <w:rsid w:val="00A64A40"/>
    <w:rsid w:val="00A64A71"/>
    <w:rsid w:val="00A64AB4"/>
    <w:rsid w:val="00A64ACB"/>
    <w:rsid w:val="00A64B7D"/>
    <w:rsid w:val="00A64BFC"/>
    <w:rsid w:val="00A64D80"/>
    <w:rsid w:val="00A64E6C"/>
    <w:rsid w:val="00A64ED1"/>
    <w:rsid w:val="00A64ED5"/>
    <w:rsid w:val="00A64F31"/>
    <w:rsid w:val="00A64F9D"/>
    <w:rsid w:val="00A64FB0"/>
    <w:rsid w:val="00A6509D"/>
    <w:rsid w:val="00A650F5"/>
    <w:rsid w:val="00A65143"/>
    <w:rsid w:val="00A651A0"/>
    <w:rsid w:val="00A652EC"/>
    <w:rsid w:val="00A6585D"/>
    <w:rsid w:val="00A65894"/>
    <w:rsid w:val="00A658E0"/>
    <w:rsid w:val="00A65A1B"/>
    <w:rsid w:val="00A65B43"/>
    <w:rsid w:val="00A65CD3"/>
    <w:rsid w:val="00A65D86"/>
    <w:rsid w:val="00A65F7F"/>
    <w:rsid w:val="00A66139"/>
    <w:rsid w:val="00A661CF"/>
    <w:rsid w:val="00A66509"/>
    <w:rsid w:val="00A665AD"/>
    <w:rsid w:val="00A665D7"/>
    <w:rsid w:val="00A66626"/>
    <w:rsid w:val="00A667CA"/>
    <w:rsid w:val="00A667D8"/>
    <w:rsid w:val="00A66961"/>
    <w:rsid w:val="00A66985"/>
    <w:rsid w:val="00A669BF"/>
    <w:rsid w:val="00A669D8"/>
    <w:rsid w:val="00A66AEA"/>
    <w:rsid w:val="00A66B14"/>
    <w:rsid w:val="00A66C9F"/>
    <w:rsid w:val="00A66D5D"/>
    <w:rsid w:val="00A66DF7"/>
    <w:rsid w:val="00A66E09"/>
    <w:rsid w:val="00A66EED"/>
    <w:rsid w:val="00A66F37"/>
    <w:rsid w:val="00A66F94"/>
    <w:rsid w:val="00A670AA"/>
    <w:rsid w:val="00A67163"/>
    <w:rsid w:val="00A674F5"/>
    <w:rsid w:val="00A675B9"/>
    <w:rsid w:val="00A676F5"/>
    <w:rsid w:val="00A6772E"/>
    <w:rsid w:val="00A67768"/>
    <w:rsid w:val="00A677E5"/>
    <w:rsid w:val="00A6784E"/>
    <w:rsid w:val="00A678BC"/>
    <w:rsid w:val="00A678F9"/>
    <w:rsid w:val="00A679C6"/>
    <w:rsid w:val="00A679EE"/>
    <w:rsid w:val="00A67A2C"/>
    <w:rsid w:val="00A67C16"/>
    <w:rsid w:val="00A67D35"/>
    <w:rsid w:val="00A67E31"/>
    <w:rsid w:val="00A67E4D"/>
    <w:rsid w:val="00A67E78"/>
    <w:rsid w:val="00A67F36"/>
    <w:rsid w:val="00A67F78"/>
    <w:rsid w:val="00A67FB2"/>
    <w:rsid w:val="00A7003F"/>
    <w:rsid w:val="00A700BA"/>
    <w:rsid w:val="00A700BC"/>
    <w:rsid w:val="00A700DE"/>
    <w:rsid w:val="00A701A6"/>
    <w:rsid w:val="00A7026E"/>
    <w:rsid w:val="00A702F9"/>
    <w:rsid w:val="00A70599"/>
    <w:rsid w:val="00A705E9"/>
    <w:rsid w:val="00A7066A"/>
    <w:rsid w:val="00A7066D"/>
    <w:rsid w:val="00A706D2"/>
    <w:rsid w:val="00A706DB"/>
    <w:rsid w:val="00A70755"/>
    <w:rsid w:val="00A708D4"/>
    <w:rsid w:val="00A7090A"/>
    <w:rsid w:val="00A70A17"/>
    <w:rsid w:val="00A70A66"/>
    <w:rsid w:val="00A70AEF"/>
    <w:rsid w:val="00A70E4B"/>
    <w:rsid w:val="00A70E86"/>
    <w:rsid w:val="00A70F12"/>
    <w:rsid w:val="00A70F88"/>
    <w:rsid w:val="00A71047"/>
    <w:rsid w:val="00A7111C"/>
    <w:rsid w:val="00A711F8"/>
    <w:rsid w:val="00A71284"/>
    <w:rsid w:val="00A71286"/>
    <w:rsid w:val="00A71314"/>
    <w:rsid w:val="00A71407"/>
    <w:rsid w:val="00A714C6"/>
    <w:rsid w:val="00A714CB"/>
    <w:rsid w:val="00A71501"/>
    <w:rsid w:val="00A71521"/>
    <w:rsid w:val="00A718BB"/>
    <w:rsid w:val="00A718C5"/>
    <w:rsid w:val="00A71903"/>
    <w:rsid w:val="00A719FD"/>
    <w:rsid w:val="00A71AE4"/>
    <w:rsid w:val="00A71BE3"/>
    <w:rsid w:val="00A71DF0"/>
    <w:rsid w:val="00A71E82"/>
    <w:rsid w:val="00A71F3D"/>
    <w:rsid w:val="00A72089"/>
    <w:rsid w:val="00A721F6"/>
    <w:rsid w:val="00A72227"/>
    <w:rsid w:val="00A72267"/>
    <w:rsid w:val="00A72323"/>
    <w:rsid w:val="00A7236C"/>
    <w:rsid w:val="00A72432"/>
    <w:rsid w:val="00A72712"/>
    <w:rsid w:val="00A7275D"/>
    <w:rsid w:val="00A727C1"/>
    <w:rsid w:val="00A72865"/>
    <w:rsid w:val="00A728FD"/>
    <w:rsid w:val="00A72960"/>
    <w:rsid w:val="00A72994"/>
    <w:rsid w:val="00A72A0F"/>
    <w:rsid w:val="00A72B5C"/>
    <w:rsid w:val="00A72BEC"/>
    <w:rsid w:val="00A72D8F"/>
    <w:rsid w:val="00A72DEB"/>
    <w:rsid w:val="00A72E94"/>
    <w:rsid w:val="00A72EDB"/>
    <w:rsid w:val="00A72EED"/>
    <w:rsid w:val="00A72F0E"/>
    <w:rsid w:val="00A730D3"/>
    <w:rsid w:val="00A730FC"/>
    <w:rsid w:val="00A7316D"/>
    <w:rsid w:val="00A731B3"/>
    <w:rsid w:val="00A732A1"/>
    <w:rsid w:val="00A732A2"/>
    <w:rsid w:val="00A73598"/>
    <w:rsid w:val="00A735B3"/>
    <w:rsid w:val="00A7360C"/>
    <w:rsid w:val="00A73821"/>
    <w:rsid w:val="00A738A3"/>
    <w:rsid w:val="00A73AE1"/>
    <w:rsid w:val="00A73B03"/>
    <w:rsid w:val="00A73BCE"/>
    <w:rsid w:val="00A73CD1"/>
    <w:rsid w:val="00A73E0B"/>
    <w:rsid w:val="00A74099"/>
    <w:rsid w:val="00A741D0"/>
    <w:rsid w:val="00A74241"/>
    <w:rsid w:val="00A743DF"/>
    <w:rsid w:val="00A7477D"/>
    <w:rsid w:val="00A7478F"/>
    <w:rsid w:val="00A74808"/>
    <w:rsid w:val="00A7480A"/>
    <w:rsid w:val="00A74814"/>
    <w:rsid w:val="00A74815"/>
    <w:rsid w:val="00A74938"/>
    <w:rsid w:val="00A749B1"/>
    <w:rsid w:val="00A749BA"/>
    <w:rsid w:val="00A74A7C"/>
    <w:rsid w:val="00A74AC6"/>
    <w:rsid w:val="00A74B19"/>
    <w:rsid w:val="00A74B45"/>
    <w:rsid w:val="00A74BF4"/>
    <w:rsid w:val="00A74C39"/>
    <w:rsid w:val="00A74C3C"/>
    <w:rsid w:val="00A74C6A"/>
    <w:rsid w:val="00A74C98"/>
    <w:rsid w:val="00A74E80"/>
    <w:rsid w:val="00A74F81"/>
    <w:rsid w:val="00A75111"/>
    <w:rsid w:val="00A75159"/>
    <w:rsid w:val="00A75163"/>
    <w:rsid w:val="00A7516B"/>
    <w:rsid w:val="00A75395"/>
    <w:rsid w:val="00A753B7"/>
    <w:rsid w:val="00A753CD"/>
    <w:rsid w:val="00A75403"/>
    <w:rsid w:val="00A7549A"/>
    <w:rsid w:val="00A7555C"/>
    <w:rsid w:val="00A75636"/>
    <w:rsid w:val="00A757BB"/>
    <w:rsid w:val="00A75803"/>
    <w:rsid w:val="00A75812"/>
    <w:rsid w:val="00A75A35"/>
    <w:rsid w:val="00A75B0C"/>
    <w:rsid w:val="00A75B0E"/>
    <w:rsid w:val="00A75B34"/>
    <w:rsid w:val="00A75BAC"/>
    <w:rsid w:val="00A75BE3"/>
    <w:rsid w:val="00A75EEC"/>
    <w:rsid w:val="00A75F20"/>
    <w:rsid w:val="00A75F68"/>
    <w:rsid w:val="00A75FD5"/>
    <w:rsid w:val="00A76020"/>
    <w:rsid w:val="00A7614B"/>
    <w:rsid w:val="00A761BC"/>
    <w:rsid w:val="00A761D8"/>
    <w:rsid w:val="00A761EA"/>
    <w:rsid w:val="00A76433"/>
    <w:rsid w:val="00A76494"/>
    <w:rsid w:val="00A766E9"/>
    <w:rsid w:val="00A76717"/>
    <w:rsid w:val="00A7675F"/>
    <w:rsid w:val="00A76793"/>
    <w:rsid w:val="00A7686D"/>
    <w:rsid w:val="00A7689C"/>
    <w:rsid w:val="00A76CF4"/>
    <w:rsid w:val="00A76D48"/>
    <w:rsid w:val="00A76F5B"/>
    <w:rsid w:val="00A76F68"/>
    <w:rsid w:val="00A76FF5"/>
    <w:rsid w:val="00A7706E"/>
    <w:rsid w:val="00A771EA"/>
    <w:rsid w:val="00A7720E"/>
    <w:rsid w:val="00A7730D"/>
    <w:rsid w:val="00A77376"/>
    <w:rsid w:val="00A773B0"/>
    <w:rsid w:val="00A773F7"/>
    <w:rsid w:val="00A77546"/>
    <w:rsid w:val="00A77590"/>
    <w:rsid w:val="00A775EB"/>
    <w:rsid w:val="00A775FA"/>
    <w:rsid w:val="00A776B3"/>
    <w:rsid w:val="00A776D2"/>
    <w:rsid w:val="00A7773E"/>
    <w:rsid w:val="00A77766"/>
    <w:rsid w:val="00A777BB"/>
    <w:rsid w:val="00A778C2"/>
    <w:rsid w:val="00A77A5B"/>
    <w:rsid w:val="00A77A81"/>
    <w:rsid w:val="00A77A9D"/>
    <w:rsid w:val="00A77AC6"/>
    <w:rsid w:val="00A77B5D"/>
    <w:rsid w:val="00A77BEE"/>
    <w:rsid w:val="00A77CA7"/>
    <w:rsid w:val="00A77E7E"/>
    <w:rsid w:val="00A77E9A"/>
    <w:rsid w:val="00A77F4D"/>
    <w:rsid w:val="00A77F4F"/>
    <w:rsid w:val="00A77F8C"/>
    <w:rsid w:val="00A80115"/>
    <w:rsid w:val="00A802A9"/>
    <w:rsid w:val="00A802AC"/>
    <w:rsid w:val="00A8031D"/>
    <w:rsid w:val="00A8041E"/>
    <w:rsid w:val="00A80432"/>
    <w:rsid w:val="00A8043A"/>
    <w:rsid w:val="00A8046F"/>
    <w:rsid w:val="00A8057F"/>
    <w:rsid w:val="00A805DC"/>
    <w:rsid w:val="00A806DF"/>
    <w:rsid w:val="00A80742"/>
    <w:rsid w:val="00A807C3"/>
    <w:rsid w:val="00A8082B"/>
    <w:rsid w:val="00A808E1"/>
    <w:rsid w:val="00A80AA9"/>
    <w:rsid w:val="00A80ADD"/>
    <w:rsid w:val="00A80DC2"/>
    <w:rsid w:val="00A80E95"/>
    <w:rsid w:val="00A81013"/>
    <w:rsid w:val="00A81025"/>
    <w:rsid w:val="00A81096"/>
    <w:rsid w:val="00A810B1"/>
    <w:rsid w:val="00A810EA"/>
    <w:rsid w:val="00A811D5"/>
    <w:rsid w:val="00A8129E"/>
    <w:rsid w:val="00A8138D"/>
    <w:rsid w:val="00A815FC"/>
    <w:rsid w:val="00A81609"/>
    <w:rsid w:val="00A81685"/>
    <w:rsid w:val="00A81886"/>
    <w:rsid w:val="00A818F3"/>
    <w:rsid w:val="00A81A69"/>
    <w:rsid w:val="00A81A6F"/>
    <w:rsid w:val="00A81AB7"/>
    <w:rsid w:val="00A81B0B"/>
    <w:rsid w:val="00A81C0B"/>
    <w:rsid w:val="00A81D63"/>
    <w:rsid w:val="00A81D97"/>
    <w:rsid w:val="00A81FB5"/>
    <w:rsid w:val="00A820CD"/>
    <w:rsid w:val="00A82192"/>
    <w:rsid w:val="00A82228"/>
    <w:rsid w:val="00A822C4"/>
    <w:rsid w:val="00A82410"/>
    <w:rsid w:val="00A8250B"/>
    <w:rsid w:val="00A82533"/>
    <w:rsid w:val="00A8262E"/>
    <w:rsid w:val="00A8276C"/>
    <w:rsid w:val="00A82828"/>
    <w:rsid w:val="00A82A8F"/>
    <w:rsid w:val="00A82E8E"/>
    <w:rsid w:val="00A82E94"/>
    <w:rsid w:val="00A82F86"/>
    <w:rsid w:val="00A832AF"/>
    <w:rsid w:val="00A83308"/>
    <w:rsid w:val="00A8333C"/>
    <w:rsid w:val="00A8337F"/>
    <w:rsid w:val="00A83433"/>
    <w:rsid w:val="00A83486"/>
    <w:rsid w:val="00A835C4"/>
    <w:rsid w:val="00A83A57"/>
    <w:rsid w:val="00A83B3E"/>
    <w:rsid w:val="00A83C00"/>
    <w:rsid w:val="00A83CC2"/>
    <w:rsid w:val="00A83D85"/>
    <w:rsid w:val="00A83DA5"/>
    <w:rsid w:val="00A83E37"/>
    <w:rsid w:val="00A83E53"/>
    <w:rsid w:val="00A83E6C"/>
    <w:rsid w:val="00A83E7B"/>
    <w:rsid w:val="00A83EB1"/>
    <w:rsid w:val="00A83FB3"/>
    <w:rsid w:val="00A84059"/>
    <w:rsid w:val="00A842A0"/>
    <w:rsid w:val="00A84350"/>
    <w:rsid w:val="00A8437C"/>
    <w:rsid w:val="00A84427"/>
    <w:rsid w:val="00A84512"/>
    <w:rsid w:val="00A845A5"/>
    <w:rsid w:val="00A846EC"/>
    <w:rsid w:val="00A847B4"/>
    <w:rsid w:val="00A8495B"/>
    <w:rsid w:val="00A849DC"/>
    <w:rsid w:val="00A849F1"/>
    <w:rsid w:val="00A84B71"/>
    <w:rsid w:val="00A84B96"/>
    <w:rsid w:val="00A84BA4"/>
    <w:rsid w:val="00A84BE1"/>
    <w:rsid w:val="00A84C0E"/>
    <w:rsid w:val="00A84CC2"/>
    <w:rsid w:val="00A84E31"/>
    <w:rsid w:val="00A84F57"/>
    <w:rsid w:val="00A850E9"/>
    <w:rsid w:val="00A851AB"/>
    <w:rsid w:val="00A851C6"/>
    <w:rsid w:val="00A85249"/>
    <w:rsid w:val="00A852D0"/>
    <w:rsid w:val="00A8530A"/>
    <w:rsid w:val="00A854CD"/>
    <w:rsid w:val="00A854F2"/>
    <w:rsid w:val="00A855F9"/>
    <w:rsid w:val="00A85854"/>
    <w:rsid w:val="00A8598C"/>
    <w:rsid w:val="00A859C2"/>
    <w:rsid w:val="00A859EC"/>
    <w:rsid w:val="00A85A34"/>
    <w:rsid w:val="00A85B93"/>
    <w:rsid w:val="00A85D38"/>
    <w:rsid w:val="00A85DC4"/>
    <w:rsid w:val="00A85E21"/>
    <w:rsid w:val="00A85E71"/>
    <w:rsid w:val="00A85E8C"/>
    <w:rsid w:val="00A85EAE"/>
    <w:rsid w:val="00A860D4"/>
    <w:rsid w:val="00A86104"/>
    <w:rsid w:val="00A86249"/>
    <w:rsid w:val="00A862E3"/>
    <w:rsid w:val="00A8630C"/>
    <w:rsid w:val="00A863A7"/>
    <w:rsid w:val="00A86438"/>
    <w:rsid w:val="00A865A5"/>
    <w:rsid w:val="00A86617"/>
    <w:rsid w:val="00A8672A"/>
    <w:rsid w:val="00A86788"/>
    <w:rsid w:val="00A8680A"/>
    <w:rsid w:val="00A86814"/>
    <w:rsid w:val="00A86932"/>
    <w:rsid w:val="00A8694D"/>
    <w:rsid w:val="00A86A40"/>
    <w:rsid w:val="00A86A9F"/>
    <w:rsid w:val="00A86AC8"/>
    <w:rsid w:val="00A86B88"/>
    <w:rsid w:val="00A86C95"/>
    <w:rsid w:val="00A86CE9"/>
    <w:rsid w:val="00A86D70"/>
    <w:rsid w:val="00A86DB4"/>
    <w:rsid w:val="00A86ED6"/>
    <w:rsid w:val="00A86F37"/>
    <w:rsid w:val="00A87059"/>
    <w:rsid w:val="00A871ED"/>
    <w:rsid w:val="00A871F7"/>
    <w:rsid w:val="00A872E4"/>
    <w:rsid w:val="00A8735C"/>
    <w:rsid w:val="00A87489"/>
    <w:rsid w:val="00A874CB"/>
    <w:rsid w:val="00A875AA"/>
    <w:rsid w:val="00A877A8"/>
    <w:rsid w:val="00A877E5"/>
    <w:rsid w:val="00A8787D"/>
    <w:rsid w:val="00A878C6"/>
    <w:rsid w:val="00A87C36"/>
    <w:rsid w:val="00A87C44"/>
    <w:rsid w:val="00A87D35"/>
    <w:rsid w:val="00A87E6B"/>
    <w:rsid w:val="00A87E94"/>
    <w:rsid w:val="00A87EBD"/>
    <w:rsid w:val="00A87F57"/>
    <w:rsid w:val="00A87F91"/>
    <w:rsid w:val="00A87FF8"/>
    <w:rsid w:val="00A902A7"/>
    <w:rsid w:val="00A9032B"/>
    <w:rsid w:val="00A903E8"/>
    <w:rsid w:val="00A90449"/>
    <w:rsid w:val="00A904F6"/>
    <w:rsid w:val="00A9062A"/>
    <w:rsid w:val="00A90665"/>
    <w:rsid w:val="00A90876"/>
    <w:rsid w:val="00A908F9"/>
    <w:rsid w:val="00A90CAB"/>
    <w:rsid w:val="00A90CC8"/>
    <w:rsid w:val="00A90CCE"/>
    <w:rsid w:val="00A90D3B"/>
    <w:rsid w:val="00A90D9F"/>
    <w:rsid w:val="00A911AA"/>
    <w:rsid w:val="00A912C4"/>
    <w:rsid w:val="00A912DE"/>
    <w:rsid w:val="00A912FD"/>
    <w:rsid w:val="00A9133F"/>
    <w:rsid w:val="00A91350"/>
    <w:rsid w:val="00A913E7"/>
    <w:rsid w:val="00A916AC"/>
    <w:rsid w:val="00A916C1"/>
    <w:rsid w:val="00A916EA"/>
    <w:rsid w:val="00A917DD"/>
    <w:rsid w:val="00A918A4"/>
    <w:rsid w:val="00A91914"/>
    <w:rsid w:val="00A91A58"/>
    <w:rsid w:val="00A91A78"/>
    <w:rsid w:val="00A91F0A"/>
    <w:rsid w:val="00A91F1E"/>
    <w:rsid w:val="00A92008"/>
    <w:rsid w:val="00A9218B"/>
    <w:rsid w:val="00A921B2"/>
    <w:rsid w:val="00A922E7"/>
    <w:rsid w:val="00A92423"/>
    <w:rsid w:val="00A925F7"/>
    <w:rsid w:val="00A9264F"/>
    <w:rsid w:val="00A92788"/>
    <w:rsid w:val="00A927FA"/>
    <w:rsid w:val="00A92942"/>
    <w:rsid w:val="00A92A66"/>
    <w:rsid w:val="00A92A6D"/>
    <w:rsid w:val="00A92ACA"/>
    <w:rsid w:val="00A92AFA"/>
    <w:rsid w:val="00A92B6E"/>
    <w:rsid w:val="00A92E54"/>
    <w:rsid w:val="00A93000"/>
    <w:rsid w:val="00A93092"/>
    <w:rsid w:val="00A93390"/>
    <w:rsid w:val="00A93401"/>
    <w:rsid w:val="00A9340B"/>
    <w:rsid w:val="00A9356C"/>
    <w:rsid w:val="00A935C5"/>
    <w:rsid w:val="00A93931"/>
    <w:rsid w:val="00A9393E"/>
    <w:rsid w:val="00A9393F"/>
    <w:rsid w:val="00A939A9"/>
    <w:rsid w:val="00A939E1"/>
    <w:rsid w:val="00A93A39"/>
    <w:rsid w:val="00A93AAD"/>
    <w:rsid w:val="00A93B20"/>
    <w:rsid w:val="00A93C0D"/>
    <w:rsid w:val="00A93D78"/>
    <w:rsid w:val="00A93F24"/>
    <w:rsid w:val="00A93F32"/>
    <w:rsid w:val="00A941B0"/>
    <w:rsid w:val="00A941B4"/>
    <w:rsid w:val="00A94265"/>
    <w:rsid w:val="00A94446"/>
    <w:rsid w:val="00A944AF"/>
    <w:rsid w:val="00A94596"/>
    <w:rsid w:val="00A9475D"/>
    <w:rsid w:val="00A94AF6"/>
    <w:rsid w:val="00A94BF5"/>
    <w:rsid w:val="00A94D20"/>
    <w:rsid w:val="00A94D87"/>
    <w:rsid w:val="00A94DE6"/>
    <w:rsid w:val="00A94E2E"/>
    <w:rsid w:val="00A95059"/>
    <w:rsid w:val="00A95106"/>
    <w:rsid w:val="00A95163"/>
    <w:rsid w:val="00A9520D"/>
    <w:rsid w:val="00A952F3"/>
    <w:rsid w:val="00A95345"/>
    <w:rsid w:val="00A95347"/>
    <w:rsid w:val="00A95363"/>
    <w:rsid w:val="00A95390"/>
    <w:rsid w:val="00A9544A"/>
    <w:rsid w:val="00A954F7"/>
    <w:rsid w:val="00A9559D"/>
    <w:rsid w:val="00A95755"/>
    <w:rsid w:val="00A958C7"/>
    <w:rsid w:val="00A95922"/>
    <w:rsid w:val="00A95AE5"/>
    <w:rsid w:val="00A95AFE"/>
    <w:rsid w:val="00A95B78"/>
    <w:rsid w:val="00A95B7C"/>
    <w:rsid w:val="00A95C84"/>
    <w:rsid w:val="00A95DC6"/>
    <w:rsid w:val="00A95F1E"/>
    <w:rsid w:val="00A95F33"/>
    <w:rsid w:val="00A95FB8"/>
    <w:rsid w:val="00A96002"/>
    <w:rsid w:val="00A9601C"/>
    <w:rsid w:val="00A9614E"/>
    <w:rsid w:val="00A96238"/>
    <w:rsid w:val="00A96302"/>
    <w:rsid w:val="00A96364"/>
    <w:rsid w:val="00A9639B"/>
    <w:rsid w:val="00A96434"/>
    <w:rsid w:val="00A96461"/>
    <w:rsid w:val="00A9654C"/>
    <w:rsid w:val="00A965DF"/>
    <w:rsid w:val="00A96631"/>
    <w:rsid w:val="00A966D3"/>
    <w:rsid w:val="00A967AC"/>
    <w:rsid w:val="00A96821"/>
    <w:rsid w:val="00A9683F"/>
    <w:rsid w:val="00A96A4C"/>
    <w:rsid w:val="00A96BAD"/>
    <w:rsid w:val="00A96C78"/>
    <w:rsid w:val="00A96DA6"/>
    <w:rsid w:val="00A96E9B"/>
    <w:rsid w:val="00A97009"/>
    <w:rsid w:val="00A970E4"/>
    <w:rsid w:val="00A97148"/>
    <w:rsid w:val="00A9714D"/>
    <w:rsid w:val="00A9715B"/>
    <w:rsid w:val="00A97160"/>
    <w:rsid w:val="00A97221"/>
    <w:rsid w:val="00A9722E"/>
    <w:rsid w:val="00A975FF"/>
    <w:rsid w:val="00A97762"/>
    <w:rsid w:val="00A97893"/>
    <w:rsid w:val="00A9799F"/>
    <w:rsid w:val="00A97C1E"/>
    <w:rsid w:val="00A97C93"/>
    <w:rsid w:val="00A97CBE"/>
    <w:rsid w:val="00A97E13"/>
    <w:rsid w:val="00A97E50"/>
    <w:rsid w:val="00A97E54"/>
    <w:rsid w:val="00A97EA6"/>
    <w:rsid w:val="00A97EDB"/>
    <w:rsid w:val="00A97EF7"/>
    <w:rsid w:val="00A97FFC"/>
    <w:rsid w:val="00AA00C7"/>
    <w:rsid w:val="00AA00DD"/>
    <w:rsid w:val="00AA00F4"/>
    <w:rsid w:val="00AA0206"/>
    <w:rsid w:val="00AA03E2"/>
    <w:rsid w:val="00AA0437"/>
    <w:rsid w:val="00AA0497"/>
    <w:rsid w:val="00AA04CE"/>
    <w:rsid w:val="00AA0532"/>
    <w:rsid w:val="00AA053A"/>
    <w:rsid w:val="00AA05BF"/>
    <w:rsid w:val="00AA0754"/>
    <w:rsid w:val="00AA0790"/>
    <w:rsid w:val="00AA09EE"/>
    <w:rsid w:val="00AA0B74"/>
    <w:rsid w:val="00AA0BEE"/>
    <w:rsid w:val="00AA0BFF"/>
    <w:rsid w:val="00AA0C26"/>
    <w:rsid w:val="00AA0C62"/>
    <w:rsid w:val="00AA10EE"/>
    <w:rsid w:val="00AA110A"/>
    <w:rsid w:val="00AA1128"/>
    <w:rsid w:val="00AA11D5"/>
    <w:rsid w:val="00AA123B"/>
    <w:rsid w:val="00AA1340"/>
    <w:rsid w:val="00AA14D2"/>
    <w:rsid w:val="00AA14E8"/>
    <w:rsid w:val="00AA153B"/>
    <w:rsid w:val="00AA181F"/>
    <w:rsid w:val="00AA1BCF"/>
    <w:rsid w:val="00AA1BDC"/>
    <w:rsid w:val="00AA1CD0"/>
    <w:rsid w:val="00AA1D9E"/>
    <w:rsid w:val="00AA1F64"/>
    <w:rsid w:val="00AA1F99"/>
    <w:rsid w:val="00AA1FE8"/>
    <w:rsid w:val="00AA209B"/>
    <w:rsid w:val="00AA212E"/>
    <w:rsid w:val="00AA2134"/>
    <w:rsid w:val="00AA2391"/>
    <w:rsid w:val="00AA25E0"/>
    <w:rsid w:val="00AA2786"/>
    <w:rsid w:val="00AA297F"/>
    <w:rsid w:val="00AA2A38"/>
    <w:rsid w:val="00AA2A65"/>
    <w:rsid w:val="00AA2A83"/>
    <w:rsid w:val="00AA2B01"/>
    <w:rsid w:val="00AA2B04"/>
    <w:rsid w:val="00AA2B16"/>
    <w:rsid w:val="00AA2B2B"/>
    <w:rsid w:val="00AA2C06"/>
    <w:rsid w:val="00AA2CA0"/>
    <w:rsid w:val="00AA2CA4"/>
    <w:rsid w:val="00AA2CC5"/>
    <w:rsid w:val="00AA2DCF"/>
    <w:rsid w:val="00AA2E69"/>
    <w:rsid w:val="00AA2F55"/>
    <w:rsid w:val="00AA2FB8"/>
    <w:rsid w:val="00AA2FF2"/>
    <w:rsid w:val="00AA3042"/>
    <w:rsid w:val="00AA304E"/>
    <w:rsid w:val="00AA3180"/>
    <w:rsid w:val="00AA3313"/>
    <w:rsid w:val="00AA342E"/>
    <w:rsid w:val="00AA344F"/>
    <w:rsid w:val="00AA345A"/>
    <w:rsid w:val="00AA34C3"/>
    <w:rsid w:val="00AA3629"/>
    <w:rsid w:val="00AA364B"/>
    <w:rsid w:val="00AA3695"/>
    <w:rsid w:val="00AA36E5"/>
    <w:rsid w:val="00AA374B"/>
    <w:rsid w:val="00AA3752"/>
    <w:rsid w:val="00AA3815"/>
    <w:rsid w:val="00AA39BF"/>
    <w:rsid w:val="00AA3BB0"/>
    <w:rsid w:val="00AA3BFD"/>
    <w:rsid w:val="00AA3C01"/>
    <w:rsid w:val="00AA3CAF"/>
    <w:rsid w:val="00AA3E0E"/>
    <w:rsid w:val="00AA3FB3"/>
    <w:rsid w:val="00AA4184"/>
    <w:rsid w:val="00AA418E"/>
    <w:rsid w:val="00AA41A5"/>
    <w:rsid w:val="00AA41DE"/>
    <w:rsid w:val="00AA4252"/>
    <w:rsid w:val="00AA42A2"/>
    <w:rsid w:val="00AA42C9"/>
    <w:rsid w:val="00AA4314"/>
    <w:rsid w:val="00AA447B"/>
    <w:rsid w:val="00AA4614"/>
    <w:rsid w:val="00AA46C9"/>
    <w:rsid w:val="00AA473A"/>
    <w:rsid w:val="00AA4819"/>
    <w:rsid w:val="00AA481F"/>
    <w:rsid w:val="00AA4840"/>
    <w:rsid w:val="00AA4957"/>
    <w:rsid w:val="00AA4A7A"/>
    <w:rsid w:val="00AA4A7C"/>
    <w:rsid w:val="00AA4B9A"/>
    <w:rsid w:val="00AA4CEB"/>
    <w:rsid w:val="00AA4DD6"/>
    <w:rsid w:val="00AA4E34"/>
    <w:rsid w:val="00AA4F39"/>
    <w:rsid w:val="00AA4F53"/>
    <w:rsid w:val="00AA5135"/>
    <w:rsid w:val="00AA5293"/>
    <w:rsid w:val="00AA52C0"/>
    <w:rsid w:val="00AA54DA"/>
    <w:rsid w:val="00AA54DD"/>
    <w:rsid w:val="00AA54E6"/>
    <w:rsid w:val="00AA55B8"/>
    <w:rsid w:val="00AA55D0"/>
    <w:rsid w:val="00AA5683"/>
    <w:rsid w:val="00AA5789"/>
    <w:rsid w:val="00AA58C2"/>
    <w:rsid w:val="00AA58C3"/>
    <w:rsid w:val="00AA5941"/>
    <w:rsid w:val="00AA596C"/>
    <w:rsid w:val="00AA59FA"/>
    <w:rsid w:val="00AA5AAE"/>
    <w:rsid w:val="00AA5B6A"/>
    <w:rsid w:val="00AA5D6A"/>
    <w:rsid w:val="00AA5EAB"/>
    <w:rsid w:val="00AA5EBF"/>
    <w:rsid w:val="00AA5EE8"/>
    <w:rsid w:val="00AA602A"/>
    <w:rsid w:val="00AA6068"/>
    <w:rsid w:val="00AA6085"/>
    <w:rsid w:val="00AA612A"/>
    <w:rsid w:val="00AA614E"/>
    <w:rsid w:val="00AA6232"/>
    <w:rsid w:val="00AA6268"/>
    <w:rsid w:val="00AA6303"/>
    <w:rsid w:val="00AA63D0"/>
    <w:rsid w:val="00AA6422"/>
    <w:rsid w:val="00AA6709"/>
    <w:rsid w:val="00AA67F8"/>
    <w:rsid w:val="00AA6841"/>
    <w:rsid w:val="00AA6B1A"/>
    <w:rsid w:val="00AA6BD4"/>
    <w:rsid w:val="00AA6CE3"/>
    <w:rsid w:val="00AA6CEB"/>
    <w:rsid w:val="00AA6D47"/>
    <w:rsid w:val="00AA6D9F"/>
    <w:rsid w:val="00AA7059"/>
    <w:rsid w:val="00AA744F"/>
    <w:rsid w:val="00AA74DF"/>
    <w:rsid w:val="00AA754F"/>
    <w:rsid w:val="00AA75B3"/>
    <w:rsid w:val="00AA75F0"/>
    <w:rsid w:val="00AA778E"/>
    <w:rsid w:val="00AA77F6"/>
    <w:rsid w:val="00AA7A3F"/>
    <w:rsid w:val="00AA7CA4"/>
    <w:rsid w:val="00AA7D95"/>
    <w:rsid w:val="00AA7E21"/>
    <w:rsid w:val="00AA7E39"/>
    <w:rsid w:val="00AA7F4B"/>
    <w:rsid w:val="00AA7F4E"/>
    <w:rsid w:val="00AA7F51"/>
    <w:rsid w:val="00AA7F6B"/>
    <w:rsid w:val="00AB003D"/>
    <w:rsid w:val="00AB0241"/>
    <w:rsid w:val="00AB056A"/>
    <w:rsid w:val="00AB05B1"/>
    <w:rsid w:val="00AB069E"/>
    <w:rsid w:val="00AB072F"/>
    <w:rsid w:val="00AB07B0"/>
    <w:rsid w:val="00AB089A"/>
    <w:rsid w:val="00AB0A8C"/>
    <w:rsid w:val="00AB0B34"/>
    <w:rsid w:val="00AB0C34"/>
    <w:rsid w:val="00AB0D60"/>
    <w:rsid w:val="00AB0E46"/>
    <w:rsid w:val="00AB0E65"/>
    <w:rsid w:val="00AB0E8D"/>
    <w:rsid w:val="00AB0FC9"/>
    <w:rsid w:val="00AB100D"/>
    <w:rsid w:val="00AB1116"/>
    <w:rsid w:val="00AB115F"/>
    <w:rsid w:val="00AB1194"/>
    <w:rsid w:val="00AB11DD"/>
    <w:rsid w:val="00AB1244"/>
    <w:rsid w:val="00AB1263"/>
    <w:rsid w:val="00AB1296"/>
    <w:rsid w:val="00AB1316"/>
    <w:rsid w:val="00AB15F4"/>
    <w:rsid w:val="00AB1656"/>
    <w:rsid w:val="00AB17AA"/>
    <w:rsid w:val="00AB182C"/>
    <w:rsid w:val="00AB1885"/>
    <w:rsid w:val="00AB1966"/>
    <w:rsid w:val="00AB19C9"/>
    <w:rsid w:val="00AB1A19"/>
    <w:rsid w:val="00AB1A45"/>
    <w:rsid w:val="00AB1A8A"/>
    <w:rsid w:val="00AB1B6F"/>
    <w:rsid w:val="00AB1D79"/>
    <w:rsid w:val="00AB1E8B"/>
    <w:rsid w:val="00AB200A"/>
    <w:rsid w:val="00AB21A8"/>
    <w:rsid w:val="00AB21FA"/>
    <w:rsid w:val="00AB236D"/>
    <w:rsid w:val="00AB23CA"/>
    <w:rsid w:val="00AB245B"/>
    <w:rsid w:val="00AB24FD"/>
    <w:rsid w:val="00AB26DB"/>
    <w:rsid w:val="00AB2819"/>
    <w:rsid w:val="00AB28C6"/>
    <w:rsid w:val="00AB2907"/>
    <w:rsid w:val="00AB2A30"/>
    <w:rsid w:val="00AB2A73"/>
    <w:rsid w:val="00AB2A87"/>
    <w:rsid w:val="00AB2C35"/>
    <w:rsid w:val="00AB2C58"/>
    <w:rsid w:val="00AB2D25"/>
    <w:rsid w:val="00AB2D8A"/>
    <w:rsid w:val="00AB2E0A"/>
    <w:rsid w:val="00AB2ED1"/>
    <w:rsid w:val="00AB2F1F"/>
    <w:rsid w:val="00AB2FEB"/>
    <w:rsid w:val="00AB31EC"/>
    <w:rsid w:val="00AB32ED"/>
    <w:rsid w:val="00AB342D"/>
    <w:rsid w:val="00AB345E"/>
    <w:rsid w:val="00AB37A6"/>
    <w:rsid w:val="00AB3837"/>
    <w:rsid w:val="00AB38A9"/>
    <w:rsid w:val="00AB38BC"/>
    <w:rsid w:val="00AB38F0"/>
    <w:rsid w:val="00AB3C48"/>
    <w:rsid w:val="00AB3C62"/>
    <w:rsid w:val="00AB3D90"/>
    <w:rsid w:val="00AB426A"/>
    <w:rsid w:val="00AB42C1"/>
    <w:rsid w:val="00AB4329"/>
    <w:rsid w:val="00AB4440"/>
    <w:rsid w:val="00AB4456"/>
    <w:rsid w:val="00AB4482"/>
    <w:rsid w:val="00AB453F"/>
    <w:rsid w:val="00AB45DD"/>
    <w:rsid w:val="00AB468D"/>
    <w:rsid w:val="00AB470F"/>
    <w:rsid w:val="00AB4781"/>
    <w:rsid w:val="00AB47D0"/>
    <w:rsid w:val="00AB4C14"/>
    <w:rsid w:val="00AB4C19"/>
    <w:rsid w:val="00AB4C28"/>
    <w:rsid w:val="00AB4C6C"/>
    <w:rsid w:val="00AB4CFD"/>
    <w:rsid w:val="00AB4EF4"/>
    <w:rsid w:val="00AB4F47"/>
    <w:rsid w:val="00AB4F89"/>
    <w:rsid w:val="00AB5000"/>
    <w:rsid w:val="00AB504D"/>
    <w:rsid w:val="00AB5065"/>
    <w:rsid w:val="00AB515E"/>
    <w:rsid w:val="00AB518E"/>
    <w:rsid w:val="00AB51B2"/>
    <w:rsid w:val="00AB52A8"/>
    <w:rsid w:val="00AB52ED"/>
    <w:rsid w:val="00AB53BE"/>
    <w:rsid w:val="00AB5434"/>
    <w:rsid w:val="00AB5558"/>
    <w:rsid w:val="00AB558E"/>
    <w:rsid w:val="00AB55F2"/>
    <w:rsid w:val="00AB587C"/>
    <w:rsid w:val="00AB5945"/>
    <w:rsid w:val="00AB59E1"/>
    <w:rsid w:val="00AB5A4B"/>
    <w:rsid w:val="00AB5AE5"/>
    <w:rsid w:val="00AB5B20"/>
    <w:rsid w:val="00AB5B45"/>
    <w:rsid w:val="00AB5BA8"/>
    <w:rsid w:val="00AB5C20"/>
    <w:rsid w:val="00AB5C53"/>
    <w:rsid w:val="00AB5F6D"/>
    <w:rsid w:val="00AB60BD"/>
    <w:rsid w:val="00AB60D6"/>
    <w:rsid w:val="00AB611D"/>
    <w:rsid w:val="00AB6122"/>
    <w:rsid w:val="00AB614E"/>
    <w:rsid w:val="00AB6155"/>
    <w:rsid w:val="00AB61D7"/>
    <w:rsid w:val="00AB61D8"/>
    <w:rsid w:val="00AB61FD"/>
    <w:rsid w:val="00AB6314"/>
    <w:rsid w:val="00AB635A"/>
    <w:rsid w:val="00AB64A6"/>
    <w:rsid w:val="00AB6531"/>
    <w:rsid w:val="00AB66BF"/>
    <w:rsid w:val="00AB66CA"/>
    <w:rsid w:val="00AB6761"/>
    <w:rsid w:val="00AB67BC"/>
    <w:rsid w:val="00AB6831"/>
    <w:rsid w:val="00AB685C"/>
    <w:rsid w:val="00AB69EA"/>
    <w:rsid w:val="00AB6A0A"/>
    <w:rsid w:val="00AB6AB2"/>
    <w:rsid w:val="00AB6B46"/>
    <w:rsid w:val="00AB6E68"/>
    <w:rsid w:val="00AB6EBE"/>
    <w:rsid w:val="00AB6F17"/>
    <w:rsid w:val="00AB6F1D"/>
    <w:rsid w:val="00AB7095"/>
    <w:rsid w:val="00AB70F0"/>
    <w:rsid w:val="00AB712F"/>
    <w:rsid w:val="00AB72A9"/>
    <w:rsid w:val="00AB72E6"/>
    <w:rsid w:val="00AB72F5"/>
    <w:rsid w:val="00AB7300"/>
    <w:rsid w:val="00AB7304"/>
    <w:rsid w:val="00AB738A"/>
    <w:rsid w:val="00AB73C4"/>
    <w:rsid w:val="00AB7488"/>
    <w:rsid w:val="00AB74CA"/>
    <w:rsid w:val="00AB773B"/>
    <w:rsid w:val="00AB77FF"/>
    <w:rsid w:val="00AB780D"/>
    <w:rsid w:val="00AB7855"/>
    <w:rsid w:val="00AB78DB"/>
    <w:rsid w:val="00AB7927"/>
    <w:rsid w:val="00AB7A0D"/>
    <w:rsid w:val="00AB7B7C"/>
    <w:rsid w:val="00AB7D7E"/>
    <w:rsid w:val="00AB7ECD"/>
    <w:rsid w:val="00AB7F41"/>
    <w:rsid w:val="00AC0015"/>
    <w:rsid w:val="00AC006A"/>
    <w:rsid w:val="00AC00A4"/>
    <w:rsid w:val="00AC010F"/>
    <w:rsid w:val="00AC0129"/>
    <w:rsid w:val="00AC0197"/>
    <w:rsid w:val="00AC01F5"/>
    <w:rsid w:val="00AC024C"/>
    <w:rsid w:val="00AC02EB"/>
    <w:rsid w:val="00AC0540"/>
    <w:rsid w:val="00AC055C"/>
    <w:rsid w:val="00AC06DB"/>
    <w:rsid w:val="00AC06EF"/>
    <w:rsid w:val="00AC06F0"/>
    <w:rsid w:val="00AC0766"/>
    <w:rsid w:val="00AC08F1"/>
    <w:rsid w:val="00AC090D"/>
    <w:rsid w:val="00AC0A20"/>
    <w:rsid w:val="00AC0A23"/>
    <w:rsid w:val="00AC0A36"/>
    <w:rsid w:val="00AC0B16"/>
    <w:rsid w:val="00AC0B3D"/>
    <w:rsid w:val="00AC0B49"/>
    <w:rsid w:val="00AC0BA6"/>
    <w:rsid w:val="00AC0E8A"/>
    <w:rsid w:val="00AC0F09"/>
    <w:rsid w:val="00AC0F70"/>
    <w:rsid w:val="00AC1079"/>
    <w:rsid w:val="00AC1090"/>
    <w:rsid w:val="00AC10B1"/>
    <w:rsid w:val="00AC10EF"/>
    <w:rsid w:val="00AC12C7"/>
    <w:rsid w:val="00AC12EE"/>
    <w:rsid w:val="00AC1350"/>
    <w:rsid w:val="00AC139C"/>
    <w:rsid w:val="00AC1446"/>
    <w:rsid w:val="00AC1748"/>
    <w:rsid w:val="00AC1751"/>
    <w:rsid w:val="00AC1908"/>
    <w:rsid w:val="00AC1BB1"/>
    <w:rsid w:val="00AC1C22"/>
    <w:rsid w:val="00AC1C44"/>
    <w:rsid w:val="00AC1CE1"/>
    <w:rsid w:val="00AC1D9F"/>
    <w:rsid w:val="00AC1E0D"/>
    <w:rsid w:val="00AC1EFD"/>
    <w:rsid w:val="00AC1F60"/>
    <w:rsid w:val="00AC226D"/>
    <w:rsid w:val="00AC23B3"/>
    <w:rsid w:val="00AC23F6"/>
    <w:rsid w:val="00AC23FC"/>
    <w:rsid w:val="00AC2570"/>
    <w:rsid w:val="00AC260C"/>
    <w:rsid w:val="00AC2653"/>
    <w:rsid w:val="00AC2732"/>
    <w:rsid w:val="00AC2734"/>
    <w:rsid w:val="00AC27E1"/>
    <w:rsid w:val="00AC2B2D"/>
    <w:rsid w:val="00AC2B56"/>
    <w:rsid w:val="00AC2D1F"/>
    <w:rsid w:val="00AC2E55"/>
    <w:rsid w:val="00AC2F1D"/>
    <w:rsid w:val="00AC2F56"/>
    <w:rsid w:val="00AC2FDE"/>
    <w:rsid w:val="00AC3069"/>
    <w:rsid w:val="00AC3196"/>
    <w:rsid w:val="00AC31E3"/>
    <w:rsid w:val="00AC3216"/>
    <w:rsid w:val="00AC3280"/>
    <w:rsid w:val="00AC3391"/>
    <w:rsid w:val="00AC341A"/>
    <w:rsid w:val="00AC3471"/>
    <w:rsid w:val="00AC349D"/>
    <w:rsid w:val="00AC3538"/>
    <w:rsid w:val="00AC36D2"/>
    <w:rsid w:val="00AC374D"/>
    <w:rsid w:val="00AC3875"/>
    <w:rsid w:val="00AC3ACC"/>
    <w:rsid w:val="00AC3BA5"/>
    <w:rsid w:val="00AC3BAF"/>
    <w:rsid w:val="00AC3BC5"/>
    <w:rsid w:val="00AC3BDF"/>
    <w:rsid w:val="00AC3C5C"/>
    <w:rsid w:val="00AC3C82"/>
    <w:rsid w:val="00AC3D59"/>
    <w:rsid w:val="00AC3DD2"/>
    <w:rsid w:val="00AC3E63"/>
    <w:rsid w:val="00AC3E85"/>
    <w:rsid w:val="00AC3E9E"/>
    <w:rsid w:val="00AC3F04"/>
    <w:rsid w:val="00AC3F96"/>
    <w:rsid w:val="00AC3FAF"/>
    <w:rsid w:val="00AC3FBA"/>
    <w:rsid w:val="00AC4065"/>
    <w:rsid w:val="00AC4218"/>
    <w:rsid w:val="00AC437F"/>
    <w:rsid w:val="00AC43CD"/>
    <w:rsid w:val="00AC45DE"/>
    <w:rsid w:val="00AC466A"/>
    <w:rsid w:val="00AC47F0"/>
    <w:rsid w:val="00AC4822"/>
    <w:rsid w:val="00AC48E2"/>
    <w:rsid w:val="00AC4A90"/>
    <w:rsid w:val="00AC4CE5"/>
    <w:rsid w:val="00AC4E61"/>
    <w:rsid w:val="00AC4F2D"/>
    <w:rsid w:val="00AC4F4C"/>
    <w:rsid w:val="00AC50AA"/>
    <w:rsid w:val="00AC5132"/>
    <w:rsid w:val="00AC51E1"/>
    <w:rsid w:val="00AC5332"/>
    <w:rsid w:val="00AC538F"/>
    <w:rsid w:val="00AC558D"/>
    <w:rsid w:val="00AC55AD"/>
    <w:rsid w:val="00AC55B5"/>
    <w:rsid w:val="00AC5638"/>
    <w:rsid w:val="00AC58AE"/>
    <w:rsid w:val="00AC5917"/>
    <w:rsid w:val="00AC5996"/>
    <w:rsid w:val="00AC5B5D"/>
    <w:rsid w:val="00AC5C16"/>
    <w:rsid w:val="00AC5C89"/>
    <w:rsid w:val="00AC5C96"/>
    <w:rsid w:val="00AC5EF0"/>
    <w:rsid w:val="00AC5F18"/>
    <w:rsid w:val="00AC6006"/>
    <w:rsid w:val="00AC602E"/>
    <w:rsid w:val="00AC6039"/>
    <w:rsid w:val="00AC60E6"/>
    <w:rsid w:val="00AC611B"/>
    <w:rsid w:val="00AC621B"/>
    <w:rsid w:val="00AC6347"/>
    <w:rsid w:val="00AC637F"/>
    <w:rsid w:val="00AC6438"/>
    <w:rsid w:val="00AC64DA"/>
    <w:rsid w:val="00AC6515"/>
    <w:rsid w:val="00AC664E"/>
    <w:rsid w:val="00AC6681"/>
    <w:rsid w:val="00AC66A5"/>
    <w:rsid w:val="00AC67A2"/>
    <w:rsid w:val="00AC67DE"/>
    <w:rsid w:val="00AC67FD"/>
    <w:rsid w:val="00AC6854"/>
    <w:rsid w:val="00AC686D"/>
    <w:rsid w:val="00AC68AD"/>
    <w:rsid w:val="00AC6920"/>
    <w:rsid w:val="00AC6973"/>
    <w:rsid w:val="00AC6981"/>
    <w:rsid w:val="00AC6A1B"/>
    <w:rsid w:val="00AC6A2D"/>
    <w:rsid w:val="00AC6AFC"/>
    <w:rsid w:val="00AC6C57"/>
    <w:rsid w:val="00AC6D06"/>
    <w:rsid w:val="00AC6D30"/>
    <w:rsid w:val="00AC6D98"/>
    <w:rsid w:val="00AC6E70"/>
    <w:rsid w:val="00AC6FF3"/>
    <w:rsid w:val="00AC70DB"/>
    <w:rsid w:val="00AC73B5"/>
    <w:rsid w:val="00AC73E2"/>
    <w:rsid w:val="00AC7603"/>
    <w:rsid w:val="00AC78E3"/>
    <w:rsid w:val="00AC79C9"/>
    <w:rsid w:val="00AC7BD1"/>
    <w:rsid w:val="00AC7C29"/>
    <w:rsid w:val="00AC7E63"/>
    <w:rsid w:val="00AC7E6A"/>
    <w:rsid w:val="00AC7F4D"/>
    <w:rsid w:val="00AD0290"/>
    <w:rsid w:val="00AD0303"/>
    <w:rsid w:val="00AD036C"/>
    <w:rsid w:val="00AD0412"/>
    <w:rsid w:val="00AD0423"/>
    <w:rsid w:val="00AD049A"/>
    <w:rsid w:val="00AD04BE"/>
    <w:rsid w:val="00AD0569"/>
    <w:rsid w:val="00AD0579"/>
    <w:rsid w:val="00AD05C4"/>
    <w:rsid w:val="00AD060D"/>
    <w:rsid w:val="00AD06AF"/>
    <w:rsid w:val="00AD075E"/>
    <w:rsid w:val="00AD0764"/>
    <w:rsid w:val="00AD07C0"/>
    <w:rsid w:val="00AD08C8"/>
    <w:rsid w:val="00AD0967"/>
    <w:rsid w:val="00AD0A0C"/>
    <w:rsid w:val="00AD0A62"/>
    <w:rsid w:val="00AD0A99"/>
    <w:rsid w:val="00AD0AB6"/>
    <w:rsid w:val="00AD0C4B"/>
    <w:rsid w:val="00AD0EDE"/>
    <w:rsid w:val="00AD0F23"/>
    <w:rsid w:val="00AD1006"/>
    <w:rsid w:val="00AD101E"/>
    <w:rsid w:val="00AD104B"/>
    <w:rsid w:val="00AD1057"/>
    <w:rsid w:val="00AD10FB"/>
    <w:rsid w:val="00AD14A0"/>
    <w:rsid w:val="00AD167A"/>
    <w:rsid w:val="00AD1720"/>
    <w:rsid w:val="00AD177C"/>
    <w:rsid w:val="00AD179B"/>
    <w:rsid w:val="00AD17A3"/>
    <w:rsid w:val="00AD18DC"/>
    <w:rsid w:val="00AD18EB"/>
    <w:rsid w:val="00AD190D"/>
    <w:rsid w:val="00AD1940"/>
    <w:rsid w:val="00AD1A89"/>
    <w:rsid w:val="00AD1BA7"/>
    <w:rsid w:val="00AD1CA9"/>
    <w:rsid w:val="00AD1CC1"/>
    <w:rsid w:val="00AD1D33"/>
    <w:rsid w:val="00AD1E05"/>
    <w:rsid w:val="00AD204F"/>
    <w:rsid w:val="00AD21C3"/>
    <w:rsid w:val="00AD21CE"/>
    <w:rsid w:val="00AD21D6"/>
    <w:rsid w:val="00AD223A"/>
    <w:rsid w:val="00AD2295"/>
    <w:rsid w:val="00AD22E0"/>
    <w:rsid w:val="00AD235D"/>
    <w:rsid w:val="00AD23C9"/>
    <w:rsid w:val="00AD244C"/>
    <w:rsid w:val="00AD2674"/>
    <w:rsid w:val="00AD26EB"/>
    <w:rsid w:val="00AD2759"/>
    <w:rsid w:val="00AD277C"/>
    <w:rsid w:val="00AD2A69"/>
    <w:rsid w:val="00AD2B5F"/>
    <w:rsid w:val="00AD2B6B"/>
    <w:rsid w:val="00AD2BD2"/>
    <w:rsid w:val="00AD2BEF"/>
    <w:rsid w:val="00AD2CE2"/>
    <w:rsid w:val="00AD2D06"/>
    <w:rsid w:val="00AD2E29"/>
    <w:rsid w:val="00AD3140"/>
    <w:rsid w:val="00AD330C"/>
    <w:rsid w:val="00AD33C1"/>
    <w:rsid w:val="00AD3488"/>
    <w:rsid w:val="00AD3781"/>
    <w:rsid w:val="00AD37DB"/>
    <w:rsid w:val="00AD389E"/>
    <w:rsid w:val="00AD3955"/>
    <w:rsid w:val="00AD3983"/>
    <w:rsid w:val="00AD39F4"/>
    <w:rsid w:val="00AD3A77"/>
    <w:rsid w:val="00AD3B02"/>
    <w:rsid w:val="00AD3D2A"/>
    <w:rsid w:val="00AD3DB9"/>
    <w:rsid w:val="00AD3E70"/>
    <w:rsid w:val="00AD3F17"/>
    <w:rsid w:val="00AD3FC9"/>
    <w:rsid w:val="00AD3FCB"/>
    <w:rsid w:val="00AD4066"/>
    <w:rsid w:val="00AD4102"/>
    <w:rsid w:val="00AD42B1"/>
    <w:rsid w:val="00AD4489"/>
    <w:rsid w:val="00AD45EF"/>
    <w:rsid w:val="00AD480E"/>
    <w:rsid w:val="00AD48AA"/>
    <w:rsid w:val="00AD4A31"/>
    <w:rsid w:val="00AD4B68"/>
    <w:rsid w:val="00AD4CAE"/>
    <w:rsid w:val="00AD4DE7"/>
    <w:rsid w:val="00AD4EA1"/>
    <w:rsid w:val="00AD4F76"/>
    <w:rsid w:val="00AD4F83"/>
    <w:rsid w:val="00AD5030"/>
    <w:rsid w:val="00AD50B2"/>
    <w:rsid w:val="00AD523F"/>
    <w:rsid w:val="00AD5262"/>
    <w:rsid w:val="00AD5286"/>
    <w:rsid w:val="00AD536F"/>
    <w:rsid w:val="00AD5399"/>
    <w:rsid w:val="00AD54D4"/>
    <w:rsid w:val="00AD55E1"/>
    <w:rsid w:val="00AD55EE"/>
    <w:rsid w:val="00AD56FF"/>
    <w:rsid w:val="00AD57B7"/>
    <w:rsid w:val="00AD5807"/>
    <w:rsid w:val="00AD5998"/>
    <w:rsid w:val="00AD59D4"/>
    <w:rsid w:val="00AD59FD"/>
    <w:rsid w:val="00AD5A80"/>
    <w:rsid w:val="00AD5B95"/>
    <w:rsid w:val="00AD5BFF"/>
    <w:rsid w:val="00AD5CBF"/>
    <w:rsid w:val="00AD5EA6"/>
    <w:rsid w:val="00AD5F53"/>
    <w:rsid w:val="00AD601B"/>
    <w:rsid w:val="00AD608F"/>
    <w:rsid w:val="00AD60ED"/>
    <w:rsid w:val="00AD6166"/>
    <w:rsid w:val="00AD616E"/>
    <w:rsid w:val="00AD6327"/>
    <w:rsid w:val="00AD6359"/>
    <w:rsid w:val="00AD6371"/>
    <w:rsid w:val="00AD6475"/>
    <w:rsid w:val="00AD64B3"/>
    <w:rsid w:val="00AD651A"/>
    <w:rsid w:val="00AD6633"/>
    <w:rsid w:val="00AD6646"/>
    <w:rsid w:val="00AD6662"/>
    <w:rsid w:val="00AD6813"/>
    <w:rsid w:val="00AD692A"/>
    <w:rsid w:val="00AD6968"/>
    <w:rsid w:val="00AD6969"/>
    <w:rsid w:val="00AD6A5C"/>
    <w:rsid w:val="00AD6AEE"/>
    <w:rsid w:val="00AD6B16"/>
    <w:rsid w:val="00AD6C38"/>
    <w:rsid w:val="00AD6C96"/>
    <w:rsid w:val="00AD6E5C"/>
    <w:rsid w:val="00AD758B"/>
    <w:rsid w:val="00AD7A0A"/>
    <w:rsid w:val="00AD7A26"/>
    <w:rsid w:val="00AD7FC7"/>
    <w:rsid w:val="00AD7FF6"/>
    <w:rsid w:val="00AE015A"/>
    <w:rsid w:val="00AE02DF"/>
    <w:rsid w:val="00AE035F"/>
    <w:rsid w:val="00AE04B8"/>
    <w:rsid w:val="00AE0860"/>
    <w:rsid w:val="00AE0888"/>
    <w:rsid w:val="00AE08CA"/>
    <w:rsid w:val="00AE0A2F"/>
    <w:rsid w:val="00AE0A3D"/>
    <w:rsid w:val="00AE0A71"/>
    <w:rsid w:val="00AE0AC4"/>
    <w:rsid w:val="00AE0AEB"/>
    <w:rsid w:val="00AE0CCD"/>
    <w:rsid w:val="00AE0D26"/>
    <w:rsid w:val="00AE0D86"/>
    <w:rsid w:val="00AE0E8D"/>
    <w:rsid w:val="00AE1126"/>
    <w:rsid w:val="00AE112D"/>
    <w:rsid w:val="00AE1140"/>
    <w:rsid w:val="00AE1176"/>
    <w:rsid w:val="00AE11B9"/>
    <w:rsid w:val="00AE12F8"/>
    <w:rsid w:val="00AE1327"/>
    <w:rsid w:val="00AE1330"/>
    <w:rsid w:val="00AE1397"/>
    <w:rsid w:val="00AE158E"/>
    <w:rsid w:val="00AE15B2"/>
    <w:rsid w:val="00AE16A3"/>
    <w:rsid w:val="00AE171A"/>
    <w:rsid w:val="00AE1888"/>
    <w:rsid w:val="00AE19C7"/>
    <w:rsid w:val="00AE1C02"/>
    <w:rsid w:val="00AE1C3D"/>
    <w:rsid w:val="00AE1E4D"/>
    <w:rsid w:val="00AE1E72"/>
    <w:rsid w:val="00AE1E97"/>
    <w:rsid w:val="00AE20A1"/>
    <w:rsid w:val="00AE2223"/>
    <w:rsid w:val="00AE2283"/>
    <w:rsid w:val="00AE22D9"/>
    <w:rsid w:val="00AE22FD"/>
    <w:rsid w:val="00AE24FA"/>
    <w:rsid w:val="00AE2643"/>
    <w:rsid w:val="00AE267F"/>
    <w:rsid w:val="00AE26AA"/>
    <w:rsid w:val="00AE2729"/>
    <w:rsid w:val="00AE277C"/>
    <w:rsid w:val="00AE27E9"/>
    <w:rsid w:val="00AE2886"/>
    <w:rsid w:val="00AE28B4"/>
    <w:rsid w:val="00AE29FD"/>
    <w:rsid w:val="00AE2C78"/>
    <w:rsid w:val="00AE2E87"/>
    <w:rsid w:val="00AE2F03"/>
    <w:rsid w:val="00AE2F63"/>
    <w:rsid w:val="00AE2F90"/>
    <w:rsid w:val="00AE2FE1"/>
    <w:rsid w:val="00AE2FE9"/>
    <w:rsid w:val="00AE304C"/>
    <w:rsid w:val="00AE306F"/>
    <w:rsid w:val="00AE3126"/>
    <w:rsid w:val="00AE3313"/>
    <w:rsid w:val="00AE3422"/>
    <w:rsid w:val="00AE342D"/>
    <w:rsid w:val="00AE3594"/>
    <w:rsid w:val="00AE3613"/>
    <w:rsid w:val="00AE3774"/>
    <w:rsid w:val="00AE396C"/>
    <w:rsid w:val="00AE398A"/>
    <w:rsid w:val="00AE39E5"/>
    <w:rsid w:val="00AE3A87"/>
    <w:rsid w:val="00AE3AF7"/>
    <w:rsid w:val="00AE3C0A"/>
    <w:rsid w:val="00AE3D7D"/>
    <w:rsid w:val="00AE3E8A"/>
    <w:rsid w:val="00AE3EA5"/>
    <w:rsid w:val="00AE3F6E"/>
    <w:rsid w:val="00AE406D"/>
    <w:rsid w:val="00AE408F"/>
    <w:rsid w:val="00AE4141"/>
    <w:rsid w:val="00AE424C"/>
    <w:rsid w:val="00AE444E"/>
    <w:rsid w:val="00AE4692"/>
    <w:rsid w:val="00AE46AE"/>
    <w:rsid w:val="00AE474E"/>
    <w:rsid w:val="00AE47B1"/>
    <w:rsid w:val="00AE48D7"/>
    <w:rsid w:val="00AE4930"/>
    <w:rsid w:val="00AE496E"/>
    <w:rsid w:val="00AE4A0B"/>
    <w:rsid w:val="00AE4A10"/>
    <w:rsid w:val="00AE4A72"/>
    <w:rsid w:val="00AE4B82"/>
    <w:rsid w:val="00AE4B8B"/>
    <w:rsid w:val="00AE4C21"/>
    <w:rsid w:val="00AE4D25"/>
    <w:rsid w:val="00AE4DDC"/>
    <w:rsid w:val="00AE4EC7"/>
    <w:rsid w:val="00AE4EEF"/>
    <w:rsid w:val="00AE4F49"/>
    <w:rsid w:val="00AE4FB2"/>
    <w:rsid w:val="00AE512F"/>
    <w:rsid w:val="00AE5200"/>
    <w:rsid w:val="00AE52C8"/>
    <w:rsid w:val="00AE5475"/>
    <w:rsid w:val="00AE569E"/>
    <w:rsid w:val="00AE58F0"/>
    <w:rsid w:val="00AE5976"/>
    <w:rsid w:val="00AE59B8"/>
    <w:rsid w:val="00AE59F9"/>
    <w:rsid w:val="00AE5A73"/>
    <w:rsid w:val="00AE5B57"/>
    <w:rsid w:val="00AE5CE8"/>
    <w:rsid w:val="00AE5CEE"/>
    <w:rsid w:val="00AE5D0F"/>
    <w:rsid w:val="00AE5E41"/>
    <w:rsid w:val="00AE5E7A"/>
    <w:rsid w:val="00AE5EC1"/>
    <w:rsid w:val="00AE627C"/>
    <w:rsid w:val="00AE6326"/>
    <w:rsid w:val="00AE6363"/>
    <w:rsid w:val="00AE6617"/>
    <w:rsid w:val="00AE6707"/>
    <w:rsid w:val="00AE6723"/>
    <w:rsid w:val="00AE67C0"/>
    <w:rsid w:val="00AE68C0"/>
    <w:rsid w:val="00AE6A46"/>
    <w:rsid w:val="00AE6A93"/>
    <w:rsid w:val="00AE6AE0"/>
    <w:rsid w:val="00AE6BA8"/>
    <w:rsid w:val="00AE6BDF"/>
    <w:rsid w:val="00AE6C54"/>
    <w:rsid w:val="00AE6CB0"/>
    <w:rsid w:val="00AE6CEE"/>
    <w:rsid w:val="00AE6D18"/>
    <w:rsid w:val="00AE6D64"/>
    <w:rsid w:val="00AE6E39"/>
    <w:rsid w:val="00AE6EA9"/>
    <w:rsid w:val="00AE6F18"/>
    <w:rsid w:val="00AE7021"/>
    <w:rsid w:val="00AE70F2"/>
    <w:rsid w:val="00AE710F"/>
    <w:rsid w:val="00AE7203"/>
    <w:rsid w:val="00AE7302"/>
    <w:rsid w:val="00AE7493"/>
    <w:rsid w:val="00AE756E"/>
    <w:rsid w:val="00AE7715"/>
    <w:rsid w:val="00AE78E7"/>
    <w:rsid w:val="00AE7A72"/>
    <w:rsid w:val="00AE7B18"/>
    <w:rsid w:val="00AE7D9C"/>
    <w:rsid w:val="00AE7DDA"/>
    <w:rsid w:val="00AE7E73"/>
    <w:rsid w:val="00AE7F81"/>
    <w:rsid w:val="00AE7FE2"/>
    <w:rsid w:val="00AF00CA"/>
    <w:rsid w:val="00AF0160"/>
    <w:rsid w:val="00AF03E2"/>
    <w:rsid w:val="00AF041A"/>
    <w:rsid w:val="00AF0428"/>
    <w:rsid w:val="00AF0493"/>
    <w:rsid w:val="00AF05A5"/>
    <w:rsid w:val="00AF06CC"/>
    <w:rsid w:val="00AF07A0"/>
    <w:rsid w:val="00AF0882"/>
    <w:rsid w:val="00AF0A58"/>
    <w:rsid w:val="00AF0B3A"/>
    <w:rsid w:val="00AF0B44"/>
    <w:rsid w:val="00AF0B95"/>
    <w:rsid w:val="00AF0D6C"/>
    <w:rsid w:val="00AF0DDF"/>
    <w:rsid w:val="00AF0E52"/>
    <w:rsid w:val="00AF0E60"/>
    <w:rsid w:val="00AF0EE6"/>
    <w:rsid w:val="00AF0F81"/>
    <w:rsid w:val="00AF12A5"/>
    <w:rsid w:val="00AF140C"/>
    <w:rsid w:val="00AF18B7"/>
    <w:rsid w:val="00AF192B"/>
    <w:rsid w:val="00AF1A97"/>
    <w:rsid w:val="00AF1C7C"/>
    <w:rsid w:val="00AF1C87"/>
    <w:rsid w:val="00AF1D71"/>
    <w:rsid w:val="00AF1E1C"/>
    <w:rsid w:val="00AF1E78"/>
    <w:rsid w:val="00AF1ECD"/>
    <w:rsid w:val="00AF1F5B"/>
    <w:rsid w:val="00AF2049"/>
    <w:rsid w:val="00AF209B"/>
    <w:rsid w:val="00AF2173"/>
    <w:rsid w:val="00AF21C9"/>
    <w:rsid w:val="00AF2232"/>
    <w:rsid w:val="00AF2262"/>
    <w:rsid w:val="00AF23C6"/>
    <w:rsid w:val="00AF23EF"/>
    <w:rsid w:val="00AF2400"/>
    <w:rsid w:val="00AF2510"/>
    <w:rsid w:val="00AF2628"/>
    <w:rsid w:val="00AF2710"/>
    <w:rsid w:val="00AF2796"/>
    <w:rsid w:val="00AF2853"/>
    <w:rsid w:val="00AF28AD"/>
    <w:rsid w:val="00AF28EF"/>
    <w:rsid w:val="00AF290B"/>
    <w:rsid w:val="00AF29B1"/>
    <w:rsid w:val="00AF29D0"/>
    <w:rsid w:val="00AF29F9"/>
    <w:rsid w:val="00AF2ECD"/>
    <w:rsid w:val="00AF3016"/>
    <w:rsid w:val="00AF307A"/>
    <w:rsid w:val="00AF30CA"/>
    <w:rsid w:val="00AF311F"/>
    <w:rsid w:val="00AF316D"/>
    <w:rsid w:val="00AF323B"/>
    <w:rsid w:val="00AF35EE"/>
    <w:rsid w:val="00AF37E1"/>
    <w:rsid w:val="00AF37E3"/>
    <w:rsid w:val="00AF383E"/>
    <w:rsid w:val="00AF3A40"/>
    <w:rsid w:val="00AF3ADE"/>
    <w:rsid w:val="00AF3B1E"/>
    <w:rsid w:val="00AF3B2A"/>
    <w:rsid w:val="00AF3B94"/>
    <w:rsid w:val="00AF3BB4"/>
    <w:rsid w:val="00AF3CA3"/>
    <w:rsid w:val="00AF3DEF"/>
    <w:rsid w:val="00AF3E48"/>
    <w:rsid w:val="00AF3EC6"/>
    <w:rsid w:val="00AF3F09"/>
    <w:rsid w:val="00AF40DF"/>
    <w:rsid w:val="00AF40F1"/>
    <w:rsid w:val="00AF41AF"/>
    <w:rsid w:val="00AF42D2"/>
    <w:rsid w:val="00AF42F2"/>
    <w:rsid w:val="00AF445C"/>
    <w:rsid w:val="00AF4549"/>
    <w:rsid w:val="00AF456A"/>
    <w:rsid w:val="00AF45D4"/>
    <w:rsid w:val="00AF4613"/>
    <w:rsid w:val="00AF4A50"/>
    <w:rsid w:val="00AF4AA0"/>
    <w:rsid w:val="00AF4C9B"/>
    <w:rsid w:val="00AF4CFB"/>
    <w:rsid w:val="00AF4D60"/>
    <w:rsid w:val="00AF4F9A"/>
    <w:rsid w:val="00AF50EF"/>
    <w:rsid w:val="00AF50F6"/>
    <w:rsid w:val="00AF523B"/>
    <w:rsid w:val="00AF5265"/>
    <w:rsid w:val="00AF52AC"/>
    <w:rsid w:val="00AF5396"/>
    <w:rsid w:val="00AF5421"/>
    <w:rsid w:val="00AF54A9"/>
    <w:rsid w:val="00AF54C7"/>
    <w:rsid w:val="00AF551F"/>
    <w:rsid w:val="00AF553D"/>
    <w:rsid w:val="00AF553F"/>
    <w:rsid w:val="00AF55EF"/>
    <w:rsid w:val="00AF5625"/>
    <w:rsid w:val="00AF5751"/>
    <w:rsid w:val="00AF5865"/>
    <w:rsid w:val="00AF593E"/>
    <w:rsid w:val="00AF5B0C"/>
    <w:rsid w:val="00AF5B92"/>
    <w:rsid w:val="00AF5BE3"/>
    <w:rsid w:val="00AF5C67"/>
    <w:rsid w:val="00AF5D1C"/>
    <w:rsid w:val="00AF5D6E"/>
    <w:rsid w:val="00AF5E17"/>
    <w:rsid w:val="00AF6097"/>
    <w:rsid w:val="00AF60A0"/>
    <w:rsid w:val="00AF626D"/>
    <w:rsid w:val="00AF6304"/>
    <w:rsid w:val="00AF6377"/>
    <w:rsid w:val="00AF638F"/>
    <w:rsid w:val="00AF63F2"/>
    <w:rsid w:val="00AF6441"/>
    <w:rsid w:val="00AF6482"/>
    <w:rsid w:val="00AF6547"/>
    <w:rsid w:val="00AF65D0"/>
    <w:rsid w:val="00AF6603"/>
    <w:rsid w:val="00AF674E"/>
    <w:rsid w:val="00AF6793"/>
    <w:rsid w:val="00AF67A0"/>
    <w:rsid w:val="00AF681C"/>
    <w:rsid w:val="00AF68FA"/>
    <w:rsid w:val="00AF6A22"/>
    <w:rsid w:val="00AF6AA1"/>
    <w:rsid w:val="00AF6D25"/>
    <w:rsid w:val="00AF6DA0"/>
    <w:rsid w:val="00AF6E52"/>
    <w:rsid w:val="00AF71C4"/>
    <w:rsid w:val="00AF71C7"/>
    <w:rsid w:val="00AF73CB"/>
    <w:rsid w:val="00AF7574"/>
    <w:rsid w:val="00AF764A"/>
    <w:rsid w:val="00AF76CB"/>
    <w:rsid w:val="00AF7721"/>
    <w:rsid w:val="00AF7874"/>
    <w:rsid w:val="00AF7920"/>
    <w:rsid w:val="00AF7928"/>
    <w:rsid w:val="00AF7992"/>
    <w:rsid w:val="00AF7A7E"/>
    <w:rsid w:val="00AF7C41"/>
    <w:rsid w:val="00AF7C64"/>
    <w:rsid w:val="00AF7CB6"/>
    <w:rsid w:val="00AF7F98"/>
    <w:rsid w:val="00B0002E"/>
    <w:rsid w:val="00B0012A"/>
    <w:rsid w:val="00B003B3"/>
    <w:rsid w:val="00B00487"/>
    <w:rsid w:val="00B004A8"/>
    <w:rsid w:val="00B004D6"/>
    <w:rsid w:val="00B0054C"/>
    <w:rsid w:val="00B006B1"/>
    <w:rsid w:val="00B00702"/>
    <w:rsid w:val="00B00709"/>
    <w:rsid w:val="00B0075D"/>
    <w:rsid w:val="00B00AD3"/>
    <w:rsid w:val="00B00B93"/>
    <w:rsid w:val="00B00C9C"/>
    <w:rsid w:val="00B00D03"/>
    <w:rsid w:val="00B00D30"/>
    <w:rsid w:val="00B00E03"/>
    <w:rsid w:val="00B00F2E"/>
    <w:rsid w:val="00B00F65"/>
    <w:rsid w:val="00B010A5"/>
    <w:rsid w:val="00B010A8"/>
    <w:rsid w:val="00B01167"/>
    <w:rsid w:val="00B01175"/>
    <w:rsid w:val="00B01187"/>
    <w:rsid w:val="00B011C4"/>
    <w:rsid w:val="00B0128F"/>
    <w:rsid w:val="00B013F8"/>
    <w:rsid w:val="00B01679"/>
    <w:rsid w:val="00B016AF"/>
    <w:rsid w:val="00B01885"/>
    <w:rsid w:val="00B01905"/>
    <w:rsid w:val="00B01A98"/>
    <w:rsid w:val="00B01ADE"/>
    <w:rsid w:val="00B01B0C"/>
    <w:rsid w:val="00B01B79"/>
    <w:rsid w:val="00B01BBB"/>
    <w:rsid w:val="00B01C20"/>
    <w:rsid w:val="00B01CC4"/>
    <w:rsid w:val="00B01D7D"/>
    <w:rsid w:val="00B01E75"/>
    <w:rsid w:val="00B01E98"/>
    <w:rsid w:val="00B01F20"/>
    <w:rsid w:val="00B01F9B"/>
    <w:rsid w:val="00B01FFE"/>
    <w:rsid w:val="00B0207B"/>
    <w:rsid w:val="00B02099"/>
    <w:rsid w:val="00B020B4"/>
    <w:rsid w:val="00B02104"/>
    <w:rsid w:val="00B02134"/>
    <w:rsid w:val="00B02187"/>
    <w:rsid w:val="00B021A3"/>
    <w:rsid w:val="00B02223"/>
    <w:rsid w:val="00B02252"/>
    <w:rsid w:val="00B023DA"/>
    <w:rsid w:val="00B0243F"/>
    <w:rsid w:val="00B024DC"/>
    <w:rsid w:val="00B025BF"/>
    <w:rsid w:val="00B025F5"/>
    <w:rsid w:val="00B02832"/>
    <w:rsid w:val="00B0288F"/>
    <w:rsid w:val="00B0291C"/>
    <w:rsid w:val="00B02AD7"/>
    <w:rsid w:val="00B02AFA"/>
    <w:rsid w:val="00B02B5D"/>
    <w:rsid w:val="00B02BD0"/>
    <w:rsid w:val="00B02C2B"/>
    <w:rsid w:val="00B02D2D"/>
    <w:rsid w:val="00B02DB3"/>
    <w:rsid w:val="00B02F7C"/>
    <w:rsid w:val="00B03035"/>
    <w:rsid w:val="00B030A7"/>
    <w:rsid w:val="00B033B0"/>
    <w:rsid w:val="00B03683"/>
    <w:rsid w:val="00B03883"/>
    <w:rsid w:val="00B038B2"/>
    <w:rsid w:val="00B03927"/>
    <w:rsid w:val="00B03A72"/>
    <w:rsid w:val="00B03AFD"/>
    <w:rsid w:val="00B03C1C"/>
    <w:rsid w:val="00B03C62"/>
    <w:rsid w:val="00B03C84"/>
    <w:rsid w:val="00B03DD6"/>
    <w:rsid w:val="00B03DD7"/>
    <w:rsid w:val="00B03E5B"/>
    <w:rsid w:val="00B03E7F"/>
    <w:rsid w:val="00B03E82"/>
    <w:rsid w:val="00B03ED6"/>
    <w:rsid w:val="00B040D9"/>
    <w:rsid w:val="00B0418E"/>
    <w:rsid w:val="00B0423B"/>
    <w:rsid w:val="00B042A7"/>
    <w:rsid w:val="00B042D9"/>
    <w:rsid w:val="00B04367"/>
    <w:rsid w:val="00B0441C"/>
    <w:rsid w:val="00B044AA"/>
    <w:rsid w:val="00B04601"/>
    <w:rsid w:val="00B0462B"/>
    <w:rsid w:val="00B04730"/>
    <w:rsid w:val="00B049A0"/>
    <w:rsid w:val="00B04A18"/>
    <w:rsid w:val="00B04B3E"/>
    <w:rsid w:val="00B04C48"/>
    <w:rsid w:val="00B04C63"/>
    <w:rsid w:val="00B04F2A"/>
    <w:rsid w:val="00B04FF1"/>
    <w:rsid w:val="00B04FFC"/>
    <w:rsid w:val="00B0502B"/>
    <w:rsid w:val="00B05057"/>
    <w:rsid w:val="00B05085"/>
    <w:rsid w:val="00B05183"/>
    <w:rsid w:val="00B051D7"/>
    <w:rsid w:val="00B05305"/>
    <w:rsid w:val="00B05307"/>
    <w:rsid w:val="00B05318"/>
    <w:rsid w:val="00B0532F"/>
    <w:rsid w:val="00B053B0"/>
    <w:rsid w:val="00B053D4"/>
    <w:rsid w:val="00B05400"/>
    <w:rsid w:val="00B057E6"/>
    <w:rsid w:val="00B057EC"/>
    <w:rsid w:val="00B057F6"/>
    <w:rsid w:val="00B05973"/>
    <w:rsid w:val="00B059A4"/>
    <w:rsid w:val="00B05A49"/>
    <w:rsid w:val="00B05A90"/>
    <w:rsid w:val="00B05AFA"/>
    <w:rsid w:val="00B05B2F"/>
    <w:rsid w:val="00B05B92"/>
    <w:rsid w:val="00B05CA6"/>
    <w:rsid w:val="00B05CEC"/>
    <w:rsid w:val="00B05E14"/>
    <w:rsid w:val="00B05EC7"/>
    <w:rsid w:val="00B05F3B"/>
    <w:rsid w:val="00B06077"/>
    <w:rsid w:val="00B0611D"/>
    <w:rsid w:val="00B061F0"/>
    <w:rsid w:val="00B0623B"/>
    <w:rsid w:val="00B063FF"/>
    <w:rsid w:val="00B06483"/>
    <w:rsid w:val="00B064F8"/>
    <w:rsid w:val="00B06537"/>
    <w:rsid w:val="00B06542"/>
    <w:rsid w:val="00B067A8"/>
    <w:rsid w:val="00B067B1"/>
    <w:rsid w:val="00B06811"/>
    <w:rsid w:val="00B0681F"/>
    <w:rsid w:val="00B06879"/>
    <w:rsid w:val="00B06902"/>
    <w:rsid w:val="00B06938"/>
    <w:rsid w:val="00B06B13"/>
    <w:rsid w:val="00B06C12"/>
    <w:rsid w:val="00B06C53"/>
    <w:rsid w:val="00B06DBF"/>
    <w:rsid w:val="00B06EF9"/>
    <w:rsid w:val="00B06F81"/>
    <w:rsid w:val="00B07080"/>
    <w:rsid w:val="00B0718F"/>
    <w:rsid w:val="00B07235"/>
    <w:rsid w:val="00B072A7"/>
    <w:rsid w:val="00B072B0"/>
    <w:rsid w:val="00B0732D"/>
    <w:rsid w:val="00B07459"/>
    <w:rsid w:val="00B07511"/>
    <w:rsid w:val="00B07730"/>
    <w:rsid w:val="00B07791"/>
    <w:rsid w:val="00B078EA"/>
    <w:rsid w:val="00B07978"/>
    <w:rsid w:val="00B07A8D"/>
    <w:rsid w:val="00B07B16"/>
    <w:rsid w:val="00B07B64"/>
    <w:rsid w:val="00B07B77"/>
    <w:rsid w:val="00B07B92"/>
    <w:rsid w:val="00B07CBC"/>
    <w:rsid w:val="00B07CC0"/>
    <w:rsid w:val="00B07FB1"/>
    <w:rsid w:val="00B1007B"/>
    <w:rsid w:val="00B102BE"/>
    <w:rsid w:val="00B10374"/>
    <w:rsid w:val="00B103E0"/>
    <w:rsid w:val="00B10447"/>
    <w:rsid w:val="00B1059D"/>
    <w:rsid w:val="00B10645"/>
    <w:rsid w:val="00B10804"/>
    <w:rsid w:val="00B10814"/>
    <w:rsid w:val="00B1085C"/>
    <w:rsid w:val="00B109AD"/>
    <w:rsid w:val="00B10B8B"/>
    <w:rsid w:val="00B10B92"/>
    <w:rsid w:val="00B10C1F"/>
    <w:rsid w:val="00B10CAE"/>
    <w:rsid w:val="00B10E81"/>
    <w:rsid w:val="00B10F3C"/>
    <w:rsid w:val="00B110D7"/>
    <w:rsid w:val="00B111B2"/>
    <w:rsid w:val="00B1120A"/>
    <w:rsid w:val="00B1124D"/>
    <w:rsid w:val="00B11358"/>
    <w:rsid w:val="00B1141A"/>
    <w:rsid w:val="00B11473"/>
    <w:rsid w:val="00B11632"/>
    <w:rsid w:val="00B11637"/>
    <w:rsid w:val="00B11676"/>
    <w:rsid w:val="00B11796"/>
    <w:rsid w:val="00B117BD"/>
    <w:rsid w:val="00B117F6"/>
    <w:rsid w:val="00B11813"/>
    <w:rsid w:val="00B118E6"/>
    <w:rsid w:val="00B1194C"/>
    <w:rsid w:val="00B1199F"/>
    <w:rsid w:val="00B11A04"/>
    <w:rsid w:val="00B11A4A"/>
    <w:rsid w:val="00B11B4D"/>
    <w:rsid w:val="00B11BC7"/>
    <w:rsid w:val="00B11C37"/>
    <w:rsid w:val="00B11D94"/>
    <w:rsid w:val="00B11FA5"/>
    <w:rsid w:val="00B11FB7"/>
    <w:rsid w:val="00B12023"/>
    <w:rsid w:val="00B12046"/>
    <w:rsid w:val="00B12137"/>
    <w:rsid w:val="00B121CB"/>
    <w:rsid w:val="00B1221C"/>
    <w:rsid w:val="00B122BE"/>
    <w:rsid w:val="00B12332"/>
    <w:rsid w:val="00B12373"/>
    <w:rsid w:val="00B123BC"/>
    <w:rsid w:val="00B12705"/>
    <w:rsid w:val="00B1287B"/>
    <w:rsid w:val="00B12905"/>
    <w:rsid w:val="00B12A9A"/>
    <w:rsid w:val="00B12B1A"/>
    <w:rsid w:val="00B12BA1"/>
    <w:rsid w:val="00B12C58"/>
    <w:rsid w:val="00B12C9A"/>
    <w:rsid w:val="00B12ECB"/>
    <w:rsid w:val="00B12EEF"/>
    <w:rsid w:val="00B130BB"/>
    <w:rsid w:val="00B130C7"/>
    <w:rsid w:val="00B13118"/>
    <w:rsid w:val="00B13196"/>
    <w:rsid w:val="00B131F7"/>
    <w:rsid w:val="00B13429"/>
    <w:rsid w:val="00B1342F"/>
    <w:rsid w:val="00B13486"/>
    <w:rsid w:val="00B13626"/>
    <w:rsid w:val="00B1366E"/>
    <w:rsid w:val="00B1368F"/>
    <w:rsid w:val="00B136A0"/>
    <w:rsid w:val="00B13784"/>
    <w:rsid w:val="00B13834"/>
    <w:rsid w:val="00B1385D"/>
    <w:rsid w:val="00B13879"/>
    <w:rsid w:val="00B13883"/>
    <w:rsid w:val="00B1388E"/>
    <w:rsid w:val="00B138AF"/>
    <w:rsid w:val="00B13A0B"/>
    <w:rsid w:val="00B13AB3"/>
    <w:rsid w:val="00B13B1F"/>
    <w:rsid w:val="00B13C56"/>
    <w:rsid w:val="00B13CD7"/>
    <w:rsid w:val="00B13DE2"/>
    <w:rsid w:val="00B13EF2"/>
    <w:rsid w:val="00B13F48"/>
    <w:rsid w:val="00B13FAC"/>
    <w:rsid w:val="00B13FF7"/>
    <w:rsid w:val="00B14135"/>
    <w:rsid w:val="00B1427C"/>
    <w:rsid w:val="00B142B9"/>
    <w:rsid w:val="00B142DB"/>
    <w:rsid w:val="00B1436C"/>
    <w:rsid w:val="00B14435"/>
    <w:rsid w:val="00B145C1"/>
    <w:rsid w:val="00B14625"/>
    <w:rsid w:val="00B1465F"/>
    <w:rsid w:val="00B14961"/>
    <w:rsid w:val="00B149B9"/>
    <w:rsid w:val="00B14AE5"/>
    <w:rsid w:val="00B14B11"/>
    <w:rsid w:val="00B14B40"/>
    <w:rsid w:val="00B14B47"/>
    <w:rsid w:val="00B14C27"/>
    <w:rsid w:val="00B14C2B"/>
    <w:rsid w:val="00B14C56"/>
    <w:rsid w:val="00B14C57"/>
    <w:rsid w:val="00B1501A"/>
    <w:rsid w:val="00B15071"/>
    <w:rsid w:val="00B15186"/>
    <w:rsid w:val="00B1519A"/>
    <w:rsid w:val="00B15335"/>
    <w:rsid w:val="00B153AE"/>
    <w:rsid w:val="00B153F1"/>
    <w:rsid w:val="00B153FA"/>
    <w:rsid w:val="00B15436"/>
    <w:rsid w:val="00B15539"/>
    <w:rsid w:val="00B1554B"/>
    <w:rsid w:val="00B15884"/>
    <w:rsid w:val="00B15992"/>
    <w:rsid w:val="00B15A51"/>
    <w:rsid w:val="00B15BAF"/>
    <w:rsid w:val="00B15D0F"/>
    <w:rsid w:val="00B15D58"/>
    <w:rsid w:val="00B15EB0"/>
    <w:rsid w:val="00B160D7"/>
    <w:rsid w:val="00B1614F"/>
    <w:rsid w:val="00B16273"/>
    <w:rsid w:val="00B1636A"/>
    <w:rsid w:val="00B163BD"/>
    <w:rsid w:val="00B16476"/>
    <w:rsid w:val="00B165AD"/>
    <w:rsid w:val="00B16637"/>
    <w:rsid w:val="00B16878"/>
    <w:rsid w:val="00B168DB"/>
    <w:rsid w:val="00B1692A"/>
    <w:rsid w:val="00B16A7B"/>
    <w:rsid w:val="00B16AF4"/>
    <w:rsid w:val="00B16B27"/>
    <w:rsid w:val="00B16B53"/>
    <w:rsid w:val="00B16B9E"/>
    <w:rsid w:val="00B16C9F"/>
    <w:rsid w:val="00B16E15"/>
    <w:rsid w:val="00B16F93"/>
    <w:rsid w:val="00B16F99"/>
    <w:rsid w:val="00B170A4"/>
    <w:rsid w:val="00B170C8"/>
    <w:rsid w:val="00B1714B"/>
    <w:rsid w:val="00B17290"/>
    <w:rsid w:val="00B173FF"/>
    <w:rsid w:val="00B17473"/>
    <w:rsid w:val="00B1757D"/>
    <w:rsid w:val="00B175A8"/>
    <w:rsid w:val="00B17670"/>
    <w:rsid w:val="00B176B9"/>
    <w:rsid w:val="00B176E3"/>
    <w:rsid w:val="00B177D8"/>
    <w:rsid w:val="00B17827"/>
    <w:rsid w:val="00B1786C"/>
    <w:rsid w:val="00B178EA"/>
    <w:rsid w:val="00B17A1E"/>
    <w:rsid w:val="00B17A85"/>
    <w:rsid w:val="00B17B48"/>
    <w:rsid w:val="00B17B78"/>
    <w:rsid w:val="00B17B96"/>
    <w:rsid w:val="00B17BDE"/>
    <w:rsid w:val="00B17C85"/>
    <w:rsid w:val="00B17D82"/>
    <w:rsid w:val="00B17FC7"/>
    <w:rsid w:val="00B17FFD"/>
    <w:rsid w:val="00B201F3"/>
    <w:rsid w:val="00B201FF"/>
    <w:rsid w:val="00B2026D"/>
    <w:rsid w:val="00B2033E"/>
    <w:rsid w:val="00B2053F"/>
    <w:rsid w:val="00B20594"/>
    <w:rsid w:val="00B2064A"/>
    <w:rsid w:val="00B2065C"/>
    <w:rsid w:val="00B2086B"/>
    <w:rsid w:val="00B20893"/>
    <w:rsid w:val="00B2094A"/>
    <w:rsid w:val="00B209B4"/>
    <w:rsid w:val="00B20AD7"/>
    <w:rsid w:val="00B20AE5"/>
    <w:rsid w:val="00B20AEE"/>
    <w:rsid w:val="00B20BA3"/>
    <w:rsid w:val="00B20BA7"/>
    <w:rsid w:val="00B20C18"/>
    <w:rsid w:val="00B20C3F"/>
    <w:rsid w:val="00B20D0D"/>
    <w:rsid w:val="00B20D36"/>
    <w:rsid w:val="00B20DF0"/>
    <w:rsid w:val="00B20E42"/>
    <w:rsid w:val="00B20EDF"/>
    <w:rsid w:val="00B20F00"/>
    <w:rsid w:val="00B20F39"/>
    <w:rsid w:val="00B2106B"/>
    <w:rsid w:val="00B210B9"/>
    <w:rsid w:val="00B211E9"/>
    <w:rsid w:val="00B21256"/>
    <w:rsid w:val="00B21258"/>
    <w:rsid w:val="00B21267"/>
    <w:rsid w:val="00B2146B"/>
    <w:rsid w:val="00B214C6"/>
    <w:rsid w:val="00B216F7"/>
    <w:rsid w:val="00B216FF"/>
    <w:rsid w:val="00B217EC"/>
    <w:rsid w:val="00B21852"/>
    <w:rsid w:val="00B218B5"/>
    <w:rsid w:val="00B21906"/>
    <w:rsid w:val="00B21ADC"/>
    <w:rsid w:val="00B21AEC"/>
    <w:rsid w:val="00B21B84"/>
    <w:rsid w:val="00B21C40"/>
    <w:rsid w:val="00B21E77"/>
    <w:rsid w:val="00B21FA0"/>
    <w:rsid w:val="00B21FD0"/>
    <w:rsid w:val="00B220ED"/>
    <w:rsid w:val="00B2212A"/>
    <w:rsid w:val="00B22168"/>
    <w:rsid w:val="00B2222A"/>
    <w:rsid w:val="00B2227F"/>
    <w:rsid w:val="00B22387"/>
    <w:rsid w:val="00B223D9"/>
    <w:rsid w:val="00B2260D"/>
    <w:rsid w:val="00B22952"/>
    <w:rsid w:val="00B22993"/>
    <w:rsid w:val="00B22B56"/>
    <w:rsid w:val="00B22E16"/>
    <w:rsid w:val="00B22E88"/>
    <w:rsid w:val="00B22ECE"/>
    <w:rsid w:val="00B22FDD"/>
    <w:rsid w:val="00B23097"/>
    <w:rsid w:val="00B23231"/>
    <w:rsid w:val="00B2327D"/>
    <w:rsid w:val="00B232AF"/>
    <w:rsid w:val="00B23429"/>
    <w:rsid w:val="00B234DA"/>
    <w:rsid w:val="00B2350F"/>
    <w:rsid w:val="00B235BB"/>
    <w:rsid w:val="00B236CA"/>
    <w:rsid w:val="00B23705"/>
    <w:rsid w:val="00B2371D"/>
    <w:rsid w:val="00B23AF2"/>
    <w:rsid w:val="00B23B04"/>
    <w:rsid w:val="00B23B40"/>
    <w:rsid w:val="00B23BBA"/>
    <w:rsid w:val="00B23BD1"/>
    <w:rsid w:val="00B23C87"/>
    <w:rsid w:val="00B23D5D"/>
    <w:rsid w:val="00B23E15"/>
    <w:rsid w:val="00B23EA2"/>
    <w:rsid w:val="00B23EE6"/>
    <w:rsid w:val="00B23F23"/>
    <w:rsid w:val="00B240A0"/>
    <w:rsid w:val="00B242B6"/>
    <w:rsid w:val="00B242DE"/>
    <w:rsid w:val="00B243B1"/>
    <w:rsid w:val="00B24431"/>
    <w:rsid w:val="00B2445E"/>
    <w:rsid w:val="00B24531"/>
    <w:rsid w:val="00B24581"/>
    <w:rsid w:val="00B247A5"/>
    <w:rsid w:val="00B247E0"/>
    <w:rsid w:val="00B248B1"/>
    <w:rsid w:val="00B248E4"/>
    <w:rsid w:val="00B249CC"/>
    <w:rsid w:val="00B24AF5"/>
    <w:rsid w:val="00B24BB2"/>
    <w:rsid w:val="00B24BEF"/>
    <w:rsid w:val="00B24E2C"/>
    <w:rsid w:val="00B24F13"/>
    <w:rsid w:val="00B24F70"/>
    <w:rsid w:val="00B24F8F"/>
    <w:rsid w:val="00B2513A"/>
    <w:rsid w:val="00B2514C"/>
    <w:rsid w:val="00B25378"/>
    <w:rsid w:val="00B254C2"/>
    <w:rsid w:val="00B2560C"/>
    <w:rsid w:val="00B25619"/>
    <w:rsid w:val="00B2578C"/>
    <w:rsid w:val="00B257D0"/>
    <w:rsid w:val="00B257EA"/>
    <w:rsid w:val="00B2586E"/>
    <w:rsid w:val="00B2592E"/>
    <w:rsid w:val="00B25A04"/>
    <w:rsid w:val="00B25A35"/>
    <w:rsid w:val="00B25A6B"/>
    <w:rsid w:val="00B25D4D"/>
    <w:rsid w:val="00B25E8F"/>
    <w:rsid w:val="00B25EDB"/>
    <w:rsid w:val="00B25FD0"/>
    <w:rsid w:val="00B2602F"/>
    <w:rsid w:val="00B26070"/>
    <w:rsid w:val="00B261B9"/>
    <w:rsid w:val="00B261E7"/>
    <w:rsid w:val="00B2623A"/>
    <w:rsid w:val="00B26283"/>
    <w:rsid w:val="00B26342"/>
    <w:rsid w:val="00B263C2"/>
    <w:rsid w:val="00B26430"/>
    <w:rsid w:val="00B26494"/>
    <w:rsid w:val="00B266C9"/>
    <w:rsid w:val="00B266D0"/>
    <w:rsid w:val="00B26761"/>
    <w:rsid w:val="00B26870"/>
    <w:rsid w:val="00B268E8"/>
    <w:rsid w:val="00B26949"/>
    <w:rsid w:val="00B2699E"/>
    <w:rsid w:val="00B269A7"/>
    <w:rsid w:val="00B26AC2"/>
    <w:rsid w:val="00B26C1F"/>
    <w:rsid w:val="00B26CF5"/>
    <w:rsid w:val="00B26D83"/>
    <w:rsid w:val="00B26D9C"/>
    <w:rsid w:val="00B26EEE"/>
    <w:rsid w:val="00B26F7A"/>
    <w:rsid w:val="00B26F9D"/>
    <w:rsid w:val="00B271BA"/>
    <w:rsid w:val="00B2729D"/>
    <w:rsid w:val="00B2731E"/>
    <w:rsid w:val="00B27386"/>
    <w:rsid w:val="00B27465"/>
    <w:rsid w:val="00B2749D"/>
    <w:rsid w:val="00B2760A"/>
    <w:rsid w:val="00B27619"/>
    <w:rsid w:val="00B2762D"/>
    <w:rsid w:val="00B27638"/>
    <w:rsid w:val="00B276D9"/>
    <w:rsid w:val="00B27754"/>
    <w:rsid w:val="00B278B4"/>
    <w:rsid w:val="00B2798F"/>
    <w:rsid w:val="00B279B1"/>
    <w:rsid w:val="00B279CF"/>
    <w:rsid w:val="00B279FE"/>
    <w:rsid w:val="00B27A52"/>
    <w:rsid w:val="00B27B5E"/>
    <w:rsid w:val="00B27C6F"/>
    <w:rsid w:val="00B27E6B"/>
    <w:rsid w:val="00B300FB"/>
    <w:rsid w:val="00B301BE"/>
    <w:rsid w:val="00B302F8"/>
    <w:rsid w:val="00B3038D"/>
    <w:rsid w:val="00B304D8"/>
    <w:rsid w:val="00B30625"/>
    <w:rsid w:val="00B3074D"/>
    <w:rsid w:val="00B30763"/>
    <w:rsid w:val="00B3076F"/>
    <w:rsid w:val="00B30915"/>
    <w:rsid w:val="00B30925"/>
    <w:rsid w:val="00B309C1"/>
    <w:rsid w:val="00B30A28"/>
    <w:rsid w:val="00B30A69"/>
    <w:rsid w:val="00B30A74"/>
    <w:rsid w:val="00B30B04"/>
    <w:rsid w:val="00B30B0F"/>
    <w:rsid w:val="00B30B5C"/>
    <w:rsid w:val="00B30B85"/>
    <w:rsid w:val="00B30C2F"/>
    <w:rsid w:val="00B30CDB"/>
    <w:rsid w:val="00B30E15"/>
    <w:rsid w:val="00B30F15"/>
    <w:rsid w:val="00B30F4B"/>
    <w:rsid w:val="00B310A8"/>
    <w:rsid w:val="00B311BF"/>
    <w:rsid w:val="00B311D1"/>
    <w:rsid w:val="00B31270"/>
    <w:rsid w:val="00B31277"/>
    <w:rsid w:val="00B314FF"/>
    <w:rsid w:val="00B31589"/>
    <w:rsid w:val="00B31919"/>
    <w:rsid w:val="00B31B3A"/>
    <w:rsid w:val="00B31B4C"/>
    <w:rsid w:val="00B31B4E"/>
    <w:rsid w:val="00B31C34"/>
    <w:rsid w:val="00B31F79"/>
    <w:rsid w:val="00B320B6"/>
    <w:rsid w:val="00B321FF"/>
    <w:rsid w:val="00B32338"/>
    <w:rsid w:val="00B323CD"/>
    <w:rsid w:val="00B323E7"/>
    <w:rsid w:val="00B324A0"/>
    <w:rsid w:val="00B3251F"/>
    <w:rsid w:val="00B325D5"/>
    <w:rsid w:val="00B32746"/>
    <w:rsid w:val="00B32A10"/>
    <w:rsid w:val="00B32A1F"/>
    <w:rsid w:val="00B32A75"/>
    <w:rsid w:val="00B32A97"/>
    <w:rsid w:val="00B32B85"/>
    <w:rsid w:val="00B32C66"/>
    <w:rsid w:val="00B32F1B"/>
    <w:rsid w:val="00B32FCF"/>
    <w:rsid w:val="00B33088"/>
    <w:rsid w:val="00B33250"/>
    <w:rsid w:val="00B332E6"/>
    <w:rsid w:val="00B33495"/>
    <w:rsid w:val="00B33566"/>
    <w:rsid w:val="00B33583"/>
    <w:rsid w:val="00B33682"/>
    <w:rsid w:val="00B336FA"/>
    <w:rsid w:val="00B33707"/>
    <w:rsid w:val="00B33799"/>
    <w:rsid w:val="00B3386B"/>
    <w:rsid w:val="00B338E6"/>
    <w:rsid w:val="00B33912"/>
    <w:rsid w:val="00B3399D"/>
    <w:rsid w:val="00B33A6C"/>
    <w:rsid w:val="00B33A87"/>
    <w:rsid w:val="00B33B5B"/>
    <w:rsid w:val="00B33C4C"/>
    <w:rsid w:val="00B33D47"/>
    <w:rsid w:val="00B34085"/>
    <w:rsid w:val="00B3412A"/>
    <w:rsid w:val="00B341BA"/>
    <w:rsid w:val="00B34327"/>
    <w:rsid w:val="00B34365"/>
    <w:rsid w:val="00B34367"/>
    <w:rsid w:val="00B34391"/>
    <w:rsid w:val="00B343DC"/>
    <w:rsid w:val="00B343EC"/>
    <w:rsid w:val="00B34415"/>
    <w:rsid w:val="00B34416"/>
    <w:rsid w:val="00B344AB"/>
    <w:rsid w:val="00B3451D"/>
    <w:rsid w:val="00B34593"/>
    <w:rsid w:val="00B345D2"/>
    <w:rsid w:val="00B34650"/>
    <w:rsid w:val="00B347AC"/>
    <w:rsid w:val="00B34947"/>
    <w:rsid w:val="00B34AA4"/>
    <w:rsid w:val="00B34AFF"/>
    <w:rsid w:val="00B34B58"/>
    <w:rsid w:val="00B34CF9"/>
    <w:rsid w:val="00B35019"/>
    <w:rsid w:val="00B35103"/>
    <w:rsid w:val="00B351E6"/>
    <w:rsid w:val="00B351F8"/>
    <w:rsid w:val="00B351F9"/>
    <w:rsid w:val="00B3554D"/>
    <w:rsid w:val="00B35564"/>
    <w:rsid w:val="00B35674"/>
    <w:rsid w:val="00B356C1"/>
    <w:rsid w:val="00B35776"/>
    <w:rsid w:val="00B35780"/>
    <w:rsid w:val="00B3578F"/>
    <w:rsid w:val="00B357AD"/>
    <w:rsid w:val="00B3583B"/>
    <w:rsid w:val="00B35850"/>
    <w:rsid w:val="00B358E0"/>
    <w:rsid w:val="00B3594B"/>
    <w:rsid w:val="00B35A7D"/>
    <w:rsid w:val="00B35AE7"/>
    <w:rsid w:val="00B35B44"/>
    <w:rsid w:val="00B35C8A"/>
    <w:rsid w:val="00B35D15"/>
    <w:rsid w:val="00B35DF4"/>
    <w:rsid w:val="00B35E8F"/>
    <w:rsid w:val="00B35E96"/>
    <w:rsid w:val="00B35EFA"/>
    <w:rsid w:val="00B35F08"/>
    <w:rsid w:val="00B35F4E"/>
    <w:rsid w:val="00B35F73"/>
    <w:rsid w:val="00B35F77"/>
    <w:rsid w:val="00B36145"/>
    <w:rsid w:val="00B361F1"/>
    <w:rsid w:val="00B36273"/>
    <w:rsid w:val="00B36312"/>
    <w:rsid w:val="00B36315"/>
    <w:rsid w:val="00B36546"/>
    <w:rsid w:val="00B36995"/>
    <w:rsid w:val="00B36B2E"/>
    <w:rsid w:val="00B36B50"/>
    <w:rsid w:val="00B36C4D"/>
    <w:rsid w:val="00B36CC3"/>
    <w:rsid w:val="00B36CE6"/>
    <w:rsid w:val="00B36D4F"/>
    <w:rsid w:val="00B36D95"/>
    <w:rsid w:val="00B36F13"/>
    <w:rsid w:val="00B36F6F"/>
    <w:rsid w:val="00B36FE4"/>
    <w:rsid w:val="00B36FEB"/>
    <w:rsid w:val="00B37007"/>
    <w:rsid w:val="00B370D8"/>
    <w:rsid w:val="00B370F8"/>
    <w:rsid w:val="00B37154"/>
    <w:rsid w:val="00B37206"/>
    <w:rsid w:val="00B3725E"/>
    <w:rsid w:val="00B372F3"/>
    <w:rsid w:val="00B373CC"/>
    <w:rsid w:val="00B3745E"/>
    <w:rsid w:val="00B374A3"/>
    <w:rsid w:val="00B374D7"/>
    <w:rsid w:val="00B3752A"/>
    <w:rsid w:val="00B375A2"/>
    <w:rsid w:val="00B375AF"/>
    <w:rsid w:val="00B3765C"/>
    <w:rsid w:val="00B376B3"/>
    <w:rsid w:val="00B37775"/>
    <w:rsid w:val="00B377A3"/>
    <w:rsid w:val="00B377A5"/>
    <w:rsid w:val="00B37845"/>
    <w:rsid w:val="00B37A0E"/>
    <w:rsid w:val="00B37A8F"/>
    <w:rsid w:val="00B37B29"/>
    <w:rsid w:val="00B37BB6"/>
    <w:rsid w:val="00B37BDB"/>
    <w:rsid w:val="00B37D70"/>
    <w:rsid w:val="00B37E54"/>
    <w:rsid w:val="00B37E98"/>
    <w:rsid w:val="00B37FB6"/>
    <w:rsid w:val="00B4004E"/>
    <w:rsid w:val="00B400A7"/>
    <w:rsid w:val="00B400C6"/>
    <w:rsid w:val="00B40180"/>
    <w:rsid w:val="00B4024A"/>
    <w:rsid w:val="00B402DB"/>
    <w:rsid w:val="00B404A8"/>
    <w:rsid w:val="00B404B9"/>
    <w:rsid w:val="00B406B6"/>
    <w:rsid w:val="00B406DF"/>
    <w:rsid w:val="00B40887"/>
    <w:rsid w:val="00B409D8"/>
    <w:rsid w:val="00B40BE9"/>
    <w:rsid w:val="00B40BFC"/>
    <w:rsid w:val="00B40C9E"/>
    <w:rsid w:val="00B40F13"/>
    <w:rsid w:val="00B40FB7"/>
    <w:rsid w:val="00B41119"/>
    <w:rsid w:val="00B4139D"/>
    <w:rsid w:val="00B413E7"/>
    <w:rsid w:val="00B41453"/>
    <w:rsid w:val="00B41554"/>
    <w:rsid w:val="00B416C0"/>
    <w:rsid w:val="00B416E3"/>
    <w:rsid w:val="00B41795"/>
    <w:rsid w:val="00B417E5"/>
    <w:rsid w:val="00B417F6"/>
    <w:rsid w:val="00B41A48"/>
    <w:rsid w:val="00B41DD3"/>
    <w:rsid w:val="00B41DE9"/>
    <w:rsid w:val="00B41F0D"/>
    <w:rsid w:val="00B41FB3"/>
    <w:rsid w:val="00B4208C"/>
    <w:rsid w:val="00B4218B"/>
    <w:rsid w:val="00B4225C"/>
    <w:rsid w:val="00B42343"/>
    <w:rsid w:val="00B42478"/>
    <w:rsid w:val="00B4249A"/>
    <w:rsid w:val="00B42553"/>
    <w:rsid w:val="00B42816"/>
    <w:rsid w:val="00B4282A"/>
    <w:rsid w:val="00B42861"/>
    <w:rsid w:val="00B42872"/>
    <w:rsid w:val="00B42873"/>
    <w:rsid w:val="00B4290D"/>
    <w:rsid w:val="00B42D10"/>
    <w:rsid w:val="00B42DF2"/>
    <w:rsid w:val="00B42EBC"/>
    <w:rsid w:val="00B43049"/>
    <w:rsid w:val="00B430C7"/>
    <w:rsid w:val="00B430DA"/>
    <w:rsid w:val="00B4322A"/>
    <w:rsid w:val="00B433BC"/>
    <w:rsid w:val="00B433F5"/>
    <w:rsid w:val="00B43441"/>
    <w:rsid w:val="00B43557"/>
    <w:rsid w:val="00B435BF"/>
    <w:rsid w:val="00B439C2"/>
    <w:rsid w:val="00B439CA"/>
    <w:rsid w:val="00B439D9"/>
    <w:rsid w:val="00B43AC9"/>
    <w:rsid w:val="00B43BEC"/>
    <w:rsid w:val="00B43DDD"/>
    <w:rsid w:val="00B43E59"/>
    <w:rsid w:val="00B43F36"/>
    <w:rsid w:val="00B441A5"/>
    <w:rsid w:val="00B441DB"/>
    <w:rsid w:val="00B442CF"/>
    <w:rsid w:val="00B443CB"/>
    <w:rsid w:val="00B444FA"/>
    <w:rsid w:val="00B445F4"/>
    <w:rsid w:val="00B4461E"/>
    <w:rsid w:val="00B44664"/>
    <w:rsid w:val="00B44763"/>
    <w:rsid w:val="00B4484E"/>
    <w:rsid w:val="00B448C9"/>
    <w:rsid w:val="00B44AF1"/>
    <w:rsid w:val="00B44BBB"/>
    <w:rsid w:val="00B44CD9"/>
    <w:rsid w:val="00B44CE2"/>
    <w:rsid w:val="00B44E18"/>
    <w:rsid w:val="00B44E88"/>
    <w:rsid w:val="00B44FE2"/>
    <w:rsid w:val="00B45274"/>
    <w:rsid w:val="00B4533F"/>
    <w:rsid w:val="00B45381"/>
    <w:rsid w:val="00B454D2"/>
    <w:rsid w:val="00B4556D"/>
    <w:rsid w:val="00B455F1"/>
    <w:rsid w:val="00B45611"/>
    <w:rsid w:val="00B456E2"/>
    <w:rsid w:val="00B458A3"/>
    <w:rsid w:val="00B459CD"/>
    <w:rsid w:val="00B45B44"/>
    <w:rsid w:val="00B45B64"/>
    <w:rsid w:val="00B45B7F"/>
    <w:rsid w:val="00B45C19"/>
    <w:rsid w:val="00B45D9F"/>
    <w:rsid w:val="00B45DC1"/>
    <w:rsid w:val="00B45EDD"/>
    <w:rsid w:val="00B45F11"/>
    <w:rsid w:val="00B45FAD"/>
    <w:rsid w:val="00B45FE4"/>
    <w:rsid w:val="00B45FFE"/>
    <w:rsid w:val="00B460CA"/>
    <w:rsid w:val="00B46159"/>
    <w:rsid w:val="00B46181"/>
    <w:rsid w:val="00B46320"/>
    <w:rsid w:val="00B46334"/>
    <w:rsid w:val="00B4636D"/>
    <w:rsid w:val="00B464A3"/>
    <w:rsid w:val="00B464CF"/>
    <w:rsid w:val="00B46549"/>
    <w:rsid w:val="00B46555"/>
    <w:rsid w:val="00B4666C"/>
    <w:rsid w:val="00B46700"/>
    <w:rsid w:val="00B46A24"/>
    <w:rsid w:val="00B46B7F"/>
    <w:rsid w:val="00B46B94"/>
    <w:rsid w:val="00B46BB0"/>
    <w:rsid w:val="00B46BE4"/>
    <w:rsid w:val="00B46CE3"/>
    <w:rsid w:val="00B46E5A"/>
    <w:rsid w:val="00B47162"/>
    <w:rsid w:val="00B472E9"/>
    <w:rsid w:val="00B4731C"/>
    <w:rsid w:val="00B47550"/>
    <w:rsid w:val="00B47567"/>
    <w:rsid w:val="00B4759F"/>
    <w:rsid w:val="00B4781D"/>
    <w:rsid w:val="00B47851"/>
    <w:rsid w:val="00B4785E"/>
    <w:rsid w:val="00B47944"/>
    <w:rsid w:val="00B479CB"/>
    <w:rsid w:val="00B47A48"/>
    <w:rsid w:val="00B47AF4"/>
    <w:rsid w:val="00B47B0E"/>
    <w:rsid w:val="00B47C99"/>
    <w:rsid w:val="00B47C9A"/>
    <w:rsid w:val="00B47CB9"/>
    <w:rsid w:val="00B47CBF"/>
    <w:rsid w:val="00B47CE7"/>
    <w:rsid w:val="00B47D62"/>
    <w:rsid w:val="00B47D76"/>
    <w:rsid w:val="00B50050"/>
    <w:rsid w:val="00B5016E"/>
    <w:rsid w:val="00B504C9"/>
    <w:rsid w:val="00B504F6"/>
    <w:rsid w:val="00B50572"/>
    <w:rsid w:val="00B50752"/>
    <w:rsid w:val="00B50934"/>
    <w:rsid w:val="00B50B5F"/>
    <w:rsid w:val="00B50D5F"/>
    <w:rsid w:val="00B50D94"/>
    <w:rsid w:val="00B50EF6"/>
    <w:rsid w:val="00B50FFE"/>
    <w:rsid w:val="00B510D2"/>
    <w:rsid w:val="00B511B5"/>
    <w:rsid w:val="00B51411"/>
    <w:rsid w:val="00B514E8"/>
    <w:rsid w:val="00B51568"/>
    <w:rsid w:val="00B515D0"/>
    <w:rsid w:val="00B515DF"/>
    <w:rsid w:val="00B5177E"/>
    <w:rsid w:val="00B51865"/>
    <w:rsid w:val="00B518E8"/>
    <w:rsid w:val="00B5191D"/>
    <w:rsid w:val="00B51973"/>
    <w:rsid w:val="00B51983"/>
    <w:rsid w:val="00B519F8"/>
    <w:rsid w:val="00B51AD1"/>
    <w:rsid w:val="00B51AF0"/>
    <w:rsid w:val="00B51BA7"/>
    <w:rsid w:val="00B51BB5"/>
    <w:rsid w:val="00B51D26"/>
    <w:rsid w:val="00B51E76"/>
    <w:rsid w:val="00B52159"/>
    <w:rsid w:val="00B52314"/>
    <w:rsid w:val="00B5231E"/>
    <w:rsid w:val="00B5246B"/>
    <w:rsid w:val="00B52530"/>
    <w:rsid w:val="00B5270B"/>
    <w:rsid w:val="00B5271F"/>
    <w:rsid w:val="00B527B1"/>
    <w:rsid w:val="00B52886"/>
    <w:rsid w:val="00B528C6"/>
    <w:rsid w:val="00B528FD"/>
    <w:rsid w:val="00B52916"/>
    <w:rsid w:val="00B52A66"/>
    <w:rsid w:val="00B52ADA"/>
    <w:rsid w:val="00B52AE7"/>
    <w:rsid w:val="00B52B1C"/>
    <w:rsid w:val="00B52B2B"/>
    <w:rsid w:val="00B52C19"/>
    <w:rsid w:val="00B52CB8"/>
    <w:rsid w:val="00B52CD4"/>
    <w:rsid w:val="00B52CF4"/>
    <w:rsid w:val="00B52D41"/>
    <w:rsid w:val="00B52EB9"/>
    <w:rsid w:val="00B52ED4"/>
    <w:rsid w:val="00B53103"/>
    <w:rsid w:val="00B5314E"/>
    <w:rsid w:val="00B532F8"/>
    <w:rsid w:val="00B53374"/>
    <w:rsid w:val="00B53471"/>
    <w:rsid w:val="00B53516"/>
    <w:rsid w:val="00B5352F"/>
    <w:rsid w:val="00B53561"/>
    <w:rsid w:val="00B5359B"/>
    <w:rsid w:val="00B535F0"/>
    <w:rsid w:val="00B53681"/>
    <w:rsid w:val="00B536ED"/>
    <w:rsid w:val="00B53754"/>
    <w:rsid w:val="00B53757"/>
    <w:rsid w:val="00B537EE"/>
    <w:rsid w:val="00B5387F"/>
    <w:rsid w:val="00B538BF"/>
    <w:rsid w:val="00B538CC"/>
    <w:rsid w:val="00B538DA"/>
    <w:rsid w:val="00B538EE"/>
    <w:rsid w:val="00B53979"/>
    <w:rsid w:val="00B53A46"/>
    <w:rsid w:val="00B53B42"/>
    <w:rsid w:val="00B53B72"/>
    <w:rsid w:val="00B53C1F"/>
    <w:rsid w:val="00B53D04"/>
    <w:rsid w:val="00B53D23"/>
    <w:rsid w:val="00B53D88"/>
    <w:rsid w:val="00B53E11"/>
    <w:rsid w:val="00B53E2D"/>
    <w:rsid w:val="00B53EA3"/>
    <w:rsid w:val="00B53FBA"/>
    <w:rsid w:val="00B540D6"/>
    <w:rsid w:val="00B540F1"/>
    <w:rsid w:val="00B540F9"/>
    <w:rsid w:val="00B54161"/>
    <w:rsid w:val="00B542EC"/>
    <w:rsid w:val="00B5435A"/>
    <w:rsid w:val="00B54484"/>
    <w:rsid w:val="00B54652"/>
    <w:rsid w:val="00B54667"/>
    <w:rsid w:val="00B546D8"/>
    <w:rsid w:val="00B54742"/>
    <w:rsid w:val="00B54791"/>
    <w:rsid w:val="00B54801"/>
    <w:rsid w:val="00B5489E"/>
    <w:rsid w:val="00B54971"/>
    <w:rsid w:val="00B549C1"/>
    <w:rsid w:val="00B549DC"/>
    <w:rsid w:val="00B54B4E"/>
    <w:rsid w:val="00B54CF3"/>
    <w:rsid w:val="00B54D79"/>
    <w:rsid w:val="00B54D91"/>
    <w:rsid w:val="00B54F86"/>
    <w:rsid w:val="00B54FA1"/>
    <w:rsid w:val="00B5510F"/>
    <w:rsid w:val="00B5516E"/>
    <w:rsid w:val="00B55170"/>
    <w:rsid w:val="00B5528A"/>
    <w:rsid w:val="00B55350"/>
    <w:rsid w:val="00B55559"/>
    <w:rsid w:val="00B5574E"/>
    <w:rsid w:val="00B55784"/>
    <w:rsid w:val="00B55851"/>
    <w:rsid w:val="00B559A1"/>
    <w:rsid w:val="00B559A6"/>
    <w:rsid w:val="00B559D2"/>
    <w:rsid w:val="00B55A2E"/>
    <w:rsid w:val="00B55B01"/>
    <w:rsid w:val="00B55B04"/>
    <w:rsid w:val="00B55B71"/>
    <w:rsid w:val="00B55BC4"/>
    <w:rsid w:val="00B55CEB"/>
    <w:rsid w:val="00B55D7C"/>
    <w:rsid w:val="00B55DD9"/>
    <w:rsid w:val="00B55F20"/>
    <w:rsid w:val="00B56133"/>
    <w:rsid w:val="00B561E9"/>
    <w:rsid w:val="00B562E2"/>
    <w:rsid w:val="00B56359"/>
    <w:rsid w:val="00B564AA"/>
    <w:rsid w:val="00B564E8"/>
    <w:rsid w:val="00B5660D"/>
    <w:rsid w:val="00B56686"/>
    <w:rsid w:val="00B56708"/>
    <w:rsid w:val="00B56756"/>
    <w:rsid w:val="00B56773"/>
    <w:rsid w:val="00B567AA"/>
    <w:rsid w:val="00B56801"/>
    <w:rsid w:val="00B56864"/>
    <w:rsid w:val="00B568F9"/>
    <w:rsid w:val="00B569C4"/>
    <w:rsid w:val="00B569CF"/>
    <w:rsid w:val="00B56AD2"/>
    <w:rsid w:val="00B56BEF"/>
    <w:rsid w:val="00B56C4B"/>
    <w:rsid w:val="00B56DF7"/>
    <w:rsid w:val="00B56E1A"/>
    <w:rsid w:val="00B56E81"/>
    <w:rsid w:val="00B57036"/>
    <w:rsid w:val="00B5704A"/>
    <w:rsid w:val="00B570E8"/>
    <w:rsid w:val="00B5719A"/>
    <w:rsid w:val="00B571D8"/>
    <w:rsid w:val="00B57238"/>
    <w:rsid w:val="00B5730C"/>
    <w:rsid w:val="00B57313"/>
    <w:rsid w:val="00B57525"/>
    <w:rsid w:val="00B57553"/>
    <w:rsid w:val="00B575AE"/>
    <w:rsid w:val="00B5762C"/>
    <w:rsid w:val="00B57634"/>
    <w:rsid w:val="00B576C9"/>
    <w:rsid w:val="00B576F2"/>
    <w:rsid w:val="00B57751"/>
    <w:rsid w:val="00B577FB"/>
    <w:rsid w:val="00B57818"/>
    <w:rsid w:val="00B578F0"/>
    <w:rsid w:val="00B5797F"/>
    <w:rsid w:val="00B57A8B"/>
    <w:rsid w:val="00B57AB5"/>
    <w:rsid w:val="00B57AF0"/>
    <w:rsid w:val="00B57C8A"/>
    <w:rsid w:val="00B57CDB"/>
    <w:rsid w:val="00B57E37"/>
    <w:rsid w:val="00B600A3"/>
    <w:rsid w:val="00B600D0"/>
    <w:rsid w:val="00B602A5"/>
    <w:rsid w:val="00B602FF"/>
    <w:rsid w:val="00B60361"/>
    <w:rsid w:val="00B604DE"/>
    <w:rsid w:val="00B604E3"/>
    <w:rsid w:val="00B60506"/>
    <w:rsid w:val="00B6051A"/>
    <w:rsid w:val="00B6052A"/>
    <w:rsid w:val="00B6055A"/>
    <w:rsid w:val="00B60575"/>
    <w:rsid w:val="00B6057A"/>
    <w:rsid w:val="00B605BD"/>
    <w:rsid w:val="00B605CB"/>
    <w:rsid w:val="00B605E0"/>
    <w:rsid w:val="00B607D2"/>
    <w:rsid w:val="00B6087B"/>
    <w:rsid w:val="00B60AF6"/>
    <w:rsid w:val="00B60BC7"/>
    <w:rsid w:val="00B60D20"/>
    <w:rsid w:val="00B60D3C"/>
    <w:rsid w:val="00B60DF9"/>
    <w:rsid w:val="00B60E82"/>
    <w:rsid w:val="00B60F88"/>
    <w:rsid w:val="00B61033"/>
    <w:rsid w:val="00B610B0"/>
    <w:rsid w:val="00B610BA"/>
    <w:rsid w:val="00B611C8"/>
    <w:rsid w:val="00B6126F"/>
    <w:rsid w:val="00B6132A"/>
    <w:rsid w:val="00B61366"/>
    <w:rsid w:val="00B61391"/>
    <w:rsid w:val="00B6156B"/>
    <w:rsid w:val="00B61613"/>
    <w:rsid w:val="00B61662"/>
    <w:rsid w:val="00B6166E"/>
    <w:rsid w:val="00B61733"/>
    <w:rsid w:val="00B61760"/>
    <w:rsid w:val="00B6185B"/>
    <w:rsid w:val="00B619F5"/>
    <w:rsid w:val="00B61BC3"/>
    <w:rsid w:val="00B61E02"/>
    <w:rsid w:val="00B61E41"/>
    <w:rsid w:val="00B61F16"/>
    <w:rsid w:val="00B62018"/>
    <w:rsid w:val="00B62184"/>
    <w:rsid w:val="00B62250"/>
    <w:rsid w:val="00B623F2"/>
    <w:rsid w:val="00B62553"/>
    <w:rsid w:val="00B62603"/>
    <w:rsid w:val="00B626C9"/>
    <w:rsid w:val="00B62894"/>
    <w:rsid w:val="00B62A07"/>
    <w:rsid w:val="00B62A0E"/>
    <w:rsid w:val="00B62A3E"/>
    <w:rsid w:val="00B62B49"/>
    <w:rsid w:val="00B62B77"/>
    <w:rsid w:val="00B62B95"/>
    <w:rsid w:val="00B62C2B"/>
    <w:rsid w:val="00B62D5F"/>
    <w:rsid w:val="00B62D9B"/>
    <w:rsid w:val="00B62FD1"/>
    <w:rsid w:val="00B63012"/>
    <w:rsid w:val="00B63034"/>
    <w:rsid w:val="00B6304D"/>
    <w:rsid w:val="00B6307C"/>
    <w:rsid w:val="00B632A8"/>
    <w:rsid w:val="00B632F8"/>
    <w:rsid w:val="00B6349F"/>
    <w:rsid w:val="00B6352D"/>
    <w:rsid w:val="00B63681"/>
    <w:rsid w:val="00B63874"/>
    <w:rsid w:val="00B638A6"/>
    <w:rsid w:val="00B63AE8"/>
    <w:rsid w:val="00B63B58"/>
    <w:rsid w:val="00B63BD1"/>
    <w:rsid w:val="00B63BED"/>
    <w:rsid w:val="00B63CB1"/>
    <w:rsid w:val="00B63F83"/>
    <w:rsid w:val="00B63F8C"/>
    <w:rsid w:val="00B640CE"/>
    <w:rsid w:val="00B64106"/>
    <w:rsid w:val="00B64246"/>
    <w:rsid w:val="00B64401"/>
    <w:rsid w:val="00B644CC"/>
    <w:rsid w:val="00B6457F"/>
    <w:rsid w:val="00B64678"/>
    <w:rsid w:val="00B646BB"/>
    <w:rsid w:val="00B64774"/>
    <w:rsid w:val="00B648DF"/>
    <w:rsid w:val="00B64926"/>
    <w:rsid w:val="00B64A12"/>
    <w:rsid w:val="00B64A36"/>
    <w:rsid w:val="00B64B16"/>
    <w:rsid w:val="00B64C4F"/>
    <w:rsid w:val="00B64C53"/>
    <w:rsid w:val="00B64C6A"/>
    <w:rsid w:val="00B64CDF"/>
    <w:rsid w:val="00B64D49"/>
    <w:rsid w:val="00B64D92"/>
    <w:rsid w:val="00B64DFD"/>
    <w:rsid w:val="00B64F17"/>
    <w:rsid w:val="00B64F23"/>
    <w:rsid w:val="00B64F3E"/>
    <w:rsid w:val="00B64F49"/>
    <w:rsid w:val="00B65086"/>
    <w:rsid w:val="00B650BC"/>
    <w:rsid w:val="00B65194"/>
    <w:rsid w:val="00B652C7"/>
    <w:rsid w:val="00B65347"/>
    <w:rsid w:val="00B65355"/>
    <w:rsid w:val="00B6537E"/>
    <w:rsid w:val="00B653C5"/>
    <w:rsid w:val="00B653E4"/>
    <w:rsid w:val="00B6550A"/>
    <w:rsid w:val="00B655D3"/>
    <w:rsid w:val="00B65618"/>
    <w:rsid w:val="00B6569F"/>
    <w:rsid w:val="00B656C1"/>
    <w:rsid w:val="00B656FE"/>
    <w:rsid w:val="00B658A3"/>
    <w:rsid w:val="00B659AD"/>
    <w:rsid w:val="00B659D8"/>
    <w:rsid w:val="00B65A61"/>
    <w:rsid w:val="00B65AB8"/>
    <w:rsid w:val="00B65B31"/>
    <w:rsid w:val="00B65C8F"/>
    <w:rsid w:val="00B65D02"/>
    <w:rsid w:val="00B65D4D"/>
    <w:rsid w:val="00B65DAF"/>
    <w:rsid w:val="00B65DE1"/>
    <w:rsid w:val="00B65EC5"/>
    <w:rsid w:val="00B65F12"/>
    <w:rsid w:val="00B65FA5"/>
    <w:rsid w:val="00B66043"/>
    <w:rsid w:val="00B660AD"/>
    <w:rsid w:val="00B660EC"/>
    <w:rsid w:val="00B66120"/>
    <w:rsid w:val="00B661BE"/>
    <w:rsid w:val="00B66353"/>
    <w:rsid w:val="00B663BD"/>
    <w:rsid w:val="00B66517"/>
    <w:rsid w:val="00B6656D"/>
    <w:rsid w:val="00B665B7"/>
    <w:rsid w:val="00B665B8"/>
    <w:rsid w:val="00B665EA"/>
    <w:rsid w:val="00B66660"/>
    <w:rsid w:val="00B6666B"/>
    <w:rsid w:val="00B66783"/>
    <w:rsid w:val="00B66792"/>
    <w:rsid w:val="00B667FB"/>
    <w:rsid w:val="00B66922"/>
    <w:rsid w:val="00B6693C"/>
    <w:rsid w:val="00B669AC"/>
    <w:rsid w:val="00B66AC0"/>
    <w:rsid w:val="00B66AD3"/>
    <w:rsid w:val="00B66C03"/>
    <w:rsid w:val="00B66C7B"/>
    <w:rsid w:val="00B66CE3"/>
    <w:rsid w:val="00B66E98"/>
    <w:rsid w:val="00B66FCC"/>
    <w:rsid w:val="00B6706A"/>
    <w:rsid w:val="00B6714E"/>
    <w:rsid w:val="00B6719C"/>
    <w:rsid w:val="00B671ED"/>
    <w:rsid w:val="00B6734C"/>
    <w:rsid w:val="00B673CC"/>
    <w:rsid w:val="00B675AA"/>
    <w:rsid w:val="00B675FB"/>
    <w:rsid w:val="00B6762C"/>
    <w:rsid w:val="00B67646"/>
    <w:rsid w:val="00B676C5"/>
    <w:rsid w:val="00B6775C"/>
    <w:rsid w:val="00B677C9"/>
    <w:rsid w:val="00B677F8"/>
    <w:rsid w:val="00B67870"/>
    <w:rsid w:val="00B67944"/>
    <w:rsid w:val="00B67C56"/>
    <w:rsid w:val="00B67C72"/>
    <w:rsid w:val="00B67CB2"/>
    <w:rsid w:val="00B67CC7"/>
    <w:rsid w:val="00B67D89"/>
    <w:rsid w:val="00B67E47"/>
    <w:rsid w:val="00B67EE6"/>
    <w:rsid w:val="00B67F6E"/>
    <w:rsid w:val="00B67FF4"/>
    <w:rsid w:val="00B70042"/>
    <w:rsid w:val="00B701CA"/>
    <w:rsid w:val="00B701F1"/>
    <w:rsid w:val="00B7040E"/>
    <w:rsid w:val="00B70445"/>
    <w:rsid w:val="00B70449"/>
    <w:rsid w:val="00B7045B"/>
    <w:rsid w:val="00B7050D"/>
    <w:rsid w:val="00B7066C"/>
    <w:rsid w:val="00B70900"/>
    <w:rsid w:val="00B70B02"/>
    <w:rsid w:val="00B70C58"/>
    <w:rsid w:val="00B70CA0"/>
    <w:rsid w:val="00B70CF1"/>
    <w:rsid w:val="00B70E87"/>
    <w:rsid w:val="00B70F0C"/>
    <w:rsid w:val="00B70FD0"/>
    <w:rsid w:val="00B71096"/>
    <w:rsid w:val="00B710E1"/>
    <w:rsid w:val="00B7112E"/>
    <w:rsid w:val="00B711D0"/>
    <w:rsid w:val="00B711E0"/>
    <w:rsid w:val="00B712F9"/>
    <w:rsid w:val="00B712FA"/>
    <w:rsid w:val="00B71378"/>
    <w:rsid w:val="00B71417"/>
    <w:rsid w:val="00B71782"/>
    <w:rsid w:val="00B717FB"/>
    <w:rsid w:val="00B71879"/>
    <w:rsid w:val="00B7187B"/>
    <w:rsid w:val="00B71899"/>
    <w:rsid w:val="00B718ED"/>
    <w:rsid w:val="00B719D6"/>
    <w:rsid w:val="00B71A11"/>
    <w:rsid w:val="00B71A22"/>
    <w:rsid w:val="00B71B6B"/>
    <w:rsid w:val="00B71B9B"/>
    <w:rsid w:val="00B71DF3"/>
    <w:rsid w:val="00B71E2A"/>
    <w:rsid w:val="00B71E30"/>
    <w:rsid w:val="00B71E65"/>
    <w:rsid w:val="00B71F60"/>
    <w:rsid w:val="00B71FC4"/>
    <w:rsid w:val="00B7219C"/>
    <w:rsid w:val="00B7228A"/>
    <w:rsid w:val="00B72321"/>
    <w:rsid w:val="00B72436"/>
    <w:rsid w:val="00B724A3"/>
    <w:rsid w:val="00B72706"/>
    <w:rsid w:val="00B7272E"/>
    <w:rsid w:val="00B727F3"/>
    <w:rsid w:val="00B7289D"/>
    <w:rsid w:val="00B728DD"/>
    <w:rsid w:val="00B72A33"/>
    <w:rsid w:val="00B72A6E"/>
    <w:rsid w:val="00B72AF0"/>
    <w:rsid w:val="00B72C81"/>
    <w:rsid w:val="00B72CCA"/>
    <w:rsid w:val="00B72D8D"/>
    <w:rsid w:val="00B73033"/>
    <w:rsid w:val="00B73062"/>
    <w:rsid w:val="00B734BB"/>
    <w:rsid w:val="00B735F6"/>
    <w:rsid w:val="00B7374D"/>
    <w:rsid w:val="00B73785"/>
    <w:rsid w:val="00B737E2"/>
    <w:rsid w:val="00B737EB"/>
    <w:rsid w:val="00B7382A"/>
    <w:rsid w:val="00B738D8"/>
    <w:rsid w:val="00B739F7"/>
    <w:rsid w:val="00B73B4A"/>
    <w:rsid w:val="00B73B54"/>
    <w:rsid w:val="00B73B6B"/>
    <w:rsid w:val="00B73B7B"/>
    <w:rsid w:val="00B73BA6"/>
    <w:rsid w:val="00B73DD7"/>
    <w:rsid w:val="00B73ECC"/>
    <w:rsid w:val="00B73F2D"/>
    <w:rsid w:val="00B7407C"/>
    <w:rsid w:val="00B7408D"/>
    <w:rsid w:val="00B7414E"/>
    <w:rsid w:val="00B74452"/>
    <w:rsid w:val="00B745FB"/>
    <w:rsid w:val="00B74639"/>
    <w:rsid w:val="00B74649"/>
    <w:rsid w:val="00B74685"/>
    <w:rsid w:val="00B746B5"/>
    <w:rsid w:val="00B7484E"/>
    <w:rsid w:val="00B7485C"/>
    <w:rsid w:val="00B74AF9"/>
    <w:rsid w:val="00B74B07"/>
    <w:rsid w:val="00B74B8C"/>
    <w:rsid w:val="00B74D26"/>
    <w:rsid w:val="00B74D36"/>
    <w:rsid w:val="00B74EEE"/>
    <w:rsid w:val="00B75083"/>
    <w:rsid w:val="00B75282"/>
    <w:rsid w:val="00B7539D"/>
    <w:rsid w:val="00B753A6"/>
    <w:rsid w:val="00B75427"/>
    <w:rsid w:val="00B75527"/>
    <w:rsid w:val="00B75539"/>
    <w:rsid w:val="00B7563D"/>
    <w:rsid w:val="00B7571E"/>
    <w:rsid w:val="00B757C3"/>
    <w:rsid w:val="00B75865"/>
    <w:rsid w:val="00B758FB"/>
    <w:rsid w:val="00B75A37"/>
    <w:rsid w:val="00B75C80"/>
    <w:rsid w:val="00B75DE6"/>
    <w:rsid w:val="00B75E7F"/>
    <w:rsid w:val="00B75F72"/>
    <w:rsid w:val="00B76106"/>
    <w:rsid w:val="00B7622D"/>
    <w:rsid w:val="00B7626B"/>
    <w:rsid w:val="00B76556"/>
    <w:rsid w:val="00B766D5"/>
    <w:rsid w:val="00B76781"/>
    <w:rsid w:val="00B7678C"/>
    <w:rsid w:val="00B76957"/>
    <w:rsid w:val="00B769EA"/>
    <w:rsid w:val="00B76A41"/>
    <w:rsid w:val="00B76BBB"/>
    <w:rsid w:val="00B76D18"/>
    <w:rsid w:val="00B76D32"/>
    <w:rsid w:val="00B76DA9"/>
    <w:rsid w:val="00B76DE2"/>
    <w:rsid w:val="00B76E17"/>
    <w:rsid w:val="00B76E47"/>
    <w:rsid w:val="00B76E82"/>
    <w:rsid w:val="00B76FA4"/>
    <w:rsid w:val="00B76FBA"/>
    <w:rsid w:val="00B771DC"/>
    <w:rsid w:val="00B772E4"/>
    <w:rsid w:val="00B774C4"/>
    <w:rsid w:val="00B775A0"/>
    <w:rsid w:val="00B775EE"/>
    <w:rsid w:val="00B7760C"/>
    <w:rsid w:val="00B77726"/>
    <w:rsid w:val="00B7783A"/>
    <w:rsid w:val="00B77A84"/>
    <w:rsid w:val="00B77AA1"/>
    <w:rsid w:val="00B77C53"/>
    <w:rsid w:val="00B77D2C"/>
    <w:rsid w:val="00B77D3E"/>
    <w:rsid w:val="00B77DD7"/>
    <w:rsid w:val="00B77E78"/>
    <w:rsid w:val="00B8000F"/>
    <w:rsid w:val="00B80015"/>
    <w:rsid w:val="00B8009F"/>
    <w:rsid w:val="00B8025B"/>
    <w:rsid w:val="00B80299"/>
    <w:rsid w:val="00B80336"/>
    <w:rsid w:val="00B8034C"/>
    <w:rsid w:val="00B803DC"/>
    <w:rsid w:val="00B80472"/>
    <w:rsid w:val="00B8051B"/>
    <w:rsid w:val="00B806AA"/>
    <w:rsid w:val="00B8084D"/>
    <w:rsid w:val="00B8092F"/>
    <w:rsid w:val="00B80983"/>
    <w:rsid w:val="00B80C32"/>
    <w:rsid w:val="00B80E61"/>
    <w:rsid w:val="00B80F18"/>
    <w:rsid w:val="00B80F43"/>
    <w:rsid w:val="00B80F6D"/>
    <w:rsid w:val="00B81001"/>
    <w:rsid w:val="00B810F9"/>
    <w:rsid w:val="00B81211"/>
    <w:rsid w:val="00B81370"/>
    <w:rsid w:val="00B81401"/>
    <w:rsid w:val="00B81663"/>
    <w:rsid w:val="00B81754"/>
    <w:rsid w:val="00B81852"/>
    <w:rsid w:val="00B818D7"/>
    <w:rsid w:val="00B818FF"/>
    <w:rsid w:val="00B81ABD"/>
    <w:rsid w:val="00B81B78"/>
    <w:rsid w:val="00B81BAE"/>
    <w:rsid w:val="00B81C3D"/>
    <w:rsid w:val="00B81ECB"/>
    <w:rsid w:val="00B81EF4"/>
    <w:rsid w:val="00B81F44"/>
    <w:rsid w:val="00B82094"/>
    <w:rsid w:val="00B82097"/>
    <w:rsid w:val="00B82192"/>
    <w:rsid w:val="00B82497"/>
    <w:rsid w:val="00B82705"/>
    <w:rsid w:val="00B82730"/>
    <w:rsid w:val="00B827BD"/>
    <w:rsid w:val="00B827F5"/>
    <w:rsid w:val="00B82A86"/>
    <w:rsid w:val="00B82B43"/>
    <w:rsid w:val="00B82CDA"/>
    <w:rsid w:val="00B82F1F"/>
    <w:rsid w:val="00B82F37"/>
    <w:rsid w:val="00B83069"/>
    <w:rsid w:val="00B83185"/>
    <w:rsid w:val="00B8319C"/>
    <w:rsid w:val="00B831F5"/>
    <w:rsid w:val="00B8351A"/>
    <w:rsid w:val="00B835D6"/>
    <w:rsid w:val="00B836A9"/>
    <w:rsid w:val="00B83804"/>
    <w:rsid w:val="00B838B3"/>
    <w:rsid w:val="00B838CD"/>
    <w:rsid w:val="00B838E3"/>
    <w:rsid w:val="00B8399C"/>
    <w:rsid w:val="00B839C5"/>
    <w:rsid w:val="00B83B26"/>
    <w:rsid w:val="00B83BFF"/>
    <w:rsid w:val="00B83C23"/>
    <w:rsid w:val="00B83C49"/>
    <w:rsid w:val="00B83E97"/>
    <w:rsid w:val="00B83FD4"/>
    <w:rsid w:val="00B8412E"/>
    <w:rsid w:val="00B84256"/>
    <w:rsid w:val="00B8438C"/>
    <w:rsid w:val="00B84414"/>
    <w:rsid w:val="00B84415"/>
    <w:rsid w:val="00B84480"/>
    <w:rsid w:val="00B8461D"/>
    <w:rsid w:val="00B84638"/>
    <w:rsid w:val="00B84702"/>
    <w:rsid w:val="00B8475C"/>
    <w:rsid w:val="00B847B1"/>
    <w:rsid w:val="00B847D8"/>
    <w:rsid w:val="00B8481A"/>
    <w:rsid w:val="00B8489C"/>
    <w:rsid w:val="00B84D48"/>
    <w:rsid w:val="00B84DF7"/>
    <w:rsid w:val="00B84E0E"/>
    <w:rsid w:val="00B8506C"/>
    <w:rsid w:val="00B85101"/>
    <w:rsid w:val="00B851B5"/>
    <w:rsid w:val="00B852E5"/>
    <w:rsid w:val="00B85387"/>
    <w:rsid w:val="00B85588"/>
    <w:rsid w:val="00B855C9"/>
    <w:rsid w:val="00B8562B"/>
    <w:rsid w:val="00B85630"/>
    <w:rsid w:val="00B856E6"/>
    <w:rsid w:val="00B8570A"/>
    <w:rsid w:val="00B85733"/>
    <w:rsid w:val="00B8574D"/>
    <w:rsid w:val="00B85800"/>
    <w:rsid w:val="00B8580D"/>
    <w:rsid w:val="00B85845"/>
    <w:rsid w:val="00B85DC7"/>
    <w:rsid w:val="00B85E4B"/>
    <w:rsid w:val="00B85E56"/>
    <w:rsid w:val="00B860BB"/>
    <w:rsid w:val="00B861E5"/>
    <w:rsid w:val="00B861FD"/>
    <w:rsid w:val="00B86234"/>
    <w:rsid w:val="00B862E3"/>
    <w:rsid w:val="00B86413"/>
    <w:rsid w:val="00B86583"/>
    <w:rsid w:val="00B8662F"/>
    <w:rsid w:val="00B8667A"/>
    <w:rsid w:val="00B86686"/>
    <w:rsid w:val="00B868E1"/>
    <w:rsid w:val="00B86AE0"/>
    <w:rsid w:val="00B86BDB"/>
    <w:rsid w:val="00B86C7B"/>
    <w:rsid w:val="00B86CD2"/>
    <w:rsid w:val="00B86D0D"/>
    <w:rsid w:val="00B86E76"/>
    <w:rsid w:val="00B86EDF"/>
    <w:rsid w:val="00B86EFC"/>
    <w:rsid w:val="00B86FF5"/>
    <w:rsid w:val="00B8704A"/>
    <w:rsid w:val="00B87180"/>
    <w:rsid w:val="00B871B8"/>
    <w:rsid w:val="00B871C4"/>
    <w:rsid w:val="00B87279"/>
    <w:rsid w:val="00B87293"/>
    <w:rsid w:val="00B872EC"/>
    <w:rsid w:val="00B87373"/>
    <w:rsid w:val="00B874C8"/>
    <w:rsid w:val="00B87695"/>
    <w:rsid w:val="00B876DC"/>
    <w:rsid w:val="00B8770F"/>
    <w:rsid w:val="00B87797"/>
    <w:rsid w:val="00B877F7"/>
    <w:rsid w:val="00B878F7"/>
    <w:rsid w:val="00B87927"/>
    <w:rsid w:val="00B87933"/>
    <w:rsid w:val="00B8795E"/>
    <w:rsid w:val="00B879DE"/>
    <w:rsid w:val="00B87C17"/>
    <w:rsid w:val="00B87D9C"/>
    <w:rsid w:val="00B87E3A"/>
    <w:rsid w:val="00B87E5E"/>
    <w:rsid w:val="00B87E84"/>
    <w:rsid w:val="00B87EC6"/>
    <w:rsid w:val="00B9002A"/>
    <w:rsid w:val="00B90110"/>
    <w:rsid w:val="00B902C5"/>
    <w:rsid w:val="00B904E5"/>
    <w:rsid w:val="00B906E7"/>
    <w:rsid w:val="00B9071A"/>
    <w:rsid w:val="00B907AB"/>
    <w:rsid w:val="00B907FB"/>
    <w:rsid w:val="00B90A8C"/>
    <w:rsid w:val="00B90B68"/>
    <w:rsid w:val="00B90BB4"/>
    <w:rsid w:val="00B90C7B"/>
    <w:rsid w:val="00B90E63"/>
    <w:rsid w:val="00B90F1A"/>
    <w:rsid w:val="00B90FC2"/>
    <w:rsid w:val="00B90FF3"/>
    <w:rsid w:val="00B91152"/>
    <w:rsid w:val="00B911B7"/>
    <w:rsid w:val="00B91272"/>
    <w:rsid w:val="00B9137E"/>
    <w:rsid w:val="00B9148F"/>
    <w:rsid w:val="00B914E9"/>
    <w:rsid w:val="00B9153D"/>
    <w:rsid w:val="00B91557"/>
    <w:rsid w:val="00B9157E"/>
    <w:rsid w:val="00B915A2"/>
    <w:rsid w:val="00B917A0"/>
    <w:rsid w:val="00B91823"/>
    <w:rsid w:val="00B9187B"/>
    <w:rsid w:val="00B91911"/>
    <w:rsid w:val="00B91A27"/>
    <w:rsid w:val="00B91A50"/>
    <w:rsid w:val="00B91AA9"/>
    <w:rsid w:val="00B91AF9"/>
    <w:rsid w:val="00B91B0B"/>
    <w:rsid w:val="00B91CB2"/>
    <w:rsid w:val="00B91CFE"/>
    <w:rsid w:val="00B91D58"/>
    <w:rsid w:val="00B91E57"/>
    <w:rsid w:val="00B91F7F"/>
    <w:rsid w:val="00B9209B"/>
    <w:rsid w:val="00B920B3"/>
    <w:rsid w:val="00B922DA"/>
    <w:rsid w:val="00B92475"/>
    <w:rsid w:val="00B92574"/>
    <w:rsid w:val="00B9272F"/>
    <w:rsid w:val="00B92790"/>
    <w:rsid w:val="00B9280C"/>
    <w:rsid w:val="00B92817"/>
    <w:rsid w:val="00B9286B"/>
    <w:rsid w:val="00B92915"/>
    <w:rsid w:val="00B92982"/>
    <w:rsid w:val="00B92A1A"/>
    <w:rsid w:val="00B92A58"/>
    <w:rsid w:val="00B92AB6"/>
    <w:rsid w:val="00B92D68"/>
    <w:rsid w:val="00B92E9C"/>
    <w:rsid w:val="00B92EFB"/>
    <w:rsid w:val="00B92FF3"/>
    <w:rsid w:val="00B931C4"/>
    <w:rsid w:val="00B93218"/>
    <w:rsid w:val="00B93223"/>
    <w:rsid w:val="00B93381"/>
    <w:rsid w:val="00B9341B"/>
    <w:rsid w:val="00B935CF"/>
    <w:rsid w:val="00B9377D"/>
    <w:rsid w:val="00B93893"/>
    <w:rsid w:val="00B939C3"/>
    <w:rsid w:val="00B93B67"/>
    <w:rsid w:val="00B93C35"/>
    <w:rsid w:val="00B93EA9"/>
    <w:rsid w:val="00B93EF1"/>
    <w:rsid w:val="00B93FD5"/>
    <w:rsid w:val="00B940C0"/>
    <w:rsid w:val="00B943C8"/>
    <w:rsid w:val="00B9447B"/>
    <w:rsid w:val="00B944A2"/>
    <w:rsid w:val="00B94688"/>
    <w:rsid w:val="00B94691"/>
    <w:rsid w:val="00B947B1"/>
    <w:rsid w:val="00B9493E"/>
    <w:rsid w:val="00B949C4"/>
    <w:rsid w:val="00B949F5"/>
    <w:rsid w:val="00B94C9C"/>
    <w:rsid w:val="00B94E1A"/>
    <w:rsid w:val="00B94EBD"/>
    <w:rsid w:val="00B94F07"/>
    <w:rsid w:val="00B94F1B"/>
    <w:rsid w:val="00B9507D"/>
    <w:rsid w:val="00B9513A"/>
    <w:rsid w:val="00B9513B"/>
    <w:rsid w:val="00B951BC"/>
    <w:rsid w:val="00B951C3"/>
    <w:rsid w:val="00B951DD"/>
    <w:rsid w:val="00B95223"/>
    <w:rsid w:val="00B9539E"/>
    <w:rsid w:val="00B953E9"/>
    <w:rsid w:val="00B954C0"/>
    <w:rsid w:val="00B9553D"/>
    <w:rsid w:val="00B95567"/>
    <w:rsid w:val="00B955FD"/>
    <w:rsid w:val="00B9567B"/>
    <w:rsid w:val="00B956B6"/>
    <w:rsid w:val="00B9585E"/>
    <w:rsid w:val="00B95887"/>
    <w:rsid w:val="00B958F6"/>
    <w:rsid w:val="00B95A09"/>
    <w:rsid w:val="00B95B93"/>
    <w:rsid w:val="00B95D9D"/>
    <w:rsid w:val="00B95FB5"/>
    <w:rsid w:val="00B96013"/>
    <w:rsid w:val="00B960BE"/>
    <w:rsid w:val="00B9618B"/>
    <w:rsid w:val="00B96245"/>
    <w:rsid w:val="00B96246"/>
    <w:rsid w:val="00B962A3"/>
    <w:rsid w:val="00B96353"/>
    <w:rsid w:val="00B963E1"/>
    <w:rsid w:val="00B9651A"/>
    <w:rsid w:val="00B965E5"/>
    <w:rsid w:val="00B96755"/>
    <w:rsid w:val="00B96762"/>
    <w:rsid w:val="00B968F8"/>
    <w:rsid w:val="00B9696E"/>
    <w:rsid w:val="00B9698F"/>
    <w:rsid w:val="00B96C0B"/>
    <w:rsid w:val="00B96D0F"/>
    <w:rsid w:val="00B96E2A"/>
    <w:rsid w:val="00B96E34"/>
    <w:rsid w:val="00B96FAB"/>
    <w:rsid w:val="00B96FDE"/>
    <w:rsid w:val="00B97004"/>
    <w:rsid w:val="00B970BA"/>
    <w:rsid w:val="00B97180"/>
    <w:rsid w:val="00B97240"/>
    <w:rsid w:val="00B97303"/>
    <w:rsid w:val="00B97308"/>
    <w:rsid w:val="00B973E9"/>
    <w:rsid w:val="00B973EB"/>
    <w:rsid w:val="00B973F5"/>
    <w:rsid w:val="00B9749F"/>
    <w:rsid w:val="00B974A9"/>
    <w:rsid w:val="00B9763A"/>
    <w:rsid w:val="00B9763C"/>
    <w:rsid w:val="00B97661"/>
    <w:rsid w:val="00B976E1"/>
    <w:rsid w:val="00B976F7"/>
    <w:rsid w:val="00B97A2D"/>
    <w:rsid w:val="00B97AB6"/>
    <w:rsid w:val="00B97C06"/>
    <w:rsid w:val="00B97C67"/>
    <w:rsid w:val="00B97CBE"/>
    <w:rsid w:val="00B97DA8"/>
    <w:rsid w:val="00BA00E7"/>
    <w:rsid w:val="00BA014B"/>
    <w:rsid w:val="00BA0213"/>
    <w:rsid w:val="00BA0215"/>
    <w:rsid w:val="00BA0363"/>
    <w:rsid w:val="00BA0521"/>
    <w:rsid w:val="00BA0598"/>
    <w:rsid w:val="00BA0951"/>
    <w:rsid w:val="00BA0984"/>
    <w:rsid w:val="00BA0991"/>
    <w:rsid w:val="00BA099A"/>
    <w:rsid w:val="00BA09F2"/>
    <w:rsid w:val="00BA09FF"/>
    <w:rsid w:val="00BA0B5B"/>
    <w:rsid w:val="00BA0E96"/>
    <w:rsid w:val="00BA0E9E"/>
    <w:rsid w:val="00BA11DD"/>
    <w:rsid w:val="00BA1295"/>
    <w:rsid w:val="00BA12FB"/>
    <w:rsid w:val="00BA1337"/>
    <w:rsid w:val="00BA140A"/>
    <w:rsid w:val="00BA1509"/>
    <w:rsid w:val="00BA1708"/>
    <w:rsid w:val="00BA1724"/>
    <w:rsid w:val="00BA1755"/>
    <w:rsid w:val="00BA1799"/>
    <w:rsid w:val="00BA1811"/>
    <w:rsid w:val="00BA1862"/>
    <w:rsid w:val="00BA1AAC"/>
    <w:rsid w:val="00BA1BBB"/>
    <w:rsid w:val="00BA1E0E"/>
    <w:rsid w:val="00BA1EA1"/>
    <w:rsid w:val="00BA200C"/>
    <w:rsid w:val="00BA203F"/>
    <w:rsid w:val="00BA2125"/>
    <w:rsid w:val="00BA2139"/>
    <w:rsid w:val="00BA2188"/>
    <w:rsid w:val="00BA223B"/>
    <w:rsid w:val="00BA24B5"/>
    <w:rsid w:val="00BA2589"/>
    <w:rsid w:val="00BA26B7"/>
    <w:rsid w:val="00BA26D4"/>
    <w:rsid w:val="00BA2702"/>
    <w:rsid w:val="00BA2884"/>
    <w:rsid w:val="00BA28B9"/>
    <w:rsid w:val="00BA29C2"/>
    <w:rsid w:val="00BA2A77"/>
    <w:rsid w:val="00BA2B37"/>
    <w:rsid w:val="00BA2B67"/>
    <w:rsid w:val="00BA2C92"/>
    <w:rsid w:val="00BA2CD3"/>
    <w:rsid w:val="00BA2DA0"/>
    <w:rsid w:val="00BA2E31"/>
    <w:rsid w:val="00BA2EEC"/>
    <w:rsid w:val="00BA2F9A"/>
    <w:rsid w:val="00BA2FC6"/>
    <w:rsid w:val="00BA3059"/>
    <w:rsid w:val="00BA3129"/>
    <w:rsid w:val="00BA328E"/>
    <w:rsid w:val="00BA332A"/>
    <w:rsid w:val="00BA3375"/>
    <w:rsid w:val="00BA3447"/>
    <w:rsid w:val="00BA3568"/>
    <w:rsid w:val="00BA3663"/>
    <w:rsid w:val="00BA379D"/>
    <w:rsid w:val="00BA37CA"/>
    <w:rsid w:val="00BA37DB"/>
    <w:rsid w:val="00BA37E7"/>
    <w:rsid w:val="00BA385F"/>
    <w:rsid w:val="00BA3867"/>
    <w:rsid w:val="00BA38B7"/>
    <w:rsid w:val="00BA38D6"/>
    <w:rsid w:val="00BA391B"/>
    <w:rsid w:val="00BA3935"/>
    <w:rsid w:val="00BA3A47"/>
    <w:rsid w:val="00BA3A89"/>
    <w:rsid w:val="00BA3B1C"/>
    <w:rsid w:val="00BA3C46"/>
    <w:rsid w:val="00BA3D67"/>
    <w:rsid w:val="00BA3E21"/>
    <w:rsid w:val="00BA3E92"/>
    <w:rsid w:val="00BA3EBC"/>
    <w:rsid w:val="00BA3EC4"/>
    <w:rsid w:val="00BA3FC1"/>
    <w:rsid w:val="00BA4007"/>
    <w:rsid w:val="00BA41A0"/>
    <w:rsid w:val="00BA426F"/>
    <w:rsid w:val="00BA43E2"/>
    <w:rsid w:val="00BA4475"/>
    <w:rsid w:val="00BA4485"/>
    <w:rsid w:val="00BA44C8"/>
    <w:rsid w:val="00BA4540"/>
    <w:rsid w:val="00BA4635"/>
    <w:rsid w:val="00BA46B4"/>
    <w:rsid w:val="00BA474D"/>
    <w:rsid w:val="00BA486E"/>
    <w:rsid w:val="00BA49C1"/>
    <w:rsid w:val="00BA49EF"/>
    <w:rsid w:val="00BA49F5"/>
    <w:rsid w:val="00BA4A20"/>
    <w:rsid w:val="00BA4A55"/>
    <w:rsid w:val="00BA4BC9"/>
    <w:rsid w:val="00BA4C77"/>
    <w:rsid w:val="00BA4C8B"/>
    <w:rsid w:val="00BA4E47"/>
    <w:rsid w:val="00BA507D"/>
    <w:rsid w:val="00BA508C"/>
    <w:rsid w:val="00BA514B"/>
    <w:rsid w:val="00BA5293"/>
    <w:rsid w:val="00BA544F"/>
    <w:rsid w:val="00BA58B9"/>
    <w:rsid w:val="00BA5901"/>
    <w:rsid w:val="00BA5C3C"/>
    <w:rsid w:val="00BA5CD6"/>
    <w:rsid w:val="00BA5D1A"/>
    <w:rsid w:val="00BA5D84"/>
    <w:rsid w:val="00BA5E50"/>
    <w:rsid w:val="00BA5E55"/>
    <w:rsid w:val="00BA5E8F"/>
    <w:rsid w:val="00BA5EAA"/>
    <w:rsid w:val="00BA5F04"/>
    <w:rsid w:val="00BA60BC"/>
    <w:rsid w:val="00BA60E8"/>
    <w:rsid w:val="00BA6438"/>
    <w:rsid w:val="00BA64DF"/>
    <w:rsid w:val="00BA6508"/>
    <w:rsid w:val="00BA65F2"/>
    <w:rsid w:val="00BA664D"/>
    <w:rsid w:val="00BA664E"/>
    <w:rsid w:val="00BA683E"/>
    <w:rsid w:val="00BA68B6"/>
    <w:rsid w:val="00BA695E"/>
    <w:rsid w:val="00BA6A63"/>
    <w:rsid w:val="00BA6C65"/>
    <w:rsid w:val="00BA6C6D"/>
    <w:rsid w:val="00BA6CF9"/>
    <w:rsid w:val="00BA6DD4"/>
    <w:rsid w:val="00BA6F10"/>
    <w:rsid w:val="00BA6F1B"/>
    <w:rsid w:val="00BA6F7D"/>
    <w:rsid w:val="00BA6FFE"/>
    <w:rsid w:val="00BA709C"/>
    <w:rsid w:val="00BA7126"/>
    <w:rsid w:val="00BA7412"/>
    <w:rsid w:val="00BA7609"/>
    <w:rsid w:val="00BA774D"/>
    <w:rsid w:val="00BA77FC"/>
    <w:rsid w:val="00BA77FD"/>
    <w:rsid w:val="00BA794F"/>
    <w:rsid w:val="00BA7964"/>
    <w:rsid w:val="00BA7ADC"/>
    <w:rsid w:val="00BA7B52"/>
    <w:rsid w:val="00BA7B65"/>
    <w:rsid w:val="00BA7BF0"/>
    <w:rsid w:val="00BA7C26"/>
    <w:rsid w:val="00BA7CC7"/>
    <w:rsid w:val="00BA7D5E"/>
    <w:rsid w:val="00BA7E12"/>
    <w:rsid w:val="00BA7E1F"/>
    <w:rsid w:val="00BA7EFD"/>
    <w:rsid w:val="00BA7FB2"/>
    <w:rsid w:val="00BB00F3"/>
    <w:rsid w:val="00BB01AE"/>
    <w:rsid w:val="00BB02C1"/>
    <w:rsid w:val="00BB030B"/>
    <w:rsid w:val="00BB0499"/>
    <w:rsid w:val="00BB07CE"/>
    <w:rsid w:val="00BB0868"/>
    <w:rsid w:val="00BB0933"/>
    <w:rsid w:val="00BB0945"/>
    <w:rsid w:val="00BB0C44"/>
    <w:rsid w:val="00BB0C5A"/>
    <w:rsid w:val="00BB0F0C"/>
    <w:rsid w:val="00BB0F61"/>
    <w:rsid w:val="00BB0FCD"/>
    <w:rsid w:val="00BB0FD7"/>
    <w:rsid w:val="00BB10A1"/>
    <w:rsid w:val="00BB10E6"/>
    <w:rsid w:val="00BB1176"/>
    <w:rsid w:val="00BB1188"/>
    <w:rsid w:val="00BB119D"/>
    <w:rsid w:val="00BB11E7"/>
    <w:rsid w:val="00BB12EF"/>
    <w:rsid w:val="00BB1497"/>
    <w:rsid w:val="00BB161E"/>
    <w:rsid w:val="00BB169E"/>
    <w:rsid w:val="00BB16B3"/>
    <w:rsid w:val="00BB1750"/>
    <w:rsid w:val="00BB17D8"/>
    <w:rsid w:val="00BB1866"/>
    <w:rsid w:val="00BB1873"/>
    <w:rsid w:val="00BB18F1"/>
    <w:rsid w:val="00BB1A7A"/>
    <w:rsid w:val="00BB1B00"/>
    <w:rsid w:val="00BB1B50"/>
    <w:rsid w:val="00BB1BC0"/>
    <w:rsid w:val="00BB1D21"/>
    <w:rsid w:val="00BB1E4A"/>
    <w:rsid w:val="00BB1E50"/>
    <w:rsid w:val="00BB1E84"/>
    <w:rsid w:val="00BB21A6"/>
    <w:rsid w:val="00BB2221"/>
    <w:rsid w:val="00BB22EC"/>
    <w:rsid w:val="00BB2359"/>
    <w:rsid w:val="00BB23A4"/>
    <w:rsid w:val="00BB23DE"/>
    <w:rsid w:val="00BB23FF"/>
    <w:rsid w:val="00BB2593"/>
    <w:rsid w:val="00BB27EA"/>
    <w:rsid w:val="00BB28C8"/>
    <w:rsid w:val="00BB296F"/>
    <w:rsid w:val="00BB2A9B"/>
    <w:rsid w:val="00BB2BD4"/>
    <w:rsid w:val="00BB2C4B"/>
    <w:rsid w:val="00BB2CA4"/>
    <w:rsid w:val="00BB2E30"/>
    <w:rsid w:val="00BB2F02"/>
    <w:rsid w:val="00BB2F54"/>
    <w:rsid w:val="00BB2F7B"/>
    <w:rsid w:val="00BB2F88"/>
    <w:rsid w:val="00BB2FA6"/>
    <w:rsid w:val="00BB300D"/>
    <w:rsid w:val="00BB301F"/>
    <w:rsid w:val="00BB302A"/>
    <w:rsid w:val="00BB30A5"/>
    <w:rsid w:val="00BB30D4"/>
    <w:rsid w:val="00BB3103"/>
    <w:rsid w:val="00BB3121"/>
    <w:rsid w:val="00BB319B"/>
    <w:rsid w:val="00BB319C"/>
    <w:rsid w:val="00BB3203"/>
    <w:rsid w:val="00BB3376"/>
    <w:rsid w:val="00BB339A"/>
    <w:rsid w:val="00BB351B"/>
    <w:rsid w:val="00BB36D1"/>
    <w:rsid w:val="00BB36EB"/>
    <w:rsid w:val="00BB3822"/>
    <w:rsid w:val="00BB3A43"/>
    <w:rsid w:val="00BB3AA6"/>
    <w:rsid w:val="00BB3ADE"/>
    <w:rsid w:val="00BB3BB7"/>
    <w:rsid w:val="00BB3BE6"/>
    <w:rsid w:val="00BB3CAD"/>
    <w:rsid w:val="00BB3CC4"/>
    <w:rsid w:val="00BB3CFB"/>
    <w:rsid w:val="00BB3EC9"/>
    <w:rsid w:val="00BB3F22"/>
    <w:rsid w:val="00BB3F78"/>
    <w:rsid w:val="00BB4016"/>
    <w:rsid w:val="00BB405A"/>
    <w:rsid w:val="00BB40C1"/>
    <w:rsid w:val="00BB433D"/>
    <w:rsid w:val="00BB436E"/>
    <w:rsid w:val="00BB43C9"/>
    <w:rsid w:val="00BB4430"/>
    <w:rsid w:val="00BB443A"/>
    <w:rsid w:val="00BB46EC"/>
    <w:rsid w:val="00BB4703"/>
    <w:rsid w:val="00BB47B9"/>
    <w:rsid w:val="00BB47FE"/>
    <w:rsid w:val="00BB49B7"/>
    <w:rsid w:val="00BB4B97"/>
    <w:rsid w:val="00BB4C1E"/>
    <w:rsid w:val="00BB4C22"/>
    <w:rsid w:val="00BB4D24"/>
    <w:rsid w:val="00BB4ECC"/>
    <w:rsid w:val="00BB4F63"/>
    <w:rsid w:val="00BB5099"/>
    <w:rsid w:val="00BB5261"/>
    <w:rsid w:val="00BB53A8"/>
    <w:rsid w:val="00BB53AA"/>
    <w:rsid w:val="00BB557F"/>
    <w:rsid w:val="00BB55DC"/>
    <w:rsid w:val="00BB5992"/>
    <w:rsid w:val="00BB59B6"/>
    <w:rsid w:val="00BB5AD2"/>
    <w:rsid w:val="00BB5C9D"/>
    <w:rsid w:val="00BB5E25"/>
    <w:rsid w:val="00BB5E38"/>
    <w:rsid w:val="00BB5ED2"/>
    <w:rsid w:val="00BB5FCF"/>
    <w:rsid w:val="00BB6018"/>
    <w:rsid w:val="00BB6075"/>
    <w:rsid w:val="00BB60CE"/>
    <w:rsid w:val="00BB60E4"/>
    <w:rsid w:val="00BB60FB"/>
    <w:rsid w:val="00BB6224"/>
    <w:rsid w:val="00BB63BA"/>
    <w:rsid w:val="00BB63D8"/>
    <w:rsid w:val="00BB642B"/>
    <w:rsid w:val="00BB652B"/>
    <w:rsid w:val="00BB6575"/>
    <w:rsid w:val="00BB663A"/>
    <w:rsid w:val="00BB6769"/>
    <w:rsid w:val="00BB67CE"/>
    <w:rsid w:val="00BB67D3"/>
    <w:rsid w:val="00BB68E9"/>
    <w:rsid w:val="00BB6960"/>
    <w:rsid w:val="00BB6ADF"/>
    <w:rsid w:val="00BB6BE1"/>
    <w:rsid w:val="00BB6E0C"/>
    <w:rsid w:val="00BB6F1A"/>
    <w:rsid w:val="00BB70E4"/>
    <w:rsid w:val="00BB7179"/>
    <w:rsid w:val="00BB720F"/>
    <w:rsid w:val="00BB7260"/>
    <w:rsid w:val="00BB758A"/>
    <w:rsid w:val="00BB7660"/>
    <w:rsid w:val="00BB77A2"/>
    <w:rsid w:val="00BB7833"/>
    <w:rsid w:val="00BB786A"/>
    <w:rsid w:val="00BB7872"/>
    <w:rsid w:val="00BB7899"/>
    <w:rsid w:val="00BB78BF"/>
    <w:rsid w:val="00BB78FC"/>
    <w:rsid w:val="00BB7958"/>
    <w:rsid w:val="00BB7A74"/>
    <w:rsid w:val="00BB7AB6"/>
    <w:rsid w:val="00BB7C68"/>
    <w:rsid w:val="00BB7CDF"/>
    <w:rsid w:val="00BB7D2D"/>
    <w:rsid w:val="00BB7DDF"/>
    <w:rsid w:val="00BB7EF9"/>
    <w:rsid w:val="00BB7FD1"/>
    <w:rsid w:val="00BB7FF6"/>
    <w:rsid w:val="00BC004C"/>
    <w:rsid w:val="00BC0099"/>
    <w:rsid w:val="00BC00A9"/>
    <w:rsid w:val="00BC00C4"/>
    <w:rsid w:val="00BC0259"/>
    <w:rsid w:val="00BC0281"/>
    <w:rsid w:val="00BC0381"/>
    <w:rsid w:val="00BC03FB"/>
    <w:rsid w:val="00BC050A"/>
    <w:rsid w:val="00BC0659"/>
    <w:rsid w:val="00BC068C"/>
    <w:rsid w:val="00BC0719"/>
    <w:rsid w:val="00BC07C0"/>
    <w:rsid w:val="00BC0906"/>
    <w:rsid w:val="00BC09EE"/>
    <w:rsid w:val="00BC0B5D"/>
    <w:rsid w:val="00BC0B63"/>
    <w:rsid w:val="00BC0B79"/>
    <w:rsid w:val="00BC0EBB"/>
    <w:rsid w:val="00BC0F27"/>
    <w:rsid w:val="00BC0F41"/>
    <w:rsid w:val="00BC10BD"/>
    <w:rsid w:val="00BC11E2"/>
    <w:rsid w:val="00BC121A"/>
    <w:rsid w:val="00BC12C7"/>
    <w:rsid w:val="00BC1320"/>
    <w:rsid w:val="00BC142F"/>
    <w:rsid w:val="00BC1546"/>
    <w:rsid w:val="00BC1683"/>
    <w:rsid w:val="00BC1719"/>
    <w:rsid w:val="00BC19B4"/>
    <w:rsid w:val="00BC1AC2"/>
    <w:rsid w:val="00BC1B6E"/>
    <w:rsid w:val="00BC1C30"/>
    <w:rsid w:val="00BC1C41"/>
    <w:rsid w:val="00BC1F97"/>
    <w:rsid w:val="00BC1FCC"/>
    <w:rsid w:val="00BC2147"/>
    <w:rsid w:val="00BC22A1"/>
    <w:rsid w:val="00BC22F1"/>
    <w:rsid w:val="00BC24CC"/>
    <w:rsid w:val="00BC25A2"/>
    <w:rsid w:val="00BC25D7"/>
    <w:rsid w:val="00BC26C2"/>
    <w:rsid w:val="00BC2739"/>
    <w:rsid w:val="00BC2758"/>
    <w:rsid w:val="00BC29BC"/>
    <w:rsid w:val="00BC2B27"/>
    <w:rsid w:val="00BC2C68"/>
    <w:rsid w:val="00BC2CA1"/>
    <w:rsid w:val="00BC2D93"/>
    <w:rsid w:val="00BC2DE2"/>
    <w:rsid w:val="00BC2FA4"/>
    <w:rsid w:val="00BC2FDD"/>
    <w:rsid w:val="00BC3080"/>
    <w:rsid w:val="00BC3168"/>
    <w:rsid w:val="00BC3172"/>
    <w:rsid w:val="00BC31EA"/>
    <w:rsid w:val="00BC33B8"/>
    <w:rsid w:val="00BC348E"/>
    <w:rsid w:val="00BC3549"/>
    <w:rsid w:val="00BC35EA"/>
    <w:rsid w:val="00BC360A"/>
    <w:rsid w:val="00BC364C"/>
    <w:rsid w:val="00BC390B"/>
    <w:rsid w:val="00BC396B"/>
    <w:rsid w:val="00BC3A3F"/>
    <w:rsid w:val="00BC3AF6"/>
    <w:rsid w:val="00BC3C85"/>
    <w:rsid w:val="00BC3C97"/>
    <w:rsid w:val="00BC3CD6"/>
    <w:rsid w:val="00BC3D63"/>
    <w:rsid w:val="00BC3E4D"/>
    <w:rsid w:val="00BC3E88"/>
    <w:rsid w:val="00BC3ED5"/>
    <w:rsid w:val="00BC3F07"/>
    <w:rsid w:val="00BC3F15"/>
    <w:rsid w:val="00BC3F4F"/>
    <w:rsid w:val="00BC3F7B"/>
    <w:rsid w:val="00BC40AC"/>
    <w:rsid w:val="00BC40BF"/>
    <w:rsid w:val="00BC41A5"/>
    <w:rsid w:val="00BC43CF"/>
    <w:rsid w:val="00BC450E"/>
    <w:rsid w:val="00BC45CC"/>
    <w:rsid w:val="00BC4626"/>
    <w:rsid w:val="00BC463E"/>
    <w:rsid w:val="00BC46FE"/>
    <w:rsid w:val="00BC4725"/>
    <w:rsid w:val="00BC4761"/>
    <w:rsid w:val="00BC47DE"/>
    <w:rsid w:val="00BC4881"/>
    <w:rsid w:val="00BC4886"/>
    <w:rsid w:val="00BC48AE"/>
    <w:rsid w:val="00BC493C"/>
    <w:rsid w:val="00BC49C4"/>
    <w:rsid w:val="00BC4A3E"/>
    <w:rsid w:val="00BC4A48"/>
    <w:rsid w:val="00BC4B22"/>
    <w:rsid w:val="00BC4B31"/>
    <w:rsid w:val="00BC4B58"/>
    <w:rsid w:val="00BC4B94"/>
    <w:rsid w:val="00BC4BA6"/>
    <w:rsid w:val="00BC4C8E"/>
    <w:rsid w:val="00BC4CCD"/>
    <w:rsid w:val="00BC4D36"/>
    <w:rsid w:val="00BC50E8"/>
    <w:rsid w:val="00BC51B0"/>
    <w:rsid w:val="00BC5255"/>
    <w:rsid w:val="00BC52B5"/>
    <w:rsid w:val="00BC541F"/>
    <w:rsid w:val="00BC545E"/>
    <w:rsid w:val="00BC5511"/>
    <w:rsid w:val="00BC557B"/>
    <w:rsid w:val="00BC5597"/>
    <w:rsid w:val="00BC58D4"/>
    <w:rsid w:val="00BC5935"/>
    <w:rsid w:val="00BC5995"/>
    <w:rsid w:val="00BC59AB"/>
    <w:rsid w:val="00BC59F4"/>
    <w:rsid w:val="00BC5A9C"/>
    <w:rsid w:val="00BC5C15"/>
    <w:rsid w:val="00BC5DA9"/>
    <w:rsid w:val="00BC5DC9"/>
    <w:rsid w:val="00BC5DF2"/>
    <w:rsid w:val="00BC5DF4"/>
    <w:rsid w:val="00BC5E2E"/>
    <w:rsid w:val="00BC609D"/>
    <w:rsid w:val="00BC60F4"/>
    <w:rsid w:val="00BC613D"/>
    <w:rsid w:val="00BC620E"/>
    <w:rsid w:val="00BC62B7"/>
    <w:rsid w:val="00BC63C8"/>
    <w:rsid w:val="00BC63F5"/>
    <w:rsid w:val="00BC6746"/>
    <w:rsid w:val="00BC6758"/>
    <w:rsid w:val="00BC678A"/>
    <w:rsid w:val="00BC67DF"/>
    <w:rsid w:val="00BC687E"/>
    <w:rsid w:val="00BC6AF1"/>
    <w:rsid w:val="00BC6AFE"/>
    <w:rsid w:val="00BC6B4F"/>
    <w:rsid w:val="00BC6B69"/>
    <w:rsid w:val="00BC6C65"/>
    <w:rsid w:val="00BC6CDF"/>
    <w:rsid w:val="00BC6D41"/>
    <w:rsid w:val="00BC6E2C"/>
    <w:rsid w:val="00BC6E69"/>
    <w:rsid w:val="00BC6F7D"/>
    <w:rsid w:val="00BC6FC7"/>
    <w:rsid w:val="00BC6FFD"/>
    <w:rsid w:val="00BC7003"/>
    <w:rsid w:val="00BC7067"/>
    <w:rsid w:val="00BC70AB"/>
    <w:rsid w:val="00BC73D9"/>
    <w:rsid w:val="00BC750E"/>
    <w:rsid w:val="00BC7514"/>
    <w:rsid w:val="00BC7598"/>
    <w:rsid w:val="00BC75DD"/>
    <w:rsid w:val="00BC7637"/>
    <w:rsid w:val="00BC76A4"/>
    <w:rsid w:val="00BC771D"/>
    <w:rsid w:val="00BC78A1"/>
    <w:rsid w:val="00BC792D"/>
    <w:rsid w:val="00BC793D"/>
    <w:rsid w:val="00BC799E"/>
    <w:rsid w:val="00BC79C0"/>
    <w:rsid w:val="00BC7BD8"/>
    <w:rsid w:val="00BC7C58"/>
    <w:rsid w:val="00BC7CB6"/>
    <w:rsid w:val="00BC7FE3"/>
    <w:rsid w:val="00BD0138"/>
    <w:rsid w:val="00BD0158"/>
    <w:rsid w:val="00BD031B"/>
    <w:rsid w:val="00BD059D"/>
    <w:rsid w:val="00BD0642"/>
    <w:rsid w:val="00BD0796"/>
    <w:rsid w:val="00BD0834"/>
    <w:rsid w:val="00BD09D9"/>
    <w:rsid w:val="00BD0B76"/>
    <w:rsid w:val="00BD0B96"/>
    <w:rsid w:val="00BD0CEA"/>
    <w:rsid w:val="00BD0D3E"/>
    <w:rsid w:val="00BD0DB7"/>
    <w:rsid w:val="00BD0E90"/>
    <w:rsid w:val="00BD0FFD"/>
    <w:rsid w:val="00BD1036"/>
    <w:rsid w:val="00BD1072"/>
    <w:rsid w:val="00BD1159"/>
    <w:rsid w:val="00BD115B"/>
    <w:rsid w:val="00BD1290"/>
    <w:rsid w:val="00BD12A3"/>
    <w:rsid w:val="00BD1364"/>
    <w:rsid w:val="00BD1385"/>
    <w:rsid w:val="00BD1582"/>
    <w:rsid w:val="00BD15A8"/>
    <w:rsid w:val="00BD1652"/>
    <w:rsid w:val="00BD19F4"/>
    <w:rsid w:val="00BD1B18"/>
    <w:rsid w:val="00BD1BB3"/>
    <w:rsid w:val="00BD1C2A"/>
    <w:rsid w:val="00BD1CB6"/>
    <w:rsid w:val="00BD1CFD"/>
    <w:rsid w:val="00BD1DFE"/>
    <w:rsid w:val="00BD2099"/>
    <w:rsid w:val="00BD2180"/>
    <w:rsid w:val="00BD227E"/>
    <w:rsid w:val="00BD2321"/>
    <w:rsid w:val="00BD2444"/>
    <w:rsid w:val="00BD2498"/>
    <w:rsid w:val="00BD24AD"/>
    <w:rsid w:val="00BD25D3"/>
    <w:rsid w:val="00BD26AA"/>
    <w:rsid w:val="00BD2763"/>
    <w:rsid w:val="00BD27B8"/>
    <w:rsid w:val="00BD2881"/>
    <w:rsid w:val="00BD28B8"/>
    <w:rsid w:val="00BD28EC"/>
    <w:rsid w:val="00BD29E3"/>
    <w:rsid w:val="00BD2AED"/>
    <w:rsid w:val="00BD2B06"/>
    <w:rsid w:val="00BD2B12"/>
    <w:rsid w:val="00BD2B20"/>
    <w:rsid w:val="00BD2B74"/>
    <w:rsid w:val="00BD2DFD"/>
    <w:rsid w:val="00BD2E1E"/>
    <w:rsid w:val="00BD2E59"/>
    <w:rsid w:val="00BD2EF8"/>
    <w:rsid w:val="00BD3109"/>
    <w:rsid w:val="00BD31D8"/>
    <w:rsid w:val="00BD32D6"/>
    <w:rsid w:val="00BD34C3"/>
    <w:rsid w:val="00BD35C1"/>
    <w:rsid w:val="00BD361A"/>
    <w:rsid w:val="00BD3679"/>
    <w:rsid w:val="00BD3680"/>
    <w:rsid w:val="00BD36A0"/>
    <w:rsid w:val="00BD3770"/>
    <w:rsid w:val="00BD391A"/>
    <w:rsid w:val="00BD3A8A"/>
    <w:rsid w:val="00BD3FBA"/>
    <w:rsid w:val="00BD3FFD"/>
    <w:rsid w:val="00BD4051"/>
    <w:rsid w:val="00BD408C"/>
    <w:rsid w:val="00BD418B"/>
    <w:rsid w:val="00BD42A5"/>
    <w:rsid w:val="00BD4311"/>
    <w:rsid w:val="00BD43CC"/>
    <w:rsid w:val="00BD441A"/>
    <w:rsid w:val="00BD44C5"/>
    <w:rsid w:val="00BD44EC"/>
    <w:rsid w:val="00BD454F"/>
    <w:rsid w:val="00BD45BA"/>
    <w:rsid w:val="00BD46F4"/>
    <w:rsid w:val="00BD48F8"/>
    <w:rsid w:val="00BD4B94"/>
    <w:rsid w:val="00BD4C4C"/>
    <w:rsid w:val="00BD4CA2"/>
    <w:rsid w:val="00BD4CA9"/>
    <w:rsid w:val="00BD4CCE"/>
    <w:rsid w:val="00BD4D6A"/>
    <w:rsid w:val="00BD4D7C"/>
    <w:rsid w:val="00BD4E2A"/>
    <w:rsid w:val="00BD4E79"/>
    <w:rsid w:val="00BD4EEB"/>
    <w:rsid w:val="00BD4EEE"/>
    <w:rsid w:val="00BD4F02"/>
    <w:rsid w:val="00BD5056"/>
    <w:rsid w:val="00BD50BE"/>
    <w:rsid w:val="00BD5153"/>
    <w:rsid w:val="00BD5182"/>
    <w:rsid w:val="00BD51C5"/>
    <w:rsid w:val="00BD5346"/>
    <w:rsid w:val="00BD534D"/>
    <w:rsid w:val="00BD554A"/>
    <w:rsid w:val="00BD5559"/>
    <w:rsid w:val="00BD5560"/>
    <w:rsid w:val="00BD5648"/>
    <w:rsid w:val="00BD568F"/>
    <w:rsid w:val="00BD571A"/>
    <w:rsid w:val="00BD5740"/>
    <w:rsid w:val="00BD5813"/>
    <w:rsid w:val="00BD5842"/>
    <w:rsid w:val="00BD5961"/>
    <w:rsid w:val="00BD5A78"/>
    <w:rsid w:val="00BD5BD9"/>
    <w:rsid w:val="00BD5C7E"/>
    <w:rsid w:val="00BD5E05"/>
    <w:rsid w:val="00BD5E91"/>
    <w:rsid w:val="00BD5F3C"/>
    <w:rsid w:val="00BD5F9D"/>
    <w:rsid w:val="00BD6018"/>
    <w:rsid w:val="00BD6029"/>
    <w:rsid w:val="00BD603D"/>
    <w:rsid w:val="00BD6049"/>
    <w:rsid w:val="00BD61A7"/>
    <w:rsid w:val="00BD61C5"/>
    <w:rsid w:val="00BD6316"/>
    <w:rsid w:val="00BD63BD"/>
    <w:rsid w:val="00BD63FF"/>
    <w:rsid w:val="00BD659D"/>
    <w:rsid w:val="00BD664D"/>
    <w:rsid w:val="00BD691D"/>
    <w:rsid w:val="00BD6921"/>
    <w:rsid w:val="00BD6975"/>
    <w:rsid w:val="00BD69AC"/>
    <w:rsid w:val="00BD69DB"/>
    <w:rsid w:val="00BD6A4F"/>
    <w:rsid w:val="00BD6ADA"/>
    <w:rsid w:val="00BD6B6A"/>
    <w:rsid w:val="00BD6B83"/>
    <w:rsid w:val="00BD6CF1"/>
    <w:rsid w:val="00BD6DA7"/>
    <w:rsid w:val="00BD6E3F"/>
    <w:rsid w:val="00BD6E5A"/>
    <w:rsid w:val="00BD6FFC"/>
    <w:rsid w:val="00BD7015"/>
    <w:rsid w:val="00BD7090"/>
    <w:rsid w:val="00BD7102"/>
    <w:rsid w:val="00BD721B"/>
    <w:rsid w:val="00BD7232"/>
    <w:rsid w:val="00BD733E"/>
    <w:rsid w:val="00BD73CE"/>
    <w:rsid w:val="00BD7522"/>
    <w:rsid w:val="00BD756F"/>
    <w:rsid w:val="00BD769F"/>
    <w:rsid w:val="00BD76A9"/>
    <w:rsid w:val="00BD7708"/>
    <w:rsid w:val="00BD776D"/>
    <w:rsid w:val="00BD7863"/>
    <w:rsid w:val="00BD78F1"/>
    <w:rsid w:val="00BD79DF"/>
    <w:rsid w:val="00BD7AC4"/>
    <w:rsid w:val="00BD7B98"/>
    <w:rsid w:val="00BD7C3A"/>
    <w:rsid w:val="00BD7C84"/>
    <w:rsid w:val="00BD7D31"/>
    <w:rsid w:val="00BD7D93"/>
    <w:rsid w:val="00BD7EAB"/>
    <w:rsid w:val="00BD7F47"/>
    <w:rsid w:val="00BE00D5"/>
    <w:rsid w:val="00BE013F"/>
    <w:rsid w:val="00BE014A"/>
    <w:rsid w:val="00BE035D"/>
    <w:rsid w:val="00BE0404"/>
    <w:rsid w:val="00BE046F"/>
    <w:rsid w:val="00BE049B"/>
    <w:rsid w:val="00BE0560"/>
    <w:rsid w:val="00BE0663"/>
    <w:rsid w:val="00BE0697"/>
    <w:rsid w:val="00BE06D3"/>
    <w:rsid w:val="00BE093A"/>
    <w:rsid w:val="00BE09C8"/>
    <w:rsid w:val="00BE09C9"/>
    <w:rsid w:val="00BE0A4A"/>
    <w:rsid w:val="00BE0B5D"/>
    <w:rsid w:val="00BE0D39"/>
    <w:rsid w:val="00BE0DAB"/>
    <w:rsid w:val="00BE0E82"/>
    <w:rsid w:val="00BE0F6C"/>
    <w:rsid w:val="00BE1100"/>
    <w:rsid w:val="00BE1211"/>
    <w:rsid w:val="00BE1313"/>
    <w:rsid w:val="00BE1383"/>
    <w:rsid w:val="00BE143C"/>
    <w:rsid w:val="00BE1475"/>
    <w:rsid w:val="00BE1595"/>
    <w:rsid w:val="00BE163D"/>
    <w:rsid w:val="00BE1692"/>
    <w:rsid w:val="00BE1707"/>
    <w:rsid w:val="00BE1708"/>
    <w:rsid w:val="00BE1760"/>
    <w:rsid w:val="00BE17BD"/>
    <w:rsid w:val="00BE17E1"/>
    <w:rsid w:val="00BE1CDC"/>
    <w:rsid w:val="00BE1E9F"/>
    <w:rsid w:val="00BE1F06"/>
    <w:rsid w:val="00BE207B"/>
    <w:rsid w:val="00BE20F7"/>
    <w:rsid w:val="00BE215C"/>
    <w:rsid w:val="00BE2201"/>
    <w:rsid w:val="00BE2212"/>
    <w:rsid w:val="00BE22D1"/>
    <w:rsid w:val="00BE242D"/>
    <w:rsid w:val="00BE249F"/>
    <w:rsid w:val="00BE24ED"/>
    <w:rsid w:val="00BE25EC"/>
    <w:rsid w:val="00BE2636"/>
    <w:rsid w:val="00BE26F5"/>
    <w:rsid w:val="00BE27B1"/>
    <w:rsid w:val="00BE2838"/>
    <w:rsid w:val="00BE290B"/>
    <w:rsid w:val="00BE2995"/>
    <w:rsid w:val="00BE2ACD"/>
    <w:rsid w:val="00BE2B3E"/>
    <w:rsid w:val="00BE2B3F"/>
    <w:rsid w:val="00BE2BC9"/>
    <w:rsid w:val="00BE2C67"/>
    <w:rsid w:val="00BE2CF9"/>
    <w:rsid w:val="00BE2E33"/>
    <w:rsid w:val="00BE2EA4"/>
    <w:rsid w:val="00BE2FD6"/>
    <w:rsid w:val="00BE3047"/>
    <w:rsid w:val="00BE3223"/>
    <w:rsid w:val="00BE328E"/>
    <w:rsid w:val="00BE32BB"/>
    <w:rsid w:val="00BE336F"/>
    <w:rsid w:val="00BE35C2"/>
    <w:rsid w:val="00BE3665"/>
    <w:rsid w:val="00BE3687"/>
    <w:rsid w:val="00BE36CF"/>
    <w:rsid w:val="00BE3824"/>
    <w:rsid w:val="00BE382D"/>
    <w:rsid w:val="00BE3960"/>
    <w:rsid w:val="00BE3B54"/>
    <w:rsid w:val="00BE3BA8"/>
    <w:rsid w:val="00BE3C40"/>
    <w:rsid w:val="00BE3C8A"/>
    <w:rsid w:val="00BE3F8B"/>
    <w:rsid w:val="00BE4009"/>
    <w:rsid w:val="00BE4074"/>
    <w:rsid w:val="00BE40D8"/>
    <w:rsid w:val="00BE40E0"/>
    <w:rsid w:val="00BE412E"/>
    <w:rsid w:val="00BE414A"/>
    <w:rsid w:val="00BE4383"/>
    <w:rsid w:val="00BE4587"/>
    <w:rsid w:val="00BE462C"/>
    <w:rsid w:val="00BE46ED"/>
    <w:rsid w:val="00BE4737"/>
    <w:rsid w:val="00BE4844"/>
    <w:rsid w:val="00BE496F"/>
    <w:rsid w:val="00BE4A7F"/>
    <w:rsid w:val="00BE4E59"/>
    <w:rsid w:val="00BE4E84"/>
    <w:rsid w:val="00BE4F82"/>
    <w:rsid w:val="00BE5087"/>
    <w:rsid w:val="00BE522D"/>
    <w:rsid w:val="00BE5245"/>
    <w:rsid w:val="00BE52F0"/>
    <w:rsid w:val="00BE5350"/>
    <w:rsid w:val="00BE5398"/>
    <w:rsid w:val="00BE54DE"/>
    <w:rsid w:val="00BE558C"/>
    <w:rsid w:val="00BE55C8"/>
    <w:rsid w:val="00BE55D4"/>
    <w:rsid w:val="00BE55FB"/>
    <w:rsid w:val="00BE5610"/>
    <w:rsid w:val="00BE5641"/>
    <w:rsid w:val="00BE57C3"/>
    <w:rsid w:val="00BE581B"/>
    <w:rsid w:val="00BE5821"/>
    <w:rsid w:val="00BE58D1"/>
    <w:rsid w:val="00BE5C0A"/>
    <w:rsid w:val="00BE5CDF"/>
    <w:rsid w:val="00BE5D04"/>
    <w:rsid w:val="00BE5D12"/>
    <w:rsid w:val="00BE5F0C"/>
    <w:rsid w:val="00BE6011"/>
    <w:rsid w:val="00BE6032"/>
    <w:rsid w:val="00BE609D"/>
    <w:rsid w:val="00BE61EF"/>
    <w:rsid w:val="00BE61F0"/>
    <w:rsid w:val="00BE61FC"/>
    <w:rsid w:val="00BE63A4"/>
    <w:rsid w:val="00BE63D3"/>
    <w:rsid w:val="00BE645F"/>
    <w:rsid w:val="00BE6471"/>
    <w:rsid w:val="00BE650A"/>
    <w:rsid w:val="00BE6554"/>
    <w:rsid w:val="00BE6773"/>
    <w:rsid w:val="00BE6904"/>
    <w:rsid w:val="00BE691C"/>
    <w:rsid w:val="00BE6946"/>
    <w:rsid w:val="00BE6A36"/>
    <w:rsid w:val="00BE6AD7"/>
    <w:rsid w:val="00BE6B92"/>
    <w:rsid w:val="00BE6C38"/>
    <w:rsid w:val="00BE6C58"/>
    <w:rsid w:val="00BE6C9F"/>
    <w:rsid w:val="00BE6D2C"/>
    <w:rsid w:val="00BE6DAF"/>
    <w:rsid w:val="00BE6DCC"/>
    <w:rsid w:val="00BE6EE9"/>
    <w:rsid w:val="00BE6F46"/>
    <w:rsid w:val="00BE6FAA"/>
    <w:rsid w:val="00BE7001"/>
    <w:rsid w:val="00BE7182"/>
    <w:rsid w:val="00BE73CE"/>
    <w:rsid w:val="00BE74B6"/>
    <w:rsid w:val="00BE755C"/>
    <w:rsid w:val="00BE7568"/>
    <w:rsid w:val="00BE77A4"/>
    <w:rsid w:val="00BE77A8"/>
    <w:rsid w:val="00BE77CF"/>
    <w:rsid w:val="00BE784D"/>
    <w:rsid w:val="00BE7C93"/>
    <w:rsid w:val="00BE7CA1"/>
    <w:rsid w:val="00BE7D36"/>
    <w:rsid w:val="00BE7D88"/>
    <w:rsid w:val="00BE7DC8"/>
    <w:rsid w:val="00BE7EA5"/>
    <w:rsid w:val="00BE7F01"/>
    <w:rsid w:val="00BF007A"/>
    <w:rsid w:val="00BF0106"/>
    <w:rsid w:val="00BF0112"/>
    <w:rsid w:val="00BF0197"/>
    <w:rsid w:val="00BF01A8"/>
    <w:rsid w:val="00BF01F6"/>
    <w:rsid w:val="00BF0250"/>
    <w:rsid w:val="00BF0368"/>
    <w:rsid w:val="00BF03B8"/>
    <w:rsid w:val="00BF049A"/>
    <w:rsid w:val="00BF04BA"/>
    <w:rsid w:val="00BF05DF"/>
    <w:rsid w:val="00BF0670"/>
    <w:rsid w:val="00BF0A30"/>
    <w:rsid w:val="00BF0A52"/>
    <w:rsid w:val="00BF0C4B"/>
    <w:rsid w:val="00BF0D8A"/>
    <w:rsid w:val="00BF0D95"/>
    <w:rsid w:val="00BF0E5A"/>
    <w:rsid w:val="00BF0EBC"/>
    <w:rsid w:val="00BF0F6B"/>
    <w:rsid w:val="00BF1031"/>
    <w:rsid w:val="00BF1051"/>
    <w:rsid w:val="00BF117C"/>
    <w:rsid w:val="00BF11D1"/>
    <w:rsid w:val="00BF11E1"/>
    <w:rsid w:val="00BF1205"/>
    <w:rsid w:val="00BF12F1"/>
    <w:rsid w:val="00BF15C1"/>
    <w:rsid w:val="00BF1658"/>
    <w:rsid w:val="00BF18B7"/>
    <w:rsid w:val="00BF18BC"/>
    <w:rsid w:val="00BF1950"/>
    <w:rsid w:val="00BF1B6E"/>
    <w:rsid w:val="00BF1BB6"/>
    <w:rsid w:val="00BF1C75"/>
    <w:rsid w:val="00BF1CE2"/>
    <w:rsid w:val="00BF1D5E"/>
    <w:rsid w:val="00BF1D9D"/>
    <w:rsid w:val="00BF1E04"/>
    <w:rsid w:val="00BF1E93"/>
    <w:rsid w:val="00BF1ECF"/>
    <w:rsid w:val="00BF209A"/>
    <w:rsid w:val="00BF228C"/>
    <w:rsid w:val="00BF2497"/>
    <w:rsid w:val="00BF2583"/>
    <w:rsid w:val="00BF2622"/>
    <w:rsid w:val="00BF26D1"/>
    <w:rsid w:val="00BF277E"/>
    <w:rsid w:val="00BF27A3"/>
    <w:rsid w:val="00BF2888"/>
    <w:rsid w:val="00BF2902"/>
    <w:rsid w:val="00BF2AED"/>
    <w:rsid w:val="00BF2B7A"/>
    <w:rsid w:val="00BF2BAC"/>
    <w:rsid w:val="00BF2C36"/>
    <w:rsid w:val="00BF2CF9"/>
    <w:rsid w:val="00BF2D15"/>
    <w:rsid w:val="00BF2D47"/>
    <w:rsid w:val="00BF2F4F"/>
    <w:rsid w:val="00BF3018"/>
    <w:rsid w:val="00BF3055"/>
    <w:rsid w:val="00BF30B6"/>
    <w:rsid w:val="00BF319D"/>
    <w:rsid w:val="00BF3245"/>
    <w:rsid w:val="00BF331E"/>
    <w:rsid w:val="00BF3335"/>
    <w:rsid w:val="00BF348C"/>
    <w:rsid w:val="00BF365B"/>
    <w:rsid w:val="00BF36BC"/>
    <w:rsid w:val="00BF3731"/>
    <w:rsid w:val="00BF3795"/>
    <w:rsid w:val="00BF37C2"/>
    <w:rsid w:val="00BF3825"/>
    <w:rsid w:val="00BF38CF"/>
    <w:rsid w:val="00BF3935"/>
    <w:rsid w:val="00BF3B26"/>
    <w:rsid w:val="00BF3B2D"/>
    <w:rsid w:val="00BF3BC1"/>
    <w:rsid w:val="00BF3C2A"/>
    <w:rsid w:val="00BF3CB4"/>
    <w:rsid w:val="00BF3EE4"/>
    <w:rsid w:val="00BF40B6"/>
    <w:rsid w:val="00BF4165"/>
    <w:rsid w:val="00BF4186"/>
    <w:rsid w:val="00BF42CD"/>
    <w:rsid w:val="00BF454A"/>
    <w:rsid w:val="00BF455B"/>
    <w:rsid w:val="00BF4681"/>
    <w:rsid w:val="00BF46BC"/>
    <w:rsid w:val="00BF4713"/>
    <w:rsid w:val="00BF476D"/>
    <w:rsid w:val="00BF4780"/>
    <w:rsid w:val="00BF4802"/>
    <w:rsid w:val="00BF48B5"/>
    <w:rsid w:val="00BF4A42"/>
    <w:rsid w:val="00BF4A5D"/>
    <w:rsid w:val="00BF4A6A"/>
    <w:rsid w:val="00BF4AB7"/>
    <w:rsid w:val="00BF4B32"/>
    <w:rsid w:val="00BF4BB2"/>
    <w:rsid w:val="00BF4BF9"/>
    <w:rsid w:val="00BF4D56"/>
    <w:rsid w:val="00BF4D81"/>
    <w:rsid w:val="00BF4D88"/>
    <w:rsid w:val="00BF4E0B"/>
    <w:rsid w:val="00BF4E7D"/>
    <w:rsid w:val="00BF4EA5"/>
    <w:rsid w:val="00BF4EF4"/>
    <w:rsid w:val="00BF504E"/>
    <w:rsid w:val="00BF508B"/>
    <w:rsid w:val="00BF50A0"/>
    <w:rsid w:val="00BF5200"/>
    <w:rsid w:val="00BF5303"/>
    <w:rsid w:val="00BF5324"/>
    <w:rsid w:val="00BF5328"/>
    <w:rsid w:val="00BF53B9"/>
    <w:rsid w:val="00BF53BB"/>
    <w:rsid w:val="00BF53EB"/>
    <w:rsid w:val="00BF544D"/>
    <w:rsid w:val="00BF554D"/>
    <w:rsid w:val="00BF55F7"/>
    <w:rsid w:val="00BF5674"/>
    <w:rsid w:val="00BF568D"/>
    <w:rsid w:val="00BF56E6"/>
    <w:rsid w:val="00BF5A63"/>
    <w:rsid w:val="00BF5B3F"/>
    <w:rsid w:val="00BF5BAF"/>
    <w:rsid w:val="00BF5D0A"/>
    <w:rsid w:val="00BF5D46"/>
    <w:rsid w:val="00BF5DAF"/>
    <w:rsid w:val="00BF5DFD"/>
    <w:rsid w:val="00BF5EA5"/>
    <w:rsid w:val="00BF5FC3"/>
    <w:rsid w:val="00BF6000"/>
    <w:rsid w:val="00BF616B"/>
    <w:rsid w:val="00BF61E6"/>
    <w:rsid w:val="00BF6212"/>
    <w:rsid w:val="00BF63B5"/>
    <w:rsid w:val="00BF6499"/>
    <w:rsid w:val="00BF67FE"/>
    <w:rsid w:val="00BF692A"/>
    <w:rsid w:val="00BF6A3D"/>
    <w:rsid w:val="00BF6A79"/>
    <w:rsid w:val="00BF6B93"/>
    <w:rsid w:val="00BF6C62"/>
    <w:rsid w:val="00BF6D30"/>
    <w:rsid w:val="00BF6DBE"/>
    <w:rsid w:val="00BF6E6E"/>
    <w:rsid w:val="00BF6E9F"/>
    <w:rsid w:val="00BF7047"/>
    <w:rsid w:val="00BF70D7"/>
    <w:rsid w:val="00BF731D"/>
    <w:rsid w:val="00BF73E2"/>
    <w:rsid w:val="00BF74D1"/>
    <w:rsid w:val="00BF761B"/>
    <w:rsid w:val="00BF762D"/>
    <w:rsid w:val="00BF76CA"/>
    <w:rsid w:val="00BF77B8"/>
    <w:rsid w:val="00BF7811"/>
    <w:rsid w:val="00BF7846"/>
    <w:rsid w:val="00BF7896"/>
    <w:rsid w:val="00BF794A"/>
    <w:rsid w:val="00BF794F"/>
    <w:rsid w:val="00BF7A75"/>
    <w:rsid w:val="00BF7BB4"/>
    <w:rsid w:val="00BF7D37"/>
    <w:rsid w:val="00BF7D6F"/>
    <w:rsid w:val="00BF7D76"/>
    <w:rsid w:val="00BF7EE3"/>
    <w:rsid w:val="00C00094"/>
    <w:rsid w:val="00C000FE"/>
    <w:rsid w:val="00C0019F"/>
    <w:rsid w:val="00C001C4"/>
    <w:rsid w:val="00C00227"/>
    <w:rsid w:val="00C00397"/>
    <w:rsid w:val="00C00474"/>
    <w:rsid w:val="00C0065C"/>
    <w:rsid w:val="00C00673"/>
    <w:rsid w:val="00C0067D"/>
    <w:rsid w:val="00C006A9"/>
    <w:rsid w:val="00C00779"/>
    <w:rsid w:val="00C007A8"/>
    <w:rsid w:val="00C00871"/>
    <w:rsid w:val="00C00A72"/>
    <w:rsid w:val="00C00B2D"/>
    <w:rsid w:val="00C00DCD"/>
    <w:rsid w:val="00C00E2F"/>
    <w:rsid w:val="00C00E9A"/>
    <w:rsid w:val="00C00E9E"/>
    <w:rsid w:val="00C00F69"/>
    <w:rsid w:val="00C00FE9"/>
    <w:rsid w:val="00C0100B"/>
    <w:rsid w:val="00C01119"/>
    <w:rsid w:val="00C0112F"/>
    <w:rsid w:val="00C012D0"/>
    <w:rsid w:val="00C0131E"/>
    <w:rsid w:val="00C013A3"/>
    <w:rsid w:val="00C014A1"/>
    <w:rsid w:val="00C014D6"/>
    <w:rsid w:val="00C014F9"/>
    <w:rsid w:val="00C01598"/>
    <w:rsid w:val="00C01688"/>
    <w:rsid w:val="00C0177E"/>
    <w:rsid w:val="00C0191E"/>
    <w:rsid w:val="00C01A3E"/>
    <w:rsid w:val="00C01A4C"/>
    <w:rsid w:val="00C01A8D"/>
    <w:rsid w:val="00C01A8F"/>
    <w:rsid w:val="00C01C0D"/>
    <w:rsid w:val="00C01DAB"/>
    <w:rsid w:val="00C01DCC"/>
    <w:rsid w:val="00C01DCF"/>
    <w:rsid w:val="00C01F50"/>
    <w:rsid w:val="00C02044"/>
    <w:rsid w:val="00C020CD"/>
    <w:rsid w:val="00C02384"/>
    <w:rsid w:val="00C02520"/>
    <w:rsid w:val="00C0255C"/>
    <w:rsid w:val="00C02780"/>
    <w:rsid w:val="00C027F6"/>
    <w:rsid w:val="00C027FA"/>
    <w:rsid w:val="00C02808"/>
    <w:rsid w:val="00C02964"/>
    <w:rsid w:val="00C02A0B"/>
    <w:rsid w:val="00C02A7A"/>
    <w:rsid w:val="00C02AE6"/>
    <w:rsid w:val="00C02C51"/>
    <w:rsid w:val="00C02D22"/>
    <w:rsid w:val="00C02D65"/>
    <w:rsid w:val="00C02D89"/>
    <w:rsid w:val="00C02EB6"/>
    <w:rsid w:val="00C02F5E"/>
    <w:rsid w:val="00C0314A"/>
    <w:rsid w:val="00C03211"/>
    <w:rsid w:val="00C033E1"/>
    <w:rsid w:val="00C033F8"/>
    <w:rsid w:val="00C0341C"/>
    <w:rsid w:val="00C03541"/>
    <w:rsid w:val="00C035AF"/>
    <w:rsid w:val="00C0375B"/>
    <w:rsid w:val="00C0386C"/>
    <w:rsid w:val="00C03A4C"/>
    <w:rsid w:val="00C03AAF"/>
    <w:rsid w:val="00C03B16"/>
    <w:rsid w:val="00C03EA7"/>
    <w:rsid w:val="00C04093"/>
    <w:rsid w:val="00C04130"/>
    <w:rsid w:val="00C04173"/>
    <w:rsid w:val="00C0418F"/>
    <w:rsid w:val="00C041E8"/>
    <w:rsid w:val="00C04303"/>
    <w:rsid w:val="00C043D1"/>
    <w:rsid w:val="00C04600"/>
    <w:rsid w:val="00C0460F"/>
    <w:rsid w:val="00C04711"/>
    <w:rsid w:val="00C048CA"/>
    <w:rsid w:val="00C04907"/>
    <w:rsid w:val="00C049AA"/>
    <w:rsid w:val="00C04A86"/>
    <w:rsid w:val="00C04ABD"/>
    <w:rsid w:val="00C04AC3"/>
    <w:rsid w:val="00C04B83"/>
    <w:rsid w:val="00C04EA4"/>
    <w:rsid w:val="00C04F9B"/>
    <w:rsid w:val="00C05118"/>
    <w:rsid w:val="00C05267"/>
    <w:rsid w:val="00C054EB"/>
    <w:rsid w:val="00C054EF"/>
    <w:rsid w:val="00C05571"/>
    <w:rsid w:val="00C055D8"/>
    <w:rsid w:val="00C05739"/>
    <w:rsid w:val="00C0575D"/>
    <w:rsid w:val="00C057CE"/>
    <w:rsid w:val="00C058B8"/>
    <w:rsid w:val="00C05971"/>
    <w:rsid w:val="00C05972"/>
    <w:rsid w:val="00C05BA8"/>
    <w:rsid w:val="00C05BFC"/>
    <w:rsid w:val="00C05C4B"/>
    <w:rsid w:val="00C05C71"/>
    <w:rsid w:val="00C05CFA"/>
    <w:rsid w:val="00C05D4A"/>
    <w:rsid w:val="00C05E17"/>
    <w:rsid w:val="00C0609C"/>
    <w:rsid w:val="00C0624D"/>
    <w:rsid w:val="00C062AB"/>
    <w:rsid w:val="00C062EE"/>
    <w:rsid w:val="00C06432"/>
    <w:rsid w:val="00C0659D"/>
    <w:rsid w:val="00C066FB"/>
    <w:rsid w:val="00C06885"/>
    <w:rsid w:val="00C06936"/>
    <w:rsid w:val="00C06958"/>
    <w:rsid w:val="00C069D7"/>
    <w:rsid w:val="00C06A6E"/>
    <w:rsid w:val="00C06A73"/>
    <w:rsid w:val="00C06BF6"/>
    <w:rsid w:val="00C06CBC"/>
    <w:rsid w:val="00C06CC7"/>
    <w:rsid w:val="00C06D31"/>
    <w:rsid w:val="00C06E92"/>
    <w:rsid w:val="00C070DB"/>
    <w:rsid w:val="00C0715B"/>
    <w:rsid w:val="00C071EF"/>
    <w:rsid w:val="00C072C8"/>
    <w:rsid w:val="00C072D6"/>
    <w:rsid w:val="00C072F3"/>
    <w:rsid w:val="00C0732F"/>
    <w:rsid w:val="00C073EC"/>
    <w:rsid w:val="00C0741A"/>
    <w:rsid w:val="00C0749A"/>
    <w:rsid w:val="00C074BF"/>
    <w:rsid w:val="00C0752B"/>
    <w:rsid w:val="00C07541"/>
    <w:rsid w:val="00C076B5"/>
    <w:rsid w:val="00C0786C"/>
    <w:rsid w:val="00C07935"/>
    <w:rsid w:val="00C07944"/>
    <w:rsid w:val="00C079D5"/>
    <w:rsid w:val="00C07AEC"/>
    <w:rsid w:val="00C07B65"/>
    <w:rsid w:val="00C07BF7"/>
    <w:rsid w:val="00C07C0C"/>
    <w:rsid w:val="00C07D1C"/>
    <w:rsid w:val="00C07D87"/>
    <w:rsid w:val="00C07EBA"/>
    <w:rsid w:val="00C07F4D"/>
    <w:rsid w:val="00C07FC7"/>
    <w:rsid w:val="00C10043"/>
    <w:rsid w:val="00C10123"/>
    <w:rsid w:val="00C10127"/>
    <w:rsid w:val="00C10501"/>
    <w:rsid w:val="00C105F9"/>
    <w:rsid w:val="00C1077A"/>
    <w:rsid w:val="00C107BB"/>
    <w:rsid w:val="00C10821"/>
    <w:rsid w:val="00C10875"/>
    <w:rsid w:val="00C10A0F"/>
    <w:rsid w:val="00C10ADC"/>
    <w:rsid w:val="00C10C91"/>
    <w:rsid w:val="00C10D74"/>
    <w:rsid w:val="00C10F07"/>
    <w:rsid w:val="00C10F37"/>
    <w:rsid w:val="00C10F48"/>
    <w:rsid w:val="00C10F96"/>
    <w:rsid w:val="00C10FA8"/>
    <w:rsid w:val="00C11159"/>
    <w:rsid w:val="00C11344"/>
    <w:rsid w:val="00C11358"/>
    <w:rsid w:val="00C1138F"/>
    <w:rsid w:val="00C113FE"/>
    <w:rsid w:val="00C114D2"/>
    <w:rsid w:val="00C11572"/>
    <w:rsid w:val="00C115D5"/>
    <w:rsid w:val="00C11613"/>
    <w:rsid w:val="00C11623"/>
    <w:rsid w:val="00C1165C"/>
    <w:rsid w:val="00C11720"/>
    <w:rsid w:val="00C117DD"/>
    <w:rsid w:val="00C1182A"/>
    <w:rsid w:val="00C1186E"/>
    <w:rsid w:val="00C11896"/>
    <w:rsid w:val="00C11A65"/>
    <w:rsid w:val="00C11B49"/>
    <w:rsid w:val="00C11C87"/>
    <w:rsid w:val="00C122BB"/>
    <w:rsid w:val="00C122C6"/>
    <w:rsid w:val="00C1237F"/>
    <w:rsid w:val="00C12468"/>
    <w:rsid w:val="00C125AD"/>
    <w:rsid w:val="00C125C2"/>
    <w:rsid w:val="00C127A4"/>
    <w:rsid w:val="00C1283F"/>
    <w:rsid w:val="00C12965"/>
    <w:rsid w:val="00C12AF2"/>
    <w:rsid w:val="00C12B3F"/>
    <w:rsid w:val="00C12BB3"/>
    <w:rsid w:val="00C12BDA"/>
    <w:rsid w:val="00C12BEB"/>
    <w:rsid w:val="00C12CC0"/>
    <w:rsid w:val="00C12EE9"/>
    <w:rsid w:val="00C12F55"/>
    <w:rsid w:val="00C12F6E"/>
    <w:rsid w:val="00C1318A"/>
    <w:rsid w:val="00C1321A"/>
    <w:rsid w:val="00C1353C"/>
    <w:rsid w:val="00C1366F"/>
    <w:rsid w:val="00C1375F"/>
    <w:rsid w:val="00C13814"/>
    <w:rsid w:val="00C13931"/>
    <w:rsid w:val="00C13944"/>
    <w:rsid w:val="00C13B14"/>
    <w:rsid w:val="00C13BD3"/>
    <w:rsid w:val="00C13BFA"/>
    <w:rsid w:val="00C13CAB"/>
    <w:rsid w:val="00C13D55"/>
    <w:rsid w:val="00C13D8A"/>
    <w:rsid w:val="00C13E1B"/>
    <w:rsid w:val="00C13E9D"/>
    <w:rsid w:val="00C13F44"/>
    <w:rsid w:val="00C140A0"/>
    <w:rsid w:val="00C140E1"/>
    <w:rsid w:val="00C140EC"/>
    <w:rsid w:val="00C14326"/>
    <w:rsid w:val="00C14337"/>
    <w:rsid w:val="00C1443D"/>
    <w:rsid w:val="00C14451"/>
    <w:rsid w:val="00C14603"/>
    <w:rsid w:val="00C14761"/>
    <w:rsid w:val="00C14775"/>
    <w:rsid w:val="00C14901"/>
    <w:rsid w:val="00C14953"/>
    <w:rsid w:val="00C14AD9"/>
    <w:rsid w:val="00C14B50"/>
    <w:rsid w:val="00C14D43"/>
    <w:rsid w:val="00C14FD9"/>
    <w:rsid w:val="00C15010"/>
    <w:rsid w:val="00C150E8"/>
    <w:rsid w:val="00C15300"/>
    <w:rsid w:val="00C15312"/>
    <w:rsid w:val="00C15355"/>
    <w:rsid w:val="00C1539A"/>
    <w:rsid w:val="00C1547C"/>
    <w:rsid w:val="00C154F7"/>
    <w:rsid w:val="00C156AA"/>
    <w:rsid w:val="00C15856"/>
    <w:rsid w:val="00C1588C"/>
    <w:rsid w:val="00C159A8"/>
    <w:rsid w:val="00C15A45"/>
    <w:rsid w:val="00C15C7E"/>
    <w:rsid w:val="00C15C8C"/>
    <w:rsid w:val="00C15D76"/>
    <w:rsid w:val="00C15DBC"/>
    <w:rsid w:val="00C15E56"/>
    <w:rsid w:val="00C15F5F"/>
    <w:rsid w:val="00C16044"/>
    <w:rsid w:val="00C160DF"/>
    <w:rsid w:val="00C16129"/>
    <w:rsid w:val="00C163C6"/>
    <w:rsid w:val="00C164E7"/>
    <w:rsid w:val="00C16942"/>
    <w:rsid w:val="00C169A8"/>
    <w:rsid w:val="00C169D9"/>
    <w:rsid w:val="00C16AAA"/>
    <w:rsid w:val="00C16AD4"/>
    <w:rsid w:val="00C16AE7"/>
    <w:rsid w:val="00C16C0E"/>
    <w:rsid w:val="00C16C80"/>
    <w:rsid w:val="00C16D16"/>
    <w:rsid w:val="00C16E38"/>
    <w:rsid w:val="00C16F58"/>
    <w:rsid w:val="00C16FA0"/>
    <w:rsid w:val="00C170CD"/>
    <w:rsid w:val="00C1716A"/>
    <w:rsid w:val="00C173FA"/>
    <w:rsid w:val="00C17643"/>
    <w:rsid w:val="00C17660"/>
    <w:rsid w:val="00C177BB"/>
    <w:rsid w:val="00C17836"/>
    <w:rsid w:val="00C17857"/>
    <w:rsid w:val="00C1794A"/>
    <w:rsid w:val="00C179CB"/>
    <w:rsid w:val="00C17A08"/>
    <w:rsid w:val="00C17A0D"/>
    <w:rsid w:val="00C17A76"/>
    <w:rsid w:val="00C17C52"/>
    <w:rsid w:val="00C17CF5"/>
    <w:rsid w:val="00C17DC2"/>
    <w:rsid w:val="00C17E67"/>
    <w:rsid w:val="00C17EB8"/>
    <w:rsid w:val="00C17EBF"/>
    <w:rsid w:val="00C17F14"/>
    <w:rsid w:val="00C17F7B"/>
    <w:rsid w:val="00C2007C"/>
    <w:rsid w:val="00C20150"/>
    <w:rsid w:val="00C2018A"/>
    <w:rsid w:val="00C201B8"/>
    <w:rsid w:val="00C202A5"/>
    <w:rsid w:val="00C202B3"/>
    <w:rsid w:val="00C20320"/>
    <w:rsid w:val="00C20348"/>
    <w:rsid w:val="00C20601"/>
    <w:rsid w:val="00C208B5"/>
    <w:rsid w:val="00C20919"/>
    <w:rsid w:val="00C20B09"/>
    <w:rsid w:val="00C20BA4"/>
    <w:rsid w:val="00C20BB3"/>
    <w:rsid w:val="00C20BBC"/>
    <w:rsid w:val="00C20C98"/>
    <w:rsid w:val="00C20D0F"/>
    <w:rsid w:val="00C20D40"/>
    <w:rsid w:val="00C20D9E"/>
    <w:rsid w:val="00C20DCE"/>
    <w:rsid w:val="00C20F1A"/>
    <w:rsid w:val="00C21084"/>
    <w:rsid w:val="00C210E7"/>
    <w:rsid w:val="00C211C4"/>
    <w:rsid w:val="00C212A5"/>
    <w:rsid w:val="00C212AF"/>
    <w:rsid w:val="00C2143F"/>
    <w:rsid w:val="00C2147A"/>
    <w:rsid w:val="00C214E2"/>
    <w:rsid w:val="00C21669"/>
    <w:rsid w:val="00C216CE"/>
    <w:rsid w:val="00C21706"/>
    <w:rsid w:val="00C2170A"/>
    <w:rsid w:val="00C21ABA"/>
    <w:rsid w:val="00C21AF2"/>
    <w:rsid w:val="00C21BB1"/>
    <w:rsid w:val="00C21CD5"/>
    <w:rsid w:val="00C21E65"/>
    <w:rsid w:val="00C21E74"/>
    <w:rsid w:val="00C21EE0"/>
    <w:rsid w:val="00C22014"/>
    <w:rsid w:val="00C22050"/>
    <w:rsid w:val="00C22187"/>
    <w:rsid w:val="00C221AC"/>
    <w:rsid w:val="00C222DD"/>
    <w:rsid w:val="00C2239C"/>
    <w:rsid w:val="00C224D5"/>
    <w:rsid w:val="00C22534"/>
    <w:rsid w:val="00C22649"/>
    <w:rsid w:val="00C22A05"/>
    <w:rsid w:val="00C22C1A"/>
    <w:rsid w:val="00C22E03"/>
    <w:rsid w:val="00C22EE3"/>
    <w:rsid w:val="00C22F68"/>
    <w:rsid w:val="00C23036"/>
    <w:rsid w:val="00C230C2"/>
    <w:rsid w:val="00C2323D"/>
    <w:rsid w:val="00C2324D"/>
    <w:rsid w:val="00C233AD"/>
    <w:rsid w:val="00C234FB"/>
    <w:rsid w:val="00C23533"/>
    <w:rsid w:val="00C2357C"/>
    <w:rsid w:val="00C2363E"/>
    <w:rsid w:val="00C236FA"/>
    <w:rsid w:val="00C23724"/>
    <w:rsid w:val="00C23979"/>
    <w:rsid w:val="00C23A8E"/>
    <w:rsid w:val="00C23BA4"/>
    <w:rsid w:val="00C23C1E"/>
    <w:rsid w:val="00C23EF3"/>
    <w:rsid w:val="00C24006"/>
    <w:rsid w:val="00C2402E"/>
    <w:rsid w:val="00C24103"/>
    <w:rsid w:val="00C2410A"/>
    <w:rsid w:val="00C2411E"/>
    <w:rsid w:val="00C241A2"/>
    <w:rsid w:val="00C24232"/>
    <w:rsid w:val="00C24399"/>
    <w:rsid w:val="00C24524"/>
    <w:rsid w:val="00C245F6"/>
    <w:rsid w:val="00C24655"/>
    <w:rsid w:val="00C2465E"/>
    <w:rsid w:val="00C24732"/>
    <w:rsid w:val="00C24888"/>
    <w:rsid w:val="00C249BA"/>
    <w:rsid w:val="00C24A6A"/>
    <w:rsid w:val="00C24A9B"/>
    <w:rsid w:val="00C24D8E"/>
    <w:rsid w:val="00C24D9A"/>
    <w:rsid w:val="00C24E1F"/>
    <w:rsid w:val="00C24F0C"/>
    <w:rsid w:val="00C24F3B"/>
    <w:rsid w:val="00C25043"/>
    <w:rsid w:val="00C2509C"/>
    <w:rsid w:val="00C251A3"/>
    <w:rsid w:val="00C25229"/>
    <w:rsid w:val="00C2533A"/>
    <w:rsid w:val="00C25355"/>
    <w:rsid w:val="00C253DF"/>
    <w:rsid w:val="00C25547"/>
    <w:rsid w:val="00C255CA"/>
    <w:rsid w:val="00C2566D"/>
    <w:rsid w:val="00C2594E"/>
    <w:rsid w:val="00C25953"/>
    <w:rsid w:val="00C25A50"/>
    <w:rsid w:val="00C25A76"/>
    <w:rsid w:val="00C25AC3"/>
    <w:rsid w:val="00C25B49"/>
    <w:rsid w:val="00C25BDB"/>
    <w:rsid w:val="00C25C23"/>
    <w:rsid w:val="00C25CA0"/>
    <w:rsid w:val="00C25CD0"/>
    <w:rsid w:val="00C25DAA"/>
    <w:rsid w:val="00C25DE4"/>
    <w:rsid w:val="00C25DEC"/>
    <w:rsid w:val="00C25E85"/>
    <w:rsid w:val="00C25FEF"/>
    <w:rsid w:val="00C26164"/>
    <w:rsid w:val="00C26329"/>
    <w:rsid w:val="00C2636B"/>
    <w:rsid w:val="00C263AB"/>
    <w:rsid w:val="00C2644D"/>
    <w:rsid w:val="00C265CC"/>
    <w:rsid w:val="00C265E2"/>
    <w:rsid w:val="00C266D6"/>
    <w:rsid w:val="00C266ED"/>
    <w:rsid w:val="00C267D7"/>
    <w:rsid w:val="00C2685E"/>
    <w:rsid w:val="00C26950"/>
    <w:rsid w:val="00C26A2E"/>
    <w:rsid w:val="00C26ABB"/>
    <w:rsid w:val="00C26AED"/>
    <w:rsid w:val="00C26AFD"/>
    <w:rsid w:val="00C26B86"/>
    <w:rsid w:val="00C26BB9"/>
    <w:rsid w:val="00C26BBB"/>
    <w:rsid w:val="00C26C82"/>
    <w:rsid w:val="00C26D5D"/>
    <w:rsid w:val="00C27010"/>
    <w:rsid w:val="00C270F3"/>
    <w:rsid w:val="00C27300"/>
    <w:rsid w:val="00C27491"/>
    <w:rsid w:val="00C2753F"/>
    <w:rsid w:val="00C275A2"/>
    <w:rsid w:val="00C276D6"/>
    <w:rsid w:val="00C27757"/>
    <w:rsid w:val="00C2776A"/>
    <w:rsid w:val="00C279B6"/>
    <w:rsid w:val="00C27BF8"/>
    <w:rsid w:val="00C27C90"/>
    <w:rsid w:val="00C27D68"/>
    <w:rsid w:val="00C27DCF"/>
    <w:rsid w:val="00C27E31"/>
    <w:rsid w:val="00C27E39"/>
    <w:rsid w:val="00C27F5E"/>
    <w:rsid w:val="00C27F85"/>
    <w:rsid w:val="00C27FD1"/>
    <w:rsid w:val="00C30095"/>
    <w:rsid w:val="00C300C4"/>
    <w:rsid w:val="00C30150"/>
    <w:rsid w:val="00C30297"/>
    <w:rsid w:val="00C3047C"/>
    <w:rsid w:val="00C304DE"/>
    <w:rsid w:val="00C3066B"/>
    <w:rsid w:val="00C30683"/>
    <w:rsid w:val="00C306AA"/>
    <w:rsid w:val="00C3078C"/>
    <w:rsid w:val="00C3086E"/>
    <w:rsid w:val="00C30932"/>
    <w:rsid w:val="00C30940"/>
    <w:rsid w:val="00C309B3"/>
    <w:rsid w:val="00C30AF2"/>
    <w:rsid w:val="00C30BFF"/>
    <w:rsid w:val="00C30C46"/>
    <w:rsid w:val="00C30CFF"/>
    <w:rsid w:val="00C30D23"/>
    <w:rsid w:val="00C30D77"/>
    <w:rsid w:val="00C30E69"/>
    <w:rsid w:val="00C3104F"/>
    <w:rsid w:val="00C31057"/>
    <w:rsid w:val="00C31122"/>
    <w:rsid w:val="00C311C2"/>
    <w:rsid w:val="00C31212"/>
    <w:rsid w:val="00C312D4"/>
    <w:rsid w:val="00C3136B"/>
    <w:rsid w:val="00C3142B"/>
    <w:rsid w:val="00C314DD"/>
    <w:rsid w:val="00C315EE"/>
    <w:rsid w:val="00C315F0"/>
    <w:rsid w:val="00C31602"/>
    <w:rsid w:val="00C317D1"/>
    <w:rsid w:val="00C31851"/>
    <w:rsid w:val="00C3187E"/>
    <w:rsid w:val="00C318A2"/>
    <w:rsid w:val="00C318E7"/>
    <w:rsid w:val="00C318F7"/>
    <w:rsid w:val="00C31947"/>
    <w:rsid w:val="00C31956"/>
    <w:rsid w:val="00C31A1D"/>
    <w:rsid w:val="00C31A81"/>
    <w:rsid w:val="00C31B31"/>
    <w:rsid w:val="00C31C4E"/>
    <w:rsid w:val="00C31C96"/>
    <w:rsid w:val="00C31CF8"/>
    <w:rsid w:val="00C31D39"/>
    <w:rsid w:val="00C31E9D"/>
    <w:rsid w:val="00C31FBC"/>
    <w:rsid w:val="00C31FF2"/>
    <w:rsid w:val="00C32001"/>
    <w:rsid w:val="00C32029"/>
    <w:rsid w:val="00C32080"/>
    <w:rsid w:val="00C320BD"/>
    <w:rsid w:val="00C320DB"/>
    <w:rsid w:val="00C3214C"/>
    <w:rsid w:val="00C321A2"/>
    <w:rsid w:val="00C322E9"/>
    <w:rsid w:val="00C323C3"/>
    <w:rsid w:val="00C3240B"/>
    <w:rsid w:val="00C3242D"/>
    <w:rsid w:val="00C324C4"/>
    <w:rsid w:val="00C32534"/>
    <w:rsid w:val="00C3265D"/>
    <w:rsid w:val="00C327BF"/>
    <w:rsid w:val="00C327F9"/>
    <w:rsid w:val="00C3283D"/>
    <w:rsid w:val="00C32904"/>
    <w:rsid w:val="00C32937"/>
    <w:rsid w:val="00C32965"/>
    <w:rsid w:val="00C32AC5"/>
    <w:rsid w:val="00C32AEA"/>
    <w:rsid w:val="00C32CA5"/>
    <w:rsid w:val="00C32D0D"/>
    <w:rsid w:val="00C32D27"/>
    <w:rsid w:val="00C32D40"/>
    <w:rsid w:val="00C32E1F"/>
    <w:rsid w:val="00C32E20"/>
    <w:rsid w:val="00C32F7E"/>
    <w:rsid w:val="00C33085"/>
    <w:rsid w:val="00C331A9"/>
    <w:rsid w:val="00C3324E"/>
    <w:rsid w:val="00C3353A"/>
    <w:rsid w:val="00C33548"/>
    <w:rsid w:val="00C335C4"/>
    <w:rsid w:val="00C33676"/>
    <w:rsid w:val="00C337C4"/>
    <w:rsid w:val="00C33892"/>
    <w:rsid w:val="00C33894"/>
    <w:rsid w:val="00C338C1"/>
    <w:rsid w:val="00C338E6"/>
    <w:rsid w:val="00C339A6"/>
    <w:rsid w:val="00C339C6"/>
    <w:rsid w:val="00C33B68"/>
    <w:rsid w:val="00C33B7D"/>
    <w:rsid w:val="00C33D3F"/>
    <w:rsid w:val="00C33D6B"/>
    <w:rsid w:val="00C34063"/>
    <w:rsid w:val="00C3413A"/>
    <w:rsid w:val="00C34169"/>
    <w:rsid w:val="00C341E0"/>
    <w:rsid w:val="00C34385"/>
    <w:rsid w:val="00C343DB"/>
    <w:rsid w:val="00C343EE"/>
    <w:rsid w:val="00C3440C"/>
    <w:rsid w:val="00C34419"/>
    <w:rsid w:val="00C344E6"/>
    <w:rsid w:val="00C34586"/>
    <w:rsid w:val="00C3477F"/>
    <w:rsid w:val="00C347A5"/>
    <w:rsid w:val="00C347C4"/>
    <w:rsid w:val="00C34819"/>
    <w:rsid w:val="00C34825"/>
    <w:rsid w:val="00C34834"/>
    <w:rsid w:val="00C348A8"/>
    <w:rsid w:val="00C3492F"/>
    <w:rsid w:val="00C349AB"/>
    <w:rsid w:val="00C34A29"/>
    <w:rsid w:val="00C34A82"/>
    <w:rsid w:val="00C34ADD"/>
    <w:rsid w:val="00C34B46"/>
    <w:rsid w:val="00C34B63"/>
    <w:rsid w:val="00C34C0E"/>
    <w:rsid w:val="00C34DAE"/>
    <w:rsid w:val="00C34E4F"/>
    <w:rsid w:val="00C34E80"/>
    <w:rsid w:val="00C34F6F"/>
    <w:rsid w:val="00C35012"/>
    <w:rsid w:val="00C351BC"/>
    <w:rsid w:val="00C35381"/>
    <w:rsid w:val="00C3539C"/>
    <w:rsid w:val="00C353C7"/>
    <w:rsid w:val="00C3540D"/>
    <w:rsid w:val="00C3557E"/>
    <w:rsid w:val="00C355D2"/>
    <w:rsid w:val="00C35779"/>
    <w:rsid w:val="00C35802"/>
    <w:rsid w:val="00C359BD"/>
    <w:rsid w:val="00C35B11"/>
    <w:rsid w:val="00C35B5E"/>
    <w:rsid w:val="00C35BCB"/>
    <w:rsid w:val="00C35BE6"/>
    <w:rsid w:val="00C35D84"/>
    <w:rsid w:val="00C35DF8"/>
    <w:rsid w:val="00C35E41"/>
    <w:rsid w:val="00C35E5F"/>
    <w:rsid w:val="00C35E76"/>
    <w:rsid w:val="00C35F17"/>
    <w:rsid w:val="00C36013"/>
    <w:rsid w:val="00C36052"/>
    <w:rsid w:val="00C36120"/>
    <w:rsid w:val="00C36225"/>
    <w:rsid w:val="00C36291"/>
    <w:rsid w:val="00C36314"/>
    <w:rsid w:val="00C3641B"/>
    <w:rsid w:val="00C36464"/>
    <w:rsid w:val="00C36533"/>
    <w:rsid w:val="00C36580"/>
    <w:rsid w:val="00C365AD"/>
    <w:rsid w:val="00C36618"/>
    <w:rsid w:val="00C3667C"/>
    <w:rsid w:val="00C3691F"/>
    <w:rsid w:val="00C36951"/>
    <w:rsid w:val="00C369A6"/>
    <w:rsid w:val="00C36A1E"/>
    <w:rsid w:val="00C36C17"/>
    <w:rsid w:val="00C36E37"/>
    <w:rsid w:val="00C36E93"/>
    <w:rsid w:val="00C36EBE"/>
    <w:rsid w:val="00C36EDB"/>
    <w:rsid w:val="00C36F9C"/>
    <w:rsid w:val="00C3707B"/>
    <w:rsid w:val="00C373FE"/>
    <w:rsid w:val="00C37418"/>
    <w:rsid w:val="00C37441"/>
    <w:rsid w:val="00C37482"/>
    <w:rsid w:val="00C374AB"/>
    <w:rsid w:val="00C374B0"/>
    <w:rsid w:val="00C374BD"/>
    <w:rsid w:val="00C37638"/>
    <w:rsid w:val="00C37671"/>
    <w:rsid w:val="00C376C9"/>
    <w:rsid w:val="00C37CB8"/>
    <w:rsid w:val="00C37E15"/>
    <w:rsid w:val="00C37E40"/>
    <w:rsid w:val="00C37E69"/>
    <w:rsid w:val="00C37E84"/>
    <w:rsid w:val="00C37EB3"/>
    <w:rsid w:val="00C37F1D"/>
    <w:rsid w:val="00C37F23"/>
    <w:rsid w:val="00C37FD6"/>
    <w:rsid w:val="00C401A3"/>
    <w:rsid w:val="00C40440"/>
    <w:rsid w:val="00C40552"/>
    <w:rsid w:val="00C4071F"/>
    <w:rsid w:val="00C40762"/>
    <w:rsid w:val="00C407BC"/>
    <w:rsid w:val="00C40814"/>
    <w:rsid w:val="00C40862"/>
    <w:rsid w:val="00C40A74"/>
    <w:rsid w:val="00C40C48"/>
    <w:rsid w:val="00C40DFF"/>
    <w:rsid w:val="00C40E85"/>
    <w:rsid w:val="00C40EF8"/>
    <w:rsid w:val="00C410D9"/>
    <w:rsid w:val="00C410EA"/>
    <w:rsid w:val="00C41253"/>
    <w:rsid w:val="00C412A2"/>
    <w:rsid w:val="00C413BC"/>
    <w:rsid w:val="00C41452"/>
    <w:rsid w:val="00C41500"/>
    <w:rsid w:val="00C416F2"/>
    <w:rsid w:val="00C4188F"/>
    <w:rsid w:val="00C4189C"/>
    <w:rsid w:val="00C418EA"/>
    <w:rsid w:val="00C41963"/>
    <w:rsid w:val="00C41A6E"/>
    <w:rsid w:val="00C41B9F"/>
    <w:rsid w:val="00C41C26"/>
    <w:rsid w:val="00C41CD9"/>
    <w:rsid w:val="00C41CE0"/>
    <w:rsid w:val="00C41F73"/>
    <w:rsid w:val="00C41FBF"/>
    <w:rsid w:val="00C42036"/>
    <w:rsid w:val="00C42051"/>
    <w:rsid w:val="00C4228C"/>
    <w:rsid w:val="00C422A9"/>
    <w:rsid w:val="00C42392"/>
    <w:rsid w:val="00C425DD"/>
    <w:rsid w:val="00C4261A"/>
    <w:rsid w:val="00C42684"/>
    <w:rsid w:val="00C426E2"/>
    <w:rsid w:val="00C42A6B"/>
    <w:rsid w:val="00C42AF4"/>
    <w:rsid w:val="00C42B12"/>
    <w:rsid w:val="00C42B6E"/>
    <w:rsid w:val="00C42C09"/>
    <w:rsid w:val="00C42CCD"/>
    <w:rsid w:val="00C42CEE"/>
    <w:rsid w:val="00C42E5F"/>
    <w:rsid w:val="00C42E97"/>
    <w:rsid w:val="00C42F8F"/>
    <w:rsid w:val="00C4300E"/>
    <w:rsid w:val="00C43028"/>
    <w:rsid w:val="00C43205"/>
    <w:rsid w:val="00C43224"/>
    <w:rsid w:val="00C43352"/>
    <w:rsid w:val="00C43357"/>
    <w:rsid w:val="00C43370"/>
    <w:rsid w:val="00C43373"/>
    <w:rsid w:val="00C43495"/>
    <w:rsid w:val="00C43510"/>
    <w:rsid w:val="00C43766"/>
    <w:rsid w:val="00C43787"/>
    <w:rsid w:val="00C438AB"/>
    <w:rsid w:val="00C43BA5"/>
    <w:rsid w:val="00C43C33"/>
    <w:rsid w:val="00C43D12"/>
    <w:rsid w:val="00C43D19"/>
    <w:rsid w:val="00C43DA0"/>
    <w:rsid w:val="00C43E3E"/>
    <w:rsid w:val="00C43EDD"/>
    <w:rsid w:val="00C43F10"/>
    <w:rsid w:val="00C44005"/>
    <w:rsid w:val="00C4400B"/>
    <w:rsid w:val="00C44074"/>
    <w:rsid w:val="00C440AD"/>
    <w:rsid w:val="00C44115"/>
    <w:rsid w:val="00C44122"/>
    <w:rsid w:val="00C4433C"/>
    <w:rsid w:val="00C44387"/>
    <w:rsid w:val="00C44429"/>
    <w:rsid w:val="00C4442E"/>
    <w:rsid w:val="00C4447A"/>
    <w:rsid w:val="00C444FD"/>
    <w:rsid w:val="00C445CA"/>
    <w:rsid w:val="00C445EB"/>
    <w:rsid w:val="00C447F2"/>
    <w:rsid w:val="00C44D15"/>
    <w:rsid w:val="00C44F1F"/>
    <w:rsid w:val="00C44F52"/>
    <w:rsid w:val="00C44F5A"/>
    <w:rsid w:val="00C44F83"/>
    <w:rsid w:val="00C4526F"/>
    <w:rsid w:val="00C453F6"/>
    <w:rsid w:val="00C45560"/>
    <w:rsid w:val="00C45702"/>
    <w:rsid w:val="00C458C8"/>
    <w:rsid w:val="00C45938"/>
    <w:rsid w:val="00C45A31"/>
    <w:rsid w:val="00C45AE5"/>
    <w:rsid w:val="00C45B41"/>
    <w:rsid w:val="00C45C2E"/>
    <w:rsid w:val="00C45DB9"/>
    <w:rsid w:val="00C45E5C"/>
    <w:rsid w:val="00C45EB6"/>
    <w:rsid w:val="00C45F25"/>
    <w:rsid w:val="00C45F9A"/>
    <w:rsid w:val="00C460B2"/>
    <w:rsid w:val="00C460C2"/>
    <w:rsid w:val="00C4637C"/>
    <w:rsid w:val="00C465B2"/>
    <w:rsid w:val="00C465C9"/>
    <w:rsid w:val="00C46624"/>
    <w:rsid w:val="00C466F4"/>
    <w:rsid w:val="00C4675A"/>
    <w:rsid w:val="00C467D0"/>
    <w:rsid w:val="00C467DF"/>
    <w:rsid w:val="00C46B06"/>
    <w:rsid w:val="00C46B43"/>
    <w:rsid w:val="00C46BD0"/>
    <w:rsid w:val="00C46BD4"/>
    <w:rsid w:val="00C46BF0"/>
    <w:rsid w:val="00C46BFB"/>
    <w:rsid w:val="00C46C16"/>
    <w:rsid w:val="00C46CB9"/>
    <w:rsid w:val="00C46E13"/>
    <w:rsid w:val="00C46F4E"/>
    <w:rsid w:val="00C46F8A"/>
    <w:rsid w:val="00C46FD6"/>
    <w:rsid w:val="00C47010"/>
    <w:rsid w:val="00C47077"/>
    <w:rsid w:val="00C4708E"/>
    <w:rsid w:val="00C4716E"/>
    <w:rsid w:val="00C4719D"/>
    <w:rsid w:val="00C47376"/>
    <w:rsid w:val="00C475E5"/>
    <w:rsid w:val="00C4767E"/>
    <w:rsid w:val="00C47795"/>
    <w:rsid w:val="00C4786D"/>
    <w:rsid w:val="00C4793F"/>
    <w:rsid w:val="00C47A8F"/>
    <w:rsid w:val="00C47AB6"/>
    <w:rsid w:val="00C47B28"/>
    <w:rsid w:val="00C47BC8"/>
    <w:rsid w:val="00C47BD6"/>
    <w:rsid w:val="00C47C70"/>
    <w:rsid w:val="00C47D17"/>
    <w:rsid w:val="00C47D94"/>
    <w:rsid w:val="00C47E62"/>
    <w:rsid w:val="00C47F51"/>
    <w:rsid w:val="00C50097"/>
    <w:rsid w:val="00C50186"/>
    <w:rsid w:val="00C501F3"/>
    <w:rsid w:val="00C50275"/>
    <w:rsid w:val="00C50332"/>
    <w:rsid w:val="00C50436"/>
    <w:rsid w:val="00C504A4"/>
    <w:rsid w:val="00C504BF"/>
    <w:rsid w:val="00C5055E"/>
    <w:rsid w:val="00C50641"/>
    <w:rsid w:val="00C506B9"/>
    <w:rsid w:val="00C5079A"/>
    <w:rsid w:val="00C50857"/>
    <w:rsid w:val="00C509E7"/>
    <w:rsid w:val="00C50A9F"/>
    <w:rsid w:val="00C50AC0"/>
    <w:rsid w:val="00C50AF4"/>
    <w:rsid w:val="00C50B48"/>
    <w:rsid w:val="00C50BA9"/>
    <w:rsid w:val="00C50C1F"/>
    <w:rsid w:val="00C50C6D"/>
    <w:rsid w:val="00C50CFD"/>
    <w:rsid w:val="00C50DF5"/>
    <w:rsid w:val="00C50F15"/>
    <w:rsid w:val="00C5113E"/>
    <w:rsid w:val="00C51187"/>
    <w:rsid w:val="00C511BB"/>
    <w:rsid w:val="00C514E2"/>
    <w:rsid w:val="00C516E8"/>
    <w:rsid w:val="00C51703"/>
    <w:rsid w:val="00C517D1"/>
    <w:rsid w:val="00C5186C"/>
    <w:rsid w:val="00C51942"/>
    <w:rsid w:val="00C51A21"/>
    <w:rsid w:val="00C51A80"/>
    <w:rsid w:val="00C51AF5"/>
    <w:rsid w:val="00C51B16"/>
    <w:rsid w:val="00C51BBC"/>
    <w:rsid w:val="00C51C79"/>
    <w:rsid w:val="00C51D00"/>
    <w:rsid w:val="00C51DEF"/>
    <w:rsid w:val="00C51E6C"/>
    <w:rsid w:val="00C52061"/>
    <w:rsid w:val="00C5220F"/>
    <w:rsid w:val="00C52294"/>
    <w:rsid w:val="00C523BF"/>
    <w:rsid w:val="00C5269F"/>
    <w:rsid w:val="00C526C8"/>
    <w:rsid w:val="00C52781"/>
    <w:rsid w:val="00C527BF"/>
    <w:rsid w:val="00C529D6"/>
    <w:rsid w:val="00C52B3E"/>
    <w:rsid w:val="00C52D88"/>
    <w:rsid w:val="00C52E25"/>
    <w:rsid w:val="00C52E8C"/>
    <w:rsid w:val="00C530BD"/>
    <w:rsid w:val="00C53164"/>
    <w:rsid w:val="00C53193"/>
    <w:rsid w:val="00C53278"/>
    <w:rsid w:val="00C532AA"/>
    <w:rsid w:val="00C533AA"/>
    <w:rsid w:val="00C533EF"/>
    <w:rsid w:val="00C535B4"/>
    <w:rsid w:val="00C53699"/>
    <w:rsid w:val="00C536D4"/>
    <w:rsid w:val="00C53A02"/>
    <w:rsid w:val="00C53A9B"/>
    <w:rsid w:val="00C53B52"/>
    <w:rsid w:val="00C53C41"/>
    <w:rsid w:val="00C53D38"/>
    <w:rsid w:val="00C53D7F"/>
    <w:rsid w:val="00C54050"/>
    <w:rsid w:val="00C5413A"/>
    <w:rsid w:val="00C5425E"/>
    <w:rsid w:val="00C54281"/>
    <w:rsid w:val="00C542DF"/>
    <w:rsid w:val="00C54435"/>
    <w:rsid w:val="00C54482"/>
    <w:rsid w:val="00C5448C"/>
    <w:rsid w:val="00C54588"/>
    <w:rsid w:val="00C545B8"/>
    <w:rsid w:val="00C5469E"/>
    <w:rsid w:val="00C5492C"/>
    <w:rsid w:val="00C54AA2"/>
    <w:rsid w:val="00C54D11"/>
    <w:rsid w:val="00C54E22"/>
    <w:rsid w:val="00C54E3A"/>
    <w:rsid w:val="00C54E86"/>
    <w:rsid w:val="00C54F40"/>
    <w:rsid w:val="00C54F7F"/>
    <w:rsid w:val="00C54F99"/>
    <w:rsid w:val="00C54FC2"/>
    <w:rsid w:val="00C55197"/>
    <w:rsid w:val="00C551ED"/>
    <w:rsid w:val="00C55204"/>
    <w:rsid w:val="00C552B5"/>
    <w:rsid w:val="00C5534B"/>
    <w:rsid w:val="00C553A2"/>
    <w:rsid w:val="00C553E2"/>
    <w:rsid w:val="00C554FE"/>
    <w:rsid w:val="00C5557F"/>
    <w:rsid w:val="00C555AC"/>
    <w:rsid w:val="00C555EB"/>
    <w:rsid w:val="00C5573C"/>
    <w:rsid w:val="00C559A8"/>
    <w:rsid w:val="00C559B1"/>
    <w:rsid w:val="00C559BF"/>
    <w:rsid w:val="00C55B47"/>
    <w:rsid w:val="00C55B5D"/>
    <w:rsid w:val="00C55B77"/>
    <w:rsid w:val="00C55B82"/>
    <w:rsid w:val="00C55CEA"/>
    <w:rsid w:val="00C55D84"/>
    <w:rsid w:val="00C55D8C"/>
    <w:rsid w:val="00C56029"/>
    <w:rsid w:val="00C56131"/>
    <w:rsid w:val="00C5617E"/>
    <w:rsid w:val="00C56217"/>
    <w:rsid w:val="00C5621E"/>
    <w:rsid w:val="00C56240"/>
    <w:rsid w:val="00C562D1"/>
    <w:rsid w:val="00C5631B"/>
    <w:rsid w:val="00C5639F"/>
    <w:rsid w:val="00C56402"/>
    <w:rsid w:val="00C56425"/>
    <w:rsid w:val="00C5658F"/>
    <w:rsid w:val="00C56610"/>
    <w:rsid w:val="00C56690"/>
    <w:rsid w:val="00C5678D"/>
    <w:rsid w:val="00C568F2"/>
    <w:rsid w:val="00C56A13"/>
    <w:rsid w:val="00C56A43"/>
    <w:rsid w:val="00C56ADF"/>
    <w:rsid w:val="00C56C46"/>
    <w:rsid w:val="00C57004"/>
    <w:rsid w:val="00C57053"/>
    <w:rsid w:val="00C57116"/>
    <w:rsid w:val="00C57149"/>
    <w:rsid w:val="00C572E2"/>
    <w:rsid w:val="00C572ED"/>
    <w:rsid w:val="00C5740D"/>
    <w:rsid w:val="00C57491"/>
    <w:rsid w:val="00C5752D"/>
    <w:rsid w:val="00C57539"/>
    <w:rsid w:val="00C57561"/>
    <w:rsid w:val="00C575C1"/>
    <w:rsid w:val="00C57738"/>
    <w:rsid w:val="00C5774C"/>
    <w:rsid w:val="00C57873"/>
    <w:rsid w:val="00C57928"/>
    <w:rsid w:val="00C57A37"/>
    <w:rsid w:val="00C57A46"/>
    <w:rsid w:val="00C57C36"/>
    <w:rsid w:val="00C57C3D"/>
    <w:rsid w:val="00C57D3C"/>
    <w:rsid w:val="00C57D74"/>
    <w:rsid w:val="00C57E6F"/>
    <w:rsid w:val="00C57E73"/>
    <w:rsid w:val="00C57EB1"/>
    <w:rsid w:val="00C601A8"/>
    <w:rsid w:val="00C6045D"/>
    <w:rsid w:val="00C60479"/>
    <w:rsid w:val="00C604A3"/>
    <w:rsid w:val="00C605EF"/>
    <w:rsid w:val="00C60623"/>
    <w:rsid w:val="00C606AB"/>
    <w:rsid w:val="00C608BB"/>
    <w:rsid w:val="00C609CA"/>
    <w:rsid w:val="00C60B0F"/>
    <w:rsid w:val="00C60B15"/>
    <w:rsid w:val="00C60B1A"/>
    <w:rsid w:val="00C60B26"/>
    <w:rsid w:val="00C60B27"/>
    <w:rsid w:val="00C60B40"/>
    <w:rsid w:val="00C60C7B"/>
    <w:rsid w:val="00C61235"/>
    <w:rsid w:val="00C612BB"/>
    <w:rsid w:val="00C6131C"/>
    <w:rsid w:val="00C613BE"/>
    <w:rsid w:val="00C6143D"/>
    <w:rsid w:val="00C61508"/>
    <w:rsid w:val="00C61589"/>
    <w:rsid w:val="00C61608"/>
    <w:rsid w:val="00C61848"/>
    <w:rsid w:val="00C618B9"/>
    <w:rsid w:val="00C618BB"/>
    <w:rsid w:val="00C618CA"/>
    <w:rsid w:val="00C618FD"/>
    <w:rsid w:val="00C61927"/>
    <w:rsid w:val="00C61C19"/>
    <w:rsid w:val="00C61C54"/>
    <w:rsid w:val="00C61C8C"/>
    <w:rsid w:val="00C61E50"/>
    <w:rsid w:val="00C61E99"/>
    <w:rsid w:val="00C61F0F"/>
    <w:rsid w:val="00C61F83"/>
    <w:rsid w:val="00C62226"/>
    <w:rsid w:val="00C6223B"/>
    <w:rsid w:val="00C623A4"/>
    <w:rsid w:val="00C6243B"/>
    <w:rsid w:val="00C62488"/>
    <w:rsid w:val="00C62587"/>
    <w:rsid w:val="00C625BF"/>
    <w:rsid w:val="00C625C3"/>
    <w:rsid w:val="00C6268B"/>
    <w:rsid w:val="00C62790"/>
    <w:rsid w:val="00C627E0"/>
    <w:rsid w:val="00C62ACB"/>
    <w:rsid w:val="00C62BDC"/>
    <w:rsid w:val="00C62C6A"/>
    <w:rsid w:val="00C62D4D"/>
    <w:rsid w:val="00C62D61"/>
    <w:rsid w:val="00C62DB6"/>
    <w:rsid w:val="00C62E94"/>
    <w:rsid w:val="00C630C7"/>
    <w:rsid w:val="00C63177"/>
    <w:rsid w:val="00C6318C"/>
    <w:rsid w:val="00C631C0"/>
    <w:rsid w:val="00C632C3"/>
    <w:rsid w:val="00C63328"/>
    <w:rsid w:val="00C6341A"/>
    <w:rsid w:val="00C635D2"/>
    <w:rsid w:val="00C636C1"/>
    <w:rsid w:val="00C63745"/>
    <w:rsid w:val="00C63809"/>
    <w:rsid w:val="00C6388E"/>
    <w:rsid w:val="00C638DE"/>
    <w:rsid w:val="00C63AFE"/>
    <w:rsid w:val="00C63C83"/>
    <w:rsid w:val="00C63CA8"/>
    <w:rsid w:val="00C63CEE"/>
    <w:rsid w:val="00C63D4F"/>
    <w:rsid w:val="00C63E53"/>
    <w:rsid w:val="00C63E6B"/>
    <w:rsid w:val="00C642EF"/>
    <w:rsid w:val="00C643EE"/>
    <w:rsid w:val="00C6481F"/>
    <w:rsid w:val="00C648A8"/>
    <w:rsid w:val="00C649EA"/>
    <w:rsid w:val="00C64A8E"/>
    <w:rsid w:val="00C64B4D"/>
    <w:rsid w:val="00C64B7E"/>
    <w:rsid w:val="00C64C18"/>
    <w:rsid w:val="00C64CAD"/>
    <w:rsid w:val="00C64D46"/>
    <w:rsid w:val="00C64DD1"/>
    <w:rsid w:val="00C64F7B"/>
    <w:rsid w:val="00C64FB6"/>
    <w:rsid w:val="00C65011"/>
    <w:rsid w:val="00C651D5"/>
    <w:rsid w:val="00C651DF"/>
    <w:rsid w:val="00C65394"/>
    <w:rsid w:val="00C65440"/>
    <w:rsid w:val="00C654D5"/>
    <w:rsid w:val="00C6573E"/>
    <w:rsid w:val="00C657B0"/>
    <w:rsid w:val="00C65887"/>
    <w:rsid w:val="00C658B3"/>
    <w:rsid w:val="00C65986"/>
    <w:rsid w:val="00C65AAB"/>
    <w:rsid w:val="00C65AB7"/>
    <w:rsid w:val="00C65AD6"/>
    <w:rsid w:val="00C65BCE"/>
    <w:rsid w:val="00C65D71"/>
    <w:rsid w:val="00C65DBB"/>
    <w:rsid w:val="00C65DE0"/>
    <w:rsid w:val="00C65EB6"/>
    <w:rsid w:val="00C65F30"/>
    <w:rsid w:val="00C66041"/>
    <w:rsid w:val="00C6615D"/>
    <w:rsid w:val="00C661E4"/>
    <w:rsid w:val="00C66267"/>
    <w:rsid w:val="00C6628D"/>
    <w:rsid w:val="00C663F7"/>
    <w:rsid w:val="00C66464"/>
    <w:rsid w:val="00C664A8"/>
    <w:rsid w:val="00C664E0"/>
    <w:rsid w:val="00C66688"/>
    <w:rsid w:val="00C666C3"/>
    <w:rsid w:val="00C666DF"/>
    <w:rsid w:val="00C66913"/>
    <w:rsid w:val="00C66A85"/>
    <w:rsid w:val="00C66BC5"/>
    <w:rsid w:val="00C66E1D"/>
    <w:rsid w:val="00C66E77"/>
    <w:rsid w:val="00C66ECE"/>
    <w:rsid w:val="00C670B1"/>
    <w:rsid w:val="00C67267"/>
    <w:rsid w:val="00C6728E"/>
    <w:rsid w:val="00C673AD"/>
    <w:rsid w:val="00C674A0"/>
    <w:rsid w:val="00C67539"/>
    <w:rsid w:val="00C675F1"/>
    <w:rsid w:val="00C676D5"/>
    <w:rsid w:val="00C676EC"/>
    <w:rsid w:val="00C677A7"/>
    <w:rsid w:val="00C677DA"/>
    <w:rsid w:val="00C67902"/>
    <w:rsid w:val="00C67973"/>
    <w:rsid w:val="00C67A37"/>
    <w:rsid w:val="00C67A53"/>
    <w:rsid w:val="00C67A87"/>
    <w:rsid w:val="00C67AD4"/>
    <w:rsid w:val="00C67AEA"/>
    <w:rsid w:val="00C67E40"/>
    <w:rsid w:val="00C67E99"/>
    <w:rsid w:val="00C67EAB"/>
    <w:rsid w:val="00C67FDD"/>
    <w:rsid w:val="00C70163"/>
    <w:rsid w:val="00C70190"/>
    <w:rsid w:val="00C701F2"/>
    <w:rsid w:val="00C7024E"/>
    <w:rsid w:val="00C70378"/>
    <w:rsid w:val="00C703FE"/>
    <w:rsid w:val="00C7040A"/>
    <w:rsid w:val="00C70427"/>
    <w:rsid w:val="00C704F7"/>
    <w:rsid w:val="00C70503"/>
    <w:rsid w:val="00C706A7"/>
    <w:rsid w:val="00C706EB"/>
    <w:rsid w:val="00C7071C"/>
    <w:rsid w:val="00C70788"/>
    <w:rsid w:val="00C70853"/>
    <w:rsid w:val="00C70A04"/>
    <w:rsid w:val="00C70A62"/>
    <w:rsid w:val="00C70AD9"/>
    <w:rsid w:val="00C70B12"/>
    <w:rsid w:val="00C70B1E"/>
    <w:rsid w:val="00C70B7C"/>
    <w:rsid w:val="00C70B85"/>
    <w:rsid w:val="00C70D46"/>
    <w:rsid w:val="00C70D65"/>
    <w:rsid w:val="00C70DFB"/>
    <w:rsid w:val="00C70EB6"/>
    <w:rsid w:val="00C710E2"/>
    <w:rsid w:val="00C71175"/>
    <w:rsid w:val="00C71393"/>
    <w:rsid w:val="00C713ED"/>
    <w:rsid w:val="00C7143A"/>
    <w:rsid w:val="00C71464"/>
    <w:rsid w:val="00C71471"/>
    <w:rsid w:val="00C71665"/>
    <w:rsid w:val="00C71684"/>
    <w:rsid w:val="00C7183F"/>
    <w:rsid w:val="00C718A1"/>
    <w:rsid w:val="00C718C2"/>
    <w:rsid w:val="00C71B8A"/>
    <w:rsid w:val="00C71BEA"/>
    <w:rsid w:val="00C71D99"/>
    <w:rsid w:val="00C71F37"/>
    <w:rsid w:val="00C71F4F"/>
    <w:rsid w:val="00C71F96"/>
    <w:rsid w:val="00C71FE0"/>
    <w:rsid w:val="00C72318"/>
    <w:rsid w:val="00C72340"/>
    <w:rsid w:val="00C72346"/>
    <w:rsid w:val="00C723E2"/>
    <w:rsid w:val="00C72421"/>
    <w:rsid w:val="00C724E6"/>
    <w:rsid w:val="00C7251C"/>
    <w:rsid w:val="00C725B5"/>
    <w:rsid w:val="00C725CB"/>
    <w:rsid w:val="00C7280B"/>
    <w:rsid w:val="00C7290B"/>
    <w:rsid w:val="00C729BB"/>
    <w:rsid w:val="00C72AA5"/>
    <w:rsid w:val="00C72B57"/>
    <w:rsid w:val="00C72BA8"/>
    <w:rsid w:val="00C72D7F"/>
    <w:rsid w:val="00C72DA4"/>
    <w:rsid w:val="00C72EAD"/>
    <w:rsid w:val="00C73045"/>
    <w:rsid w:val="00C730CB"/>
    <w:rsid w:val="00C730EC"/>
    <w:rsid w:val="00C731D0"/>
    <w:rsid w:val="00C73391"/>
    <w:rsid w:val="00C733FE"/>
    <w:rsid w:val="00C73413"/>
    <w:rsid w:val="00C73467"/>
    <w:rsid w:val="00C7359A"/>
    <w:rsid w:val="00C736F8"/>
    <w:rsid w:val="00C7376E"/>
    <w:rsid w:val="00C737C0"/>
    <w:rsid w:val="00C737D5"/>
    <w:rsid w:val="00C738A2"/>
    <w:rsid w:val="00C73999"/>
    <w:rsid w:val="00C73A38"/>
    <w:rsid w:val="00C73B52"/>
    <w:rsid w:val="00C73C34"/>
    <w:rsid w:val="00C73CC9"/>
    <w:rsid w:val="00C73DDF"/>
    <w:rsid w:val="00C73F28"/>
    <w:rsid w:val="00C73F44"/>
    <w:rsid w:val="00C73FAA"/>
    <w:rsid w:val="00C7403F"/>
    <w:rsid w:val="00C7406E"/>
    <w:rsid w:val="00C741BC"/>
    <w:rsid w:val="00C74247"/>
    <w:rsid w:val="00C74548"/>
    <w:rsid w:val="00C745D6"/>
    <w:rsid w:val="00C74618"/>
    <w:rsid w:val="00C747A5"/>
    <w:rsid w:val="00C7482B"/>
    <w:rsid w:val="00C74978"/>
    <w:rsid w:val="00C749AC"/>
    <w:rsid w:val="00C74C3A"/>
    <w:rsid w:val="00C74E5E"/>
    <w:rsid w:val="00C74E85"/>
    <w:rsid w:val="00C74FEC"/>
    <w:rsid w:val="00C750D1"/>
    <w:rsid w:val="00C75140"/>
    <w:rsid w:val="00C7516A"/>
    <w:rsid w:val="00C7519C"/>
    <w:rsid w:val="00C75263"/>
    <w:rsid w:val="00C7532A"/>
    <w:rsid w:val="00C7542E"/>
    <w:rsid w:val="00C75448"/>
    <w:rsid w:val="00C754DC"/>
    <w:rsid w:val="00C7556C"/>
    <w:rsid w:val="00C7557E"/>
    <w:rsid w:val="00C755C3"/>
    <w:rsid w:val="00C755DB"/>
    <w:rsid w:val="00C755E2"/>
    <w:rsid w:val="00C75911"/>
    <w:rsid w:val="00C75962"/>
    <w:rsid w:val="00C75A0B"/>
    <w:rsid w:val="00C75A30"/>
    <w:rsid w:val="00C75A3F"/>
    <w:rsid w:val="00C75B33"/>
    <w:rsid w:val="00C75B77"/>
    <w:rsid w:val="00C75B78"/>
    <w:rsid w:val="00C75BED"/>
    <w:rsid w:val="00C75BF1"/>
    <w:rsid w:val="00C75C14"/>
    <w:rsid w:val="00C75CAB"/>
    <w:rsid w:val="00C75E3C"/>
    <w:rsid w:val="00C75E53"/>
    <w:rsid w:val="00C75ED8"/>
    <w:rsid w:val="00C75EF8"/>
    <w:rsid w:val="00C75F09"/>
    <w:rsid w:val="00C76059"/>
    <w:rsid w:val="00C76138"/>
    <w:rsid w:val="00C7613A"/>
    <w:rsid w:val="00C76155"/>
    <w:rsid w:val="00C762AC"/>
    <w:rsid w:val="00C76449"/>
    <w:rsid w:val="00C765B0"/>
    <w:rsid w:val="00C76613"/>
    <w:rsid w:val="00C76868"/>
    <w:rsid w:val="00C768C2"/>
    <w:rsid w:val="00C769FE"/>
    <w:rsid w:val="00C76ADD"/>
    <w:rsid w:val="00C76B49"/>
    <w:rsid w:val="00C76CF8"/>
    <w:rsid w:val="00C76DB6"/>
    <w:rsid w:val="00C76DF5"/>
    <w:rsid w:val="00C76EA7"/>
    <w:rsid w:val="00C76EAD"/>
    <w:rsid w:val="00C76EDC"/>
    <w:rsid w:val="00C76F21"/>
    <w:rsid w:val="00C76F70"/>
    <w:rsid w:val="00C76F96"/>
    <w:rsid w:val="00C76FE9"/>
    <w:rsid w:val="00C76FFE"/>
    <w:rsid w:val="00C77007"/>
    <w:rsid w:val="00C7700B"/>
    <w:rsid w:val="00C77075"/>
    <w:rsid w:val="00C77081"/>
    <w:rsid w:val="00C77089"/>
    <w:rsid w:val="00C771BC"/>
    <w:rsid w:val="00C7720A"/>
    <w:rsid w:val="00C772B2"/>
    <w:rsid w:val="00C77391"/>
    <w:rsid w:val="00C7748C"/>
    <w:rsid w:val="00C7749C"/>
    <w:rsid w:val="00C7753D"/>
    <w:rsid w:val="00C775B1"/>
    <w:rsid w:val="00C775D6"/>
    <w:rsid w:val="00C7768D"/>
    <w:rsid w:val="00C776B2"/>
    <w:rsid w:val="00C776CD"/>
    <w:rsid w:val="00C776F8"/>
    <w:rsid w:val="00C7772C"/>
    <w:rsid w:val="00C77812"/>
    <w:rsid w:val="00C778EE"/>
    <w:rsid w:val="00C778F4"/>
    <w:rsid w:val="00C77A01"/>
    <w:rsid w:val="00C77A1F"/>
    <w:rsid w:val="00C77A68"/>
    <w:rsid w:val="00C77AED"/>
    <w:rsid w:val="00C77B1F"/>
    <w:rsid w:val="00C77BAA"/>
    <w:rsid w:val="00C77CE0"/>
    <w:rsid w:val="00C77D11"/>
    <w:rsid w:val="00C77E01"/>
    <w:rsid w:val="00C77E48"/>
    <w:rsid w:val="00C77F29"/>
    <w:rsid w:val="00C77FC6"/>
    <w:rsid w:val="00C801DE"/>
    <w:rsid w:val="00C80352"/>
    <w:rsid w:val="00C8043A"/>
    <w:rsid w:val="00C80444"/>
    <w:rsid w:val="00C804D3"/>
    <w:rsid w:val="00C80584"/>
    <w:rsid w:val="00C8063B"/>
    <w:rsid w:val="00C80701"/>
    <w:rsid w:val="00C8077A"/>
    <w:rsid w:val="00C8091A"/>
    <w:rsid w:val="00C809A2"/>
    <w:rsid w:val="00C809AC"/>
    <w:rsid w:val="00C80A6E"/>
    <w:rsid w:val="00C80B44"/>
    <w:rsid w:val="00C80B57"/>
    <w:rsid w:val="00C80CF3"/>
    <w:rsid w:val="00C80D40"/>
    <w:rsid w:val="00C80E3B"/>
    <w:rsid w:val="00C80E70"/>
    <w:rsid w:val="00C80F93"/>
    <w:rsid w:val="00C8100F"/>
    <w:rsid w:val="00C81132"/>
    <w:rsid w:val="00C811B1"/>
    <w:rsid w:val="00C811D9"/>
    <w:rsid w:val="00C81220"/>
    <w:rsid w:val="00C81357"/>
    <w:rsid w:val="00C8135D"/>
    <w:rsid w:val="00C813C0"/>
    <w:rsid w:val="00C81457"/>
    <w:rsid w:val="00C8150B"/>
    <w:rsid w:val="00C8164D"/>
    <w:rsid w:val="00C81973"/>
    <w:rsid w:val="00C81A2B"/>
    <w:rsid w:val="00C81C1A"/>
    <w:rsid w:val="00C81CFA"/>
    <w:rsid w:val="00C81E5B"/>
    <w:rsid w:val="00C82060"/>
    <w:rsid w:val="00C82064"/>
    <w:rsid w:val="00C820DF"/>
    <w:rsid w:val="00C82338"/>
    <w:rsid w:val="00C823A4"/>
    <w:rsid w:val="00C8241B"/>
    <w:rsid w:val="00C8241E"/>
    <w:rsid w:val="00C82439"/>
    <w:rsid w:val="00C824DB"/>
    <w:rsid w:val="00C82504"/>
    <w:rsid w:val="00C82622"/>
    <w:rsid w:val="00C8263F"/>
    <w:rsid w:val="00C82947"/>
    <w:rsid w:val="00C82A52"/>
    <w:rsid w:val="00C82A75"/>
    <w:rsid w:val="00C82BF2"/>
    <w:rsid w:val="00C82C67"/>
    <w:rsid w:val="00C82CAA"/>
    <w:rsid w:val="00C82CE5"/>
    <w:rsid w:val="00C82E2F"/>
    <w:rsid w:val="00C82F39"/>
    <w:rsid w:val="00C83402"/>
    <w:rsid w:val="00C83414"/>
    <w:rsid w:val="00C83417"/>
    <w:rsid w:val="00C83431"/>
    <w:rsid w:val="00C83526"/>
    <w:rsid w:val="00C837FF"/>
    <w:rsid w:val="00C8394D"/>
    <w:rsid w:val="00C83979"/>
    <w:rsid w:val="00C83A0A"/>
    <w:rsid w:val="00C83AD0"/>
    <w:rsid w:val="00C83AD9"/>
    <w:rsid w:val="00C83C46"/>
    <w:rsid w:val="00C83E02"/>
    <w:rsid w:val="00C840F5"/>
    <w:rsid w:val="00C842A7"/>
    <w:rsid w:val="00C843E9"/>
    <w:rsid w:val="00C84596"/>
    <w:rsid w:val="00C8473A"/>
    <w:rsid w:val="00C84794"/>
    <w:rsid w:val="00C847DB"/>
    <w:rsid w:val="00C847FC"/>
    <w:rsid w:val="00C84A7E"/>
    <w:rsid w:val="00C84AF4"/>
    <w:rsid w:val="00C84B06"/>
    <w:rsid w:val="00C84C66"/>
    <w:rsid w:val="00C84DC1"/>
    <w:rsid w:val="00C84ED3"/>
    <w:rsid w:val="00C84F66"/>
    <w:rsid w:val="00C84FDD"/>
    <w:rsid w:val="00C850B3"/>
    <w:rsid w:val="00C8525B"/>
    <w:rsid w:val="00C85314"/>
    <w:rsid w:val="00C85334"/>
    <w:rsid w:val="00C8534A"/>
    <w:rsid w:val="00C8539E"/>
    <w:rsid w:val="00C855B3"/>
    <w:rsid w:val="00C855EA"/>
    <w:rsid w:val="00C85671"/>
    <w:rsid w:val="00C8593D"/>
    <w:rsid w:val="00C85944"/>
    <w:rsid w:val="00C85999"/>
    <w:rsid w:val="00C85A8B"/>
    <w:rsid w:val="00C85AB9"/>
    <w:rsid w:val="00C85C12"/>
    <w:rsid w:val="00C85C20"/>
    <w:rsid w:val="00C85C90"/>
    <w:rsid w:val="00C85CB8"/>
    <w:rsid w:val="00C85CFC"/>
    <w:rsid w:val="00C85E19"/>
    <w:rsid w:val="00C85EEA"/>
    <w:rsid w:val="00C85F7C"/>
    <w:rsid w:val="00C85F92"/>
    <w:rsid w:val="00C86079"/>
    <w:rsid w:val="00C860EA"/>
    <w:rsid w:val="00C86148"/>
    <w:rsid w:val="00C86182"/>
    <w:rsid w:val="00C862EA"/>
    <w:rsid w:val="00C86417"/>
    <w:rsid w:val="00C865A0"/>
    <w:rsid w:val="00C865BC"/>
    <w:rsid w:val="00C86794"/>
    <w:rsid w:val="00C8686A"/>
    <w:rsid w:val="00C8686B"/>
    <w:rsid w:val="00C869A9"/>
    <w:rsid w:val="00C86B3C"/>
    <w:rsid w:val="00C86BE7"/>
    <w:rsid w:val="00C86C5A"/>
    <w:rsid w:val="00C86D13"/>
    <w:rsid w:val="00C86D1F"/>
    <w:rsid w:val="00C86DBB"/>
    <w:rsid w:val="00C86F94"/>
    <w:rsid w:val="00C86FCE"/>
    <w:rsid w:val="00C87027"/>
    <w:rsid w:val="00C870D4"/>
    <w:rsid w:val="00C870D5"/>
    <w:rsid w:val="00C87167"/>
    <w:rsid w:val="00C8751A"/>
    <w:rsid w:val="00C87777"/>
    <w:rsid w:val="00C8777D"/>
    <w:rsid w:val="00C877A8"/>
    <w:rsid w:val="00C8783B"/>
    <w:rsid w:val="00C87B97"/>
    <w:rsid w:val="00C87B9C"/>
    <w:rsid w:val="00C87CB0"/>
    <w:rsid w:val="00C87D4C"/>
    <w:rsid w:val="00C87E74"/>
    <w:rsid w:val="00C90052"/>
    <w:rsid w:val="00C90093"/>
    <w:rsid w:val="00C9033B"/>
    <w:rsid w:val="00C9040E"/>
    <w:rsid w:val="00C90411"/>
    <w:rsid w:val="00C9046D"/>
    <w:rsid w:val="00C90618"/>
    <w:rsid w:val="00C906D8"/>
    <w:rsid w:val="00C906F3"/>
    <w:rsid w:val="00C90838"/>
    <w:rsid w:val="00C909A2"/>
    <w:rsid w:val="00C909FB"/>
    <w:rsid w:val="00C90A71"/>
    <w:rsid w:val="00C90ACB"/>
    <w:rsid w:val="00C90ADF"/>
    <w:rsid w:val="00C90B84"/>
    <w:rsid w:val="00C90BC1"/>
    <w:rsid w:val="00C90EEC"/>
    <w:rsid w:val="00C91034"/>
    <w:rsid w:val="00C911EA"/>
    <w:rsid w:val="00C91299"/>
    <w:rsid w:val="00C912D7"/>
    <w:rsid w:val="00C91326"/>
    <w:rsid w:val="00C91540"/>
    <w:rsid w:val="00C915A8"/>
    <w:rsid w:val="00C915CE"/>
    <w:rsid w:val="00C91660"/>
    <w:rsid w:val="00C916C8"/>
    <w:rsid w:val="00C91732"/>
    <w:rsid w:val="00C91777"/>
    <w:rsid w:val="00C917AD"/>
    <w:rsid w:val="00C917B8"/>
    <w:rsid w:val="00C917C4"/>
    <w:rsid w:val="00C9183C"/>
    <w:rsid w:val="00C91931"/>
    <w:rsid w:val="00C9193D"/>
    <w:rsid w:val="00C91A49"/>
    <w:rsid w:val="00C91D0D"/>
    <w:rsid w:val="00C91D28"/>
    <w:rsid w:val="00C91F76"/>
    <w:rsid w:val="00C91FA6"/>
    <w:rsid w:val="00C92010"/>
    <w:rsid w:val="00C9203B"/>
    <w:rsid w:val="00C920C6"/>
    <w:rsid w:val="00C920E5"/>
    <w:rsid w:val="00C920F3"/>
    <w:rsid w:val="00C923A5"/>
    <w:rsid w:val="00C92445"/>
    <w:rsid w:val="00C924E4"/>
    <w:rsid w:val="00C925B3"/>
    <w:rsid w:val="00C9262D"/>
    <w:rsid w:val="00C9271D"/>
    <w:rsid w:val="00C92974"/>
    <w:rsid w:val="00C92C84"/>
    <w:rsid w:val="00C92D19"/>
    <w:rsid w:val="00C92E16"/>
    <w:rsid w:val="00C92EC2"/>
    <w:rsid w:val="00C92EE4"/>
    <w:rsid w:val="00C93009"/>
    <w:rsid w:val="00C93016"/>
    <w:rsid w:val="00C93247"/>
    <w:rsid w:val="00C93470"/>
    <w:rsid w:val="00C934B9"/>
    <w:rsid w:val="00C934EA"/>
    <w:rsid w:val="00C93526"/>
    <w:rsid w:val="00C935AF"/>
    <w:rsid w:val="00C9370C"/>
    <w:rsid w:val="00C93727"/>
    <w:rsid w:val="00C93892"/>
    <w:rsid w:val="00C938D6"/>
    <w:rsid w:val="00C938ED"/>
    <w:rsid w:val="00C93965"/>
    <w:rsid w:val="00C93A63"/>
    <w:rsid w:val="00C93B07"/>
    <w:rsid w:val="00C93C66"/>
    <w:rsid w:val="00C93D1B"/>
    <w:rsid w:val="00C93D63"/>
    <w:rsid w:val="00C93E61"/>
    <w:rsid w:val="00C93ED4"/>
    <w:rsid w:val="00C93F3F"/>
    <w:rsid w:val="00C940E4"/>
    <w:rsid w:val="00C94133"/>
    <w:rsid w:val="00C94174"/>
    <w:rsid w:val="00C94305"/>
    <w:rsid w:val="00C943FC"/>
    <w:rsid w:val="00C944B1"/>
    <w:rsid w:val="00C945DA"/>
    <w:rsid w:val="00C94609"/>
    <w:rsid w:val="00C946F4"/>
    <w:rsid w:val="00C9473A"/>
    <w:rsid w:val="00C947B7"/>
    <w:rsid w:val="00C94875"/>
    <w:rsid w:val="00C948D3"/>
    <w:rsid w:val="00C94A18"/>
    <w:rsid w:val="00C94AB9"/>
    <w:rsid w:val="00C94C05"/>
    <w:rsid w:val="00C94C09"/>
    <w:rsid w:val="00C94C18"/>
    <w:rsid w:val="00C94D6F"/>
    <w:rsid w:val="00C94DB8"/>
    <w:rsid w:val="00C94DE2"/>
    <w:rsid w:val="00C94F3E"/>
    <w:rsid w:val="00C95084"/>
    <w:rsid w:val="00C950BB"/>
    <w:rsid w:val="00C95132"/>
    <w:rsid w:val="00C9519F"/>
    <w:rsid w:val="00C951B7"/>
    <w:rsid w:val="00C95238"/>
    <w:rsid w:val="00C9537E"/>
    <w:rsid w:val="00C953B5"/>
    <w:rsid w:val="00C95472"/>
    <w:rsid w:val="00C9554B"/>
    <w:rsid w:val="00C9567E"/>
    <w:rsid w:val="00C956EE"/>
    <w:rsid w:val="00C9573A"/>
    <w:rsid w:val="00C95823"/>
    <w:rsid w:val="00C958BA"/>
    <w:rsid w:val="00C958DD"/>
    <w:rsid w:val="00C958E4"/>
    <w:rsid w:val="00C95AA6"/>
    <w:rsid w:val="00C95B7F"/>
    <w:rsid w:val="00C95BE7"/>
    <w:rsid w:val="00C95C29"/>
    <w:rsid w:val="00C95DE0"/>
    <w:rsid w:val="00C95F72"/>
    <w:rsid w:val="00C95F93"/>
    <w:rsid w:val="00C95FA1"/>
    <w:rsid w:val="00C95FD7"/>
    <w:rsid w:val="00C9605B"/>
    <w:rsid w:val="00C96187"/>
    <w:rsid w:val="00C961C2"/>
    <w:rsid w:val="00C961EF"/>
    <w:rsid w:val="00C964E0"/>
    <w:rsid w:val="00C9653B"/>
    <w:rsid w:val="00C965F0"/>
    <w:rsid w:val="00C9667C"/>
    <w:rsid w:val="00C966FB"/>
    <w:rsid w:val="00C96719"/>
    <w:rsid w:val="00C9687D"/>
    <w:rsid w:val="00C96958"/>
    <w:rsid w:val="00C9698C"/>
    <w:rsid w:val="00C969A2"/>
    <w:rsid w:val="00C969C5"/>
    <w:rsid w:val="00C96A3D"/>
    <w:rsid w:val="00C96AA2"/>
    <w:rsid w:val="00C96AE7"/>
    <w:rsid w:val="00C96CF4"/>
    <w:rsid w:val="00C96D4F"/>
    <w:rsid w:val="00C96D93"/>
    <w:rsid w:val="00C96DC0"/>
    <w:rsid w:val="00C96FA2"/>
    <w:rsid w:val="00C96FB4"/>
    <w:rsid w:val="00C96FCF"/>
    <w:rsid w:val="00C970F3"/>
    <w:rsid w:val="00C972A5"/>
    <w:rsid w:val="00C972AD"/>
    <w:rsid w:val="00C975D7"/>
    <w:rsid w:val="00C97634"/>
    <w:rsid w:val="00C9764B"/>
    <w:rsid w:val="00C97665"/>
    <w:rsid w:val="00C97683"/>
    <w:rsid w:val="00C977CD"/>
    <w:rsid w:val="00C977D1"/>
    <w:rsid w:val="00C977DF"/>
    <w:rsid w:val="00C977EA"/>
    <w:rsid w:val="00C978F5"/>
    <w:rsid w:val="00C979B8"/>
    <w:rsid w:val="00C97ABC"/>
    <w:rsid w:val="00C97B17"/>
    <w:rsid w:val="00C97D81"/>
    <w:rsid w:val="00C97DA1"/>
    <w:rsid w:val="00C97F59"/>
    <w:rsid w:val="00C97F5F"/>
    <w:rsid w:val="00CA0056"/>
    <w:rsid w:val="00CA0116"/>
    <w:rsid w:val="00CA0183"/>
    <w:rsid w:val="00CA0190"/>
    <w:rsid w:val="00CA0260"/>
    <w:rsid w:val="00CA02BD"/>
    <w:rsid w:val="00CA0585"/>
    <w:rsid w:val="00CA0605"/>
    <w:rsid w:val="00CA076A"/>
    <w:rsid w:val="00CA0777"/>
    <w:rsid w:val="00CA0A1E"/>
    <w:rsid w:val="00CA0A25"/>
    <w:rsid w:val="00CA0A4C"/>
    <w:rsid w:val="00CA0A53"/>
    <w:rsid w:val="00CA0A56"/>
    <w:rsid w:val="00CA0AF4"/>
    <w:rsid w:val="00CA110D"/>
    <w:rsid w:val="00CA12F1"/>
    <w:rsid w:val="00CA13FA"/>
    <w:rsid w:val="00CA151F"/>
    <w:rsid w:val="00CA1524"/>
    <w:rsid w:val="00CA158B"/>
    <w:rsid w:val="00CA1795"/>
    <w:rsid w:val="00CA1906"/>
    <w:rsid w:val="00CA1A08"/>
    <w:rsid w:val="00CA1B9C"/>
    <w:rsid w:val="00CA1C6E"/>
    <w:rsid w:val="00CA1CB1"/>
    <w:rsid w:val="00CA1CD0"/>
    <w:rsid w:val="00CA1CDF"/>
    <w:rsid w:val="00CA1D94"/>
    <w:rsid w:val="00CA1DED"/>
    <w:rsid w:val="00CA1DEE"/>
    <w:rsid w:val="00CA1E98"/>
    <w:rsid w:val="00CA1EEE"/>
    <w:rsid w:val="00CA1EF6"/>
    <w:rsid w:val="00CA1F9F"/>
    <w:rsid w:val="00CA222D"/>
    <w:rsid w:val="00CA2242"/>
    <w:rsid w:val="00CA2299"/>
    <w:rsid w:val="00CA22AC"/>
    <w:rsid w:val="00CA248A"/>
    <w:rsid w:val="00CA24C6"/>
    <w:rsid w:val="00CA25DA"/>
    <w:rsid w:val="00CA26D2"/>
    <w:rsid w:val="00CA27B2"/>
    <w:rsid w:val="00CA2998"/>
    <w:rsid w:val="00CA2ADF"/>
    <w:rsid w:val="00CA2BA7"/>
    <w:rsid w:val="00CA2C0B"/>
    <w:rsid w:val="00CA2C49"/>
    <w:rsid w:val="00CA2D05"/>
    <w:rsid w:val="00CA2D4F"/>
    <w:rsid w:val="00CA2D93"/>
    <w:rsid w:val="00CA2E54"/>
    <w:rsid w:val="00CA2E94"/>
    <w:rsid w:val="00CA2F24"/>
    <w:rsid w:val="00CA3043"/>
    <w:rsid w:val="00CA304B"/>
    <w:rsid w:val="00CA307B"/>
    <w:rsid w:val="00CA30E5"/>
    <w:rsid w:val="00CA3180"/>
    <w:rsid w:val="00CA3271"/>
    <w:rsid w:val="00CA35A6"/>
    <w:rsid w:val="00CA360C"/>
    <w:rsid w:val="00CA3671"/>
    <w:rsid w:val="00CA390D"/>
    <w:rsid w:val="00CA394A"/>
    <w:rsid w:val="00CA3C47"/>
    <w:rsid w:val="00CA3CC5"/>
    <w:rsid w:val="00CA3CF2"/>
    <w:rsid w:val="00CA3D8B"/>
    <w:rsid w:val="00CA3EAF"/>
    <w:rsid w:val="00CA3FDC"/>
    <w:rsid w:val="00CA401D"/>
    <w:rsid w:val="00CA4046"/>
    <w:rsid w:val="00CA42A5"/>
    <w:rsid w:val="00CA42C0"/>
    <w:rsid w:val="00CA4309"/>
    <w:rsid w:val="00CA4356"/>
    <w:rsid w:val="00CA439A"/>
    <w:rsid w:val="00CA43C2"/>
    <w:rsid w:val="00CA4529"/>
    <w:rsid w:val="00CA45EA"/>
    <w:rsid w:val="00CA4791"/>
    <w:rsid w:val="00CA47B2"/>
    <w:rsid w:val="00CA47CB"/>
    <w:rsid w:val="00CA4993"/>
    <w:rsid w:val="00CA4A33"/>
    <w:rsid w:val="00CA4A58"/>
    <w:rsid w:val="00CA4B59"/>
    <w:rsid w:val="00CA4BC0"/>
    <w:rsid w:val="00CA4C30"/>
    <w:rsid w:val="00CA4C79"/>
    <w:rsid w:val="00CA4D09"/>
    <w:rsid w:val="00CA4DCB"/>
    <w:rsid w:val="00CA4EB2"/>
    <w:rsid w:val="00CA4F60"/>
    <w:rsid w:val="00CA529E"/>
    <w:rsid w:val="00CA52D0"/>
    <w:rsid w:val="00CA5406"/>
    <w:rsid w:val="00CA5415"/>
    <w:rsid w:val="00CA582D"/>
    <w:rsid w:val="00CA586C"/>
    <w:rsid w:val="00CA592D"/>
    <w:rsid w:val="00CA597B"/>
    <w:rsid w:val="00CA59BA"/>
    <w:rsid w:val="00CA5A41"/>
    <w:rsid w:val="00CA5B58"/>
    <w:rsid w:val="00CA5B5C"/>
    <w:rsid w:val="00CA5C35"/>
    <w:rsid w:val="00CA5C8F"/>
    <w:rsid w:val="00CA5CA8"/>
    <w:rsid w:val="00CA5CBC"/>
    <w:rsid w:val="00CA5E82"/>
    <w:rsid w:val="00CA5EC1"/>
    <w:rsid w:val="00CA5F6F"/>
    <w:rsid w:val="00CA620E"/>
    <w:rsid w:val="00CA6281"/>
    <w:rsid w:val="00CA6303"/>
    <w:rsid w:val="00CA6409"/>
    <w:rsid w:val="00CA64B7"/>
    <w:rsid w:val="00CA64C6"/>
    <w:rsid w:val="00CA6570"/>
    <w:rsid w:val="00CA6878"/>
    <w:rsid w:val="00CA687B"/>
    <w:rsid w:val="00CA68A4"/>
    <w:rsid w:val="00CA695B"/>
    <w:rsid w:val="00CA69DA"/>
    <w:rsid w:val="00CA6A60"/>
    <w:rsid w:val="00CA6B2B"/>
    <w:rsid w:val="00CA6B81"/>
    <w:rsid w:val="00CA6C0B"/>
    <w:rsid w:val="00CA6E53"/>
    <w:rsid w:val="00CA6F79"/>
    <w:rsid w:val="00CA72DD"/>
    <w:rsid w:val="00CA72F5"/>
    <w:rsid w:val="00CA7421"/>
    <w:rsid w:val="00CA75FC"/>
    <w:rsid w:val="00CA7631"/>
    <w:rsid w:val="00CA7678"/>
    <w:rsid w:val="00CA76DA"/>
    <w:rsid w:val="00CA7715"/>
    <w:rsid w:val="00CA79B7"/>
    <w:rsid w:val="00CA7AC1"/>
    <w:rsid w:val="00CA7AF1"/>
    <w:rsid w:val="00CA7B11"/>
    <w:rsid w:val="00CA7B2F"/>
    <w:rsid w:val="00CA7B88"/>
    <w:rsid w:val="00CA7BBA"/>
    <w:rsid w:val="00CA7CA5"/>
    <w:rsid w:val="00CA7D36"/>
    <w:rsid w:val="00CA7D4F"/>
    <w:rsid w:val="00CA7DD7"/>
    <w:rsid w:val="00CA7EC3"/>
    <w:rsid w:val="00CA7FFD"/>
    <w:rsid w:val="00CB0157"/>
    <w:rsid w:val="00CB03DB"/>
    <w:rsid w:val="00CB03F5"/>
    <w:rsid w:val="00CB0659"/>
    <w:rsid w:val="00CB0660"/>
    <w:rsid w:val="00CB0760"/>
    <w:rsid w:val="00CB0891"/>
    <w:rsid w:val="00CB0AA1"/>
    <w:rsid w:val="00CB0B14"/>
    <w:rsid w:val="00CB0B5E"/>
    <w:rsid w:val="00CB0C17"/>
    <w:rsid w:val="00CB0C6C"/>
    <w:rsid w:val="00CB0CE9"/>
    <w:rsid w:val="00CB0DE3"/>
    <w:rsid w:val="00CB0E0C"/>
    <w:rsid w:val="00CB0EAC"/>
    <w:rsid w:val="00CB0EE6"/>
    <w:rsid w:val="00CB0F03"/>
    <w:rsid w:val="00CB0FA0"/>
    <w:rsid w:val="00CB0FFB"/>
    <w:rsid w:val="00CB10F0"/>
    <w:rsid w:val="00CB11CA"/>
    <w:rsid w:val="00CB1231"/>
    <w:rsid w:val="00CB130A"/>
    <w:rsid w:val="00CB1351"/>
    <w:rsid w:val="00CB13D0"/>
    <w:rsid w:val="00CB14F1"/>
    <w:rsid w:val="00CB162C"/>
    <w:rsid w:val="00CB166D"/>
    <w:rsid w:val="00CB1671"/>
    <w:rsid w:val="00CB1678"/>
    <w:rsid w:val="00CB1706"/>
    <w:rsid w:val="00CB17ED"/>
    <w:rsid w:val="00CB18B1"/>
    <w:rsid w:val="00CB1A93"/>
    <w:rsid w:val="00CB1B46"/>
    <w:rsid w:val="00CB1B7B"/>
    <w:rsid w:val="00CB1C41"/>
    <w:rsid w:val="00CB1D21"/>
    <w:rsid w:val="00CB1E82"/>
    <w:rsid w:val="00CB1EED"/>
    <w:rsid w:val="00CB1F03"/>
    <w:rsid w:val="00CB1F25"/>
    <w:rsid w:val="00CB1F46"/>
    <w:rsid w:val="00CB1FC4"/>
    <w:rsid w:val="00CB200F"/>
    <w:rsid w:val="00CB2054"/>
    <w:rsid w:val="00CB20C3"/>
    <w:rsid w:val="00CB2243"/>
    <w:rsid w:val="00CB224F"/>
    <w:rsid w:val="00CB22A5"/>
    <w:rsid w:val="00CB2300"/>
    <w:rsid w:val="00CB232F"/>
    <w:rsid w:val="00CB238A"/>
    <w:rsid w:val="00CB254F"/>
    <w:rsid w:val="00CB261A"/>
    <w:rsid w:val="00CB2683"/>
    <w:rsid w:val="00CB2857"/>
    <w:rsid w:val="00CB2899"/>
    <w:rsid w:val="00CB28E9"/>
    <w:rsid w:val="00CB2933"/>
    <w:rsid w:val="00CB295D"/>
    <w:rsid w:val="00CB2A63"/>
    <w:rsid w:val="00CB2A87"/>
    <w:rsid w:val="00CB2BBB"/>
    <w:rsid w:val="00CB2BFC"/>
    <w:rsid w:val="00CB2D93"/>
    <w:rsid w:val="00CB2E54"/>
    <w:rsid w:val="00CB2E5A"/>
    <w:rsid w:val="00CB2FFF"/>
    <w:rsid w:val="00CB312E"/>
    <w:rsid w:val="00CB32DF"/>
    <w:rsid w:val="00CB33FB"/>
    <w:rsid w:val="00CB361A"/>
    <w:rsid w:val="00CB3674"/>
    <w:rsid w:val="00CB36C5"/>
    <w:rsid w:val="00CB3828"/>
    <w:rsid w:val="00CB388D"/>
    <w:rsid w:val="00CB398F"/>
    <w:rsid w:val="00CB39C3"/>
    <w:rsid w:val="00CB3B3B"/>
    <w:rsid w:val="00CB3CA8"/>
    <w:rsid w:val="00CB3DC0"/>
    <w:rsid w:val="00CB3DCF"/>
    <w:rsid w:val="00CB3EE1"/>
    <w:rsid w:val="00CB3FDC"/>
    <w:rsid w:val="00CB404B"/>
    <w:rsid w:val="00CB40D6"/>
    <w:rsid w:val="00CB4160"/>
    <w:rsid w:val="00CB41FD"/>
    <w:rsid w:val="00CB423D"/>
    <w:rsid w:val="00CB429E"/>
    <w:rsid w:val="00CB43FD"/>
    <w:rsid w:val="00CB4555"/>
    <w:rsid w:val="00CB45EB"/>
    <w:rsid w:val="00CB4620"/>
    <w:rsid w:val="00CB4646"/>
    <w:rsid w:val="00CB46D3"/>
    <w:rsid w:val="00CB4719"/>
    <w:rsid w:val="00CB478D"/>
    <w:rsid w:val="00CB49D5"/>
    <w:rsid w:val="00CB4B5E"/>
    <w:rsid w:val="00CB4C0C"/>
    <w:rsid w:val="00CB4C70"/>
    <w:rsid w:val="00CB4DBA"/>
    <w:rsid w:val="00CB4EAF"/>
    <w:rsid w:val="00CB5188"/>
    <w:rsid w:val="00CB5205"/>
    <w:rsid w:val="00CB523E"/>
    <w:rsid w:val="00CB534A"/>
    <w:rsid w:val="00CB551E"/>
    <w:rsid w:val="00CB5598"/>
    <w:rsid w:val="00CB562E"/>
    <w:rsid w:val="00CB5645"/>
    <w:rsid w:val="00CB5649"/>
    <w:rsid w:val="00CB5716"/>
    <w:rsid w:val="00CB57E8"/>
    <w:rsid w:val="00CB57ED"/>
    <w:rsid w:val="00CB597F"/>
    <w:rsid w:val="00CB5ADC"/>
    <w:rsid w:val="00CB5B7E"/>
    <w:rsid w:val="00CB5DC5"/>
    <w:rsid w:val="00CB5EF7"/>
    <w:rsid w:val="00CB6061"/>
    <w:rsid w:val="00CB60A3"/>
    <w:rsid w:val="00CB6131"/>
    <w:rsid w:val="00CB62F3"/>
    <w:rsid w:val="00CB6330"/>
    <w:rsid w:val="00CB639B"/>
    <w:rsid w:val="00CB659C"/>
    <w:rsid w:val="00CB687E"/>
    <w:rsid w:val="00CB69E1"/>
    <w:rsid w:val="00CB6AEC"/>
    <w:rsid w:val="00CB6BE7"/>
    <w:rsid w:val="00CB6E52"/>
    <w:rsid w:val="00CB703A"/>
    <w:rsid w:val="00CB7084"/>
    <w:rsid w:val="00CB74B6"/>
    <w:rsid w:val="00CB74D7"/>
    <w:rsid w:val="00CB75FB"/>
    <w:rsid w:val="00CB75FC"/>
    <w:rsid w:val="00CB77F4"/>
    <w:rsid w:val="00CB7879"/>
    <w:rsid w:val="00CB7AE4"/>
    <w:rsid w:val="00CB7AF2"/>
    <w:rsid w:val="00CB7B11"/>
    <w:rsid w:val="00CB7B83"/>
    <w:rsid w:val="00CB7B93"/>
    <w:rsid w:val="00CB7BB4"/>
    <w:rsid w:val="00CB7E9A"/>
    <w:rsid w:val="00CB7FF6"/>
    <w:rsid w:val="00CC0089"/>
    <w:rsid w:val="00CC0100"/>
    <w:rsid w:val="00CC01BE"/>
    <w:rsid w:val="00CC0502"/>
    <w:rsid w:val="00CC05A9"/>
    <w:rsid w:val="00CC0674"/>
    <w:rsid w:val="00CC0889"/>
    <w:rsid w:val="00CC098C"/>
    <w:rsid w:val="00CC0A64"/>
    <w:rsid w:val="00CC0B7F"/>
    <w:rsid w:val="00CC0C40"/>
    <w:rsid w:val="00CC0D41"/>
    <w:rsid w:val="00CC0D72"/>
    <w:rsid w:val="00CC0D87"/>
    <w:rsid w:val="00CC0DC1"/>
    <w:rsid w:val="00CC0DD4"/>
    <w:rsid w:val="00CC0E49"/>
    <w:rsid w:val="00CC12B5"/>
    <w:rsid w:val="00CC12D4"/>
    <w:rsid w:val="00CC1555"/>
    <w:rsid w:val="00CC1695"/>
    <w:rsid w:val="00CC1793"/>
    <w:rsid w:val="00CC1847"/>
    <w:rsid w:val="00CC1980"/>
    <w:rsid w:val="00CC1A60"/>
    <w:rsid w:val="00CC1A78"/>
    <w:rsid w:val="00CC1D4A"/>
    <w:rsid w:val="00CC1E5A"/>
    <w:rsid w:val="00CC1E78"/>
    <w:rsid w:val="00CC221F"/>
    <w:rsid w:val="00CC226C"/>
    <w:rsid w:val="00CC2363"/>
    <w:rsid w:val="00CC237C"/>
    <w:rsid w:val="00CC23B9"/>
    <w:rsid w:val="00CC268F"/>
    <w:rsid w:val="00CC273E"/>
    <w:rsid w:val="00CC2798"/>
    <w:rsid w:val="00CC286B"/>
    <w:rsid w:val="00CC2884"/>
    <w:rsid w:val="00CC28EB"/>
    <w:rsid w:val="00CC2A77"/>
    <w:rsid w:val="00CC2ABE"/>
    <w:rsid w:val="00CC2B33"/>
    <w:rsid w:val="00CC2D44"/>
    <w:rsid w:val="00CC2DCF"/>
    <w:rsid w:val="00CC2E64"/>
    <w:rsid w:val="00CC2EDB"/>
    <w:rsid w:val="00CC2F00"/>
    <w:rsid w:val="00CC2F27"/>
    <w:rsid w:val="00CC2FC2"/>
    <w:rsid w:val="00CC304B"/>
    <w:rsid w:val="00CC321E"/>
    <w:rsid w:val="00CC3289"/>
    <w:rsid w:val="00CC340A"/>
    <w:rsid w:val="00CC342A"/>
    <w:rsid w:val="00CC3466"/>
    <w:rsid w:val="00CC34EA"/>
    <w:rsid w:val="00CC36C4"/>
    <w:rsid w:val="00CC38AC"/>
    <w:rsid w:val="00CC39A2"/>
    <w:rsid w:val="00CC3A16"/>
    <w:rsid w:val="00CC3A7B"/>
    <w:rsid w:val="00CC3B03"/>
    <w:rsid w:val="00CC3C23"/>
    <w:rsid w:val="00CC3F03"/>
    <w:rsid w:val="00CC3F12"/>
    <w:rsid w:val="00CC40EA"/>
    <w:rsid w:val="00CC4481"/>
    <w:rsid w:val="00CC45E5"/>
    <w:rsid w:val="00CC47EB"/>
    <w:rsid w:val="00CC48F5"/>
    <w:rsid w:val="00CC4A0A"/>
    <w:rsid w:val="00CC4A80"/>
    <w:rsid w:val="00CC4AE2"/>
    <w:rsid w:val="00CC4BF5"/>
    <w:rsid w:val="00CC4CC7"/>
    <w:rsid w:val="00CC4CF2"/>
    <w:rsid w:val="00CC4F8F"/>
    <w:rsid w:val="00CC5020"/>
    <w:rsid w:val="00CC5176"/>
    <w:rsid w:val="00CC53BF"/>
    <w:rsid w:val="00CC53CD"/>
    <w:rsid w:val="00CC548A"/>
    <w:rsid w:val="00CC548B"/>
    <w:rsid w:val="00CC54E0"/>
    <w:rsid w:val="00CC559D"/>
    <w:rsid w:val="00CC55C2"/>
    <w:rsid w:val="00CC5769"/>
    <w:rsid w:val="00CC57C8"/>
    <w:rsid w:val="00CC57E9"/>
    <w:rsid w:val="00CC588C"/>
    <w:rsid w:val="00CC59AC"/>
    <w:rsid w:val="00CC59FC"/>
    <w:rsid w:val="00CC5A89"/>
    <w:rsid w:val="00CC5B09"/>
    <w:rsid w:val="00CC5B85"/>
    <w:rsid w:val="00CC5BC7"/>
    <w:rsid w:val="00CC5C40"/>
    <w:rsid w:val="00CC5C78"/>
    <w:rsid w:val="00CC5D2C"/>
    <w:rsid w:val="00CC5E60"/>
    <w:rsid w:val="00CC6004"/>
    <w:rsid w:val="00CC6025"/>
    <w:rsid w:val="00CC60A0"/>
    <w:rsid w:val="00CC60E1"/>
    <w:rsid w:val="00CC61F6"/>
    <w:rsid w:val="00CC62BD"/>
    <w:rsid w:val="00CC647D"/>
    <w:rsid w:val="00CC65F9"/>
    <w:rsid w:val="00CC6630"/>
    <w:rsid w:val="00CC6642"/>
    <w:rsid w:val="00CC66EC"/>
    <w:rsid w:val="00CC67D9"/>
    <w:rsid w:val="00CC689D"/>
    <w:rsid w:val="00CC68B1"/>
    <w:rsid w:val="00CC697C"/>
    <w:rsid w:val="00CC6B45"/>
    <w:rsid w:val="00CC6B53"/>
    <w:rsid w:val="00CC6F93"/>
    <w:rsid w:val="00CC6FD0"/>
    <w:rsid w:val="00CC7102"/>
    <w:rsid w:val="00CC713E"/>
    <w:rsid w:val="00CC71C9"/>
    <w:rsid w:val="00CC71DF"/>
    <w:rsid w:val="00CC7287"/>
    <w:rsid w:val="00CC72A9"/>
    <w:rsid w:val="00CC737A"/>
    <w:rsid w:val="00CC747F"/>
    <w:rsid w:val="00CC76AB"/>
    <w:rsid w:val="00CC7749"/>
    <w:rsid w:val="00CC77E7"/>
    <w:rsid w:val="00CC7A2C"/>
    <w:rsid w:val="00CC7A49"/>
    <w:rsid w:val="00CC7AE7"/>
    <w:rsid w:val="00CC7CEE"/>
    <w:rsid w:val="00CC7E49"/>
    <w:rsid w:val="00CC7F3F"/>
    <w:rsid w:val="00CD0004"/>
    <w:rsid w:val="00CD0237"/>
    <w:rsid w:val="00CD029F"/>
    <w:rsid w:val="00CD071F"/>
    <w:rsid w:val="00CD07D8"/>
    <w:rsid w:val="00CD0A69"/>
    <w:rsid w:val="00CD0AB2"/>
    <w:rsid w:val="00CD0AF1"/>
    <w:rsid w:val="00CD0B6F"/>
    <w:rsid w:val="00CD0C13"/>
    <w:rsid w:val="00CD0C7F"/>
    <w:rsid w:val="00CD0CEF"/>
    <w:rsid w:val="00CD0D01"/>
    <w:rsid w:val="00CD0FC0"/>
    <w:rsid w:val="00CD10DD"/>
    <w:rsid w:val="00CD1100"/>
    <w:rsid w:val="00CD1121"/>
    <w:rsid w:val="00CD113D"/>
    <w:rsid w:val="00CD11F2"/>
    <w:rsid w:val="00CD1300"/>
    <w:rsid w:val="00CD1339"/>
    <w:rsid w:val="00CD1392"/>
    <w:rsid w:val="00CD146A"/>
    <w:rsid w:val="00CD14B7"/>
    <w:rsid w:val="00CD14F3"/>
    <w:rsid w:val="00CD16A0"/>
    <w:rsid w:val="00CD16C8"/>
    <w:rsid w:val="00CD171F"/>
    <w:rsid w:val="00CD1833"/>
    <w:rsid w:val="00CD18DD"/>
    <w:rsid w:val="00CD1953"/>
    <w:rsid w:val="00CD1962"/>
    <w:rsid w:val="00CD1AC7"/>
    <w:rsid w:val="00CD1B7E"/>
    <w:rsid w:val="00CD1C09"/>
    <w:rsid w:val="00CD1E31"/>
    <w:rsid w:val="00CD1FBC"/>
    <w:rsid w:val="00CD2184"/>
    <w:rsid w:val="00CD2275"/>
    <w:rsid w:val="00CD22AB"/>
    <w:rsid w:val="00CD2306"/>
    <w:rsid w:val="00CD23C1"/>
    <w:rsid w:val="00CD2414"/>
    <w:rsid w:val="00CD24B4"/>
    <w:rsid w:val="00CD25BB"/>
    <w:rsid w:val="00CD25EB"/>
    <w:rsid w:val="00CD2679"/>
    <w:rsid w:val="00CD2683"/>
    <w:rsid w:val="00CD26B1"/>
    <w:rsid w:val="00CD288B"/>
    <w:rsid w:val="00CD28D9"/>
    <w:rsid w:val="00CD291C"/>
    <w:rsid w:val="00CD2945"/>
    <w:rsid w:val="00CD2B59"/>
    <w:rsid w:val="00CD2B68"/>
    <w:rsid w:val="00CD2C60"/>
    <w:rsid w:val="00CD307E"/>
    <w:rsid w:val="00CD3088"/>
    <w:rsid w:val="00CD3192"/>
    <w:rsid w:val="00CD3415"/>
    <w:rsid w:val="00CD3460"/>
    <w:rsid w:val="00CD34B3"/>
    <w:rsid w:val="00CD3578"/>
    <w:rsid w:val="00CD35F4"/>
    <w:rsid w:val="00CD3728"/>
    <w:rsid w:val="00CD375F"/>
    <w:rsid w:val="00CD3789"/>
    <w:rsid w:val="00CD37D8"/>
    <w:rsid w:val="00CD380E"/>
    <w:rsid w:val="00CD3920"/>
    <w:rsid w:val="00CD3A14"/>
    <w:rsid w:val="00CD3B51"/>
    <w:rsid w:val="00CD3BA5"/>
    <w:rsid w:val="00CD3BD0"/>
    <w:rsid w:val="00CD3C0A"/>
    <w:rsid w:val="00CD3CFD"/>
    <w:rsid w:val="00CD3D5E"/>
    <w:rsid w:val="00CD3D6A"/>
    <w:rsid w:val="00CD3D7A"/>
    <w:rsid w:val="00CD3DC2"/>
    <w:rsid w:val="00CD3E91"/>
    <w:rsid w:val="00CD3EF1"/>
    <w:rsid w:val="00CD3FA3"/>
    <w:rsid w:val="00CD40C8"/>
    <w:rsid w:val="00CD4127"/>
    <w:rsid w:val="00CD4167"/>
    <w:rsid w:val="00CD42B9"/>
    <w:rsid w:val="00CD42D5"/>
    <w:rsid w:val="00CD42FE"/>
    <w:rsid w:val="00CD438F"/>
    <w:rsid w:val="00CD43B8"/>
    <w:rsid w:val="00CD43E2"/>
    <w:rsid w:val="00CD44E6"/>
    <w:rsid w:val="00CD4517"/>
    <w:rsid w:val="00CD45CD"/>
    <w:rsid w:val="00CD461A"/>
    <w:rsid w:val="00CD467E"/>
    <w:rsid w:val="00CD4708"/>
    <w:rsid w:val="00CD4833"/>
    <w:rsid w:val="00CD48D5"/>
    <w:rsid w:val="00CD497C"/>
    <w:rsid w:val="00CD4B98"/>
    <w:rsid w:val="00CD4CD9"/>
    <w:rsid w:val="00CD4D9A"/>
    <w:rsid w:val="00CD4E8D"/>
    <w:rsid w:val="00CD4EEC"/>
    <w:rsid w:val="00CD4EFC"/>
    <w:rsid w:val="00CD4F5D"/>
    <w:rsid w:val="00CD4FEB"/>
    <w:rsid w:val="00CD5126"/>
    <w:rsid w:val="00CD5334"/>
    <w:rsid w:val="00CD54AC"/>
    <w:rsid w:val="00CD54E1"/>
    <w:rsid w:val="00CD5541"/>
    <w:rsid w:val="00CD561E"/>
    <w:rsid w:val="00CD585C"/>
    <w:rsid w:val="00CD590A"/>
    <w:rsid w:val="00CD598C"/>
    <w:rsid w:val="00CD59DC"/>
    <w:rsid w:val="00CD5D46"/>
    <w:rsid w:val="00CD5D50"/>
    <w:rsid w:val="00CD5D8A"/>
    <w:rsid w:val="00CD5EBF"/>
    <w:rsid w:val="00CD5F06"/>
    <w:rsid w:val="00CD6000"/>
    <w:rsid w:val="00CD612A"/>
    <w:rsid w:val="00CD614B"/>
    <w:rsid w:val="00CD62CC"/>
    <w:rsid w:val="00CD6467"/>
    <w:rsid w:val="00CD654B"/>
    <w:rsid w:val="00CD66D5"/>
    <w:rsid w:val="00CD67DF"/>
    <w:rsid w:val="00CD67EB"/>
    <w:rsid w:val="00CD6825"/>
    <w:rsid w:val="00CD68AE"/>
    <w:rsid w:val="00CD68B1"/>
    <w:rsid w:val="00CD6B06"/>
    <w:rsid w:val="00CD6FEA"/>
    <w:rsid w:val="00CD70C9"/>
    <w:rsid w:val="00CD70E8"/>
    <w:rsid w:val="00CD722D"/>
    <w:rsid w:val="00CD73BD"/>
    <w:rsid w:val="00CD7424"/>
    <w:rsid w:val="00CD74B5"/>
    <w:rsid w:val="00CD757A"/>
    <w:rsid w:val="00CD762E"/>
    <w:rsid w:val="00CD7771"/>
    <w:rsid w:val="00CD77D4"/>
    <w:rsid w:val="00CD7892"/>
    <w:rsid w:val="00CD795D"/>
    <w:rsid w:val="00CD7A9B"/>
    <w:rsid w:val="00CD7C97"/>
    <w:rsid w:val="00CD7CF1"/>
    <w:rsid w:val="00CD7D85"/>
    <w:rsid w:val="00CD7D98"/>
    <w:rsid w:val="00CD7DFC"/>
    <w:rsid w:val="00CD7F77"/>
    <w:rsid w:val="00CD7F9C"/>
    <w:rsid w:val="00CD7FDE"/>
    <w:rsid w:val="00CD7FE9"/>
    <w:rsid w:val="00CE009B"/>
    <w:rsid w:val="00CE010B"/>
    <w:rsid w:val="00CE0389"/>
    <w:rsid w:val="00CE0525"/>
    <w:rsid w:val="00CE0638"/>
    <w:rsid w:val="00CE069E"/>
    <w:rsid w:val="00CE06C1"/>
    <w:rsid w:val="00CE077D"/>
    <w:rsid w:val="00CE0823"/>
    <w:rsid w:val="00CE08CB"/>
    <w:rsid w:val="00CE090F"/>
    <w:rsid w:val="00CE0949"/>
    <w:rsid w:val="00CE0A7F"/>
    <w:rsid w:val="00CE0AA2"/>
    <w:rsid w:val="00CE0F0D"/>
    <w:rsid w:val="00CE10CC"/>
    <w:rsid w:val="00CE10D7"/>
    <w:rsid w:val="00CE1193"/>
    <w:rsid w:val="00CE1217"/>
    <w:rsid w:val="00CE13D0"/>
    <w:rsid w:val="00CE1507"/>
    <w:rsid w:val="00CE1642"/>
    <w:rsid w:val="00CE1760"/>
    <w:rsid w:val="00CE1786"/>
    <w:rsid w:val="00CE1923"/>
    <w:rsid w:val="00CE1933"/>
    <w:rsid w:val="00CE1A13"/>
    <w:rsid w:val="00CE1AFD"/>
    <w:rsid w:val="00CE1CFB"/>
    <w:rsid w:val="00CE1F77"/>
    <w:rsid w:val="00CE1F7C"/>
    <w:rsid w:val="00CE1F98"/>
    <w:rsid w:val="00CE1FC5"/>
    <w:rsid w:val="00CE1FEA"/>
    <w:rsid w:val="00CE21AE"/>
    <w:rsid w:val="00CE223E"/>
    <w:rsid w:val="00CE2298"/>
    <w:rsid w:val="00CE2305"/>
    <w:rsid w:val="00CE23F7"/>
    <w:rsid w:val="00CE2493"/>
    <w:rsid w:val="00CE266E"/>
    <w:rsid w:val="00CE267C"/>
    <w:rsid w:val="00CE275F"/>
    <w:rsid w:val="00CE27DB"/>
    <w:rsid w:val="00CE27ED"/>
    <w:rsid w:val="00CE2935"/>
    <w:rsid w:val="00CE2A60"/>
    <w:rsid w:val="00CE2A66"/>
    <w:rsid w:val="00CE2B83"/>
    <w:rsid w:val="00CE2DAE"/>
    <w:rsid w:val="00CE2F76"/>
    <w:rsid w:val="00CE2FFD"/>
    <w:rsid w:val="00CE300A"/>
    <w:rsid w:val="00CE31D2"/>
    <w:rsid w:val="00CE3243"/>
    <w:rsid w:val="00CE32A7"/>
    <w:rsid w:val="00CE3420"/>
    <w:rsid w:val="00CE348B"/>
    <w:rsid w:val="00CE34C1"/>
    <w:rsid w:val="00CE356C"/>
    <w:rsid w:val="00CE3585"/>
    <w:rsid w:val="00CE3622"/>
    <w:rsid w:val="00CE3737"/>
    <w:rsid w:val="00CE37A0"/>
    <w:rsid w:val="00CE37DA"/>
    <w:rsid w:val="00CE3837"/>
    <w:rsid w:val="00CE3924"/>
    <w:rsid w:val="00CE3975"/>
    <w:rsid w:val="00CE39BF"/>
    <w:rsid w:val="00CE3A96"/>
    <w:rsid w:val="00CE3A9F"/>
    <w:rsid w:val="00CE3AB4"/>
    <w:rsid w:val="00CE3ABD"/>
    <w:rsid w:val="00CE3C43"/>
    <w:rsid w:val="00CE3CB1"/>
    <w:rsid w:val="00CE3D29"/>
    <w:rsid w:val="00CE3D6A"/>
    <w:rsid w:val="00CE3DD1"/>
    <w:rsid w:val="00CE3DF3"/>
    <w:rsid w:val="00CE3ED9"/>
    <w:rsid w:val="00CE3FDF"/>
    <w:rsid w:val="00CE4114"/>
    <w:rsid w:val="00CE4128"/>
    <w:rsid w:val="00CE4341"/>
    <w:rsid w:val="00CE448E"/>
    <w:rsid w:val="00CE46C4"/>
    <w:rsid w:val="00CE4704"/>
    <w:rsid w:val="00CE4717"/>
    <w:rsid w:val="00CE47C6"/>
    <w:rsid w:val="00CE485D"/>
    <w:rsid w:val="00CE488C"/>
    <w:rsid w:val="00CE493B"/>
    <w:rsid w:val="00CE4AA1"/>
    <w:rsid w:val="00CE4B10"/>
    <w:rsid w:val="00CE4B28"/>
    <w:rsid w:val="00CE4BF0"/>
    <w:rsid w:val="00CE4C13"/>
    <w:rsid w:val="00CE4C4B"/>
    <w:rsid w:val="00CE4E26"/>
    <w:rsid w:val="00CE4E43"/>
    <w:rsid w:val="00CE4E9A"/>
    <w:rsid w:val="00CE4F3C"/>
    <w:rsid w:val="00CE4F6F"/>
    <w:rsid w:val="00CE501B"/>
    <w:rsid w:val="00CE5026"/>
    <w:rsid w:val="00CE50C5"/>
    <w:rsid w:val="00CE517B"/>
    <w:rsid w:val="00CE51C8"/>
    <w:rsid w:val="00CE51CD"/>
    <w:rsid w:val="00CE5223"/>
    <w:rsid w:val="00CE5282"/>
    <w:rsid w:val="00CE52C5"/>
    <w:rsid w:val="00CE52E3"/>
    <w:rsid w:val="00CE5354"/>
    <w:rsid w:val="00CE54AA"/>
    <w:rsid w:val="00CE54C3"/>
    <w:rsid w:val="00CE5580"/>
    <w:rsid w:val="00CE562D"/>
    <w:rsid w:val="00CE56A2"/>
    <w:rsid w:val="00CE56B7"/>
    <w:rsid w:val="00CE579B"/>
    <w:rsid w:val="00CE5AC3"/>
    <w:rsid w:val="00CE5C83"/>
    <w:rsid w:val="00CE5DA2"/>
    <w:rsid w:val="00CE5E28"/>
    <w:rsid w:val="00CE5E59"/>
    <w:rsid w:val="00CE5EAC"/>
    <w:rsid w:val="00CE5F27"/>
    <w:rsid w:val="00CE5FC1"/>
    <w:rsid w:val="00CE6169"/>
    <w:rsid w:val="00CE61FF"/>
    <w:rsid w:val="00CE633E"/>
    <w:rsid w:val="00CE637C"/>
    <w:rsid w:val="00CE64ED"/>
    <w:rsid w:val="00CE6580"/>
    <w:rsid w:val="00CE65BE"/>
    <w:rsid w:val="00CE66EF"/>
    <w:rsid w:val="00CE66FF"/>
    <w:rsid w:val="00CE6728"/>
    <w:rsid w:val="00CE67D1"/>
    <w:rsid w:val="00CE6804"/>
    <w:rsid w:val="00CE68AA"/>
    <w:rsid w:val="00CE69BC"/>
    <w:rsid w:val="00CE69EA"/>
    <w:rsid w:val="00CE6AB9"/>
    <w:rsid w:val="00CE6B49"/>
    <w:rsid w:val="00CE6B77"/>
    <w:rsid w:val="00CE6B9E"/>
    <w:rsid w:val="00CE6BD0"/>
    <w:rsid w:val="00CE6BF8"/>
    <w:rsid w:val="00CE6D0E"/>
    <w:rsid w:val="00CE6D1E"/>
    <w:rsid w:val="00CE6D99"/>
    <w:rsid w:val="00CE6DF7"/>
    <w:rsid w:val="00CE6EFC"/>
    <w:rsid w:val="00CE6F5E"/>
    <w:rsid w:val="00CE6F65"/>
    <w:rsid w:val="00CE6F89"/>
    <w:rsid w:val="00CE7138"/>
    <w:rsid w:val="00CE720B"/>
    <w:rsid w:val="00CE722A"/>
    <w:rsid w:val="00CE728B"/>
    <w:rsid w:val="00CE730A"/>
    <w:rsid w:val="00CE7423"/>
    <w:rsid w:val="00CE744C"/>
    <w:rsid w:val="00CE7503"/>
    <w:rsid w:val="00CE7647"/>
    <w:rsid w:val="00CE77E7"/>
    <w:rsid w:val="00CE7810"/>
    <w:rsid w:val="00CE78D4"/>
    <w:rsid w:val="00CE795D"/>
    <w:rsid w:val="00CE7BFA"/>
    <w:rsid w:val="00CE7CD1"/>
    <w:rsid w:val="00CE7D7E"/>
    <w:rsid w:val="00CE7E75"/>
    <w:rsid w:val="00CE7E77"/>
    <w:rsid w:val="00CE7ED9"/>
    <w:rsid w:val="00CE7FD3"/>
    <w:rsid w:val="00CF0082"/>
    <w:rsid w:val="00CF018F"/>
    <w:rsid w:val="00CF036B"/>
    <w:rsid w:val="00CF0397"/>
    <w:rsid w:val="00CF0506"/>
    <w:rsid w:val="00CF0523"/>
    <w:rsid w:val="00CF0533"/>
    <w:rsid w:val="00CF0833"/>
    <w:rsid w:val="00CF0C7F"/>
    <w:rsid w:val="00CF0D6B"/>
    <w:rsid w:val="00CF0E04"/>
    <w:rsid w:val="00CF0E0F"/>
    <w:rsid w:val="00CF0E17"/>
    <w:rsid w:val="00CF10A7"/>
    <w:rsid w:val="00CF10AC"/>
    <w:rsid w:val="00CF1193"/>
    <w:rsid w:val="00CF1226"/>
    <w:rsid w:val="00CF124A"/>
    <w:rsid w:val="00CF12C9"/>
    <w:rsid w:val="00CF12E6"/>
    <w:rsid w:val="00CF1377"/>
    <w:rsid w:val="00CF139E"/>
    <w:rsid w:val="00CF1438"/>
    <w:rsid w:val="00CF1468"/>
    <w:rsid w:val="00CF15CF"/>
    <w:rsid w:val="00CF1673"/>
    <w:rsid w:val="00CF16A4"/>
    <w:rsid w:val="00CF16D5"/>
    <w:rsid w:val="00CF175D"/>
    <w:rsid w:val="00CF1796"/>
    <w:rsid w:val="00CF17F2"/>
    <w:rsid w:val="00CF1882"/>
    <w:rsid w:val="00CF18C6"/>
    <w:rsid w:val="00CF19EA"/>
    <w:rsid w:val="00CF1A44"/>
    <w:rsid w:val="00CF1A4B"/>
    <w:rsid w:val="00CF1A8D"/>
    <w:rsid w:val="00CF1DAD"/>
    <w:rsid w:val="00CF1DEA"/>
    <w:rsid w:val="00CF1EFD"/>
    <w:rsid w:val="00CF1FF9"/>
    <w:rsid w:val="00CF213D"/>
    <w:rsid w:val="00CF2168"/>
    <w:rsid w:val="00CF2224"/>
    <w:rsid w:val="00CF2263"/>
    <w:rsid w:val="00CF2459"/>
    <w:rsid w:val="00CF2529"/>
    <w:rsid w:val="00CF2534"/>
    <w:rsid w:val="00CF25BA"/>
    <w:rsid w:val="00CF26E0"/>
    <w:rsid w:val="00CF282E"/>
    <w:rsid w:val="00CF29D3"/>
    <w:rsid w:val="00CF2A28"/>
    <w:rsid w:val="00CF2BD0"/>
    <w:rsid w:val="00CF2C1E"/>
    <w:rsid w:val="00CF2CEC"/>
    <w:rsid w:val="00CF2F84"/>
    <w:rsid w:val="00CF2FD5"/>
    <w:rsid w:val="00CF300D"/>
    <w:rsid w:val="00CF314D"/>
    <w:rsid w:val="00CF318E"/>
    <w:rsid w:val="00CF3333"/>
    <w:rsid w:val="00CF33F4"/>
    <w:rsid w:val="00CF3696"/>
    <w:rsid w:val="00CF36DF"/>
    <w:rsid w:val="00CF3755"/>
    <w:rsid w:val="00CF375B"/>
    <w:rsid w:val="00CF37DB"/>
    <w:rsid w:val="00CF385A"/>
    <w:rsid w:val="00CF394F"/>
    <w:rsid w:val="00CF3A15"/>
    <w:rsid w:val="00CF3B0D"/>
    <w:rsid w:val="00CF3BEF"/>
    <w:rsid w:val="00CF3CB0"/>
    <w:rsid w:val="00CF3E8E"/>
    <w:rsid w:val="00CF3F0D"/>
    <w:rsid w:val="00CF4109"/>
    <w:rsid w:val="00CF41D1"/>
    <w:rsid w:val="00CF427C"/>
    <w:rsid w:val="00CF432D"/>
    <w:rsid w:val="00CF4469"/>
    <w:rsid w:val="00CF4484"/>
    <w:rsid w:val="00CF4499"/>
    <w:rsid w:val="00CF44AA"/>
    <w:rsid w:val="00CF472C"/>
    <w:rsid w:val="00CF47D9"/>
    <w:rsid w:val="00CF481D"/>
    <w:rsid w:val="00CF4889"/>
    <w:rsid w:val="00CF492A"/>
    <w:rsid w:val="00CF49C7"/>
    <w:rsid w:val="00CF49E0"/>
    <w:rsid w:val="00CF4AD3"/>
    <w:rsid w:val="00CF4B6A"/>
    <w:rsid w:val="00CF4C62"/>
    <w:rsid w:val="00CF4D7C"/>
    <w:rsid w:val="00CF4E33"/>
    <w:rsid w:val="00CF500F"/>
    <w:rsid w:val="00CF51B3"/>
    <w:rsid w:val="00CF5238"/>
    <w:rsid w:val="00CF525B"/>
    <w:rsid w:val="00CF5469"/>
    <w:rsid w:val="00CF5523"/>
    <w:rsid w:val="00CF5534"/>
    <w:rsid w:val="00CF56AB"/>
    <w:rsid w:val="00CF59FD"/>
    <w:rsid w:val="00CF5A56"/>
    <w:rsid w:val="00CF5A5C"/>
    <w:rsid w:val="00CF5B29"/>
    <w:rsid w:val="00CF5B4F"/>
    <w:rsid w:val="00CF5C27"/>
    <w:rsid w:val="00CF5C2D"/>
    <w:rsid w:val="00CF5D3C"/>
    <w:rsid w:val="00CF5DE7"/>
    <w:rsid w:val="00CF5DF6"/>
    <w:rsid w:val="00CF5EAD"/>
    <w:rsid w:val="00CF5F28"/>
    <w:rsid w:val="00CF5F45"/>
    <w:rsid w:val="00CF5FB5"/>
    <w:rsid w:val="00CF6037"/>
    <w:rsid w:val="00CF60EC"/>
    <w:rsid w:val="00CF6371"/>
    <w:rsid w:val="00CF6448"/>
    <w:rsid w:val="00CF66C4"/>
    <w:rsid w:val="00CF6791"/>
    <w:rsid w:val="00CF6993"/>
    <w:rsid w:val="00CF6A25"/>
    <w:rsid w:val="00CF6A55"/>
    <w:rsid w:val="00CF6A86"/>
    <w:rsid w:val="00CF6B36"/>
    <w:rsid w:val="00CF6CAC"/>
    <w:rsid w:val="00CF6D38"/>
    <w:rsid w:val="00CF6D40"/>
    <w:rsid w:val="00CF6E68"/>
    <w:rsid w:val="00CF6F33"/>
    <w:rsid w:val="00CF6FC9"/>
    <w:rsid w:val="00CF709E"/>
    <w:rsid w:val="00CF723A"/>
    <w:rsid w:val="00CF7451"/>
    <w:rsid w:val="00CF7535"/>
    <w:rsid w:val="00CF75A8"/>
    <w:rsid w:val="00CF7709"/>
    <w:rsid w:val="00CF784E"/>
    <w:rsid w:val="00CF7880"/>
    <w:rsid w:val="00CF7A68"/>
    <w:rsid w:val="00CF7ABA"/>
    <w:rsid w:val="00CF7C17"/>
    <w:rsid w:val="00CF7C4F"/>
    <w:rsid w:val="00CF7D08"/>
    <w:rsid w:val="00CF7D17"/>
    <w:rsid w:val="00CF7D24"/>
    <w:rsid w:val="00CF7E6F"/>
    <w:rsid w:val="00CF7EA9"/>
    <w:rsid w:val="00CF7EDD"/>
    <w:rsid w:val="00CF7F9F"/>
    <w:rsid w:val="00D0022F"/>
    <w:rsid w:val="00D00366"/>
    <w:rsid w:val="00D00432"/>
    <w:rsid w:val="00D004EA"/>
    <w:rsid w:val="00D0055F"/>
    <w:rsid w:val="00D00594"/>
    <w:rsid w:val="00D005EB"/>
    <w:rsid w:val="00D005F3"/>
    <w:rsid w:val="00D00630"/>
    <w:rsid w:val="00D0074D"/>
    <w:rsid w:val="00D00780"/>
    <w:rsid w:val="00D0079D"/>
    <w:rsid w:val="00D00888"/>
    <w:rsid w:val="00D008CC"/>
    <w:rsid w:val="00D00925"/>
    <w:rsid w:val="00D00C15"/>
    <w:rsid w:val="00D00CD3"/>
    <w:rsid w:val="00D00E5C"/>
    <w:rsid w:val="00D00EFB"/>
    <w:rsid w:val="00D01040"/>
    <w:rsid w:val="00D010CC"/>
    <w:rsid w:val="00D01113"/>
    <w:rsid w:val="00D011F5"/>
    <w:rsid w:val="00D0121F"/>
    <w:rsid w:val="00D0125D"/>
    <w:rsid w:val="00D01299"/>
    <w:rsid w:val="00D0130B"/>
    <w:rsid w:val="00D013A8"/>
    <w:rsid w:val="00D017BC"/>
    <w:rsid w:val="00D01889"/>
    <w:rsid w:val="00D018FC"/>
    <w:rsid w:val="00D01B59"/>
    <w:rsid w:val="00D01D38"/>
    <w:rsid w:val="00D0212B"/>
    <w:rsid w:val="00D0219F"/>
    <w:rsid w:val="00D021F1"/>
    <w:rsid w:val="00D0225A"/>
    <w:rsid w:val="00D0225E"/>
    <w:rsid w:val="00D022BA"/>
    <w:rsid w:val="00D022DE"/>
    <w:rsid w:val="00D0231E"/>
    <w:rsid w:val="00D02334"/>
    <w:rsid w:val="00D024D4"/>
    <w:rsid w:val="00D024FA"/>
    <w:rsid w:val="00D02725"/>
    <w:rsid w:val="00D027BF"/>
    <w:rsid w:val="00D027E3"/>
    <w:rsid w:val="00D02A22"/>
    <w:rsid w:val="00D02B32"/>
    <w:rsid w:val="00D02C5D"/>
    <w:rsid w:val="00D02EA4"/>
    <w:rsid w:val="00D02EB9"/>
    <w:rsid w:val="00D0329E"/>
    <w:rsid w:val="00D032F1"/>
    <w:rsid w:val="00D03394"/>
    <w:rsid w:val="00D033A1"/>
    <w:rsid w:val="00D03466"/>
    <w:rsid w:val="00D03533"/>
    <w:rsid w:val="00D035DC"/>
    <w:rsid w:val="00D0365E"/>
    <w:rsid w:val="00D036CD"/>
    <w:rsid w:val="00D036F3"/>
    <w:rsid w:val="00D0396F"/>
    <w:rsid w:val="00D03A82"/>
    <w:rsid w:val="00D03C04"/>
    <w:rsid w:val="00D03D63"/>
    <w:rsid w:val="00D03D82"/>
    <w:rsid w:val="00D03D90"/>
    <w:rsid w:val="00D03DC4"/>
    <w:rsid w:val="00D03E44"/>
    <w:rsid w:val="00D03E47"/>
    <w:rsid w:val="00D03E82"/>
    <w:rsid w:val="00D03F05"/>
    <w:rsid w:val="00D03FBC"/>
    <w:rsid w:val="00D04018"/>
    <w:rsid w:val="00D040EE"/>
    <w:rsid w:val="00D0418D"/>
    <w:rsid w:val="00D042EA"/>
    <w:rsid w:val="00D043CA"/>
    <w:rsid w:val="00D043DC"/>
    <w:rsid w:val="00D04537"/>
    <w:rsid w:val="00D0454A"/>
    <w:rsid w:val="00D045FD"/>
    <w:rsid w:val="00D0464A"/>
    <w:rsid w:val="00D0475B"/>
    <w:rsid w:val="00D0485D"/>
    <w:rsid w:val="00D0488E"/>
    <w:rsid w:val="00D048F6"/>
    <w:rsid w:val="00D04914"/>
    <w:rsid w:val="00D0492C"/>
    <w:rsid w:val="00D04950"/>
    <w:rsid w:val="00D0497B"/>
    <w:rsid w:val="00D049A4"/>
    <w:rsid w:val="00D049E5"/>
    <w:rsid w:val="00D04A57"/>
    <w:rsid w:val="00D04AF4"/>
    <w:rsid w:val="00D04B0E"/>
    <w:rsid w:val="00D04BC6"/>
    <w:rsid w:val="00D04C39"/>
    <w:rsid w:val="00D04D32"/>
    <w:rsid w:val="00D04D7D"/>
    <w:rsid w:val="00D04D96"/>
    <w:rsid w:val="00D04E6A"/>
    <w:rsid w:val="00D04E71"/>
    <w:rsid w:val="00D05051"/>
    <w:rsid w:val="00D050B8"/>
    <w:rsid w:val="00D050DA"/>
    <w:rsid w:val="00D05121"/>
    <w:rsid w:val="00D05345"/>
    <w:rsid w:val="00D053C5"/>
    <w:rsid w:val="00D053DB"/>
    <w:rsid w:val="00D0558D"/>
    <w:rsid w:val="00D055E6"/>
    <w:rsid w:val="00D056B9"/>
    <w:rsid w:val="00D0574B"/>
    <w:rsid w:val="00D057E6"/>
    <w:rsid w:val="00D05878"/>
    <w:rsid w:val="00D05971"/>
    <w:rsid w:val="00D0598D"/>
    <w:rsid w:val="00D05990"/>
    <w:rsid w:val="00D059A3"/>
    <w:rsid w:val="00D05A85"/>
    <w:rsid w:val="00D05C10"/>
    <w:rsid w:val="00D05C9D"/>
    <w:rsid w:val="00D05DD0"/>
    <w:rsid w:val="00D05EA2"/>
    <w:rsid w:val="00D06060"/>
    <w:rsid w:val="00D06070"/>
    <w:rsid w:val="00D06103"/>
    <w:rsid w:val="00D06159"/>
    <w:rsid w:val="00D061F4"/>
    <w:rsid w:val="00D063E1"/>
    <w:rsid w:val="00D064AF"/>
    <w:rsid w:val="00D064F0"/>
    <w:rsid w:val="00D065AA"/>
    <w:rsid w:val="00D066DC"/>
    <w:rsid w:val="00D066FE"/>
    <w:rsid w:val="00D06737"/>
    <w:rsid w:val="00D0677F"/>
    <w:rsid w:val="00D0686E"/>
    <w:rsid w:val="00D06986"/>
    <w:rsid w:val="00D069E3"/>
    <w:rsid w:val="00D06B4E"/>
    <w:rsid w:val="00D06CB7"/>
    <w:rsid w:val="00D06DB4"/>
    <w:rsid w:val="00D06F6A"/>
    <w:rsid w:val="00D06F80"/>
    <w:rsid w:val="00D070DF"/>
    <w:rsid w:val="00D071C7"/>
    <w:rsid w:val="00D077FE"/>
    <w:rsid w:val="00D07885"/>
    <w:rsid w:val="00D078B6"/>
    <w:rsid w:val="00D078EB"/>
    <w:rsid w:val="00D0792F"/>
    <w:rsid w:val="00D07BA2"/>
    <w:rsid w:val="00D07BB4"/>
    <w:rsid w:val="00D07BFC"/>
    <w:rsid w:val="00D07C72"/>
    <w:rsid w:val="00D07CD1"/>
    <w:rsid w:val="00D07D75"/>
    <w:rsid w:val="00D10137"/>
    <w:rsid w:val="00D10156"/>
    <w:rsid w:val="00D1018E"/>
    <w:rsid w:val="00D101F7"/>
    <w:rsid w:val="00D10303"/>
    <w:rsid w:val="00D10314"/>
    <w:rsid w:val="00D1055C"/>
    <w:rsid w:val="00D1070A"/>
    <w:rsid w:val="00D10770"/>
    <w:rsid w:val="00D107DF"/>
    <w:rsid w:val="00D109AB"/>
    <w:rsid w:val="00D10AF1"/>
    <w:rsid w:val="00D10B62"/>
    <w:rsid w:val="00D10C94"/>
    <w:rsid w:val="00D10D71"/>
    <w:rsid w:val="00D10D8E"/>
    <w:rsid w:val="00D10E31"/>
    <w:rsid w:val="00D10E91"/>
    <w:rsid w:val="00D10ED4"/>
    <w:rsid w:val="00D10F6A"/>
    <w:rsid w:val="00D10F94"/>
    <w:rsid w:val="00D1101F"/>
    <w:rsid w:val="00D11183"/>
    <w:rsid w:val="00D11224"/>
    <w:rsid w:val="00D112E0"/>
    <w:rsid w:val="00D11302"/>
    <w:rsid w:val="00D11495"/>
    <w:rsid w:val="00D1168D"/>
    <w:rsid w:val="00D1173C"/>
    <w:rsid w:val="00D1195A"/>
    <w:rsid w:val="00D11984"/>
    <w:rsid w:val="00D11ABB"/>
    <w:rsid w:val="00D11B39"/>
    <w:rsid w:val="00D11DC6"/>
    <w:rsid w:val="00D11F6D"/>
    <w:rsid w:val="00D11FB1"/>
    <w:rsid w:val="00D12078"/>
    <w:rsid w:val="00D1220E"/>
    <w:rsid w:val="00D12321"/>
    <w:rsid w:val="00D123AA"/>
    <w:rsid w:val="00D123DF"/>
    <w:rsid w:val="00D124B5"/>
    <w:rsid w:val="00D12510"/>
    <w:rsid w:val="00D1257B"/>
    <w:rsid w:val="00D127BF"/>
    <w:rsid w:val="00D127CA"/>
    <w:rsid w:val="00D127CD"/>
    <w:rsid w:val="00D127E1"/>
    <w:rsid w:val="00D1292C"/>
    <w:rsid w:val="00D12A73"/>
    <w:rsid w:val="00D12AFB"/>
    <w:rsid w:val="00D12C53"/>
    <w:rsid w:val="00D12DF0"/>
    <w:rsid w:val="00D12E68"/>
    <w:rsid w:val="00D12FE4"/>
    <w:rsid w:val="00D1326B"/>
    <w:rsid w:val="00D1327A"/>
    <w:rsid w:val="00D1335D"/>
    <w:rsid w:val="00D13429"/>
    <w:rsid w:val="00D13430"/>
    <w:rsid w:val="00D1347B"/>
    <w:rsid w:val="00D134A8"/>
    <w:rsid w:val="00D134BB"/>
    <w:rsid w:val="00D13601"/>
    <w:rsid w:val="00D13661"/>
    <w:rsid w:val="00D13828"/>
    <w:rsid w:val="00D13840"/>
    <w:rsid w:val="00D138D0"/>
    <w:rsid w:val="00D138D6"/>
    <w:rsid w:val="00D13D44"/>
    <w:rsid w:val="00D13D4E"/>
    <w:rsid w:val="00D13D7D"/>
    <w:rsid w:val="00D13E85"/>
    <w:rsid w:val="00D13EB0"/>
    <w:rsid w:val="00D13ECD"/>
    <w:rsid w:val="00D13F0D"/>
    <w:rsid w:val="00D13F53"/>
    <w:rsid w:val="00D14075"/>
    <w:rsid w:val="00D141E1"/>
    <w:rsid w:val="00D141F5"/>
    <w:rsid w:val="00D142DD"/>
    <w:rsid w:val="00D14414"/>
    <w:rsid w:val="00D14562"/>
    <w:rsid w:val="00D145F5"/>
    <w:rsid w:val="00D146EB"/>
    <w:rsid w:val="00D1472B"/>
    <w:rsid w:val="00D14808"/>
    <w:rsid w:val="00D1489E"/>
    <w:rsid w:val="00D149C5"/>
    <w:rsid w:val="00D14A45"/>
    <w:rsid w:val="00D14AA1"/>
    <w:rsid w:val="00D14EC5"/>
    <w:rsid w:val="00D14F90"/>
    <w:rsid w:val="00D14F9C"/>
    <w:rsid w:val="00D14FAA"/>
    <w:rsid w:val="00D150A1"/>
    <w:rsid w:val="00D15112"/>
    <w:rsid w:val="00D15246"/>
    <w:rsid w:val="00D15260"/>
    <w:rsid w:val="00D15308"/>
    <w:rsid w:val="00D153DE"/>
    <w:rsid w:val="00D15421"/>
    <w:rsid w:val="00D15448"/>
    <w:rsid w:val="00D1563D"/>
    <w:rsid w:val="00D1564F"/>
    <w:rsid w:val="00D15783"/>
    <w:rsid w:val="00D157C2"/>
    <w:rsid w:val="00D15858"/>
    <w:rsid w:val="00D158F5"/>
    <w:rsid w:val="00D15AE9"/>
    <w:rsid w:val="00D15AFB"/>
    <w:rsid w:val="00D15B84"/>
    <w:rsid w:val="00D15BB5"/>
    <w:rsid w:val="00D15BC7"/>
    <w:rsid w:val="00D15C05"/>
    <w:rsid w:val="00D15C38"/>
    <w:rsid w:val="00D15CA3"/>
    <w:rsid w:val="00D15CE6"/>
    <w:rsid w:val="00D15CFD"/>
    <w:rsid w:val="00D15D13"/>
    <w:rsid w:val="00D15DF8"/>
    <w:rsid w:val="00D16095"/>
    <w:rsid w:val="00D160D6"/>
    <w:rsid w:val="00D161A7"/>
    <w:rsid w:val="00D161C5"/>
    <w:rsid w:val="00D16375"/>
    <w:rsid w:val="00D16383"/>
    <w:rsid w:val="00D16462"/>
    <w:rsid w:val="00D1656B"/>
    <w:rsid w:val="00D16621"/>
    <w:rsid w:val="00D166E5"/>
    <w:rsid w:val="00D16784"/>
    <w:rsid w:val="00D16932"/>
    <w:rsid w:val="00D16938"/>
    <w:rsid w:val="00D16AC3"/>
    <w:rsid w:val="00D16AED"/>
    <w:rsid w:val="00D16B35"/>
    <w:rsid w:val="00D16B3E"/>
    <w:rsid w:val="00D16BFE"/>
    <w:rsid w:val="00D16D23"/>
    <w:rsid w:val="00D16E00"/>
    <w:rsid w:val="00D16EDF"/>
    <w:rsid w:val="00D16F46"/>
    <w:rsid w:val="00D1705E"/>
    <w:rsid w:val="00D17146"/>
    <w:rsid w:val="00D1718A"/>
    <w:rsid w:val="00D172EE"/>
    <w:rsid w:val="00D17742"/>
    <w:rsid w:val="00D177D8"/>
    <w:rsid w:val="00D17883"/>
    <w:rsid w:val="00D1791E"/>
    <w:rsid w:val="00D17938"/>
    <w:rsid w:val="00D17AFD"/>
    <w:rsid w:val="00D17B74"/>
    <w:rsid w:val="00D17BAF"/>
    <w:rsid w:val="00D17CA9"/>
    <w:rsid w:val="00D17D78"/>
    <w:rsid w:val="00D17DA0"/>
    <w:rsid w:val="00D17E14"/>
    <w:rsid w:val="00D17E68"/>
    <w:rsid w:val="00D17EB0"/>
    <w:rsid w:val="00D17EBC"/>
    <w:rsid w:val="00D17EC7"/>
    <w:rsid w:val="00D17F6B"/>
    <w:rsid w:val="00D17F86"/>
    <w:rsid w:val="00D2004D"/>
    <w:rsid w:val="00D200C7"/>
    <w:rsid w:val="00D2021D"/>
    <w:rsid w:val="00D2023A"/>
    <w:rsid w:val="00D2044B"/>
    <w:rsid w:val="00D204B0"/>
    <w:rsid w:val="00D20582"/>
    <w:rsid w:val="00D2067B"/>
    <w:rsid w:val="00D2069A"/>
    <w:rsid w:val="00D20711"/>
    <w:rsid w:val="00D2071C"/>
    <w:rsid w:val="00D20743"/>
    <w:rsid w:val="00D2089A"/>
    <w:rsid w:val="00D208C1"/>
    <w:rsid w:val="00D2091A"/>
    <w:rsid w:val="00D209CE"/>
    <w:rsid w:val="00D20A88"/>
    <w:rsid w:val="00D20AD1"/>
    <w:rsid w:val="00D20C45"/>
    <w:rsid w:val="00D20C4C"/>
    <w:rsid w:val="00D20C90"/>
    <w:rsid w:val="00D20D19"/>
    <w:rsid w:val="00D20E72"/>
    <w:rsid w:val="00D21001"/>
    <w:rsid w:val="00D2105C"/>
    <w:rsid w:val="00D21117"/>
    <w:rsid w:val="00D211D7"/>
    <w:rsid w:val="00D21378"/>
    <w:rsid w:val="00D2144D"/>
    <w:rsid w:val="00D21478"/>
    <w:rsid w:val="00D215A7"/>
    <w:rsid w:val="00D215D8"/>
    <w:rsid w:val="00D2176E"/>
    <w:rsid w:val="00D217B2"/>
    <w:rsid w:val="00D217CA"/>
    <w:rsid w:val="00D21874"/>
    <w:rsid w:val="00D21AD3"/>
    <w:rsid w:val="00D21B58"/>
    <w:rsid w:val="00D21BB9"/>
    <w:rsid w:val="00D21BE3"/>
    <w:rsid w:val="00D21F05"/>
    <w:rsid w:val="00D21F56"/>
    <w:rsid w:val="00D21F72"/>
    <w:rsid w:val="00D221A8"/>
    <w:rsid w:val="00D2223F"/>
    <w:rsid w:val="00D22287"/>
    <w:rsid w:val="00D22298"/>
    <w:rsid w:val="00D222D9"/>
    <w:rsid w:val="00D222DE"/>
    <w:rsid w:val="00D22346"/>
    <w:rsid w:val="00D22451"/>
    <w:rsid w:val="00D2256C"/>
    <w:rsid w:val="00D2259A"/>
    <w:rsid w:val="00D225EE"/>
    <w:rsid w:val="00D22657"/>
    <w:rsid w:val="00D22695"/>
    <w:rsid w:val="00D22781"/>
    <w:rsid w:val="00D227A1"/>
    <w:rsid w:val="00D228F4"/>
    <w:rsid w:val="00D22AED"/>
    <w:rsid w:val="00D22C22"/>
    <w:rsid w:val="00D22C51"/>
    <w:rsid w:val="00D22CC8"/>
    <w:rsid w:val="00D22CEF"/>
    <w:rsid w:val="00D22DBB"/>
    <w:rsid w:val="00D22F08"/>
    <w:rsid w:val="00D22F3E"/>
    <w:rsid w:val="00D22FCD"/>
    <w:rsid w:val="00D2309D"/>
    <w:rsid w:val="00D23108"/>
    <w:rsid w:val="00D23450"/>
    <w:rsid w:val="00D23527"/>
    <w:rsid w:val="00D235AE"/>
    <w:rsid w:val="00D235EF"/>
    <w:rsid w:val="00D2362B"/>
    <w:rsid w:val="00D2389D"/>
    <w:rsid w:val="00D238E9"/>
    <w:rsid w:val="00D239CB"/>
    <w:rsid w:val="00D23AE8"/>
    <w:rsid w:val="00D23BA5"/>
    <w:rsid w:val="00D23BD3"/>
    <w:rsid w:val="00D23C93"/>
    <w:rsid w:val="00D23F27"/>
    <w:rsid w:val="00D23FE8"/>
    <w:rsid w:val="00D2402A"/>
    <w:rsid w:val="00D2403D"/>
    <w:rsid w:val="00D2409D"/>
    <w:rsid w:val="00D24126"/>
    <w:rsid w:val="00D242FD"/>
    <w:rsid w:val="00D24304"/>
    <w:rsid w:val="00D24393"/>
    <w:rsid w:val="00D244DB"/>
    <w:rsid w:val="00D24507"/>
    <w:rsid w:val="00D2450A"/>
    <w:rsid w:val="00D24551"/>
    <w:rsid w:val="00D24587"/>
    <w:rsid w:val="00D249AC"/>
    <w:rsid w:val="00D24B92"/>
    <w:rsid w:val="00D24BA7"/>
    <w:rsid w:val="00D24BCD"/>
    <w:rsid w:val="00D24EFF"/>
    <w:rsid w:val="00D24F0A"/>
    <w:rsid w:val="00D24FE8"/>
    <w:rsid w:val="00D2523C"/>
    <w:rsid w:val="00D25270"/>
    <w:rsid w:val="00D25341"/>
    <w:rsid w:val="00D25483"/>
    <w:rsid w:val="00D2548D"/>
    <w:rsid w:val="00D254CF"/>
    <w:rsid w:val="00D2559F"/>
    <w:rsid w:val="00D25668"/>
    <w:rsid w:val="00D2569A"/>
    <w:rsid w:val="00D256EE"/>
    <w:rsid w:val="00D25806"/>
    <w:rsid w:val="00D2581B"/>
    <w:rsid w:val="00D25A01"/>
    <w:rsid w:val="00D25A58"/>
    <w:rsid w:val="00D25B88"/>
    <w:rsid w:val="00D25C39"/>
    <w:rsid w:val="00D25C69"/>
    <w:rsid w:val="00D25CDF"/>
    <w:rsid w:val="00D25CE8"/>
    <w:rsid w:val="00D25E0E"/>
    <w:rsid w:val="00D25E4C"/>
    <w:rsid w:val="00D25E8F"/>
    <w:rsid w:val="00D25E92"/>
    <w:rsid w:val="00D25EC2"/>
    <w:rsid w:val="00D2605F"/>
    <w:rsid w:val="00D26110"/>
    <w:rsid w:val="00D261BC"/>
    <w:rsid w:val="00D262EC"/>
    <w:rsid w:val="00D264A1"/>
    <w:rsid w:val="00D2653D"/>
    <w:rsid w:val="00D265BE"/>
    <w:rsid w:val="00D266A4"/>
    <w:rsid w:val="00D266A6"/>
    <w:rsid w:val="00D266D2"/>
    <w:rsid w:val="00D26724"/>
    <w:rsid w:val="00D268BC"/>
    <w:rsid w:val="00D268E3"/>
    <w:rsid w:val="00D26A1F"/>
    <w:rsid w:val="00D26A26"/>
    <w:rsid w:val="00D26AAA"/>
    <w:rsid w:val="00D26B5C"/>
    <w:rsid w:val="00D26BF5"/>
    <w:rsid w:val="00D26E00"/>
    <w:rsid w:val="00D26EC1"/>
    <w:rsid w:val="00D26F1C"/>
    <w:rsid w:val="00D26F43"/>
    <w:rsid w:val="00D27057"/>
    <w:rsid w:val="00D2714A"/>
    <w:rsid w:val="00D2733C"/>
    <w:rsid w:val="00D275D5"/>
    <w:rsid w:val="00D2760F"/>
    <w:rsid w:val="00D27632"/>
    <w:rsid w:val="00D27662"/>
    <w:rsid w:val="00D27A43"/>
    <w:rsid w:val="00D27B30"/>
    <w:rsid w:val="00D27B47"/>
    <w:rsid w:val="00D27BE9"/>
    <w:rsid w:val="00D27DBB"/>
    <w:rsid w:val="00D27E0E"/>
    <w:rsid w:val="00D27E7A"/>
    <w:rsid w:val="00D27E9D"/>
    <w:rsid w:val="00D27FA3"/>
    <w:rsid w:val="00D27FAA"/>
    <w:rsid w:val="00D30050"/>
    <w:rsid w:val="00D30059"/>
    <w:rsid w:val="00D30200"/>
    <w:rsid w:val="00D30214"/>
    <w:rsid w:val="00D302EF"/>
    <w:rsid w:val="00D303F2"/>
    <w:rsid w:val="00D304EA"/>
    <w:rsid w:val="00D30581"/>
    <w:rsid w:val="00D305B5"/>
    <w:rsid w:val="00D3060A"/>
    <w:rsid w:val="00D306F4"/>
    <w:rsid w:val="00D30802"/>
    <w:rsid w:val="00D308D4"/>
    <w:rsid w:val="00D308DD"/>
    <w:rsid w:val="00D30935"/>
    <w:rsid w:val="00D30975"/>
    <w:rsid w:val="00D309AF"/>
    <w:rsid w:val="00D30AFE"/>
    <w:rsid w:val="00D30DEA"/>
    <w:rsid w:val="00D30EDB"/>
    <w:rsid w:val="00D30FF3"/>
    <w:rsid w:val="00D310FA"/>
    <w:rsid w:val="00D3111C"/>
    <w:rsid w:val="00D311FD"/>
    <w:rsid w:val="00D31358"/>
    <w:rsid w:val="00D31659"/>
    <w:rsid w:val="00D31697"/>
    <w:rsid w:val="00D316A1"/>
    <w:rsid w:val="00D318DB"/>
    <w:rsid w:val="00D31986"/>
    <w:rsid w:val="00D31C1F"/>
    <w:rsid w:val="00D31C42"/>
    <w:rsid w:val="00D31CCA"/>
    <w:rsid w:val="00D31DB4"/>
    <w:rsid w:val="00D31E8B"/>
    <w:rsid w:val="00D320C2"/>
    <w:rsid w:val="00D32119"/>
    <w:rsid w:val="00D3216F"/>
    <w:rsid w:val="00D32274"/>
    <w:rsid w:val="00D322A6"/>
    <w:rsid w:val="00D32380"/>
    <w:rsid w:val="00D3239B"/>
    <w:rsid w:val="00D323B7"/>
    <w:rsid w:val="00D323C6"/>
    <w:rsid w:val="00D32456"/>
    <w:rsid w:val="00D32457"/>
    <w:rsid w:val="00D3247E"/>
    <w:rsid w:val="00D3251B"/>
    <w:rsid w:val="00D325F2"/>
    <w:rsid w:val="00D327C7"/>
    <w:rsid w:val="00D327FC"/>
    <w:rsid w:val="00D32814"/>
    <w:rsid w:val="00D3285B"/>
    <w:rsid w:val="00D3289F"/>
    <w:rsid w:val="00D32960"/>
    <w:rsid w:val="00D329E6"/>
    <w:rsid w:val="00D329F1"/>
    <w:rsid w:val="00D32A06"/>
    <w:rsid w:val="00D32ADE"/>
    <w:rsid w:val="00D32C6E"/>
    <w:rsid w:val="00D32C70"/>
    <w:rsid w:val="00D32E7D"/>
    <w:rsid w:val="00D32E9F"/>
    <w:rsid w:val="00D330A6"/>
    <w:rsid w:val="00D3310A"/>
    <w:rsid w:val="00D331B9"/>
    <w:rsid w:val="00D3324A"/>
    <w:rsid w:val="00D3325C"/>
    <w:rsid w:val="00D33462"/>
    <w:rsid w:val="00D33797"/>
    <w:rsid w:val="00D338E1"/>
    <w:rsid w:val="00D33DA2"/>
    <w:rsid w:val="00D33E61"/>
    <w:rsid w:val="00D3405D"/>
    <w:rsid w:val="00D3406C"/>
    <w:rsid w:val="00D340C2"/>
    <w:rsid w:val="00D34161"/>
    <w:rsid w:val="00D34170"/>
    <w:rsid w:val="00D343F1"/>
    <w:rsid w:val="00D345FB"/>
    <w:rsid w:val="00D34601"/>
    <w:rsid w:val="00D34779"/>
    <w:rsid w:val="00D34900"/>
    <w:rsid w:val="00D349C7"/>
    <w:rsid w:val="00D349DD"/>
    <w:rsid w:val="00D349E7"/>
    <w:rsid w:val="00D34A55"/>
    <w:rsid w:val="00D34C87"/>
    <w:rsid w:val="00D34EB6"/>
    <w:rsid w:val="00D34FBA"/>
    <w:rsid w:val="00D34FEE"/>
    <w:rsid w:val="00D35025"/>
    <w:rsid w:val="00D3516E"/>
    <w:rsid w:val="00D3517D"/>
    <w:rsid w:val="00D3542B"/>
    <w:rsid w:val="00D35568"/>
    <w:rsid w:val="00D3558E"/>
    <w:rsid w:val="00D355F0"/>
    <w:rsid w:val="00D3569C"/>
    <w:rsid w:val="00D356A5"/>
    <w:rsid w:val="00D356B4"/>
    <w:rsid w:val="00D3570A"/>
    <w:rsid w:val="00D35736"/>
    <w:rsid w:val="00D357E0"/>
    <w:rsid w:val="00D358E7"/>
    <w:rsid w:val="00D3590C"/>
    <w:rsid w:val="00D35A2E"/>
    <w:rsid w:val="00D35A79"/>
    <w:rsid w:val="00D35B18"/>
    <w:rsid w:val="00D35C17"/>
    <w:rsid w:val="00D35CE1"/>
    <w:rsid w:val="00D35D41"/>
    <w:rsid w:val="00D35E50"/>
    <w:rsid w:val="00D35E56"/>
    <w:rsid w:val="00D35F01"/>
    <w:rsid w:val="00D36285"/>
    <w:rsid w:val="00D363B8"/>
    <w:rsid w:val="00D364A2"/>
    <w:rsid w:val="00D36556"/>
    <w:rsid w:val="00D36566"/>
    <w:rsid w:val="00D3659E"/>
    <w:rsid w:val="00D36653"/>
    <w:rsid w:val="00D366F5"/>
    <w:rsid w:val="00D36785"/>
    <w:rsid w:val="00D36965"/>
    <w:rsid w:val="00D36967"/>
    <w:rsid w:val="00D36972"/>
    <w:rsid w:val="00D369EA"/>
    <w:rsid w:val="00D36A65"/>
    <w:rsid w:val="00D36AFA"/>
    <w:rsid w:val="00D36B1F"/>
    <w:rsid w:val="00D36B9C"/>
    <w:rsid w:val="00D36BE2"/>
    <w:rsid w:val="00D36DFF"/>
    <w:rsid w:val="00D36E26"/>
    <w:rsid w:val="00D36E3E"/>
    <w:rsid w:val="00D36FFA"/>
    <w:rsid w:val="00D37025"/>
    <w:rsid w:val="00D3709C"/>
    <w:rsid w:val="00D37163"/>
    <w:rsid w:val="00D37331"/>
    <w:rsid w:val="00D37386"/>
    <w:rsid w:val="00D37394"/>
    <w:rsid w:val="00D3755A"/>
    <w:rsid w:val="00D37592"/>
    <w:rsid w:val="00D37755"/>
    <w:rsid w:val="00D37785"/>
    <w:rsid w:val="00D377D4"/>
    <w:rsid w:val="00D377F4"/>
    <w:rsid w:val="00D37896"/>
    <w:rsid w:val="00D37A54"/>
    <w:rsid w:val="00D37ACF"/>
    <w:rsid w:val="00D37B21"/>
    <w:rsid w:val="00D37B8C"/>
    <w:rsid w:val="00D37C9C"/>
    <w:rsid w:val="00D37D3F"/>
    <w:rsid w:val="00D37E41"/>
    <w:rsid w:val="00D40047"/>
    <w:rsid w:val="00D40055"/>
    <w:rsid w:val="00D40056"/>
    <w:rsid w:val="00D40071"/>
    <w:rsid w:val="00D400B4"/>
    <w:rsid w:val="00D40362"/>
    <w:rsid w:val="00D4036F"/>
    <w:rsid w:val="00D4045B"/>
    <w:rsid w:val="00D404DE"/>
    <w:rsid w:val="00D404EF"/>
    <w:rsid w:val="00D40530"/>
    <w:rsid w:val="00D40672"/>
    <w:rsid w:val="00D4077E"/>
    <w:rsid w:val="00D4079A"/>
    <w:rsid w:val="00D407A1"/>
    <w:rsid w:val="00D40881"/>
    <w:rsid w:val="00D4093C"/>
    <w:rsid w:val="00D40B44"/>
    <w:rsid w:val="00D40B4B"/>
    <w:rsid w:val="00D40D00"/>
    <w:rsid w:val="00D40D23"/>
    <w:rsid w:val="00D40E70"/>
    <w:rsid w:val="00D40F4F"/>
    <w:rsid w:val="00D410D3"/>
    <w:rsid w:val="00D411B0"/>
    <w:rsid w:val="00D4126D"/>
    <w:rsid w:val="00D412A2"/>
    <w:rsid w:val="00D412DE"/>
    <w:rsid w:val="00D4130E"/>
    <w:rsid w:val="00D41542"/>
    <w:rsid w:val="00D415ED"/>
    <w:rsid w:val="00D419DA"/>
    <w:rsid w:val="00D41ADD"/>
    <w:rsid w:val="00D41B88"/>
    <w:rsid w:val="00D41CC3"/>
    <w:rsid w:val="00D41D39"/>
    <w:rsid w:val="00D41E81"/>
    <w:rsid w:val="00D42289"/>
    <w:rsid w:val="00D42346"/>
    <w:rsid w:val="00D42368"/>
    <w:rsid w:val="00D4238D"/>
    <w:rsid w:val="00D4242C"/>
    <w:rsid w:val="00D42458"/>
    <w:rsid w:val="00D424D1"/>
    <w:rsid w:val="00D425C7"/>
    <w:rsid w:val="00D426AF"/>
    <w:rsid w:val="00D42719"/>
    <w:rsid w:val="00D4274C"/>
    <w:rsid w:val="00D427A8"/>
    <w:rsid w:val="00D427B6"/>
    <w:rsid w:val="00D427D2"/>
    <w:rsid w:val="00D429FF"/>
    <w:rsid w:val="00D42A36"/>
    <w:rsid w:val="00D42C23"/>
    <w:rsid w:val="00D42DA1"/>
    <w:rsid w:val="00D42E87"/>
    <w:rsid w:val="00D42F33"/>
    <w:rsid w:val="00D42FF7"/>
    <w:rsid w:val="00D42FFA"/>
    <w:rsid w:val="00D43090"/>
    <w:rsid w:val="00D43092"/>
    <w:rsid w:val="00D430B7"/>
    <w:rsid w:val="00D43160"/>
    <w:rsid w:val="00D43167"/>
    <w:rsid w:val="00D431AD"/>
    <w:rsid w:val="00D431CB"/>
    <w:rsid w:val="00D432F6"/>
    <w:rsid w:val="00D43307"/>
    <w:rsid w:val="00D434C4"/>
    <w:rsid w:val="00D43518"/>
    <w:rsid w:val="00D43688"/>
    <w:rsid w:val="00D437E4"/>
    <w:rsid w:val="00D437F8"/>
    <w:rsid w:val="00D437FD"/>
    <w:rsid w:val="00D4381F"/>
    <w:rsid w:val="00D43AAA"/>
    <w:rsid w:val="00D43AC8"/>
    <w:rsid w:val="00D43B0A"/>
    <w:rsid w:val="00D43B1D"/>
    <w:rsid w:val="00D43B23"/>
    <w:rsid w:val="00D43B8A"/>
    <w:rsid w:val="00D43C3A"/>
    <w:rsid w:val="00D43DE6"/>
    <w:rsid w:val="00D43E94"/>
    <w:rsid w:val="00D43E95"/>
    <w:rsid w:val="00D43F09"/>
    <w:rsid w:val="00D43F1B"/>
    <w:rsid w:val="00D43F5F"/>
    <w:rsid w:val="00D43FBF"/>
    <w:rsid w:val="00D440C1"/>
    <w:rsid w:val="00D4411D"/>
    <w:rsid w:val="00D4412B"/>
    <w:rsid w:val="00D44166"/>
    <w:rsid w:val="00D441A9"/>
    <w:rsid w:val="00D4428D"/>
    <w:rsid w:val="00D442D0"/>
    <w:rsid w:val="00D443F2"/>
    <w:rsid w:val="00D44501"/>
    <w:rsid w:val="00D4450F"/>
    <w:rsid w:val="00D445CF"/>
    <w:rsid w:val="00D4461E"/>
    <w:rsid w:val="00D44664"/>
    <w:rsid w:val="00D446AF"/>
    <w:rsid w:val="00D4476A"/>
    <w:rsid w:val="00D44A41"/>
    <w:rsid w:val="00D44BCC"/>
    <w:rsid w:val="00D44E36"/>
    <w:rsid w:val="00D44E53"/>
    <w:rsid w:val="00D44EF4"/>
    <w:rsid w:val="00D44FAD"/>
    <w:rsid w:val="00D4503E"/>
    <w:rsid w:val="00D45164"/>
    <w:rsid w:val="00D45221"/>
    <w:rsid w:val="00D452A6"/>
    <w:rsid w:val="00D452E1"/>
    <w:rsid w:val="00D45334"/>
    <w:rsid w:val="00D453AE"/>
    <w:rsid w:val="00D4540D"/>
    <w:rsid w:val="00D454FB"/>
    <w:rsid w:val="00D4555D"/>
    <w:rsid w:val="00D455BB"/>
    <w:rsid w:val="00D455C7"/>
    <w:rsid w:val="00D45621"/>
    <w:rsid w:val="00D45685"/>
    <w:rsid w:val="00D456EB"/>
    <w:rsid w:val="00D45853"/>
    <w:rsid w:val="00D4593C"/>
    <w:rsid w:val="00D45BB9"/>
    <w:rsid w:val="00D45BF1"/>
    <w:rsid w:val="00D45D0E"/>
    <w:rsid w:val="00D45D9F"/>
    <w:rsid w:val="00D45DA1"/>
    <w:rsid w:val="00D45DC7"/>
    <w:rsid w:val="00D45DE7"/>
    <w:rsid w:val="00D45E3A"/>
    <w:rsid w:val="00D45F55"/>
    <w:rsid w:val="00D45FA4"/>
    <w:rsid w:val="00D4602C"/>
    <w:rsid w:val="00D4609C"/>
    <w:rsid w:val="00D460A7"/>
    <w:rsid w:val="00D462E1"/>
    <w:rsid w:val="00D4638A"/>
    <w:rsid w:val="00D463F7"/>
    <w:rsid w:val="00D4644D"/>
    <w:rsid w:val="00D46542"/>
    <w:rsid w:val="00D465FC"/>
    <w:rsid w:val="00D465FE"/>
    <w:rsid w:val="00D4665B"/>
    <w:rsid w:val="00D46667"/>
    <w:rsid w:val="00D469B0"/>
    <w:rsid w:val="00D46A5C"/>
    <w:rsid w:val="00D46A74"/>
    <w:rsid w:val="00D46B01"/>
    <w:rsid w:val="00D46B31"/>
    <w:rsid w:val="00D46BAE"/>
    <w:rsid w:val="00D46CB1"/>
    <w:rsid w:val="00D46D21"/>
    <w:rsid w:val="00D46E6B"/>
    <w:rsid w:val="00D46E93"/>
    <w:rsid w:val="00D47075"/>
    <w:rsid w:val="00D4717E"/>
    <w:rsid w:val="00D4756C"/>
    <w:rsid w:val="00D47912"/>
    <w:rsid w:val="00D47939"/>
    <w:rsid w:val="00D47AFC"/>
    <w:rsid w:val="00D47C04"/>
    <w:rsid w:val="00D47D8E"/>
    <w:rsid w:val="00D50138"/>
    <w:rsid w:val="00D50182"/>
    <w:rsid w:val="00D50307"/>
    <w:rsid w:val="00D50336"/>
    <w:rsid w:val="00D50405"/>
    <w:rsid w:val="00D5052A"/>
    <w:rsid w:val="00D50581"/>
    <w:rsid w:val="00D50584"/>
    <w:rsid w:val="00D50696"/>
    <w:rsid w:val="00D50760"/>
    <w:rsid w:val="00D50811"/>
    <w:rsid w:val="00D50879"/>
    <w:rsid w:val="00D5087E"/>
    <w:rsid w:val="00D508B7"/>
    <w:rsid w:val="00D508E3"/>
    <w:rsid w:val="00D50901"/>
    <w:rsid w:val="00D5093D"/>
    <w:rsid w:val="00D50994"/>
    <w:rsid w:val="00D50A20"/>
    <w:rsid w:val="00D50AD0"/>
    <w:rsid w:val="00D50BE6"/>
    <w:rsid w:val="00D50C6C"/>
    <w:rsid w:val="00D50DD6"/>
    <w:rsid w:val="00D50E4F"/>
    <w:rsid w:val="00D511A2"/>
    <w:rsid w:val="00D511E4"/>
    <w:rsid w:val="00D51288"/>
    <w:rsid w:val="00D512BB"/>
    <w:rsid w:val="00D51379"/>
    <w:rsid w:val="00D513A7"/>
    <w:rsid w:val="00D5153B"/>
    <w:rsid w:val="00D51610"/>
    <w:rsid w:val="00D51796"/>
    <w:rsid w:val="00D51807"/>
    <w:rsid w:val="00D51930"/>
    <w:rsid w:val="00D51976"/>
    <w:rsid w:val="00D51A39"/>
    <w:rsid w:val="00D51A4B"/>
    <w:rsid w:val="00D51ADA"/>
    <w:rsid w:val="00D51BDC"/>
    <w:rsid w:val="00D51C95"/>
    <w:rsid w:val="00D51D64"/>
    <w:rsid w:val="00D51DC9"/>
    <w:rsid w:val="00D51F20"/>
    <w:rsid w:val="00D5234D"/>
    <w:rsid w:val="00D5234E"/>
    <w:rsid w:val="00D5241C"/>
    <w:rsid w:val="00D52490"/>
    <w:rsid w:val="00D524D3"/>
    <w:rsid w:val="00D52686"/>
    <w:rsid w:val="00D526B7"/>
    <w:rsid w:val="00D5283E"/>
    <w:rsid w:val="00D5296F"/>
    <w:rsid w:val="00D52AA3"/>
    <w:rsid w:val="00D52D56"/>
    <w:rsid w:val="00D52D99"/>
    <w:rsid w:val="00D52DCC"/>
    <w:rsid w:val="00D52EC7"/>
    <w:rsid w:val="00D52F77"/>
    <w:rsid w:val="00D52F78"/>
    <w:rsid w:val="00D5306D"/>
    <w:rsid w:val="00D530DC"/>
    <w:rsid w:val="00D53121"/>
    <w:rsid w:val="00D532E1"/>
    <w:rsid w:val="00D53314"/>
    <w:rsid w:val="00D53325"/>
    <w:rsid w:val="00D53345"/>
    <w:rsid w:val="00D5339E"/>
    <w:rsid w:val="00D5340B"/>
    <w:rsid w:val="00D53654"/>
    <w:rsid w:val="00D53783"/>
    <w:rsid w:val="00D537A2"/>
    <w:rsid w:val="00D53812"/>
    <w:rsid w:val="00D53834"/>
    <w:rsid w:val="00D53986"/>
    <w:rsid w:val="00D539A7"/>
    <w:rsid w:val="00D53A4A"/>
    <w:rsid w:val="00D53AD7"/>
    <w:rsid w:val="00D53AE7"/>
    <w:rsid w:val="00D53C65"/>
    <w:rsid w:val="00D53D42"/>
    <w:rsid w:val="00D53D8D"/>
    <w:rsid w:val="00D53ED6"/>
    <w:rsid w:val="00D53EF6"/>
    <w:rsid w:val="00D53F44"/>
    <w:rsid w:val="00D54098"/>
    <w:rsid w:val="00D540F6"/>
    <w:rsid w:val="00D54240"/>
    <w:rsid w:val="00D54316"/>
    <w:rsid w:val="00D5431B"/>
    <w:rsid w:val="00D54334"/>
    <w:rsid w:val="00D543E9"/>
    <w:rsid w:val="00D54453"/>
    <w:rsid w:val="00D544B6"/>
    <w:rsid w:val="00D5462F"/>
    <w:rsid w:val="00D54636"/>
    <w:rsid w:val="00D5472C"/>
    <w:rsid w:val="00D5499A"/>
    <w:rsid w:val="00D54AFD"/>
    <w:rsid w:val="00D54C1A"/>
    <w:rsid w:val="00D54CA6"/>
    <w:rsid w:val="00D54D07"/>
    <w:rsid w:val="00D54EDD"/>
    <w:rsid w:val="00D54EE1"/>
    <w:rsid w:val="00D54EF6"/>
    <w:rsid w:val="00D54F46"/>
    <w:rsid w:val="00D55017"/>
    <w:rsid w:val="00D55055"/>
    <w:rsid w:val="00D5508D"/>
    <w:rsid w:val="00D550EC"/>
    <w:rsid w:val="00D550F9"/>
    <w:rsid w:val="00D553E2"/>
    <w:rsid w:val="00D553F2"/>
    <w:rsid w:val="00D55410"/>
    <w:rsid w:val="00D554DC"/>
    <w:rsid w:val="00D5556D"/>
    <w:rsid w:val="00D5558D"/>
    <w:rsid w:val="00D556A9"/>
    <w:rsid w:val="00D5574B"/>
    <w:rsid w:val="00D557AF"/>
    <w:rsid w:val="00D55A0F"/>
    <w:rsid w:val="00D55AF7"/>
    <w:rsid w:val="00D55B07"/>
    <w:rsid w:val="00D55BA0"/>
    <w:rsid w:val="00D55BB6"/>
    <w:rsid w:val="00D55DDD"/>
    <w:rsid w:val="00D55F08"/>
    <w:rsid w:val="00D56059"/>
    <w:rsid w:val="00D56113"/>
    <w:rsid w:val="00D561BD"/>
    <w:rsid w:val="00D561D9"/>
    <w:rsid w:val="00D5621C"/>
    <w:rsid w:val="00D562DC"/>
    <w:rsid w:val="00D5633B"/>
    <w:rsid w:val="00D563E6"/>
    <w:rsid w:val="00D563F4"/>
    <w:rsid w:val="00D56418"/>
    <w:rsid w:val="00D564E9"/>
    <w:rsid w:val="00D56506"/>
    <w:rsid w:val="00D565CB"/>
    <w:rsid w:val="00D56908"/>
    <w:rsid w:val="00D569BC"/>
    <w:rsid w:val="00D56B80"/>
    <w:rsid w:val="00D56CCE"/>
    <w:rsid w:val="00D56CE0"/>
    <w:rsid w:val="00D56D3D"/>
    <w:rsid w:val="00D56DB9"/>
    <w:rsid w:val="00D56E46"/>
    <w:rsid w:val="00D56F43"/>
    <w:rsid w:val="00D56F86"/>
    <w:rsid w:val="00D57083"/>
    <w:rsid w:val="00D57242"/>
    <w:rsid w:val="00D572F5"/>
    <w:rsid w:val="00D572FC"/>
    <w:rsid w:val="00D575BA"/>
    <w:rsid w:val="00D57689"/>
    <w:rsid w:val="00D576AA"/>
    <w:rsid w:val="00D57863"/>
    <w:rsid w:val="00D578A8"/>
    <w:rsid w:val="00D57CE1"/>
    <w:rsid w:val="00D57CE5"/>
    <w:rsid w:val="00D57D33"/>
    <w:rsid w:val="00D57D3C"/>
    <w:rsid w:val="00D57DC9"/>
    <w:rsid w:val="00D57DFE"/>
    <w:rsid w:val="00D57E2E"/>
    <w:rsid w:val="00D57FF4"/>
    <w:rsid w:val="00D6010F"/>
    <w:rsid w:val="00D601A9"/>
    <w:rsid w:val="00D601B0"/>
    <w:rsid w:val="00D60315"/>
    <w:rsid w:val="00D6036B"/>
    <w:rsid w:val="00D60471"/>
    <w:rsid w:val="00D604EE"/>
    <w:rsid w:val="00D604F9"/>
    <w:rsid w:val="00D605CD"/>
    <w:rsid w:val="00D6067F"/>
    <w:rsid w:val="00D607A4"/>
    <w:rsid w:val="00D607CC"/>
    <w:rsid w:val="00D607EA"/>
    <w:rsid w:val="00D60830"/>
    <w:rsid w:val="00D60900"/>
    <w:rsid w:val="00D609C2"/>
    <w:rsid w:val="00D60C4F"/>
    <w:rsid w:val="00D60C71"/>
    <w:rsid w:val="00D60CFF"/>
    <w:rsid w:val="00D6103C"/>
    <w:rsid w:val="00D61205"/>
    <w:rsid w:val="00D612B6"/>
    <w:rsid w:val="00D613A9"/>
    <w:rsid w:val="00D61464"/>
    <w:rsid w:val="00D6165D"/>
    <w:rsid w:val="00D6190A"/>
    <w:rsid w:val="00D61AF3"/>
    <w:rsid w:val="00D61DB5"/>
    <w:rsid w:val="00D61DC7"/>
    <w:rsid w:val="00D61DF2"/>
    <w:rsid w:val="00D61E15"/>
    <w:rsid w:val="00D61E59"/>
    <w:rsid w:val="00D61EBD"/>
    <w:rsid w:val="00D62018"/>
    <w:rsid w:val="00D620A8"/>
    <w:rsid w:val="00D620BC"/>
    <w:rsid w:val="00D62112"/>
    <w:rsid w:val="00D62170"/>
    <w:rsid w:val="00D622B3"/>
    <w:rsid w:val="00D62308"/>
    <w:rsid w:val="00D6230A"/>
    <w:rsid w:val="00D62338"/>
    <w:rsid w:val="00D623B5"/>
    <w:rsid w:val="00D6281E"/>
    <w:rsid w:val="00D628BE"/>
    <w:rsid w:val="00D628FC"/>
    <w:rsid w:val="00D62906"/>
    <w:rsid w:val="00D62920"/>
    <w:rsid w:val="00D62941"/>
    <w:rsid w:val="00D62ADA"/>
    <w:rsid w:val="00D62B77"/>
    <w:rsid w:val="00D62B9F"/>
    <w:rsid w:val="00D62D1D"/>
    <w:rsid w:val="00D62D4A"/>
    <w:rsid w:val="00D6315A"/>
    <w:rsid w:val="00D631B8"/>
    <w:rsid w:val="00D63200"/>
    <w:rsid w:val="00D63311"/>
    <w:rsid w:val="00D63325"/>
    <w:rsid w:val="00D63354"/>
    <w:rsid w:val="00D63368"/>
    <w:rsid w:val="00D6337F"/>
    <w:rsid w:val="00D633EF"/>
    <w:rsid w:val="00D63404"/>
    <w:rsid w:val="00D6346E"/>
    <w:rsid w:val="00D6348D"/>
    <w:rsid w:val="00D6374F"/>
    <w:rsid w:val="00D63846"/>
    <w:rsid w:val="00D63878"/>
    <w:rsid w:val="00D638A7"/>
    <w:rsid w:val="00D63A3B"/>
    <w:rsid w:val="00D63B26"/>
    <w:rsid w:val="00D63DD2"/>
    <w:rsid w:val="00D63DF2"/>
    <w:rsid w:val="00D63E44"/>
    <w:rsid w:val="00D63F46"/>
    <w:rsid w:val="00D63F4B"/>
    <w:rsid w:val="00D640B8"/>
    <w:rsid w:val="00D64226"/>
    <w:rsid w:val="00D64242"/>
    <w:rsid w:val="00D64243"/>
    <w:rsid w:val="00D64375"/>
    <w:rsid w:val="00D643F4"/>
    <w:rsid w:val="00D64409"/>
    <w:rsid w:val="00D645B8"/>
    <w:rsid w:val="00D64624"/>
    <w:rsid w:val="00D646DC"/>
    <w:rsid w:val="00D647DB"/>
    <w:rsid w:val="00D64819"/>
    <w:rsid w:val="00D64844"/>
    <w:rsid w:val="00D64873"/>
    <w:rsid w:val="00D648ED"/>
    <w:rsid w:val="00D649D4"/>
    <w:rsid w:val="00D64AF7"/>
    <w:rsid w:val="00D64F3E"/>
    <w:rsid w:val="00D65197"/>
    <w:rsid w:val="00D651AD"/>
    <w:rsid w:val="00D6525E"/>
    <w:rsid w:val="00D65322"/>
    <w:rsid w:val="00D65345"/>
    <w:rsid w:val="00D6534E"/>
    <w:rsid w:val="00D6541A"/>
    <w:rsid w:val="00D65449"/>
    <w:rsid w:val="00D658C4"/>
    <w:rsid w:val="00D6593F"/>
    <w:rsid w:val="00D659F0"/>
    <w:rsid w:val="00D65A27"/>
    <w:rsid w:val="00D65A59"/>
    <w:rsid w:val="00D65A6A"/>
    <w:rsid w:val="00D65AB9"/>
    <w:rsid w:val="00D65C28"/>
    <w:rsid w:val="00D65D72"/>
    <w:rsid w:val="00D65DFC"/>
    <w:rsid w:val="00D65E1E"/>
    <w:rsid w:val="00D65F6C"/>
    <w:rsid w:val="00D6601A"/>
    <w:rsid w:val="00D66092"/>
    <w:rsid w:val="00D6622E"/>
    <w:rsid w:val="00D663C4"/>
    <w:rsid w:val="00D664D4"/>
    <w:rsid w:val="00D66506"/>
    <w:rsid w:val="00D66531"/>
    <w:rsid w:val="00D66542"/>
    <w:rsid w:val="00D6665E"/>
    <w:rsid w:val="00D66667"/>
    <w:rsid w:val="00D666A8"/>
    <w:rsid w:val="00D666D3"/>
    <w:rsid w:val="00D6677A"/>
    <w:rsid w:val="00D667F2"/>
    <w:rsid w:val="00D668BD"/>
    <w:rsid w:val="00D669C1"/>
    <w:rsid w:val="00D66A9B"/>
    <w:rsid w:val="00D66A9C"/>
    <w:rsid w:val="00D66C7F"/>
    <w:rsid w:val="00D66CC1"/>
    <w:rsid w:val="00D66D9A"/>
    <w:rsid w:val="00D66E6D"/>
    <w:rsid w:val="00D66ECB"/>
    <w:rsid w:val="00D66F9B"/>
    <w:rsid w:val="00D6703A"/>
    <w:rsid w:val="00D67151"/>
    <w:rsid w:val="00D6724F"/>
    <w:rsid w:val="00D672FB"/>
    <w:rsid w:val="00D673FF"/>
    <w:rsid w:val="00D67438"/>
    <w:rsid w:val="00D67527"/>
    <w:rsid w:val="00D6753B"/>
    <w:rsid w:val="00D6768B"/>
    <w:rsid w:val="00D67708"/>
    <w:rsid w:val="00D6771F"/>
    <w:rsid w:val="00D67A47"/>
    <w:rsid w:val="00D67C69"/>
    <w:rsid w:val="00D67CBC"/>
    <w:rsid w:val="00D67D03"/>
    <w:rsid w:val="00D67D29"/>
    <w:rsid w:val="00D67E51"/>
    <w:rsid w:val="00D67E7D"/>
    <w:rsid w:val="00D67F31"/>
    <w:rsid w:val="00D67F3A"/>
    <w:rsid w:val="00D67F74"/>
    <w:rsid w:val="00D67FF2"/>
    <w:rsid w:val="00D70012"/>
    <w:rsid w:val="00D70252"/>
    <w:rsid w:val="00D703F1"/>
    <w:rsid w:val="00D7047F"/>
    <w:rsid w:val="00D70898"/>
    <w:rsid w:val="00D7092E"/>
    <w:rsid w:val="00D70954"/>
    <w:rsid w:val="00D709E9"/>
    <w:rsid w:val="00D70AC6"/>
    <w:rsid w:val="00D70C90"/>
    <w:rsid w:val="00D70D5A"/>
    <w:rsid w:val="00D70DA8"/>
    <w:rsid w:val="00D70DE4"/>
    <w:rsid w:val="00D70E8A"/>
    <w:rsid w:val="00D70F00"/>
    <w:rsid w:val="00D70F9B"/>
    <w:rsid w:val="00D71044"/>
    <w:rsid w:val="00D711CF"/>
    <w:rsid w:val="00D71338"/>
    <w:rsid w:val="00D713E9"/>
    <w:rsid w:val="00D7152B"/>
    <w:rsid w:val="00D7160D"/>
    <w:rsid w:val="00D71694"/>
    <w:rsid w:val="00D7176E"/>
    <w:rsid w:val="00D7176F"/>
    <w:rsid w:val="00D717BF"/>
    <w:rsid w:val="00D7198A"/>
    <w:rsid w:val="00D719AA"/>
    <w:rsid w:val="00D71B76"/>
    <w:rsid w:val="00D71BC2"/>
    <w:rsid w:val="00D71CDB"/>
    <w:rsid w:val="00D71D6F"/>
    <w:rsid w:val="00D71D78"/>
    <w:rsid w:val="00D71DB8"/>
    <w:rsid w:val="00D71DBA"/>
    <w:rsid w:val="00D71E16"/>
    <w:rsid w:val="00D71EB8"/>
    <w:rsid w:val="00D71F15"/>
    <w:rsid w:val="00D72064"/>
    <w:rsid w:val="00D720AD"/>
    <w:rsid w:val="00D72100"/>
    <w:rsid w:val="00D7215A"/>
    <w:rsid w:val="00D7216D"/>
    <w:rsid w:val="00D72347"/>
    <w:rsid w:val="00D725A9"/>
    <w:rsid w:val="00D725C1"/>
    <w:rsid w:val="00D725FD"/>
    <w:rsid w:val="00D72761"/>
    <w:rsid w:val="00D727FF"/>
    <w:rsid w:val="00D7286E"/>
    <w:rsid w:val="00D7287C"/>
    <w:rsid w:val="00D72954"/>
    <w:rsid w:val="00D7299A"/>
    <w:rsid w:val="00D729EE"/>
    <w:rsid w:val="00D72A52"/>
    <w:rsid w:val="00D72AAB"/>
    <w:rsid w:val="00D72AD3"/>
    <w:rsid w:val="00D72DBA"/>
    <w:rsid w:val="00D72E04"/>
    <w:rsid w:val="00D72EAA"/>
    <w:rsid w:val="00D72F91"/>
    <w:rsid w:val="00D72F94"/>
    <w:rsid w:val="00D73188"/>
    <w:rsid w:val="00D731DA"/>
    <w:rsid w:val="00D732AD"/>
    <w:rsid w:val="00D73394"/>
    <w:rsid w:val="00D7342A"/>
    <w:rsid w:val="00D735D5"/>
    <w:rsid w:val="00D73678"/>
    <w:rsid w:val="00D7368F"/>
    <w:rsid w:val="00D73860"/>
    <w:rsid w:val="00D73888"/>
    <w:rsid w:val="00D7391B"/>
    <w:rsid w:val="00D739AC"/>
    <w:rsid w:val="00D73BC3"/>
    <w:rsid w:val="00D73BC9"/>
    <w:rsid w:val="00D73CE5"/>
    <w:rsid w:val="00D73EA6"/>
    <w:rsid w:val="00D73F96"/>
    <w:rsid w:val="00D7409F"/>
    <w:rsid w:val="00D74175"/>
    <w:rsid w:val="00D74224"/>
    <w:rsid w:val="00D74289"/>
    <w:rsid w:val="00D742C4"/>
    <w:rsid w:val="00D74373"/>
    <w:rsid w:val="00D744B9"/>
    <w:rsid w:val="00D7456A"/>
    <w:rsid w:val="00D74792"/>
    <w:rsid w:val="00D747AC"/>
    <w:rsid w:val="00D74925"/>
    <w:rsid w:val="00D74954"/>
    <w:rsid w:val="00D749F8"/>
    <w:rsid w:val="00D74A0E"/>
    <w:rsid w:val="00D74A3E"/>
    <w:rsid w:val="00D74AA9"/>
    <w:rsid w:val="00D74BD0"/>
    <w:rsid w:val="00D74CA7"/>
    <w:rsid w:val="00D74D2B"/>
    <w:rsid w:val="00D74E61"/>
    <w:rsid w:val="00D74FF5"/>
    <w:rsid w:val="00D7517F"/>
    <w:rsid w:val="00D7518B"/>
    <w:rsid w:val="00D7519F"/>
    <w:rsid w:val="00D75265"/>
    <w:rsid w:val="00D754EE"/>
    <w:rsid w:val="00D7552F"/>
    <w:rsid w:val="00D7554E"/>
    <w:rsid w:val="00D755CC"/>
    <w:rsid w:val="00D75714"/>
    <w:rsid w:val="00D75723"/>
    <w:rsid w:val="00D75786"/>
    <w:rsid w:val="00D75793"/>
    <w:rsid w:val="00D75876"/>
    <w:rsid w:val="00D75910"/>
    <w:rsid w:val="00D75913"/>
    <w:rsid w:val="00D75967"/>
    <w:rsid w:val="00D759E5"/>
    <w:rsid w:val="00D75A92"/>
    <w:rsid w:val="00D75D58"/>
    <w:rsid w:val="00D75DAF"/>
    <w:rsid w:val="00D75E17"/>
    <w:rsid w:val="00D75EC6"/>
    <w:rsid w:val="00D75F2C"/>
    <w:rsid w:val="00D76006"/>
    <w:rsid w:val="00D760F2"/>
    <w:rsid w:val="00D76102"/>
    <w:rsid w:val="00D76356"/>
    <w:rsid w:val="00D76370"/>
    <w:rsid w:val="00D763D0"/>
    <w:rsid w:val="00D76469"/>
    <w:rsid w:val="00D76535"/>
    <w:rsid w:val="00D766B9"/>
    <w:rsid w:val="00D766D0"/>
    <w:rsid w:val="00D76852"/>
    <w:rsid w:val="00D768F2"/>
    <w:rsid w:val="00D76A6F"/>
    <w:rsid w:val="00D76B4F"/>
    <w:rsid w:val="00D76B7B"/>
    <w:rsid w:val="00D76C75"/>
    <w:rsid w:val="00D76E36"/>
    <w:rsid w:val="00D76EE4"/>
    <w:rsid w:val="00D76F18"/>
    <w:rsid w:val="00D770AA"/>
    <w:rsid w:val="00D770C0"/>
    <w:rsid w:val="00D77164"/>
    <w:rsid w:val="00D77283"/>
    <w:rsid w:val="00D77449"/>
    <w:rsid w:val="00D774F9"/>
    <w:rsid w:val="00D77543"/>
    <w:rsid w:val="00D775FA"/>
    <w:rsid w:val="00D777BF"/>
    <w:rsid w:val="00D77814"/>
    <w:rsid w:val="00D779BE"/>
    <w:rsid w:val="00D77A6B"/>
    <w:rsid w:val="00D77B89"/>
    <w:rsid w:val="00D77BA7"/>
    <w:rsid w:val="00D77BCA"/>
    <w:rsid w:val="00D77C02"/>
    <w:rsid w:val="00D77D25"/>
    <w:rsid w:val="00D77F8B"/>
    <w:rsid w:val="00D800FB"/>
    <w:rsid w:val="00D8034E"/>
    <w:rsid w:val="00D805A3"/>
    <w:rsid w:val="00D805C0"/>
    <w:rsid w:val="00D8078B"/>
    <w:rsid w:val="00D80826"/>
    <w:rsid w:val="00D808C4"/>
    <w:rsid w:val="00D80A3B"/>
    <w:rsid w:val="00D80D43"/>
    <w:rsid w:val="00D80E21"/>
    <w:rsid w:val="00D80EDA"/>
    <w:rsid w:val="00D80F16"/>
    <w:rsid w:val="00D80F2F"/>
    <w:rsid w:val="00D80F41"/>
    <w:rsid w:val="00D80F51"/>
    <w:rsid w:val="00D81056"/>
    <w:rsid w:val="00D8111B"/>
    <w:rsid w:val="00D81376"/>
    <w:rsid w:val="00D813C4"/>
    <w:rsid w:val="00D8144B"/>
    <w:rsid w:val="00D8148D"/>
    <w:rsid w:val="00D814B4"/>
    <w:rsid w:val="00D814DD"/>
    <w:rsid w:val="00D8156E"/>
    <w:rsid w:val="00D8167A"/>
    <w:rsid w:val="00D81680"/>
    <w:rsid w:val="00D817D4"/>
    <w:rsid w:val="00D81805"/>
    <w:rsid w:val="00D818D2"/>
    <w:rsid w:val="00D819CB"/>
    <w:rsid w:val="00D81A6D"/>
    <w:rsid w:val="00D81C07"/>
    <w:rsid w:val="00D81E3D"/>
    <w:rsid w:val="00D81E84"/>
    <w:rsid w:val="00D81EA6"/>
    <w:rsid w:val="00D82066"/>
    <w:rsid w:val="00D8209A"/>
    <w:rsid w:val="00D820DA"/>
    <w:rsid w:val="00D82242"/>
    <w:rsid w:val="00D82286"/>
    <w:rsid w:val="00D82321"/>
    <w:rsid w:val="00D824B0"/>
    <w:rsid w:val="00D824B9"/>
    <w:rsid w:val="00D824E9"/>
    <w:rsid w:val="00D82512"/>
    <w:rsid w:val="00D825CA"/>
    <w:rsid w:val="00D825E2"/>
    <w:rsid w:val="00D826AF"/>
    <w:rsid w:val="00D826CE"/>
    <w:rsid w:val="00D82736"/>
    <w:rsid w:val="00D82841"/>
    <w:rsid w:val="00D829F8"/>
    <w:rsid w:val="00D82A51"/>
    <w:rsid w:val="00D82BF8"/>
    <w:rsid w:val="00D82C1B"/>
    <w:rsid w:val="00D82C7C"/>
    <w:rsid w:val="00D82DCF"/>
    <w:rsid w:val="00D82DEF"/>
    <w:rsid w:val="00D82E4D"/>
    <w:rsid w:val="00D82E6C"/>
    <w:rsid w:val="00D82ED3"/>
    <w:rsid w:val="00D82EF3"/>
    <w:rsid w:val="00D82F45"/>
    <w:rsid w:val="00D82FD4"/>
    <w:rsid w:val="00D83035"/>
    <w:rsid w:val="00D833D9"/>
    <w:rsid w:val="00D8356E"/>
    <w:rsid w:val="00D836BF"/>
    <w:rsid w:val="00D836FA"/>
    <w:rsid w:val="00D837D2"/>
    <w:rsid w:val="00D83820"/>
    <w:rsid w:val="00D83908"/>
    <w:rsid w:val="00D83A3F"/>
    <w:rsid w:val="00D83A6E"/>
    <w:rsid w:val="00D83BD9"/>
    <w:rsid w:val="00D83C03"/>
    <w:rsid w:val="00D83D7F"/>
    <w:rsid w:val="00D83DBC"/>
    <w:rsid w:val="00D8406D"/>
    <w:rsid w:val="00D8408D"/>
    <w:rsid w:val="00D84348"/>
    <w:rsid w:val="00D84383"/>
    <w:rsid w:val="00D8499F"/>
    <w:rsid w:val="00D849F1"/>
    <w:rsid w:val="00D84A14"/>
    <w:rsid w:val="00D84CFA"/>
    <w:rsid w:val="00D84D46"/>
    <w:rsid w:val="00D84E3F"/>
    <w:rsid w:val="00D84F04"/>
    <w:rsid w:val="00D84F39"/>
    <w:rsid w:val="00D85019"/>
    <w:rsid w:val="00D85045"/>
    <w:rsid w:val="00D851F7"/>
    <w:rsid w:val="00D853A0"/>
    <w:rsid w:val="00D856D5"/>
    <w:rsid w:val="00D85744"/>
    <w:rsid w:val="00D857C1"/>
    <w:rsid w:val="00D857E8"/>
    <w:rsid w:val="00D8587E"/>
    <w:rsid w:val="00D85923"/>
    <w:rsid w:val="00D85A6E"/>
    <w:rsid w:val="00D85AB9"/>
    <w:rsid w:val="00D85B31"/>
    <w:rsid w:val="00D85D04"/>
    <w:rsid w:val="00D85D72"/>
    <w:rsid w:val="00D85DBC"/>
    <w:rsid w:val="00D85DDF"/>
    <w:rsid w:val="00D85E33"/>
    <w:rsid w:val="00D85E6A"/>
    <w:rsid w:val="00D86541"/>
    <w:rsid w:val="00D866A3"/>
    <w:rsid w:val="00D8686F"/>
    <w:rsid w:val="00D86A5A"/>
    <w:rsid w:val="00D86A97"/>
    <w:rsid w:val="00D86AC0"/>
    <w:rsid w:val="00D86ACE"/>
    <w:rsid w:val="00D86B38"/>
    <w:rsid w:val="00D86D4E"/>
    <w:rsid w:val="00D86E30"/>
    <w:rsid w:val="00D86FEC"/>
    <w:rsid w:val="00D8702D"/>
    <w:rsid w:val="00D87271"/>
    <w:rsid w:val="00D872D4"/>
    <w:rsid w:val="00D87423"/>
    <w:rsid w:val="00D8742B"/>
    <w:rsid w:val="00D874E3"/>
    <w:rsid w:val="00D87659"/>
    <w:rsid w:val="00D876D7"/>
    <w:rsid w:val="00D87796"/>
    <w:rsid w:val="00D87894"/>
    <w:rsid w:val="00D87B20"/>
    <w:rsid w:val="00D87B32"/>
    <w:rsid w:val="00D87B72"/>
    <w:rsid w:val="00D87BC5"/>
    <w:rsid w:val="00D87CA4"/>
    <w:rsid w:val="00D87CB4"/>
    <w:rsid w:val="00D87D13"/>
    <w:rsid w:val="00D87EC9"/>
    <w:rsid w:val="00D87F48"/>
    <w:rsid w:val="00D9020D"/>
    <w:rsid w:val="00D9020E"/>
    <w:rsid w:val="00D90256"/>
    <w:rsid w:val="00D90299"/>
    <w:rsid w:val="00D902A2"/>
    <w:rsid w:val="00D902E4"/>
    <w:rsid w:val="00D903EF"/>
    <w:rsid w:val="00D90500"/>
    <w:rsid w:val="00D90588"/>
    <w:rsid w:val="00D907FD"/>
    <w:rsid w:val="00D90853"/>
    <w:rsid w:val="00D908F0"/>
    <w:rsid w:val="00D90A92"/>
    <w:rsid w:val="00D90B25"/>
    <w:rsid w:val="00D90C07"/>
    <w:rsid w:val="00D90C42"/>
    <w:rsid w:val="00D90DC9"/>
    <w:rsid w:val="00D90F34"/>
    <w:rsid w:val="00D90F5E"/>
    <w:rsid w:val="00D90F76"/>
    <w:rsid w:val="00D90F7D"/>
    <w:rsid w:val="00D90FC2"/>
    <w:rsid w:val="00D91013"/>
    <w:rsid w:val="00D9125A"/>
    <w:rsid w:val="00D913BF"/>
    <w:rsid w:val="00D91417"/>
    <w:rsid w:val="00D91706"/>
    <w:rsid w:val="00D91892"/>
    <w:rsid w:val="00D918B4"/>
    <w:rsid w:val="00D91917"/>
    <w:rsid w:val="00D91A23"/>
    <w:rsid w:val="00D91AC9"/>
    <w:rsid w:val="00D91AD2"/>
    <w:rsid w:val="00D91B0B"/>
    <w:rsid w:val="00D91B2D"/>
    <w:rsid w:val="00D91C57"/>
    <w:rsid w:val="00D91C8D"/>
    <w:rsid w:val="00D91DE3"/>
    <w:rsid w:val="00D91DE9"/>
    <w:rsid w:val="00D91FD0"/>
    <w:rsid w:val="00D92021"/>
    <w:rsid w:val="00D920A3"/>
    <w:rsid w:val="00D920AB"/>
    <w:rsid w:val="00D92275"/>
    <w:rsid w:val="00D92372"/>
    <w:rsid w:val="00D9247E"/>
    <w:rsid w:val="00D924AE"/>
    <w:rsid w:val="00D9252A"/>
    <w:rsid w:val="00D92535"/>
    <w:rsid w:val="00D9256B"/>
    <w:rsid w:val="00D925AD"/>
    <w:rsid w:val="00D925AE"/>
    <w:rsid w:val="00D925E4"/>
    <w:rsid w:val="00D92600"/>
    <w:rsid w:val="00D9260D"/>
    <w:rsid w:val="00D92632"/>
    <w:rsid w:val="00D92667"/>
    <w:rsid w:val="00D92742"/>
    <w:rsid w:val="00D92866"/>
    <w:rsid w:val="00D92970"/>
    <w:rsid w:val="00D929AE"/>
    <w:rsid w:val="00D92B30"/>
    <w:rsid w:val="00D92BE5"/>
    <w:rsid w:val="00D92C75"/>
    <w:rsid w:val="00D92DAE"/>
    <w:rsid w:val="00D92DD9"/>
    <w:rsid w:val="00D92E1B"/>
    <w:rsid w:val="00D92E41"/>
    <w:rsid w:val="00D93040"/>
    <w:rsid w:val="00D9318C"/>
    <w:rsid w:val="00D93320"/>
    <w:rsid w:val="00D934EE"/>
    <w:rsid w:val="00D934FF"/>
    <w:rsid w:val="00D9355F"/>
    <w:rsid w:val="00D935B4"/>
    <w:rsid w:val="00D9368B"/>
    <w:rsid w:val="00D93761"/>
    <w:rsid w:val="00D937AB"/>
    <w:rsid w:val="00D937F3"/>
    <w:rsid w:val="00D93837"/>
    <w:rsid w:val="00D9392B"/>
    <w:rsid w:val="00D93B22"/>
    <w:rsid w:val="00D93B26"/>
    <w:rsid w:val="00D93B2A"/>
    <w:rsid w:val="00D93B2E"/>
    <w:rsid w:val="00D93B39"/>
    <w:rsid w:val="00D93E8A"/>
    <w:rsid w:val="00D93F31"/>
    <w:rsid w:val="00D94064"/>
    <w:rsid w:val="00D94203"/>
    <w:rsid w:val="00D94285"/>
    <w:rsid w:val="00D94352"/>
    <w:rsid w:val="00D94441"/>
    <w:rsid w:val="00D9445D"/>
    <w:rsid w:val="00D94598"/>
    <w:rsid w:val="00D945E8"/>
    <w:rsid w:val="00D94676"/>
    <w:rsid w:val="00D94677"/>
    <w:rsid w:val="00D947F3"/>
    <w:rsid w:val="00D94934"/>
    <w:rsid w:val="00D94A4E"/>
    <w:rsid w:val="00D94B74"/>
    <w:rsid w:val="00D94B82"/>
    <w:rsid w:val="00D94B9C"/>
    <w:rsid w:val="00D94BFD"/>
    <w:rsid w:val="00D94C9F"/>
    <w:rsid w:val="00D94DCF"/>
    <w:rsid w:val="00D94E39"/>
    <w:rsid w:val="00D94EAE"/>
    <w:rsid w:val="00D94EEB"/>
    <w:rsid w:val="00D94F33"/>
    <w:rsid w:val="00D95012"/>
    <w:rsid w:val="00D95081"/>
    <w:rsid w:val="00D9516B"/>
    <w:rsid w:val="00D951B3"/>
    <w:rsid w:val="00D95290"/>
    <w:rsid w:val="00D9537E"/>
    <w:rsid w:val="00D9567E"/>
    <w:rsid w:val="00D95820"/>
    <w:rsid w:val="00D958FC"/>
    <w:rsid w:val="00D95978"/>
    <w:rsid w:val="00D95A51"/>
    <w:rsid w:val="00D95AB7"/>
    <w:rsid w:val="00D95B74"/>
    <w:rsid w:val="00D95D3D"/>
    <w:rsid w:val="00D95D8D"/>
    <w:rsid w:val="00D95E19"/>
    <w:rsid w:val="00D95E5C"/>
    <w:rsid w:val="00D95F18"/>
    <w:rsid w:val="00D95FF9"/>
    <w:rsid w:val="00D96004"/>
    <w:rsid w:val="00D9601F"/>
    <w:rsid w:val="00D96051"/>
    <w:rsid w:val="00D9605C"/>
    <w:rsid w:val="00D960F4"/>
    <w:rsid w:val="00D961AE"/>
    <w:rsid w:val="00D961C7"/>
    <w:rsid w:val="00D961F9"/>
    <w:rsid w:val="00D96502"/>
    <w:rsid w:val="00D9654D"/>
    <w:rsid w:val="00D96552"/>
    <w:rsid w:val="00D96585"/>
    <w:rsid w:val="00D96936"/>
    <w:rsid w:val="00D96982"/>
    <w:rsid w:val="00D9698F"/>
    <w:rsid w:val="00D969D2"/>
    <w:rsid w:val="00D96B26"/>
    <w:rsid w:val="00D96B61"/>
    <w:rsid w:val="00D96BDA"/>
    <w:rsid w:val="00D96C12"/>
    <w:rsid w:val="00D96C36"/>
    <w:rsid w:val="00D96DA2"/>
    <w:rsid w:val="00D96DA7"/>
    <w:rsid w:val="00D96E43"/>
    <w:rsid w:val="00D96E87"/>
    <w:rsid w:val="00D96E97"/>
    <w:rsid w:val="00D96F44"/>
    <w:rsid w:val="00D96FB5"/>
    <w:rsid w:val="00D96FEB"/>
    <w:rsid w:val="00D971A8"/>
    <w:rsid w:val="00D97220"/>
    <w:rsid w:val="00D972FF"/>
    <w:rsid w:val="00D9739E"/>
    <w:rsid w:val="00D9742E"/>
    <w:rsid w:val="00D975CF"/>
    <w:rsid w:val="00D975D2"/>
    <w:rsid w:val="00D97624"/>
    <w:rsid w:val="00D979D4"/>
    <w:rsid w:val="00D97BCE"/>
    <w:rsid w:val="00D97BEF"/>
    <w:rsid w:val="00D97D36"/>
    <w:rsid w:val="00D97DC2"/>
    <w:rsid w:val="00D97E9A"/>
    <w:rsid w:val="00D97EB8"/>
    <w:rsid w:val="00DA00A6"/>
    <w:rsid w:val="00DA0102"/>
    <w:rsid w:val="00DA0158"/>
    <w:rsid w:val="00DA0220"/>
    <w:rsid w:val="00DA023F"/>
    <w:rsid w:val="00DA0276"/>
    <w:rsid w:val="00DA02BD"/>
    <w:rsid w:val="00DA02D1"/>
    <w:rsid w:val="00DA02F1"/>
    <w:rsid w:val="00DA0388"/>
    <w:rsid w:val="00DA03CA"/>
    <w:rsid w:val="00DA0760"/>
    <w:rsid w:val="00DA0786"/>
    <w:rsid w:val="00DA0821"/>
    <w:rsid w:val="00DA0AF9"/>
    <w:rsid w:val="00DA0B44"/>
    <w:rsid w:val="00DA0D01"/>
    <w:rsid w:val="00DA0D02"/>
    <w:rsid w:val="00DA0D7E"/>
    <w:rsid w:val="00DA0EA9"/>
    <w:rsid w:val="00DA10E3"/>
    <w:rsid w:val="00DA1174"/>
    <w:rsid w:val="00DA11FD"/>
    <w:rsid w:val="00DA1215"/>
    <w:rsid w:val="00DA129C"/>
    <w:rsid w:val="00DA1444"/>
    <w:rsid w:val="00DA1550"/>
    <w:rsid w:val="00DA156B"/>
    <w:rsid w:val="00DA168B"/>
    <w:rsid w:val="00DA1723"/>
    <w:rsid w:val="00DA1737"/>
    <w:rsid w:val="00DA1A64"/>
    <w:rsid w:val="00DA1AB9"/>
    <w:rsid w:val="00DA1C6A"/>
    <w:rsid w:val="00DA1C8F"/>
    <w:rsid w:val="00DA1F26"/>
    <w:rsid w:val="00DA1F7A"/>
    <w:rsid w:val="00DA215A"/>
    <w:rsid w:val="00DA219D"/>
    <w:rsid w:val="00DA227B"/>
    <w:rsid w:val="00DA27AC"/>
    <w:rsid w:val="00DA27E6"/>
    <w:rsid w:val="00DA28E5"/>
    <w:rsid w:val="00DA28FC"/>
    <w:rsid w:val="00DA2936"/>
    <w:rsid w:val="00DA29CD"/>
    <w:rsid w:val="00DA2A16"/>
    <w:rsid w:val="00DA2AC4"/>
    <w:rsid w:val="00DA2ADE"/>
    <w:rsid w:val="00DA2AE3"/>
    <w:rsid w:val="00DA2B02"/>
    <w:rsid w:val="00DA2BAE"/>
    <w:rsid w:val="00DA2BF0"/>
    <w:rsid w:val="00DA2C2F"/>
    <w:rsid w:val="00DA2D0E"/>
    <w:rsid w:val="00DA2D2D"/>
    <w:rsid w:val="00DA2E00"/>
    <w:rsid w:val="00DA2E90"/>
    <w:rsid w:val="00DA2F64"/>
    <w:rsid w:val="00DA2FB3"/>
    <w:rsid w:val="00DA3076"/>
    <w:rsid w:val="00DA30C5"/>
    <w:rsid w:val="00DA30D1"/>
    <w:rsid w:val="00DA317D"/>
    <w:rsid w:val="00DA320B"/>
    <w:rsid w:val="00DA3304"/>
    <w:rsid w:val="00DA33A9"/>
    <w:rsid w:val="00DA3429"/>
    <w:rsid w:val="00DA3592"/>
    <w:rsid w:val="00DA35DA"/>
    <w:rsid w:val="00DA35DE"/>
    <w:rsid w:val="00DA3705"/>
    <w:rsid w:val="00DA385F"/>
    <w:rsid w:val="00DA38A1"/>
    <w:rsid w:val="00DA3903"/>
    <w:rsid w:val="00DA3996"/>
    <w:rsid w:val="00DA39E2"/>
    <w:rsid w:val="00DA3A74"/>
    <w:rsid w:val="00DA3AED"/>
    <w:rsid w:val="00DA3BB2"/>
    <w:rsid w:val="00DA3BF4"/>
    <w:rsid w:val="00DA3C94"/>
    <w:rsid w:val="00DA3C95"/>
    <w:rsid w:val="00DA3CCA"/>
    <w:rsid w:val="00DA3CF6"/>
    <w:rsid w:val="00DA3CFB"/>
    <w:rsid w:val="00DA3DC6"/>
    <w:rsid w:val="00DA3E21"/>
    <w:rsid w:val="00DA3EEF"/>
    <w:rsid w:val="00DA3F0F"/>
    <w:rsid w:val="00DA3FAB"/>
    <w:rsid w:val="00DA3FB1"/>
    <w:rsid w:val="00DA4112"/>
    <w:rsid w:val="00DA411F"/>
    <w:rsid w:val="00DA4133"/>
    <w:rsid w:val="00DA4294"/>
    <w:rsid w:val="00DA42F6"/>
    <w:rsid w:val="00DA4406"/>
    <w:rsid w:val="00DA45EC"/>
    <w:rsid w:val="00DA4606"/>
    <w:rsid w:val="00DA46D7"/>
    <w:rsid w:val="00DA4794"/>
    <w:rsid w:val="00DA48EC"/>
    <w:rsid w:val="00DA494B"/>
    <w:rsid w:val="00DA49D4"/>
    <w:rsid w:val="00DA4A72"/>
    <w:rsid w:val="00DA4C00"/>
    <w:rsid w:val="00DA4C62"/>
    <w:rsid w:val="00DA4CF2"/>
    <w:rsid w:val="00DA4DCA"/>
    <w:rsid w:val="00DA4DD9"/>
    <w:rsid w:val="00DA4F06"/>
    <w:rsid w:val="00DA504B"/>
    <w:rsid w:val="00DA5168"/>
    <w:rsid w:val="00DA5182"/>
    <w:rsid w:val="00DA51EA"/>
    <w:rsid w:val="00DA5211"/>
    <w:rsid w:val="00DA55C6"/>
    <w:rsid w:val="00DA55DC"/>
    <w:rsid w:val="00DA55F8"/>
    <w:rsid w:val="00DA5741"/>
    <w:rsid w:val="00DA57B2"/>
    <w:rsid w:val="00DA586F"/>
    <w:rsid w:val="00DA592A"/>
    <w:rsid w:val="00DA598F"/>
    <w:rsid w:val="00DA5BD6"/>
    <w:rsid w:val="00DA5C58"/>
    <w:rsid w:val="00DA5CDE"/>
    <w:rsid w:val="00DA5DA1"/>
    <w:rsid w:val="00DA5F7F"/>
    <w:rsid w:val="00DA609C"/>
    <w:rsid w:val="00DA6184"/>
    <w:rsid w:val="00DA618A"/>
    <w:rsid w:val="00DA61A4"/>
    <w:rsid w:val="00DA63B8"/>
    <w:rsid w:val="00DA659C"/>
    <w:rsid w:val="00DA65EA"/>
    <w:rsid w:val="00DA6667"/>
    <w:rsid w:val="00DA6791"/>
    <w:rsid w:val="00DA6860"/>
    <w:rsid w:val="00DA6915"/>
    <w:rsid w:val="00DA6ACE"/>
    <w:rsid w:val="00DA6B0D"/>
    <w:rsid w:val="00DA6C16"/>
    <w:rsid w:val="00DA6CE5"/>
    <w:rsid w:val="00DA6CEF"/>
    <w:rsid w:val="00DA6D56"/>
    <w:rsid w:val="00DA6ED1"/>
    <w:rsid w:val="00DA6EF5"/>
    <w:rsid w:val="00DA6F74"/>
    <w:rsid w:val="00DA70D5"/>
    <w:rsid w:val="00DA71BA"/>
    <w:rsid w:val="00DA7221"/>
    <w:rsid w:val="00DA7328"/>
    <w:rsid w:val="00DA7331"/>
    <w:rsid w:val="00DA7424"/>
    <w:rsid w:val="00DA744D"/>
    <w:rsid w:val="00DA7529"/>
    <w:rsid w:val="00DA7543"/>
    <w:rsid w:val="00DA7587"/>
    <w:rsid w:val="00DA75B9"/>
    <w:rsid w:val="00DA75DD"/>
    <w:rsid w:val="00DA761A"/>
    <w:rsid w:val="00DA773A"/>
    <w:rsid w:val="00DA77D8"/>
    <w:rsid w:val="00DA7901"/>
    <w:rsid w:val="00DA79C9"/>
    <w:rsid w:val="00DA79DB"/>
    <w:rsid w:val="00DA7A7B"/>
    <w:rsid w:val="00DA7B06"/>
    <w:rsid w:val="00DA7C73"/>
    <w:rsid w:val="00DB002A"/>
    <w:rsid w:val="00DB00F9"/>
    <w:rsid w:val="00DB01A4"/>
    <w:rsid w:val="00DB01DD"/>
    <w:rsid w:val="00DB029F"/>
    <w:rsid w:val="00DB04E6"/>
    <w:rsid w:val="00DB0517"/>
    <w:rsid w:val="00DB05BE"/>
    <w:rsid w:val="00DB0650"/>
    <w:rsid w:val="00DB0696"/>
    <w:rsid w:val="00DB08DA"/>
    <w:rsid w:val="00DB09F9"/>
    <w:rsid w:val="00DB0AEA"/>
    <w:rsid w:val="00DB0BD4"/>
    <w:rsid w:val="00DB0C11"/>
    <w:rsid w:val="00DB0D29"/>
    <w:rsid w:val="00DB0E04"/>
    <w:rsid w:val="00DB0E45"/>
    <w:rsid w:val="00DB0F26"/>
    <w:rsid w:val="00DB0F52"/>
    <w:rsid w:val="00DB1053"/>
    <w:rsid w:val="00DB1067"/>
    <w:rsid w:val="00DB1096"/>
    <w:rsid w:val="00DB10B7"/>
    <w:rsid w:val="00DB115F"/>
    <w:rsid w:val="00DB11AC"/>
    <w:rsid w:val="00DB134D"/>
    <w:rsid w:val="00DB14F6"/>
    <w:rsid w:val="00DB1561"/>
    <w:rsid w:val="00DB15EB"/>
    <w:rsid w:val="00DB16D6"/>
    <w:rsid w:val="00DB1733"/>
    <w:rsid w:val="00DB17A0"/>
    <w:rsid w:val="00DB17DB"/>
    <w:rsid w:val="00DB183A"/>
    <w:rsid w:val="00DB1921"/>
    <w:rsid w:val="00DB19F2"/>
    <w:rsid w:val="00DB1AC2"/>
    <w:rsid w:val="00DB1B2A"/>
    <w:rsid w:val="00DB1B57"/>
    <w:rsid w:val="00DB1DC8"/>
    <w:rsid w:val="00DB1E16"/>
    <w:rsid w:val="00DB20F0"/>
    <w:rsid w:val="00DB22EE"/>
    <w:rsid w:val="00DB2335"/>
    <w:rsid w:val="00DB234E"/>
    <w:rsid w:val="00DB23D2"/>
    <w:rsid w:val="00DB23E9"/>
    <w:rsid w:val="00DB23FE"/>
    <w:rsid w:val="00DB24B7"/>
    <w:rsid w:val="00DB2517"/>
    <w:rsid w:val="00DB2519"/>
    <w:rsid w:val="00DB281E"/>
    <w:rsid w:val="00DB2913"/>
    <w:rsid w:val="00DB2D07"/>
    <w:rsid w:val="00DB2D23"/>
    <w:rsid w:val="00DB2DC3"/>
    <w:rsid w:val="00DB2E6B"/>
    <w:rsid w:val="00DB2F17"/>
    <w:rsid w:val="00DB2FC2"/>
    <w:rsid w:val="00DB331B"/>
    <w:rsid w:val="00DB3362"/>
    <w:rsid w:val="00DB3365"/>
    <w:rsid w:val="00DB34C3"/>
    <w:rsid w:val="00DB34F7"/>
    <w:rsid w:val="00DB35F0"/>
    <w:rsid w:val="00DB366D"/>
    <w:rsid w:val="00DB37E3"/>
    <w:rsid w:val="00DB3A06"/>
    <w:rsid w:val="00DB3A4D"/>
    <w:rsid w:val="00DB3A5D"/>
    <w:rsid w:val="00DB3A65"/>
    <w:rsid w:val="00DB3C1B"/>
    <w:rsid w:val="00DB3C26"/>
    <w:rsid w:val="00DB3CAB"/>
    <w:rsid w:val="00DB3CB4"/>
    <w:rsid w:val="00DB3D30"/>
    <w:rsid w:val="00DB3D99"/>
    <w:rsid w:val="00DB3EF2"/>
    <w:rsid w:val="00DB3FD6"/>
    <w:rsid w:val="00DB3FE1"/>
    <w:rsid w:val="00DB4039"/>
    <w:rsid w:val="00DB412C"/>
    <w:rsid w:val="00DB417C"/>
    <w:rsid w:val="00DB4379"/>
    <w:rsid w:val="00DB443C"/>
    <w:rsid w:val="00DB446B"/>
    <w:rsid w:val="00DB44C1"/>
    <w:rsid w:val="00DB450F"/>
    <w:rsid w:val="00DB45BC"/>
    <w:rsid w:val="00DB4655"/>
    <w:rsid w:val="00DB478C"/>
    <w:rsid w:val="00DB47C2"/>
    <w:rsid w:val="00DB4824"/>
    <w:rsid w:val="00DB4A17"/>
    <w:rsid w:val="00DB4A6E"/>
    <w:rsid w:val="00DB4CC9"/>
    <w:rsid w:val="00DB4CD4"/>
    <w:rsid w:val="00DB4DD6"/>
    <w:rsid w:val="00DB4E6F"/>
    <w:rsid w:val="00DB4F02"/>
    <w:rsid w:val="00DB4F1D"/>
    <w:rsid w:val="00DB50B8"/>
    <w:rsid w:val="00DB50E6"/>
    <w:rsid w:val="00DB50F6"/>
    <w:rsid w:val="00DB516D"/>
    <w:rsid w:val="00DB5267"/>
    <w:rsid w:val="00DB5305"/>
    <w:rsid w:val="00DB5323"/>
    <w:rsid w:val="00DB548F"/>
    <w:rsid w:val="00DB5510"/>
    <w:rsid w:val="00DB55A1"/>
    <w:rsid w:val="00DB560E"/>
    <w:rsid w:val="00DB5692"/>
    <w:rsid w:val="00DB5969"/>
    <w:rsid w:val="00DB5A05"/>
    <w:rsid w:val="00DB5A8D"/>
    <w:rsid w:val="00DB5B11"/>
    <w:rsid w:val="00DB5C56"/>
    <w:rsid w:val="00DB5C94"/>
    <w:rsid w:val="00DB5E34"/>
    <w:rsid w:val="00DB60C8"/>
    <w:rsid w:val="00DB6211"/>
    <w:rsid w:val="00DB622D"/>
    <w:rsid w:val="00DB63BC"/>
    <w:rsid w:val="00DB6569"/>
    <w:rsid w:val="00DB665C"/>
    <w:rsid w:val="00DB6686"/>
    <w:rsid w:val="00DB6851"/>
    <w:rsid w:val="00DB6B6B"/>
    <w:rsid w:val="00DB6E0C"/>
    <w:rsid w:val="00DB6E1E"/>
    <w:rsid w:val="00DB6E83"/>
    <w:rsid w:val="00DB6EAF"/>
    <w:rsid w:val="00DB6EE4"/>
    <w:rsid w:val="00DB6FCD"/>
    <w:rsid w:val="00DB6FD9"/>
    <w:rsid w:val="00DB7036"/>
    <w:rsid w:val="00DB70BF"/>
    <w:rsid w:val="00DB7123"/>
    <w:rsid w:val="00DB72A7"/>
    <w:rsid w:val="00DB760F"/>
    <w:rsid w:val="00DB762A"/>
    <w:rsid w:val="00DB7711"/>
    <w:rsid w:val="00DB79B4"/>
    <w:rsid w:val="00DB7A53"/>
    <w:rsid w:val="00DB7C41"/>
    <w:rsid w:val="00DB7C5A"/>
    <w:rsid w:val="00DB7DD2"/>
    <w:rsid w:val="00DB7F09"/>
    <w:rsid w:val="00DB7F48"/>
    <w:rsid w:val="00DB7FFA"/>
    <w:rsid w:val="00DC0028"/>
    <w:rsid w:val="00DC00E8"/>
    <w:rsid w:val="00DC00F9"/>
    <w:rsid w:val="00DC0133"/>
    <w:rsid w:val="00DC01D2"/>
    <w:rsid w:val="00DC01F4"/>
    <w:rsid w:val="00DC0429"/>
    <w:rsid w:val="00DC0492"/>
    <w:rsid w:val="00DC04F1"/>
    <w:rsid w:val="00DC05C8"/>
    <w:rsid w:val="00DC06E8"/>
    <w:rsid w:val="00DC0774"/>
    <w:rsid w:val="00DC0978"/>
    <w:rsid w:val="00DC0A65"/>
    <w:rsid w:val="00DC0ACB"/>
    <w:rsid w:val="00DC0CA5"/>
    <w:rsid w:val="00DC0E8F"/>
    <w:rsid w:val="00DC0ED8"/>
    <w:rsid w:val="00DC0FB3"/>
    <w:rsid w:val="00DC1043"/>
    <w:rsid w:val="00DC1132"/>
    <w:rsid w:val="00DC11C9"/>
    <w:rsid w:val="00DC12A2"/>
    <w:rsid w:val="00DC12D7"/>
    <w:rsid w:val="00DC132F"/>
    <w:rsid w:val="00DC1341"/>
    <w:rsid w:val="00DC1365"/>
    <w:rsid w:val="00DC13EF"/>
    <w:rsid w:val="00DC1410"/>
    <w:rsid w:val="00DC1435"/>
    <w:rsid w:val="00DC1468"/>
    <w:rsid w:val="00DC14E4"/>
    <w:rsid w:val="00DC14FA"/>
    <w:rsid w:val="00DC156B"/>
    <w:rsid w:val="00DC15AA"/>
    <w:rsid w:val="00DC16FE"/>
    <w:rsid w:val="00DC1990"/>
    <w:rsid w:val="00DC1A3C"/>
    <w:rsid w:val="00DC1A4D"/>
    <w:rsid w:val="00DC1C56"/>
    <w:rsid w:val="00DC1CA0"/>
    <w:rsid w:val="00DC1D92"/>
    <w:rsid w:val="00DC1DA4"/>
    <w:rsid w:val="00DC1DA5"/>
    <w:rsid w:val="00DC1E6E"/>
    <w:rsid w:val="00DC1F83"/>
    <w:rsid w:val="00DC2050"/>
    <w:rsid w:val="00DC22CE"/>
    <w:rsid w:val="00DC2438"/>
    <w:rsid w:val="00DC2505"/>
    <w:rsid w:val="00DC2523"/>
    <w:rsid w:val="00DC25D1"/>
    <w:rsid w:val="00DC2668"/>
    <w:rsid w:val="00DC26F3"/>
    <w:rsid w:val="00DC2712"/>
    <w:rsid w:val="00DC2750"/>
    <w:rsid w:val="00DC280E"/>
    <w:rsid w:val="00DC28A3"/>
    <w:rsid w:val="00DC28A9"/>
    <w:rsid w:val="00DC2904"/>
    <w:rsid w:val="00DC2943"/>
    <w:rsid w:val="00DC2976"/>
    <w:rsid w:val="00DC299A"/>
    <w:rsid w:val="00DC2AC5"/>
    <w:rsid w:val="00DC2AE9"/>
    <w:rsid w:val="00DC2C1C"/>
    <w:rsid w:val="00DC2D05"/>
    <w:rsid w:val="00DC2D07"/>
    <w:rsid w:val="00DC2D48"/>
    <w:rsid w:val="00DC2E4F"/>
    <w:rsid w:val="00DC2E88"/>
    <w:rsid w:val="00DC2EE5"/>
    <w:rsid w:val="00DC3028"/>
    <w:rsid w:val="00DC30E9"/>
    <w:rsid w:val="00DC3182"/>
    <w:rsid w:val="00DC3226"/>
    <w:rsid w:val="00DC3250"/>
    <w:rsid w:val="00DC328E"/>
    <w:rsid w:val="00DC32DA"/>
    <w:rsid w:val="00DC332E"/>
    <w:rsid w:val="00DC3450"/>
    <w:rsid w:val="00DC34A7"/>
    <w:rsid w:val="00DC3713"/>
    <w:rsid w:val="00DC372C"/>
    <w:rsid w:val="00DC3778"/>
    <w:rsid w:val="00DC37B5"/>
    <w:rsid w:val="00DC3A16"/>
    <w:rsid w:val="00DC3C54"/>
    <w:rsid w:val="00DC3D17"/>
    <w:rsid w:val="00DC3EE8"/>
    <w:rsid w:val="00DC4046"/>
    <w:rsid w:val="00DC407A"/>
    <w:rsid w:val="00DC407F"/>
    <w:rsid w:val="00DC426A"/>
    <w:rsid w:val="00DC432C"/>
    <w:rsid w:val="00DC442F"/>
    <w:rsid w:val="00DC44D1"/>
    <w:rsid w:val="00DC4539"/>
    <w:rsid w:val="00DC45C4"/>
    <w:rsid w:val="00DC45CA"/>
    <w:rsid w:val="00DC45D0"/>
    <w:rsid w:val="00DC45EC"/>
    <w:rsid w:val="00DC4739"/>
    <w:rsid w:val="00DC4756"/>
    <w:rsid w:val="00DC4887"/>
    <w:rsid w:val="00DC48DA"/>
    <w:rsid w:val="00DC48FB"/>
    <w:rsid w:val="00DC4938"/>
    <w:rsid w:val="00DC4A91"/>
    <w:rsid w:val="00DC4C87"/>
    <w:rsid w:val="00DC4C95"/>
    <w:rsid w:val="00DC4D1A"/>
    <w:rsid w:val="00DC4DC2"/>
    <w:rsid w:val="00DC4E25"/>
    <w:rsid w:val="00DC4F20"/>
    <w:rsid w:val="00DC4FDF"/>
    <w:rsid w:val="00DC5161"/>
    <w:rsid w:val="00DC5163"/>
    <w:rsid w:val="00DC51F2"/>
    <w:rsid w:val="00DC5306"/>
    <w:rsid w:val="00DC5508"/>
    <w:rsid w:val="00DC5724"/>
    <w:rsid w:val="00DC5AB1"/>
    <w:rsid w:val="00DC5C6A"/>
    <w:rsid w:val="00DC5E75"/>
    <w:rsid w:val="00DC5F2A"/>
    <w:rsid w:val="00DC600F"/>
    <w:rsid w:val="00DC60C4"/>
    <w:rsid w:val="00DC60EC"/>
    <w:rsid w:val="00DC6193"/>
    <w:rsid w:val="00DC62B0"/>
    <w:rsid w:val="00DC631F"/>
    <w:rsid w:val="00DC636C"/>
    <w:rsid w:val="00DC6379"/>
    <w:rsid w:val="00DC6439"/>
    <w:rsid w:val="00DC64BE"/>
    <w:rsid w:val="00DC6696"/>
    <w:rsid w:val="00DC67AE"/>
    <w:rsid w:val="00DC67DE"/>
    <w:rsid w:val="00DC67EA"/>
    <w:rsid w:val="00DC6843"/>
    <w:rsid w:val="00DC6947"/>
    <w:rsid w:val="00DC6AAD"/>
    <w:rsid w:val="00DC6C33"/>
    <w:rsid w:val="00DC6CF3"/>
    <w:rsid w:val="00DC6D3C"/>
    <w:rsid w:val="00DC6DAC"/>
    <w:rsid w:val="00DC6F71"/>
    <w:rsid w:val="00DC6FB9"/>
    <w:rsid w:val="00DC7090"/>
    <w:rsid w:val="00DC71DC"/>
    <w:rsid w:val="00DC727C"/>
    <w:rsid w:val="00DC72DE"/>
    <w:rsid w:val="00DC73E8"/>
    <w:rsid w:val="00DC74BB"/>
    <w:rsid w:val="00DC74BF"/>
    <w:rsid w:val="00DC74C9"/>
    <w:rsid w:val="00DC75A6"/>
    <w:rsid w:val="00DC75F3"/>
    <w:rsid w:val="00DC767D"/>
    <w:rsid w:val="00DC76CD"/>
    <w:rsid w:val="00DC79CC"/>
    <w:rsid w:val="00DC7AC3"/>
    <w:rsid w:val="00DC7ADF"/>
    <w:rsid w:val="00DC7B14"/>
    <w:rsid w:val="00DC7C74"/>
    <w:rsid w:val="00DC7DBD"/>
    <w:rsid w:val="00DC7F2A"/>
    <w:rsid w:val="00DD001D"/>
    <w:rsid w:val="00DD005E"/>
    <w:rsid w:val="00DD019A"/>
    <w:rsid w:val="00DD01A4"/>
    <w:rsid w:val="00DD02B3"/>
    <w:rsid w:val="00DD0309"/>
    <w:rsid w:val="00DD0473"/>
    <w:rsid w:val="00DD0534"/>
    <w:rsid w:val="00DD05DB"/>
    <w:rsid w:val="00DD06A2"/>
    <w:rsid w:val="00DD0700"/>
    <w:rsid w:val="00DD09DD"/>
    <w:rsid w:val="00DD0B65"/>
    <w:rsid w:val="00DD0C3C"/>
    <w:rsid w:val="00DD0CF4"/>
    <w:rsid w:val="00DD0D45"/>
    <w:rsid w:val="00DD0D4B"/>
    <w:rsid w:val="00DD0DA5"/>
    <w:rsid w:val="00DD0DCF"/>
    <w:rsid w:val="00DD0DD9"/>
    <w:rsid w:val="00DD0EA7"/>
    <w:rsid w:val="00DD0F11"/>
    <w:rsid w:val="00DD0F7B"/>
    <w:rsid w:val="00DD103A"/>
    <w:rsid w:val="00DD106C"/>
    <w:rsid w:val="00DD1167"/>
    <w:rsid w:val="00DD1194"/>
    <w:rsid w:val="00DD1238"/>
    <w:rsid w:val="00DD1310"/>
    <w:rsid w:val="00DD145F"/>
    <w:rsid w:val="00DD1477"/>
    <w:rsid w:val="00DD153D"/>
    <w:rsid w:val="00DD164D"/>
    <w:rsid w:val="00DD178B"/>
    <w:rsid w:val="00DD1949"/>
    <w:rsid w:val="00DD19EE"/>
    <w:rsid w:val="00DD1A9E"/>
    <w:rsid w:val="00DD1B80"/>
    <w:rsid w:val="00DD1CD4"/>
    <w:rsid w:val="00DD1DB9"/>
    <w:rsid w:val="00DD1DE7"/>
    <w:rsid w:val="00DD1E86"/>
    <w:rsid w:val="00DD1FE4"/>
    <w:rsid w:val="00DD204A"/>
    <w:rsid w:val="00DD20A9"/>
    <w:rsid w:val="00DD2307"/>
    <w:rsid w:val="00DD231B"/>
    <w:rsid w:val="00DD244D"/>
    <w:rsid w:val="00DD249A"/>
    <w:rsid w:val="00DD26A7"/>
    <w:rsid w:val="00DD274F"/>
    <w:rsid w:val="00DD282C"/>
    <w:rsid w:val="00DD2A1A"/>
    <w:rsid w:val="00DD2A9E"/>
    <w:rsid w:val="00DD2E44"/>
    <w:rsid w:val="00DD2F47"/>
    <w:rsid w:val="00DD2F66"/>
    <w:rsid w:val="00DD3075"/>
    <w:rsid w:val="00DD314E"/>
    <w:rsid w:val="00DD33D5"/>
    <w:rsid w:val="00DD3439"/>
    <w:rsid w:val="00DD35E7"/>
    <w:rsid w:val="00DD3685"/>
    <w:rsid w:val="00DD36F0"/>
    <w:rsid w:val="00DD3872"/>
    <w:rsid w:val="00DD39D7"/>
    <w:rsid w:val="00DD3AA6"/>
    <w:rsid w:val="00DD3AB4"/>
    <w:rsid w:val="00DD3DD9"/>
    <w:rsid w:val="00DD3E4D"/>
    <w:rsid w:val="00DD3E52"/>
    <w:rsid w:val="00DD406F"/>
    <w:rsid w:val="00DD4164"/>
    <w:rsid w:val="00DD4279"/>
    <w:rsid w:val="00DD448C"/>
    <w:rsid w:val="00DD4564"/>
    <w:rsid w:val="00DD45C1"/>
    <w:rsid w:val="00DD4616"/>
    <w:rsid w:val="00DD46F9"/>
    <w:rsid w:val="00DD4735"/>
    <w:rsid w:val="00DD474C"/>
    <w:rsid w:val="00DD479C"/>
    <w:rsid w:val="00DD47B7"/>
    <w:rsid w:val="00DD484D"/>
    <w:rsid w:val="00DD4955"/>
    <w:rsid w:val="00DD49B5"/>
    <w:rsid w:val="00DD4A09"/>
    <w:rsid w:val="00DD4AB7"/>
    <w:rsid w:val="00DD4CB6"/>
    <w:rsid w:val="00DD4FE5"/>
    <w:rsid w:val="00DD504B"/>
    <w:rsid w:val="00DD518F"/>
    <w:rsid w:val="00DD5316"/>
    <w:rsid w:val="00DD5334"/>
    <w:rsid w:val="00DD5349"/>
    <w:rsid w:val="00DD543D"/>
    <w:rsid w:val="00DD54CC"/>
    <w:rsid w:val="00DD54E5"/>
    <w:rsid w:val="00DD5582"/>
    <w:rsid w:val="00DD5683"/>
    <w:rsid w:val="00DD5730"/>
    <w:rsid w:val="00DD57A4"/>
    <w:rsid w:val="00DD58BB"/>
    <w:rsid w:val="00DD58BC"/>
    <w:rsid w:val="00DD5957"/>
    <w:rsid w:val="00DD59FB"/>
    <w:rsid w:val="00DD5A04"/>
    <w:rsid w:val="00DD5A25"/>
    <w:rsid w:val="00DD5A85"/>
    <w:rsid w:val="00DD5AA2"/>
    <w:rsid w:val="00DD5B70"/>
    <w:rsid w:val="00DD5B74"/>
    <w:rsid w:val="00DD5CA0"/>
    <w:rsid w:val="00DD5DD3"/>
    <w:rsid w:val="00DD5E16"/>
    <w:rsid w:val="00DD5F12"/>
    <w:rsid w:val="00DD5FDA"/>
    <w:rsid w:val="00DD5FF9"/>
    <w:rsid w:val="00DD6270"/>
    <w:rsid w:val="00DD6301"/>
    <w:rsid w:val="00DD637F"/>
    <w:rsid w:val="00DD6390"/>
    <w:rsid w:val="00DD6407"/>
    <w:rsid w:val="00DD65F3"/>
    <w:rsid w:val="00DD661F"/>
    <w:rsid w:val="00DD6652"/>
    <w:rsid w:val="00DD66D1"/>
    <w:rsid w:val="00DD66D5"/>
    <w:rsid w:val="00DD66E7"/>
    <w:rsid w:val="00DD6838"/>
    <w:rsid w:val="00DD6952"/>
    <w:rsid w:val="00DD69B0"/>
    <w:rsid w:val="00DD69CE"/>
    <w:rsid w:val="00DD6A82"/>
    <w:rsid w:val="00DD6A8A"/>
    <w:rsid w:val="00DD6BCD"/>
    <w:rsid w:val="00DD6BFD"/>
    <w:rsid w:val="00DD6C0E"/>
    <w:rsid w:val="00DD6D09"/>
    <w:rsid w:val="00DD6D18"/>
    <w:rsid w:val="00DD6D98"/>
    <w:rsid w:val="00DD6EFE"/>
    <w:rsid w:val="00DD6F48"/>
    <w:rsid w:val="00DD70FA"/>
    <w:rsid w:val="00DD710C"/>
    <w:rsid w:val="00DD72DE"/>
    <w:rsid w:val="00DD73EA"/>
    <w:rsid w:val="00DD74A1"/>
    <w:rsid w:val="00DD761D"/>
    <w:rsid w:val="00DD764E"/>
    <w:rsid w:val="00DD7677"/>
    <w:rsid w:val="00DD771A"/>
    <w:rsid w:val="00DD7746"/>
    <w:rsid w:val="00DD7882"/>
    <w:rsid w:val="00DD791A"/>
    <w:rsid w:val="00DD7933"/>
    <w:rsid w:val="00DD7941"/>
    <w:rsid w:val="00DD7956"/>
    <w:rsid w:val="00DD795E"/>
    <w:rsid w:val="00DD797F"/>
    <w:rsid w:val="00DD79A4"/>
    <w:rsid w:val="00DD7A1B"/>
    <w:rsid w:val="00DD7A52"/>
    <w:rsid w:val="00DD7A7A"/>
    <w:rsid w:val="00DD7ADB"/>
    <w:rsid w:val="00DD7B16"/>
    <w:rsid w:val="00DD7C2B"/>
    <w:rsid w:val="00DD7C3D"/>
    <w:rsid w:val="00DD7C8C"/>
    <w:rsid w:val="00DD7CD7"/>
    <w:rsid w:val="00DD7D92"/>
    <w:rsid w:val="00DD7E2B"/>
    <w:rsid w:val="00DD7FD2"/>
    <w:rsid w:val="00DE011A"/>
    <w:rsid w:val="00DE0129"/>
    <w:rsid w:val="00DE0359"/>
    <w:rsid w:val="00DE0417"/>
    <w:rsid w:val="00DE0457"/>
    <w:rsid w:val="00DE04DF"/>
    <w:rsid w:val="00DE0549"/>
    <w:rsid w:val="00DE0564"/>
    <w:rsid w:val="00DE08AA"/>
    <w:rsid w:val="00DE0B03"/>
    <w:rsid w:val="00DE0B84"/>
    <w:rsid w:val="00DE0B93"/>
    <w:rsid w:val="00DE0C01"/>
    <w:rsid w:val="00DE0C21"/>
    <w:rsid w:val="00DE0C2C"/>
    <w:rsid w:val="00DE0C78"/>
    <w:rsid w:val="00DE0DFA"/>
    <w:rsid w:val="00DE0EB8"/>
    <w:rsid w:val="00DE0F3E"/>
    <w:rsid w:val="00DE104E"/>
    <w:rsid w:val="00DE1146"/>
    <w:rsid w:val="00DE1396"/>
    <w:rsid w:val="00DE13FC"/>
    <w:rsid w:val="00DE170E"/>
    <w:rsid w:val="00DE17A8"/>
    <w:rsid w:val="00DE17B6"/>
    <w:rsid w:val="00DE17C4"/>
    <w:rsid w:val="00DE17D1"/>
    <w:rsid w:val="00DE1A15"/>
    <w:rsid w:val="00DE1A7A"/>
    <w:rsid w:val="00DE1B9E"/>
    <w:rsid w:val="00DE1C49"/>
    <w:rsid w:val="00DE1CD1"/>
    <w:rsid w:val="00DE1D7C"/>
    <w:rsid w:val="00DE1D94"/>
    <w:rsid w:val="00DE1EBC"/>
    <w:rsid w:val="00DE1EEF"/>
    <w:rsid w:val="00DE1FD4"/>
    <w:rsid w:val="00DE2026"/>
    <w:rsid w:val="00DE214D"/>
    <w:rsid w:val="00DE21D4"/>
    <w:rsid w:val="00DE2245"/>
    <w:rsid w:val="00DE2267"/>
    <w:rsid w:val="00DE22D1"/>
    <w:rsid w:val="00DE2348"/>
    <w:rsid w:val="00DE236D"/>
    <w:rsid w:val="00DE23B2"/>
    <w:rsid w:val="00DE24A8"/>
    <w:rsid w:val="00DE2533"/>
    <w:rsid w:val="00DE25E6"/>
    <w:rsid w:val="00DE25FC"/>
    <w:rsid w:val="00DE271C"/>
    <w:rsid w:val="00DE2763"/>
    <w:rsid w:val="00DE277C"/>
    <w:rsid w:val="00DE27BA"/>
    <w:rsid w:val="00DE283D"/>
    <w:rsid w:val="00DE28E1"/>
    <w:rsid w:val="00DE2905"/>
    <w:rsid w:val="00DE293D"/>
    <w:rsid w:val="00DE2956"/>
    <w:rsid w:val="00DE296E"/>
    <w:rsid w:val="00DE2A19"/>
    <w:rsid w:val="00DE2AF2"/>
    <w:rsid w:val="00DE2AFB"/>
    <w:rsid w:val="00DE2D25"/>
    <w:rsid w:val="00DE2D27"/>
    <w:rsid w:val="00DE2F9E"/>
    <w:rsid w:val="00DE2FEB"/>
    <w:rsid w:val="00DE30A0"/>
    <w:rsid w:val="00DE30A5"/>
    <w:rsid w:val="00DE3172"/>
    <w:rsid w:val="00DE31B8"/>
    <w:rsid w:val="00DE3493"/>
    <w:rsid w:val="00DE356D"/>
    <w:rsid w:val="00DE36D5"/>
    <w:rsid w:val="00DE3881"/>
    <w:rsid w:val="00DE3910"/>
    <w:rsid w:val="00DE3983"/>
    <w:rsid w:val="00DE3A1E"/>
    <w:rsid w:val="00DE3A53"/>
    <w:rsid w:val="00DE3BF0"/>
    <w:rsid w:val="00DE3C43"/>
    <w:rsid w:val="00DE3C58"/>
    <w:rsid w:val="00DE3C77"/>
    <w:rsid w:val="00DE3C97"/>
    <w:rsid w:val="00DE3D50"/>
    <w:rsid w:val="00DE3E37"/>
    <w:rsid w:val="00DE3F39"/>
    <w:rsid w:val="00DE3F3C"/>
    <w:rsid w:val="00DE3F80"/>
    <w:rsid w:val="00DE3FDF"/>
    <w:rsid w:val="00DE406A"/>
    <w:rsid w:val="00DE40DF"/>
    <w:rsid w:val="00DE41F2"/>
    <w:rsid w:val="00DE4263"/>
    <w:rsid w:val="00DE42CD"/>
    <w:rsid w:val="00DE4364"/>
    <w:rsid w:val="00DE4404"/>
    <w:rsid w:val="00DE448E"/>
    <w:rsid w:val="00DE44DF"/>
    <w:rsid w:val="00DE4513"/>
    <w:rsid w:val="00DE454F"/>
    <w:rsid w:val="00DE45E0"/>
    <w:rsid w:val="00DE480C"/>
    <w:rsid w:val="00DE4873"/>
    <w:rsid w:val="00DE48E6"/>
    <w:rsid w:val="00DE497B"/>
    <w:rsid w:val="00DE4981"/>
    <w:rsid w:val="00DE4984"/>
    <w:rsid w:val="00DE4993"/>
    <w:rsid w:val="00DE49E3"/>
    <w:rsid w:val="00DE4A18"/>
    <w:rsid w:val="00DE4A56"/>
    <w:rsid w:val="00DE4A7A"/>
    <w:rsid w:val="00DE4B30"/>
    <w:rsid w:val="00DE4B8D"/>
    <w:rsid w:val="00DE4C0D"/>
    <w:rsid w:val="00DE4E15"/>
    <w:rsid w:val="00DE4FAA"/>
    <w:rsid w:val="00DE501C"/>
    <w:rsid w:val="00DE50A5"/>
    <w:rsid w:val="00DE50DE"/>
    <w:rsid w:val="00DE5184"/>
    <w:rsid w:val="00DE5303"/>
    <w:rsid w:val="00DE5324"/>
    <w:rsid w:val="00DE5351"/>
    <w:rsid w:val="00DE5473"/>
    <w:rsid w:val="00DE5497"/>
    <w:rsid w:val="00DE54E1"/>
    <w:rsid w:val="00DE55C4"/>
    <w:rsid w:val="00DE55CD"/>
    <w:rsid w:val="00DE561D"/>
    <w:rsid w:val="00DE563E"/>
    <w:rsid w:val="00DE5665"/>
    <w:rsid w:val="00DE5724"/>
    <w:rsid w:val="00DE57A4"/>
    <w:rsid w:val="00DE5896"/>
    <w:rsid w:val="00DE5933"/>
    <w:rsid w:val="00DE596E"/>
    <w:rsid w:val="00DE5A1F"/>
    <w:rsid w:val="00DE5B1B"/>
    <w:rsid w:val="00DE5B6F"/>
    <w:rsid w:val="00DE5C8B"/>
    <w:rsid w:val="00DE5D2F"/>
    <w:rsid w:val="00DE5EBD"/>
    <w:rsid w:val="00DE5EF6"/>
    <w:rsid w:val="00DE6205"/>
    <w:rsid w:val="00DE6288"/>
    <w:rsid w:val="00DE62D6"/>
    <w:rsid w:val="00DE62F0"/>
    <w:rsid w:val="00DE6531"/>
    <w:rsid w:val="00DE65AD"/>
    <w:rsid w:val="00DE661B"/>
    <w:rsid w:val="00DE66AC"/>
    <w:rsid w:val="00DE67A1"/>
    <w:rsid w:val="00DE67A2"/>
    <w:rsid w:val="00DE6849"/>
    <w:rsid w:val="00DE6A37"/>
    <w:rsid w:val="00DE6AD2"/>
    <w:rsid w:val="00DE6B9D"/>
    <w:rsid w:val="00DE6D7D"/>
    <w:rsid w:val="00DE6E9E"/>
    <w:rsid w:val="00DE6EF6"/>
    <w:rsid w:val="00DE6FD4"/>
    <w:rsid w:val="00DE703F"/>
    <w:rsid w:val="00DE70F1"/>
    <w:rsid w:val="00DE7101"/>
    <w:rsid w:val="00DE7252"/>
    <w:rsid w:val="00DE726B"/>
    <w:rsid w:val="00DE72F8"/>
    <w:rsid w:val="00DE730E"/>
    <w:rsid w:val="00DE738D"/>
    <w:rsid w:val="00DE74F0"/>
    <w:rsid w:val="00DE74F2"/>
    <w:rsid w:val="00DE7533"/>
    <w:rsid w:val="00DE75A8"/>
    <w:rsid w:val="00DE767D"/>
    <w:rsid w:val="00DE78AC"/>
    <w:rsid w:val="00DE7A0E"/>
    <w:rsid w:val="00DE7B7E"/>
    <w:rsid w:val="00DE7B82"/>
    <w:rsid w:val="00DE7BED"/>
    <w:rsid w:val="00DE7C17"/>
    <w:rsid w:val="00DE7C88"/>
    <w:rsid w:val="00DE7E8C"/>
    <w:rsid w:val="00DE7EEB"/>
    <w:rsid w:val="00DE7F7E"/>
    <w:rsid w:val="00DF0067"/>
    <w:rsid w:val="00DF022B"/>
    <w:rsid w:val="00DF023C"/>
    <w:rsid w:val="00DF0270"/>
    <w:rsid w:val="00DF02E4"/>
    <w:rsid w:val="00DF043E"/>
    <w:rsid w:val="00DF04FE"/>
    <w:rsid w:val="00DF056E"/>
    <w:rsid w:val="00DF062C"/>
    <w:rsid w:val="00DF066A"/>
    <w:rsid w:val="00DF06F3"/>
    <w:rsid w:val="00DF06F5"/>
    <w:rsid w:val="00DF07AD"/>
    <w:rsid w:val="00DF08A8"/>
    <w:rsid w:val="00DF08CD"/>
    <w:rsid w:val="00DF091F"/>
    <w:rsid w:val="00DF0A63"/>
    <w:rsid w:val="00DF0E34"/>
    <w:rsid w:val="00DF0E3A"/>
    <w:rsid w:val="00DF103B"/>
    <w:rsid w:val="00DF10F5"/>
    <w:rsid w:val="00DF1148"/>
    <w:rsid w:val="00DF1220"/>
    <w:rsid w:val="00DF124A"/>
    <w:rsid w:val="00DF1374"/>
    <w:rsid w:val="00DF1380"/>
    <w:rsid w:val="00DF13B8"/>
    <w:rsid w:val="00DF149A"/>
    <w:rsid w:val="00DF15E8"/>
    <w:rsid w:val="00DF1626"/>
    <w:rsid w:val="00DF163C"/>
    <w:rsid w:val="00DF16B7"/>
    <w:rsid w:val="00DF16B8"/>
    <w:rsid w:val="00DF1729"/>
    <w:rsid w:val="00DF17B5"/>
    <w:rsid w:val="00DF1881"/>
    <w:rsid w:val="00DF199F"/>
    <w:rsid w:val="00DF1A60"/>
    <w:rsid w:val="00DF1B43"/>
    <w:rsid w:val="00DF1BE4"/>
    <w:rsid w:val="00DF1C3C"/>
    <w:rsid w:val="00DF1D32"/>
    <w:rsid w:val="00DF1E21"/>
    <w:rsid w:val="00DF1F83"/>
    <w:rsid w:val="00DF20EC"/>
    <w:rsid w:val="00DF21F4"/>
    <w:rsid w:val="00DF22B6"/>
    <w:rsid w:val="00DF2484"/>
    <w:rsid w:val="00DF261B"/>
    <w:rsid w:val="00DF266A"/>
    <w:rsid w:val="00DF26C0"/>
    <w:rsid w:val="00DF2708"/>
    <w:rsid w:val="00DF27BE"/>
    <w:rsid w:val="00DF27D1"/>
    <w:rsid w:val="00DF28BC"/>
    <w:rsid w:val="00DF2B1F"/>
    <w:rsid w:val="00DF2D8C"/>
    <w:rsid w:val="00DF2E19"/>
    <w:rsid w:val="00DF2E33"/>
    <w:rsid w:val="00DF2E49"/>
    <w:rsid w:val="00DF2F0E"/>
    <w:rsid w:val="00DF3086"/>
    <w:rsid w:val="00DF30A3"/>
    <w:rsid w:val="00DF30B9"/>
    <w:rsid w:val="00DF3143"/>
    <w:rsid w:val="00DF3156"/>
    <w:rsid w:val="00DF3173"/>
    <w:rsid w:val="00DF31B1"/>
    <w:rsid w:val="00DF31D8"/>
    <w:rsid w:val="00DF31E1"/>
    <w:rsid w:val="00DF3204"/>
    <w:rsid w:val="00DF3367"/>
    <w:rsid w:val="00DF3415"/>
    <w:rsid w:val="00DF3531"/>
    <w:rsid w:val="00DF3596"/>
    <w:rsid w:val="00DF37D4"/>
    <w:rsid w:val="00DF37FE"/>
    <w:rsid w:val="00DF3810"/>
    <w:rsid w:val="00DF383F"/>
    <w:rsid w:val="00DF390A"/>
    <w:rsid w:val="00DF391C"/>
    <w:rsid w:val="00DF3993"/>
    <w:rsid w:val="00DF39D1"/>
    <w:rsid w:val="00DF3A0C"/>
    <w:rsid w:val="00DF3A17"/>
    <w:rsid w:val="00DF3ABE"/>
    <w:rsid w:val="00DF3B8B"/>
    <w:rsid w:val="00DF3C38"/>
    <w:rsid w:val="00DF3D18"/>
    <w:rsid w:val="00DF3D3E"/>
    <w:rsid w:val="00DF3E9A"/>
    <w:rsid w:val="00DF3EA9"/>
    <w:rsid w:val="00DF3EDF"/>
    <w:rsid w:val="00DF3FF4"/>
    <w:rsid w:val="00DF4000"/>
    <w:rsid w:val="00DF4001"/>
    <w:rsid w:val="00DF4082"/>
    <w:rsid w:val="00DF40A0"/>
    <w:rsid w:val="00DF4250"/>
    <w:rsid w:val="00DF446D"/>
    <w:rsid w:val="00DF4579"/>
    <w:rsid w:val="00DF45DC"/>
    <w:rsid w:val="00DF45ED"/>
    <w:rsid w:val="00DF47CE"/>
    <w:rsid w:val="00DF4823"/>
    <w:rsid w:val="00DF49EE"/>
    <w:rsid w:val="00DF4A9A"/>
    <w:rsid w:val="00DF4B30"/>
    <w:rsid w:val="00DF4BB2"/>
    <w:rsid w:val="00DF4C6B"/>
    <w:rsid w:val="00DF4C7C"/>
    <w:rsid w:val="00DF4D01"/>
    <w:rsid w:val="00DF4D2A"/>
    <w:rsid w:val="00DF4E65"/>
    <w:rsid w:val="00DF4E9B"/>
    <w:rsid w:val="00DF4F2E"/>
    <w:rsid w:val="00DF4F5C"/>
    <w:rsid w:val="00DF4F66"/>
    <w:rsid w:val="00DF5094"/>
    <w:rsid w:val="00DF50D9"/>
    <w:rsid w:val="00DF5177"/>
    <w:rsid w:val="00DF52F4"/>
    <w:rsid w:val="00DF5340"/>
    <w:rsid w:val="00DF5349"/>
    <w:rsid w:val="00DF5356"/>
    <w:rsid w:val="00DF5357"/>
    <w:rsid w:val="00DF55C4"/>
    <w:rsid w:val="00DF5683"/>
    <w:rsid w:val="00DF56A4"/>
    <w:rsid w:val="00DF59EE"/>
    <w:rsid w:val="00DF59F8"/>
    <w:rsid w:val="00DF5ACD"/>
    <w:rsid w:val="00DF5B48"/>
    <w:rsid w:val="00DF5C39"/>
    <w:rsid w:val="00DF5C64"/>
    <w:rsid w:val="00DF5E23"/>
    <w:rsid w:val="00DF5E5F"/>
    <w:rsid w:val="00DF5F09"/>
    <w:rsid w:val="00DF5F1F"/>
    <w:rsid w:val="00DF5F4D"/>
    <w:rsid w:val="00DF6024"/>
    <w:rsid w:val="00DF612C"/>
    <w:rsid w:val="00DF615B"/>
    <w:rsid w:val="00DF61A2"/>
    <w:rsid w:val="00DF6253"/>
    <w:rsid w:val="00DF6326"/>
    <w:rsid w:val="00DF633A"/>
    <w:rsid w:val="00DF6470"/>
    <w:rsid w:val="00DF64F7"/>
    <w:rsid w:val="00DF65C2"/>
    <w:rsid w:val="00DF6674"/>
    <w:rsid w:val="00DF66A5"/>
    <w:rsid w:val="00DF66A9"/>
    <w:rsid w:val="00DF67AB"/>
    <w:rsid w:val="00DF67B0"/>
    <w:rsid w:val="00DF67C9"/>
    <w:rsid w:val="00DF67E5"/>
    <w:rsid w:val="00DF685D"/>
    <w:rsid w:val="00DF691A"/>
    <w:rsid w:val="00DF6951"/>
    <w:rsid w:val="00DF696B"/>
    <w:rsid w:val="00DF6A72"/>
    <w:rsid w:val="00DF6B1D"/>
    <w:rsid w:val="00DF6B25"/>
    <w:rsid w:val="00DF6B79"/>
    <w:rsid w:val="00DF6B93"/>
    <w:rsid w:val="00DF6D0C"/>
    <w:rsid w:val="00DF6DA7"/>
    <w:rsid w:val="00DF6DB3"/>
    <w:rsid w:val="00DF6E9D"/>
    <w:rsid w:val="00DF6EB7"/>
    <w:rsid w:val="00DF6F61"/>
    <w:rsid w:val="00DF6F6B"/>
    <w:rsid w:val="00DF6F7A"/>
    <w:rsid w:val="00DF707A"/>
    <w:rsid w:val="00DF70BE"/>
    <w:rsid w:val="00DF72C2"/>
    <w:rsid w:val="00DF7300"/>
    <w:rsid w:val="00DF733B"/>
    <w:rsid w:val="00DF73FA"/>
    <w:rsid w:val="00DF741A"/>
    <w:rsid w:val="00DF7554"/>
    <w:rsid w:val="00DF756E"/>
    <w:rsid w:val="00DF763B"/>
    <w:rsid w:val="00DF764E"/>
    <w:rsid w:val="00DF780C"/>
    <w:rsid w:val="00DF78F1"/>
    <w:rsid w:val="00DF799E"/>
    <w:rsid w:val="00DF7AA1"/>
    <w:rsid w:val="00DF7AB2"/>
    <w:rsid w:val="00DF7BBC"/>
    <w:rsid w:val="00DF7C0F"/>
    <w:rsid w:val="00DF7CDE"/>
    <w:rsid w:val="00DF7DD2"/>
    <w:rsid w:val="00DF7DE2"/>
    <w:rsid w:val="00DF7E32"/>
    <w:rsid w:val="00DF7F33"/>
    <w:rsid w:val="00DF7F83"/>
    <w:rsid w:val="00DF7FE5"/>
    <w:rsid w:val="00DF7FF8"/>
    <w:rsid w:val="00E0003D"/>
    <w:rsid w:val="00E0003F"/>
    <w:rsid w:val="00E000B2"/>
    <w:rsid w:val="00E002E8"/>
    <w:rsid w:val="00E0034D"/>
    <w:rsid w:val="00E00385"/>
    <w:rsid w:val="00E0041E"/>
    <w:rsid w:val="00E00500"/>
    <w:rsid w:val="00E0050D"/>
    <w:rsid w:val="00E005E8"/>
    <w:rsid w:val="00E00669"/>
    <w:rsid w:val="00E0071E"/>
    <w:rsid w:val="00E00813"/>
    <w:rsid w:val="00E00823"/>
    <w:rsid w:val="00E0090B"/>
    <w:rsid w:val="00E00925"/>
    <w:rsid w:val="00E009D9"/>
    <w:rsid w:val="00E00A23"/>
    <w:rsid w:val="00E00B83"/>
    <w:rsid w:val="00E00BFF"/>
    <w:rsid w:val="00E00C2A"/>
    <w:rsid w:val="00E00D14"/>
    <w:rsid w:val="00E00DD6"/>
    <w:rsid w:val="00E00DD8"/>
    <w:rsid w:val="00E00E2F"/>
    <w:rsid w:val="00E010BC"/>
    <w:rsid w:val="00E010BD"/>
    <w:rsid w:val="00E010E5"/>
    <w:rsid w:val="00E011AE"/>
    <w:rsid w:val="00E01205"/>
    <w:rsid w:val="00E0125E"/>
    <w:rsid w:val="00E012BC"/>
    <w:rsid w:val="00E0149D"/>
    <w:rsid w:val="00E015D7"/>
    <w:rsid w:val="00E01885"/>
    <w:rsid w:val="00E01BAA"/>
    <w:rsid w:val="00E01C69"/>
    <w:rsid w:val="00E01D38"/>
    <w:rsid w:val="00E01D78"/>
    <w:rsid w:val="00E01D8F"/>
    <w:rsid w:val="00E01E43"/>
    <w:rsid w:val="00E01F70"/>
    <w:rsid w:val="00E01FAE"/>
    <w:rsid w:val="00E0200A"/>
    <w:rsid w:val="00E0205C"/>
    <w:rsid w:val="00E020AF"/>
    <w:rsid w:val="00E02210"/>
    <w:rsid w:val="00E022A2"/>
    <w:rsid w:val="00E02319"/>
    <w:rsid w:val="00E0238F"/>
    <w:rsid w:val="00E02467"/>
    <w:rsid w:val="00E02469"/>
    <w:rsid w:val="00E02490"/>
    <w:rsid w:val="00E024ED"/>
    <w:rsid w:val="00E02514"/>
    <w:rsid w:val="00E025D9"/>
    <w:rsid w:val="00E026F1"/>
    <w:rsid w:val="00E02726"/>
    <w:rsid w:val="00E0276B"/>
    <w:rsid w:val="00E02AB7"/>
    <w:rsid w:val="00E02B5B"/>
    <w:rsid w:val="00E02C0D"/>
    <w:rsid w:val="00E02C40"/>
    <w:rsid w:val="00E02CB4"/>
    <w:rsid w:val="00E02DCF"/>
    <w:rsid w:val="00E02E02"/>
    <w:rsid w:val="00E02ED5"/>
    <w:rsid w:val="00E02F89"/>
    <w:rsid w:val="00E02F90"/>
    <w:rsid w:val="00E02FD3"/>
    <w:rsid w:val="00E030AF"/>
    <w:rsid w:val="00E031D8"/>
    <w:rsid w:val="00E032A3"/>
    <w:rsid w:val="00E03313"/>
    <w:rsid w:val="00E03355"/>
    <w:rsid w:val="00E033FF"/>
    <w:rsid w:val="00E03475"/>
    <w:rsid w:val="00E034A2"/>
    <w:rsid w:val="00E03520"/>
    <w:rsid w:val="00E03662"/>
    <w:rsid w:val="00E037C3"/>
    <w:rsid w:val="00E037FB"/>
    <w:rsid w:val="00E03934"/>
    <w:rsid w:val="00E039DF"/>
    <w:rsid w:val="00E03B1A"/>
    <w:rsid w:val="00E03BA2"/>
    <w:rsid w:val="00E03D45"/>
    <w:rsid w:val="00E03DD7"/>
    <w:rsid w:val="00E03DE3"/>
    <w:rsid w:val="00E03EBC"/>
    <w:rsid w:val="00E03F12"/>
    <w:rsid w:val="00E0402E"/>
    <w:rsid w:val="00E04427"/>
    <w:rsid w:val="00E04484"/>
    <w:rsid w:val="00E04624"/>
    <w:rsid w:val="00E04726"/>
    <w:rsid w:val="00E04831"/>
    <w:rsid w:val="00E049A7"/>
    <w:rsid w:val="00E04F14"/>
    <w:rsid w:val="00E04F4A"/>
    <w:rsid w:val="00E04FC9"/>
    <w:rsid w:val="00E04FCD"/>
    <w:rsid w:val="00E0500E"/>
    <w:rsid w:val="00E05173"/>
    <w:rsid w:val="00E05230"/>
    <w:rsid w:val="00E0529C"/>
    <w:rsid w:val="00E053C7"/>
    <w:rsid w:val="00E0551A"/>
    <w:rsid w:val="00E055F3"/>
    <w:rsid w:val="00E0571D"/>
    <w:rsid w:val="00E058E8"/>
    <w:rsid w:val="00E05947"/>
    <w:rsid w:val="00E059DF"/>
    <w:rsid w:val="00E05BD8"/>
    <w:rsid w:val="00E05C08"/>
    <w:rsid w:val="00E05E77"/>
    <w:rsid w:val="00E05F27"/>
    <w:rsid w:val="00E060D5"/>
    <w:rsid w:val="00E06191"/>
    <w:rsid w:val="00E062D4"/>
    <w:rsid w:val="00E062EB"/>
    <w:rsid w:val="00E0635E"/>
    <w:rsid w:val="00E06478"/>
    <w:rsid w:val="00E0655E"/>
    <w:rsid w:val="00E06675"/>
    <w:rsid w:val="00E0668C"/>
    <w:rsid w:val="00E066D9"/>
    <w:rsid w:val="00E06841"/>
    <w:rsid w:val="00E0688D"/>
    <w:rsid w:val="00E068CB"/>
    <w:rsid w:val="00E068D2"/>
    <w:rsid w:val="00E06A46"/>
    <w:rsid w:val="00E06B24"/>
    <w:rsid w:val="00E06B72"/>
    <w:rsid w:val="00E06BC0"/>
    <w:rsid w:val="00E06CA0"/>
    <w:rsid w:val="00E06CE0"/>
    <w:rsid w:val="00E06D14"/>
    <w:rsid w:val="00E06E3F"/>
    <w:rsid w:val="00E06E94"/>
    <w:rsid w:val="00E06F32"/>
    <w:rsid w:val="00E06FC7"/>
    <w:rsid w:val="00E070AD"/>
    <w:rsid w:val="00E07233"/>
    <w:rsid w:val="00E07366"/>
    <w:rsid w:val="00E07372"/>
    <w:rsid w:val="00E074F1"/>
    <w:rsid w:val="00E07686"/>
    <w:rsid w:val="00E076D8"/>
    <w:rsid w:val="00E07719"/>
    <w:rsid w:val="00E07748"/>
    <w:rsid w:val="00E0774E"/>
    <w:rsid w:val="00E07957"/>
    <w:rsid w:val="00E079EB"/>
    <w:rsid w:val="00E07B7C"/>
    <w:rsid w:val="00E07B9E"/>
    <w:rsid w:val="00E07BD9"/>
    <w:rsid w:val="00E07D7F"/>
    <w:rsid w:val="00E07F1D"/>
    <w:rsid w:val="00E07F81"/>
    <w:rsid w:val="00E10120"/>
    <w:rsid w:val="00E101BC"/>
    <w:rsid w:val="00E101C6"/>
    <w:rsid w:val="00E101E5"/>
    <w:rsid w:val="00E10237"/>
    <w:rsid w:val="00E1029B"/>
    <w:rsid w:val="00E102CB"/>
    <w:rsid w:val="00E1041F"/>
    <w:rsid w:val="00E10497"/>
    <w:rsid w:val="00E10578"/>
    <w:rsid w:val="00E105B9"/>
    <w:rsid w:val="00E105C3"/>
    <w:rsid w:val="00E10642"/>
    <w:rsid w:val="00E10727"/>
    <w:rsid w:val="00E1072F"/>
    <w:rsid w:val="00E1074F"/>
    <w:rsid w:val="00E107F3"/>
    <w:rsid w:val="00E107FC"/>
    <w:rsid w:val="00E10A4F"/>
    <w:rsid w:val="00E10AA8"/>
    <w:rsid w:val="00E10B9F"/>
    <w:rsid w:val="00E10C54"/>
    <w:rsid w:val="00E10CE9"/>
    <w:rsid w:val="00E10D32"/>
    <w:rsid w:val="00E10E35"/>
    <w:rsid w:val="00E10E38"/>
    <w:rsid w:val="00E10ED2"/>
    <w:rsid w:val="00E10EE5"/>
    <w:rsid w:val="00E10F53"/>
    <w:rsid w:val="00E11102"/>
    <w:rsid w:val="00E1121A"/>
    <w:rsid w:val="00E11295"/>
    <w:rsid w:val="00E112CB"/>
    <w:rsid w:val="00E112F4"/>
    <w:rsid w:val="00E112FB"/>
    <w:rsid w:val="00E113C0"/>
    <w:rsid w:val="00E115B2"/>
    <w:rsid w:val="00E115BF"/>
    <w:rsid w:val="00E11928"/>
    <w:rsid w:val="00E119C1"/>
    <w:rsid w:val="00E11A01"/>
    <w:rsid w:val="00E11AC5"/>
    <w:rsid w:val="00E11B74"/>
    <w:rsid w:val="00E11BB0"/>
    <w:rsid w:val="00E11C0F"/>
    <w:rsid w:val="00E11E5C"/>
    <w:rsid w:val="00E11E66"/>
    <w:rsid w:val="00E11E85"/>
    <w:rsid w:val="00E11EA4"/>
    <w:rsid w:val="00E11EDA"/>
    <w:rsid w:val="00E11EE7"/>
    <w:rsid w:val="00E11F3A"/>
    <w:rsid w:val="00E11FD9"/>
    <w:rsid w:val="00E12065"/>
    <w:rsid w:val="00E12116"/>
    <w:rsid w:val="00E12177"/>
    <w:rsid w:val="00E121C4"/>
    <w:rsid w:val="00E12439"/>
    <w:rsid w:val="00E12455"/>
    <w:rsid w:val="00E12475"/>
    <w:rsid w:val="00E126C3"/>
    <w:rsid w:val="00E12760"/>
    <w:rsid w:val="00E12765"/>
    <w:rsid w:val="00E127EE"/>
    <w:rsid w:val="00E1287E"/>
    <w:rsid w:val="00E128C0"/>
    <w:rsid w:val="00E128C5"/>
    <w:rsid w:val="00E128E1"/>
    <w:rsid w:val="00E129BA"/>
    <w:rsid w:val="00E12B38"/>
    <w:rsid w:val="00E12BFA"/>
    <w:rsid w:val="00E12C27"/>
    <w:rsid w:val="00E12CD0"/>
    <w:rsid w:val="00E12D07"/>
    <w:rsid w:val="00E12E2B"/>
    <w:rsid w:val="00E12E33"/>
    <w:rsid w:val="00E12E7C"/>
    <w:rsid w:val="00E12E99"/>
    <w:rsid w:val="00E12F9A"/>
    <w:rsid w:val="00E130AF"/>
    <w:rsid w:val="00E131E5"/>
    <w:rsid w:val="00E13259"/>
    <w:rsid w:val="00E13268"/>
    <w:rsid w:val="00E13353"/>
    <w:rsid w:val="00E13442"/>
    <w:rsid w:val="00E134B3"/>
    <w:rsid w:val="00E136F5"/>
    <w:rsid w:val="00E13792"/>
    <w:rsid w:val="00E1387D"/>
    <w:rsid w:val="00E138D8"/>
    <w:rsid w:val="00E138E1"/>
    <w:rsid w:val="00E13905"/>
    <w:rsid w:val="00E1395F"/>
    <w:rsid w:val="00E139E6"/>
    <w:rsid w:val="00E13ADD"/>
    <w:rsid w:val="00E13F29"/>
    <w:rsid w:val="00E13FC3"/>
    <w:rsid w:val="00E13FF9"/>
    <w:rsid w:val="00E14092"/>
    <w:rsid w:val="00E140E8"/>
    <w:rsid w:val="00E14149"/>
    <w:rsid w:val="00E1421D"/>
    <w:rsid w:val="00E1425E"/>
    <w:rsid w:val="00E14319"/>
    <w:rsid w:val="00E14502"/>
    <w:rsid w:val="00E1453F"/>
    <w:rsid w:val="00E1454C"/>
    <w:rsid w:val="00E145BC"/>
    <w:rsid w:val="00E14734"/>
    <w:rsid w:val="00E14948"/>
    <w:rsid w:val="00E14AA2"/>
    <w:rsid w:val="00E14B0B"/>
    <w:rsid w:val="00E14B27"/>
    <w:rsid w:val="00E14C7C"/>
    <w:rsid w:val="00E14CC4"/>
    <w:rsid w:val="00E14EA3"/>
    <w:rsid w:val="00E15022"/>
    <w:rsid w:val="00E150FC"/>
    <w:rsid w:val="00E15104"/>
    <w:rsid w:val="00E15111"/>
    <w:rsid w:val="00E151AB"/>
    <w:rsid w:val="00E1533D"/>
    <w:rsid w:val="00E154DD"/>
    <w:rsid w:val="00E15522"/>
    <w:rsid w:val="00E155E2"/>
    <w:rsid w:val="00E1574A"/>
    <w:rsid w:val="00E15889"/>
    <w:rsid w:val="00E158C4"/>
    <w:rsid w:val="00E15920"/>
    <w:rsid w:val="00E15926"/>
    <w:rsid w:val="00E15A07"/>
    <w:rsid w:val="00E15A3C"/>
    <w:rsid w:val="00E15B0E"/>
    <w:rsid w:val="00E15BA9"/>
    <w:rsid w:val="00E16075"/>
    <w:rsid w:val="00E16191"/>
    <w:rsid w:val="00E16355"/>
    <w:rsid w:val="00E1643F"/>
    <w:rsid w:val="00E1644F"/>
    <w:rsid w:val="00E16556"/>
    <w:rsid w:val="00E16789"/>
    <w:rsid w:val="00E167D2"/>
    <w:rsid w:val="00E167E4"/>
    <w:rsid w:val="00E16833"/>
    <w:rsid w:val="00E1683E"/>
    <w:rsid w:val="00E16993"/>
    <w:rsid w:val="00E169AD"/>
    <w:rsid w:val="00E16A4C"/>
    <w:rsid w:val="00E16C63"/>
    <w:rsid w:val="00E16C81"/>
    <w:rsid w:val="00E16D74"/>
    <w:rsid w:val="00E16E29"/>
    <w:rsid w:val="00E1709E"/>
    <w:rsid w:val="00E171D7"/>
    <w:rsid w:val="00E172CF"/>
    <w:rsid w:val="00E173F7"/>
    <w:rsid w:val="00E17450"/>
    <w:rsid w:val="00E17495"/>
    <w:rsid w:val="00E17499"/>
    <w:rsid w:val="00E17536"/>
    <w:rsid w:val="00E17561"/>
    <w:rsid w:val="00E175CB"/>
    <w:rsid w:val="00E176BD"/>
    <w:rsid w:val="00E17757"/>
    <w:rsid w:val="00E17817"/>
    <w:rsid w:val="00E178FA"/>
    <w:rsid w:val="00E179B1"/>
    <w:rsid w:val="00E179CD"/>
    <w:rsid w:val="00E179E9"/>
    <w:rsid w:val="00E179F8"/>
    <w:rsid w:val="00E17ADB"/>
    <w:rsid w:val="00E17D18"/>
    <w:rsid w:val="00E17EA5"/>
    <w:rsid w:val="00E17EBC"/>
    <w:rsid w:val="00E20020"/>
    <w:rsid w:val="00E2013B"/>
    <w:rsid w:val="00E2028C"/>
    <w:rsid w:val="00E202B2"/>
    <w:rsid w:val="00E20323"/>
    <w:rsid w:val="00E2053E"/>
    <w:rsid w:val="00E20570"/>
    <w:rsid w:val="00E206D0"/>
    <w:rsid w:val="00E20705"/>
    <w:rsid w:val="00E207FB"/>
    <w:rsid w:val="00E208B4"/>
    <w:rsid w:val="00E20939"/>
    <w:rsid w:val="00E20A6B"/>
    <w:rsid w:val="00E20A9A"/>
    <w:rsid w:val="00E20B74"/>
    <w:rsid w:val="00E20C96"/>
    <w:rsid w:val="00E20D5B"/>
    <w:rsid w:val="00E20D63"/>
    <w:rsid w:val="00E20E55"/>
    <w:rsid w:val="00E20EEF"/>
    <w:rsid w:val="00E21183"/>
    <w:rsid w:val="00E213C9"/>
    <w:rsid w:val="00E21541"/>
    <w:rsid w:val="00E21551"/>
    <w:rsid w:val="00E215D2"/>
    <w:rsid w:val="00E216EF"/>
    <w:rsid w:val="00E218E7"/>
    <w:rsid w:val="00E21ACB"/>
    <w:rsid w:val="00E21B87"/>
    <w:rsid w:val="00E21E60"/>
    <w:rsid w:val="00E21F1D"/>
    <w:rsid w:val="00E21F5F"/>
    <w:rsid w:val="00E21F61"/>
    <w:rsid w:val="00E2204C"/>
    <w:rsid w:val="00E220FE"/>
    <w:rsid w:val="00E22102"/>
    <w:rsid w:val="00E22265"/>
    <w:rsid w:val="00E22410"/>
    <w:rsid w:val="00E22644"/>
    <w:rsid w:val="00E22751"/>
    <w:rsid w:val="00E22919"/>
    <w:rsid w:val="00E22979"/>
    <w:rsid w:val="00E229D0"/>
    <w:rsid w:val="00E22AB1"/>
    <w:rsid w:val="00E22C05"/>
    <w:rsid w:val="00E22C42"/>
    <w:rsid w:val="00E22C89"/>
    <w:rsid w:val="00E22CB0"/>
    <w:rsid w:val="00E22D51"/>
    <w:rsid w:val="00E22D97"/>
    <w:rsid w:val="00E22EC6"/>
    <w:rsid w:val="00E22F9A"/>
    <w:rsid w:val="00E23020"/>
    <w:rsid w:val="00E23021"/>
    <w:rsid w:val="00E230B2"/>
    <w:rsid w:val="00E232C7"/>
    <w:rsid w:val="00E23340"/>
    <w:rsid w:val="00E23394"/>
    <w:rsid w:val="00E233FA"/>
    <w:rsid w:val="00E23404"/>
    <w:rsid w:val="00E23405"/>
    <w:rsid w:val="00E23457"/>
    <w:rsid w:val="00E235F9"/>
    <w:rsid w:val="00E2383E"/>
    <w:rsid w:val="00E238E5"/>
    <w:rsid w:val="00E238F6"/>
    <w:rsid w:val="00E23A8D"/>
    <w:rsid w:val="00E23A9F"/>
    <w:rsid w:val="00E23B0A"/>
    <w:rsid w:val="00E23C8B"/>
    <w:rsid w:val="00E23CA0"/>
    <w:rsid w:val="00E23CF3"/>
    <w:rsid w:val="00E23DC0"/>
    <w:rsid w:val="00E23E6C"/>
    <w:rsid w:val="00E23ED1"/>
    <w:rsid w:val="00E23EED"/>
    <w:rsid w:val="00E23F68"/>
    <w:rsid w:val="00E24124"/>
    <w:rsid w:val="00E24157"/>
    <w:rsid w:val="00E242A3"/>
    <w:rsid w:val="00E242CB"/>
    <w:rsid w:val="00E2439A"/>
    <w:rsid w:val="00E24412"/>
    <w:rsid w:val="00E244C4"/>
    <w:rsid w:val="00E245DD"/>
    <w:rsid w:val="00E245F9"/>
    <w:rsid w:val="00E24616"/>
    <w:rsid w:val="00E2466B"/>
    <w:rsid w:val="00E2467D"/>
    <w:rsid w:val="00E24984"/>
    <w:rsid w:val="00E24A21"/>
    <w:rsid w:val="00E24A2F"/>
    <w:rsid w:val="00E24A5B"/>
    <w:rsid w:val="00E24BFF"/>
    <w:rsid w:val="00E24C3E"/>
    <w:rsid w:val="00E24C60"/>
    <w:rsid w:val="00E24C7D"/>
    <w:rsid w:val="00E24DE1"/>
    <w:rsid w:val="00E24E38"/>
    <w:rsid w:val="00E24E57"/>
    <w:rsid w:val="00E24E5C"/>
    <w:rsid w:val="00E24F01"/>
    <w:rsid w:val="00E24F54"/>
    <w:rsid w:val="00E250E9"/>
    <w:rsid w:val="00E25150"/>
    <w:rsid w:val="00E2524A"/>
    <w:rsid w:val="00E25270"/>
    <w:rsid w:val="00E252BA"/>
    <w:rsid w:val="00E2540D"/>
    <w:rsid w:val="00E2546D"/>
    <w:rsid w:val="00E2546E"/>
    <w:rsid w:val="00E254A2"/>
    <w:rsid w:val="00E255DC"/>
    <w:rsid w:val="00E256F0"/>
    <w:rsid w:val="00E25798"/>
    <w:rsid w:val="00E257A9"/>
    <w:rsid w:val="00E257B7"/>
    <w:rsid w:val="00E257DB"/>
    <w:rsid w:val="00E25896"/>
    <w:rsid w:val="00E258CC"/>
    <w:rsid w:val="00E25A0E"/>
    <w:rsid w:val="00E25B0D"/>
    <w:rsid w:val="00E25B1C"/>
    <w:rsid w:val="00E25B60"/>
    <w:rsid w:val="00E25C5A"/>
    <w:rsid w:val="00E25D06"/>
    <w:rsid w:val="00E25D48"/>
    <w:rsid w:val="00E25DAD"/>
    <w:rsid w:val="00E25DE3"/>
    <w:rsid w:val="00E25F5B"/>
    <w:rsid w:val="00E25FB1"/>
    <w:rsid w:val="00E260C5"/>
    <w:rsid w:val="00E2618F"/>
    <w:rsid w:val="00E26220"/>
    <w:rsid w:val="00E262C6"/>
    <w:rsid w:val="00E26379"/>
    <w:rsid w:val="00E263FC"/>
    <w:rsid w:val="00E26488"/>
    <w:rsid w:val="00E2650B"/>
    <w:rsid w:val="00E26863"/>
    <w:rsid w:val="00E26940"/>
    <w:rsid w:val="00E26A74"/>
    <w:rsid w:val="00E26BD3"/>
    <w:rsid w:val="00E26C05"/>
    <w:rsid w:val="00E26C6F"/>
    <w:rsid w:val="00E26DC5"/>
    <w:rsid w:val="00E26E34"/>
    <w:rsid w:val="00E26E68"/>
    <w:rsid w:val="00E26E83"/>
    <w:rsid w:val="00E26F82"/>
    <w:rsid w:val="00E26FE9"/>
    <w:rsid w:val="00E26FEE"/>
    <w:rsid w:val="00E2724B"/>
    <w:rsid w:val="00E272D7"/>
    <w:rsid w:val="00E274BD"/>
    <w:rsid w:val="00E275BB"/>
    <w:rsid w:val="00E2779E"/>
    <w:rsid w:val="00E27800"/>
    <w:rsid w:val="00E2784E"/>
    <w:rsid w:val="00E279A3"/>
    <w:rsid w:val="00E279CC"/>
    <w:rsid w:val="00E27AB5"/>
    <w:rsid w:val="00E27B0F"/>
    <w:rsid w:val="00E27B45"/>
    <w:rsid w:val="00E27B66"/>
    <w:rsid w:val="00E27C54"/>
    <w:rsid w:val="00E27CC2"/>
    <w:rsid w:val="00E27DE4"/>
    <w:rsid w:val="00E27E10"/>
    <w:rsid w:val="00E27E3E"/>
    <w:rsid w:val="00E27E4A"/>
    <w:rsid w:val="00E300BB"/>
    <w:rsid w:val="00E30144"/>
    <w:rsid w:val="00E3016E"/>
    <w:rsid w:val="00E30399"/>
    <w:rsid w:val="00E30433"/>
    <w:rsid w:val="00E30480"/>
    <w:rsid w:val="00E30879"/>
    <w:rsid w:val="00E30893"/>
    <w:rsid w:val="00E3089F"/>
    <w:rsid w:val="00E308A5"/>
    <w:rsid w:val="00E30931"/>
    <w:rsid w:val="00E3096B"/>
    <w:rsid w:val="00E30B0C"/>
    <w:rsid w:val="00E30C2F"/>
    <w:rsid w:val="00E30C34"/>
    <w:rsid w:val="00E30C96"/>
    <w:rsid w:val="00E30D3D"/>
    <w:rsid w:val="00E30E4F"/>
    <w:rsid w:val="00E30E5C"/>
    <w:rsid w:val="00E30E6F"/>
    <w:rsid w:val="00E30EBF"/>
    <w:rsid w:val="00E30F91"/>
    <w:rsid w:val="00E31022"/>
    <w:rsid w:val="00E31264"/>
    <w:rsid w:val="00E31393"/>
    <w:rsid w:val="00E3147F"/>
    <w:rsid w:val="00E3165A"/>
    <w:rsid w:val="00E316CF"/>
    <w:rsid w:val="00E31820"/>
    <w:rsid w:val="00E31901"/>
    <w:rsid w:val="00E31C7F"/>
    <w:rsid w:val="00E31CD8"/>
    <w:rsid w:val="00E31CEE"/>
    <w:rsid w:val="00E31DC2"/>
    <w:rsid w:val="00E31E82"/>
    <w:rsid w:val="00E320E7"/>
    <w:rsid w:val="00E320F9"/>
    <w:rsid w:val="00E32250"/>
    <w:rsid w:val="00E3227B"/>
    <w:rsid w:val="00E3229A"/>
    <w:rsid w:val="00E32458"/>
    <w:rsid w:val="00E3249F"/>
    <w:rsid w:val="00E3255E"/>
    <w:rsid w:val="00E32818"/>
    <w:rsid w:val="00E32BC6"/>
    <w:rsid w:val="00E32BD9"/>
    <w:rsid w:val="00E32C50"/>
    <w:rsid w:val="00E32C6D"/>
    <w:rsid w:val="00E32CEA"/>
    <w:rsid w:val="00E32D8E"/>
    <w:rsid w:val="00E32F15"/>
    <w:rsid w:val="00E32F74"/>
    <w:rsid w:val="00E32FD5"/>
    <w:rsid w:val="00E3308C"/>
    <w:rsid w:val="00E3310D"/>
    <w:rsid w:val="00E334B1"/>
    <w:rsid w:val="00E335CF"/>
    <w:rsid w:val="00E33609"/>
    <w:rsid w:val="00E33709"/>
    <w:rsid w:val="00E337CA"/>
    <w:rsid w:val="00E339EB"/>
    <w:rsid w:val="00E33A0F"/>
    <w:rsid w:val="00E33A5B"/>
    <w:rsid w:val="00E33BD1"/>
    <w:rsid w:val="00E33C01"/>
    <w:rsid w:val="00E33C02"/>
    <w:rsid w:val="00E33C43"/>
    <w:rsid w:val="00E33C58"/>
    <w:rsid w:val="00E33C5F"/>
    <w:rsid w:val="00E34175"/>
    <w:rsid w:val="00E341D6"/>
    <w:rsid w:val="00E34250"/>
    <w:rsid w:val="00E34263"/>
    <w:rsid w:val="00E34363"/>
    <w:rsid w:val="00E3445E"/>
    <w:rsid w:val="00E34674"/>
    <w:rsid w:val="00E346CF"/>
    <w:rsid w:val="00E349A3"/>
    <w:rsid w:val="00E349A7"/>
    <w:rsid w:val="00E34A24"/>
    <w:rsid w:val="00E34A60"/>
    <w:rsid w:val="00E34A84"/>
    <w:rsid w:val="00E34B31"/>
    <w:rsid w:val="00E34D3E"/>
    <w:rsid w:val="00E34D57"/>
    <w:rsid w:val="00E34D78"/>
    <w:rsid w:val="00E34DC7"/>
    <w:rsid w:val="00E34E96"/>
    <w:rsid w:val="00E34F2F"/>
    <w:rsid w:val="00E34FF5"/>
    <w:rsid w:val="00E35193"/>
    <w:rsid w:val="00E351BD"/>
    <w:rsid w:val="00E35241"/>
    <w:rsid w:val="00E35271"/>
    <w:rsid w:val="00E3528D"/>
    <w:rsid w:val="00E352F0"/>
    <w:rsid w:val="00E353AB"/>
    <w:rsid w:val="00E3543D"/>
    <w:rsid w:val="00E354B8"/>
    <w:rsid w:val="00E35677"/>
    <w:rsid w:val="00E35714"/>
    <w:rsid w:val="00E358B1"/>
    <w:rsid w:val="00E358E0"/>
    <w:rsid w:val="00E35A67"/>
    <w:rsid w:val="00E35C3B"/>
    <w:rsid w:val="00E35CAA"/>
    <w:rsid w:val="00E35DC9"/>
    <w:rsid w:val="00E35DE0"/>
    <w:rsid w:val="00E35E88"/>
    <w:rsid w:val="00E36259"/>
    <w:rsid w:val="00E363D1"/>
    <w:rsid w:val="00E365D0"/>
    <w:rsid w:val="00E36735"/>
    <w:rsid w:val="00E367BF"/>
    <w:rsid w:val="00E36A86"/>
    <w:rsid w:val="00E36ACF"/>
    <w:rsid w:val="00E36B04"/>
    <w:rsid w:val="00E36CBE"/>
    <w:rsid w:val="00E36D0A"/>
    <w:rsid w:val="00E36D0E"/>
    <w:rsid w:val="00E36D40"/>
    <w:rsid w:val="00E36E08"/>
    <w:rsid w:val="00E36E0F"/>
    <w:rsid w:val="00E36F6F"/>
    <w:rsid w:val="00E36F7F"/>
    <w:rsid w:val="00E36F8A"/>
    <w:rsid w:val="00E36F9C"/>
    <w:rsid w:val="00E37026"/>
    <w:rsid w:val="00E37221"/>
    <w:rsid w:val="00E37270"/>
    <w:rsid w:val="00E37292"/>
    <w:rsid w:val="00E372DD"/>
    <w:rsid w:val="00E372E4"/>
    <w:rsid w:val="00E37367"/>
    <w:rsid w:val="00E37377"/>
    <w:rsid w:val="00E37488"/>
    <w:rsid w:val="00E3748E"/>
    <w:rsid w:val="00E375D0"/>
    <w:rsid w:val="00E3773F"/>
    <w:rsid w:val="00E37771"/>
    <w:rsid w:val="00E37896"/>
    <w:rsid w:val="00E37998"/>
    <w:rsid w:val="00E37B87"/>
    <w:rsid w:val="00E37CB0"/>
    <w:rsid w:val="00E37CC1"/>
    <w:rsid w:val="00E37CEC"/>
    <w:rsid w:val="00E37D2E"/>
    <w:rsid w:val="00E37D38"/>
    <w:rsid w:val="00E37D63"/>
    <w:rsid w:val="00E37FE8"/>
    <w:rsid w:val="00E400B3"/>
    <w:rsid w:val="00E40236"/>
    <w:rsid w:val="00E403E5"/>
    <w:rsid w:val="00E4046A"/>
    <w:rsid w:val="00E404A0"/>
    <w:rsid w:val="00E404ED"/>
    <w:rsid w:val="00E40703"/>
    <w:rsid w:val="00E408EE"/>
    <w:rsid w:val="00E40932"/>
    <w:rsid w:val="00E40983"/>
    <w:rsid w:val="00E40A99"/>
    <w:rsid w:val="00E40AE3"/>
    <w:rsid w:val="00E40CA3"/>
    <w:rsid w:val="00E40D12"/>
    <w:rsid w:val="00E40D98"/>
    <w:rsid w:val="00E40E79"/>
    <w:rsid w:val="00E40F9F"/>
    <w:rsid w:val="00E411BE"/>
    <w:rsid w:val="00E41275"/>
    <w:rsid w:val="00E412C0"/>
    <w:rsid w:val="00E41306"/>
    <w:rsid w:val="00E4134C"/>
    <w:rsid w:val="00E415AA"/>
    <w:rsid w:val="00E415CC"/>
    <w:rsid w:val="00E41684"/>
    <w:rsid w:val="00E416E3"/>
    <w:rsid w:val="00E41756"/>
    <w:rsid w:val="00E41804"/>
    <w:rsid w:val="00E41A88"/>
    <w:rsid w:val="00E41AE9"/>
    <w:rsid w:val="00E41C4B"/>
    <w:rsid w:val="00E41E06"/>
    <w:rsid w:val="00E41E7B"/>
    <w:rsid w:val="00E420DF"/>
    <w:rsid w:val="00E421C0"/>
    <w:rsid w:val="00E42224"/>
    <w:rsid w:val="00E422E6"/>
    <w:rsid w:val="00E42405"/>
    <w:rsid w:val="00E424B9"/>
    <w:rsid w:val="00E4274F"/>
    <w:rsid w:val="00E428CB"/>
    <w:rsid w:val="00E42A0B"/>
    <w:rsid w:val="00E42A2B"/>
    <w:rsid w:val="00E42ABF"/>
    <w:rsid w:val="00E42BBF"/>
    <w:rsid w:val="00E42D09"/>
    <w:rsid w:val="00E42D1B"/>
    <w:rsid w:val="00E42F74"/>
    <w:rsid w:val="00E43141"/>
    <w:rsid w:val="00E431B0"/>
    <w:rsid w:val="00E4323A"/>
    <w:rsid w:val="00E432D1"/>
    <w:rsid w:val="00E4331F"/>
    <w:rsid w:val="00E4333A"/>
    <w:rsid w:val="00E43351"/>
    <w:rsid w:val="00E43361"/>
    <w:rsid w:val="00E433C1"/>
    <w:rsid w:val="00E43746"/>
    <w:rsid w:val="00E4377E"/>
    <w:rsid w:val="00E4384D"/>
    <w:rsid w:val="00E4393E"/>
    <w:rsid w:val="00E439AC"/>
    <w:rsid w:val="00E43A52"/>
    <w:rsid w:val="00E43A8E"/>
    <w:rsid w:val="00E43B6E"/>
    <w:rsid w:val="00E43C85"/>
    <w:rsid w:val="00E43D56"/>
    <w:rsid w:val="00E43D59"/>
    <w:rsid w:val="00E43DC9"/>
    <w:rsid w:val="00E43EBA"/>
    <w:rsid w:val="00E43EDA"/>
    <w:rsid w:val="00E44004"/>
    <w:rsid w:val="00E44035"/>
    <w:rsid w:val="00E44069"/>
    <w:rsid w:val="00E44087"/>
    <w:rsid w:val="00E44156"/>
    <w:rsid w:val="00E441EA"/>
    <w:rsid w:val="00E44366"/>
    <w:rsid w:val="00E4444A"/>
    <w:rsid w:val="00E444A3"/>
    <w:rsid w:val="00E444B1"/>
    <w:rsid w:val="00E44557"/>
    <w:rsid w:val="00E4457F"/>
    <w:rsid w:val="00E4464F"/>
    <w:rsid w:val="00E448B1"/>
    <w:rsid w:val="00E448EF"/>
    <w:rsid w:val="00E44A3D"/>
    <w:rsid w:val="00E44AA2"/>
    <w:rsid w:val="00E44ABE"/>
    <w:rsid w:val="00E44AF1"/>
    <w:rsid w:val="00E44B0F"/>
    <w:rsid w:val="00E44B79"/>
    <w:rsid w:val="00E44CBD"/>
    <w:rsid w:val="00E44CC8"/>
    <w:rsid w:val="00E44E60"/>
    <w:rsid w:val="00E44F83"/>
    <w:rsid w:val="00E44FA4"/>
    <w:rsid w:val="00E4508B"/>
    <w:rsid w:val="00E4518B"/>
    <w:rsid w:val="00E45235"/>
    <w:rsid w:val="00E452AC"/>
    <w:rsid w:val="00E45352"/>
    <w:rsid w:val="00E45403"/>
    <w:rsid w:val="00E4551B"/>
    <w:rsid w:val="00E45522"/>
    <w:rsid w:val="00E45549"/>
    <w:rsid w:val="00E45554"/>
    <w:rsid w:val="00E45654"/>
    <w:rsid w:val="00E456CF"/>
    <w:rsid w:val="00E45790"/>
    <w:rsid w:val="00E457CB"/>
    <w:rsid w:val="00E4585E"/>
    <w:rsid w:val="00E458AD"/>
    <w:rsid w:val="00E458BA"/>
    <w:rsid w:val="00E458C1"/>
    <w:rsid w:val="00E458F8"/>
    <w:rsid w:val="00E459BC"/>
    <w:rsid w:val="00E45A26"/>
    <w:rsid w:val="00E45BC3"/>
    <w:rsid w:val="00E45BE2"/>
    <w:rsid w:val="00E45CB8"/>
    <w:rsid w:val="00E45CDD"/>
    <w:rsid w:val="00E45DD1"/>
    <w:rsid w:val="00E46066"/>
    <w:rsid w:val="00E4617B"/>
    <w:rsid w:val="00E461D6"/>
    <w:rsid w:val="00E46270"/>
    <w:rsid w:val="00E462D7"/>
    <w:rsid w:val="00E46302"/>
    <w:rsid w:val="00E46351"/>
    <w:rsid w:val="00E4636E"/>
    <w:rsid w:val="00E4657B"/>
    <w:rsid w:val="00E46679"/>
    <w:rsid w:val="00E466DB"/>
    <w:rsid w:val="00E46777"/>
    <w:rsid w:val="00E4678B"/>
    <w:rsid w:val="00E46821"/>
    <w:rsid w:val="00E46925"/>
    <w:rsid w:val="00E469A7"/>
    <w:rsid w:val="00E469D7"/>
    <w:rsid w:val="00E46B5A"/>
    <w:rsid w:val="00E46B9E"/>
    <w:rsid w:val="00E46C0E"/>
    <w:rsid w:val="00E46C4E"/>
    <w:rsid w:val="00E46CFB"/>
    <w:rsid w:val="00E46D2C"/>
    <w:rsid w:val="00E46F1E"/>
    <w:rsid w:val="00E47057"/>
    <w:rsid w:val="00E470AA"/>
    <w:rsid w:val="00E470CF"/>
    <w:rsid w:val="00E4713A"/>
    <w:rsid w:val="00E472E3"/>
    <w:rsid w:val="00E47411"/>
    <w:rsid w:val="00E47506"/>
    <w:rsid w:val="00E4759C"/>
    <w:rsid w:val="00E475D6"/>
    <w:rsid w:val="00E47675"/>
    <w:rsid w:val="00E4768B"/>
    <w:rsid w:val="00E476AE"/>
    <w:rsid w:val="00E47781"/>
    <w:rsid w:val="00E478A2"/>
    <w:rsid w:val="00E47982"/>
    <w:rsid w:val="00E479CB"/>
    <w:rsid w:val="00E47A60"/>
    <w:rsid w:val="00E47D15"/>
    <w:rsid w:val="00E47DC4"/>
    <w:rsid w:val="00E47DE0"/>
    <w:rsid w:val="00E47F3C"/>
    <w:rsid w:val="00E47F76"/>
    <w:rsid w:val="00E506B7"/>
    <w:rsid w:val="00E5071C"/>
    <w:rsid w:val="00E5072D"/>
    <w:rsid w:val="00E50861"/>
    <w:rsid w:val="00E508B2"/>
    <w:rsid w:val="00E509F8"/>
    <w:rsid w:val="00E50A4D"/>
    <w:rsid w:val="00E50A6F"/>
    <w:rsid w:val="00E50B45"/>
    <w:rsid w:val="00E50BB5"/>
    <w:rsid w:val="00E50C3A"/>
    <w:rsid w:val="00E50CD5"/>
    <w:rsid w:val="00E50E7C"/>
    <w:rsid w:val="00E50F3C"/>
    <w:rsid w:val="00E50F50"/>
    <w:rsid w:val="00E510A2"/>
    <w:rsid w:val="00E510D6"/>
    <w:rsid w:val="00E510F7"/>
    <w:rsid w:val="00E5134D"/>
    <w:rsid w:val="00E51354"/>
    <w:rsid w:val="00E513D5"/>
    <w:rsid w:val="00E513E5"/>
    <w:rsid w:val="00E5147E"/>
    <w:rsid w:val="00E51545"/>
    <w:rsid w:val="00E5155D"/>
    <w:rsid w:val="00E51735"/>
    <w:rsid w:val="00E517F5"/>
    <w:rsid w:val="00E5192E"/>
    <w:rsid w:val="00E51A6A"/>
    <w:rsid w:val="00E51A73"/>
    <w:rsid w:val="00E51AE2"/>
    <w:rsid w:val="00E51AF5"/>
    <w:rsid w:val="00E51B80"/>
    <w:rsid w:val="00E51C08"/>
    <w:rsid w:val="00E51D7B"/>
    <w:rsid w:val="00E51D9E"/>
    <w:rsid w:val="00E51E38"/>
    <w:rsid w:val="00E51EB2"/>
    <w:rsid w:val="00E5207A"/>
    <w:rsid w:val="00E52089"/>
    <w:rsid w:val="00E52098"/>
    <w:rsid w:val="00E52167"/>
    <w:rsid w:val="00E52194"/>
    <w:rsid w:val="00E521C4"/>
    <w:rsid w:val="00E5237E"/>
    <w:rsid w:val="00E523B6"/>
    <w:rsid w:val="00E52407"/>
    <w:rsid w:val="00E52462"/>
    <w:rsid w:val="00E5246E"/>
    <w:rsid w:val="00E524F4"/>
    <w:rsid w:val="00E52677"/>
    <w:rsid w:val="00E526D7"/>
    <w:rsid w:val="00E526E3"/>
    <w:rsid w:val="00E527AD"/>
    <w:rsid w:val="00E52820"/>
    <w:rsid w:val="00E52885"/>
    <w:rsid w:val="00E528A3"/>
    <w:rsid w:val="00E529D1"/>
    <w:rsid w:val="00E52A18"/>
    <w:rsid w:val="00E52BD2"/>
    <w:rsid w:val="00E52C74"/>
    <w:rsid w:val="00E52C75"/>
    <w:rsid w:val="00E52D22"/>
    <w:rsid w:val="00E52D46"/>
    <w:rsid w:val="00E52EA9"/>
    <w:rsid w:val="00E52F32"/>
    <w:rsid w:val="00E530EF"/>
    <w:rsid w:val="00E5312A"/>
    <w:rsid w:val="00E53165"/>
    <w:rsid w:val="00E53208"/>
    <w:rsid w:val="00E5328D"/>
    <w:rsid w:val="00E5329C"/>
    <w:rsid w:val="00E532BB"/>
    <w:rsid w:val="00E53328"/>
    <w:rsid w:val="00E53440"/>
    <w:rsid w:val="00E53534"/>
    <w:rsid w:val="00E536B7"/>
    <w:rsid w:val="00E53779"/>
    <w:rsid w:val="00E537D1"/>
    <w:rsid w:val="00E53A23"/>
    <w:rsid w:val="00E53A63"/>
    <w:rsid w:val="00E53BC8"/>
    <w:rsid w:val="00E53C9C"/>
    <w:rsid w:val="00E53DAB"/>
    <w:rsid w:val="00E53DF6"/>
    <w:rsid w:val="00E53E0E"/>
    <w:rsid w:val="00E53E31"/>
    <w:rsid w:val="00E53E3B"/>
    <w:rsid w:val="00E53E3F"/>
    <w:rsid w:val="00E53E66"/>
    <w:rsid w:val="00E53F33"/>
    <w:rsid w:val="00E53FFE"/>
    <w:rsid w:val="00E541E0"/>
    <w:rsid w:val="00E5421F"/>
    <w:rsid w:val="00E54247"/>
    <w:rsid w:val="00E5425F"/>
    <w:rsid w:val="00E54272"/>
    <w:rsid w:val="00E54352"/>
    <w:rsid w:val="00E54424"/>
    <w:rsid w:val="00E5445C"/>
    <w:rsid w:val="00E54533"/>
    <w:rsid w:val="00E5465D"/>
    <w:rsid w:val="00E546CF"/>
    <w:rsid w:val="00E54714"/>
    <w:rsid w:val="00E5493B"/>
    <w:rsid w:val="00E549BA"/>
    <w:rsid w:val="00E549E9"/>
    <w:rsid w:val="00E54A84"/>
    <w:rsid w:val="00E54B9E"/>
    <w:rsid w:val="00E54C87"/>
    <w:rsid w:val="00E54CC1"/>
    <w:rsid w:val="00E54DD3"/>
    <w:rsid w:val="00E54DEA"/>
    <w:rsid w:val="00E54F13"/>
    <w:rsid w:val="00E54F24"/>
    <w:rsid w:val="00E54F33"/>
    <w:rsid w:val="00E55029"/>
    <w:rsid w:val="00E5519B"/>
    <w:rsid w:val="00E55237"/>
    <w:rsid w:val="00E552C0"/>
    <w:rsid w:val="00E55474"/>
    <w:rsid w:val="00E55835"/>
    <w:rsid w:val="00E55A7A"/>
    <w:rsid w:val="00E55BA6"/>
    <w:rsid w:val="00E55BB9"/>
    <w:rsid w:val="00E55C5B"/>
    <w:rsid w:val="00E55DB2"/>
    <w:rsid w:val="00E55DEB"/>
    <w:rsid w:val="00E55FE3"/>
    <w:rsid w:val="00E560EF"/>
    <w:rsid w:val="00E5614B"/>
    <w:rsid w:val="00E56212"/>
    <w:rsid w:val="00E56307"/>
    <w:rsid w:val="00E564DC"/>
    <w:rsid w:val="00E564DF"/>
    <w:rsid w:val="00E565FA"/>
    <w:rsid w:val="00E56674"/>
    <w:rsid w:val="00E56731"/>
    <w:rsid w:val="00E56774"/>
    <w:rsid w:val="00E567E6"/>
    <w:rsid w:val="00E56860"/>
    <w:rsid w:val="00E56941"/>
    <w:rsid w:val="00E56971"/>
    <w:rsid w:val="00E569D6"/>
    <w:rsid w:val="00E56A35"/>
    <w:rsid w:val="00E56AB5"/>
    <w:rsid w:val="00E56AD3"/>
    <w:rsid w:val="00E56D76"/>
    <w:rsid w:val="00E570A0"/>
    <w:rsid w:val="00E5711B"/>
    <w:rsid w:val="00E5722E"/>
    <w:rsid w:val="00E57288"/>
    <w:rsid w:val="00E57299"/>
    <w:rsid w:val="00E572A4"/>
    <w:rsid w:val="00E572C2"/>
    <w:rsid w:val="00E57352"/>
    <w:rsid w:val="00E5738B"/>
    <w:rsid w:val="00E57393"/>
    <w:rsid w:val="00E573E9"/>
    <w:rsid w:val="00E5750A"/>
    <w:rsid w:val="00E57564"/>
    <w:rsid w:val="00E5758C"/>
    <w:rsid w:val="00E575BE"/>
    <w:rsid w:val="00E57610"/>
    <w:rsid w:val="00E577AF"/>
    <w:rsid w:val="00E577CF"/>
    <w:rsid w:val="00E57A1F"/>
    <w:rsid w:val="00E57B36"/>
    <w:rsid w:val="00E57B9A"/>
    <w:rsid w:val="00E57D84"/>
    <w:rsid w:val="00E57D9B"/>
    <w:rsid w:val="00E57E8F"/>
    <w:rsid w:val="00E57FD9"/>
    <w:rsid w:val="00E60058"/>
    <w:rsid w:val="00E600A1"/>
    <w:rsid w:val="00E6017F"/>
    <w:rsid w:val="00E602CF"/>
    <w:rsid w:val="00E60417"/>
    <w:rsid w:val="00E60556"/>
    <w:rsid w:val="00E606EC"/>
    <w:rsid w:val="00E606FC"/>
    <w:rsid w:val="00E60813"/>
    <w:rsid w:val="00E608EB"/>
    <w:rsid w:val="00E6097D"/>
    <w:rsid w:val="00E609A0"/>
    <w:rsid w:val="00E609DB"/>
    <w:rsid w:val="00E60C8E"/>
    <w:rsid w:val="00E60D2C"/>
    <w:rsid w:val="00E60DCC"/>
    <w:rsid w:val="00E60E83"/>
    <w:rsid w:val="00E60EA5"/>
    <w:rsid w:val="00E61143"/>
    <w:rsid w:val="00E6123A"/>
    <w:rsid w:val="00E6142A"/>
    <w:rsid w:val="00E61482"/>
    <w:rsid w:val="00E61484"/>
    <w:rsid w:val="00E614AA"/>
    <w:rsid w:val="00E614AC"/>
    <w:rsid w:val="00E614F0"/>
    <w:rsid w:val="00E614FC"/>
    <w:rsid w:val="00E6156F"/>
    <w:rsid w:val="00E615FE"/>
    <w:rsid w:val="00E61955"/>
    <w:rsid w:val="00E61957"/>
    <w:rsid w:val="00E61A2E"/>
    <w:rsid w:val="00E61AC1"/>
    <w:rsid w:val="00E61BF4"/>
    <w:rsid w:val="00E61C56"/>
    <w:rsid w:val="00E61D29"/>
    <w:rsid w:val="00E61D65"/>
    <w:rsid w:val="00E61DB4"/>
    <w:rsid w:val="00E61FAE"/>
    <w:rsid w:val="00E61FC5"/>
    <w:rsid w:val="00E61FD1"/>
    <w:rsid w:val="00E6203B"/>
    <w:rsid w:val="00E621F7"/>
    <w:rsid w:val="00E62238"/>
    <w:rsid w:val="00E622B8"/>
    <w:rsid w:val="00E622C9"/>
    <w:rsid w:val="00E622D3"/>
    <w:rsid w:val="00E62405"/>
    <w:rsid w:val="00E62438"/>
    <w:rsid w:val="00E6247A"/>
    <w:rsid w:val="00E62484"/>
    <w:rsid w:val="00E6249B"/>
    <w:rsid w:val="00E6252E"/>
    <w:rsid w:val="00E62551"/>
    <w:rsid w:val="00E62673"/>
    <w:rsid w:val="00E6275F"/>
    <w:rsid w:val="00E62788"/>
    <w:rsid w:val="00E627AC"/>
    <w:rsid w:val="00E62834"/>
    <w:rsid w:val="00E6283F"/>
    <w:rsid w:val="00E62AC8"/>
    <w:rsid w:val="00E62C40"/>
    <w:rsid w:val="00E62D10"/>
    <w:rsid w:val="00E62E30"/>
    <w:rsid w:val="00E62E90"/>
    <w:rsid w:val="00E62EEF"/>
    <w:rsid w:val="00E6338C"/>
    <w:rsid w:val="00E63464"/>
    <w:rsid w:val="00E6350D"/>
    <w:rsid w:val="00E6363B"/>
    <w:rsid w:val="00E63673"/>
    <w:rsid w:val="00E636F7"/>
    <w:rsid w:val="00E639A7"/>
    <w:rsid w:val="00E63AD3"/>
    <w:rsid w:val="00E63B46"/>
    <w:rsid w:val="00E63C7E"/>
    <w:rsid w:val="00E63D1C"/>
    <w:rsid w:val="00E63D5D"/>
    <w:rsid w:val="00E63DAF"/>
    <w:rsid w:val="00E63DDE"/>
    <w:rsid w:val="00E63DE1"/>
    <w:rsid w:val="00E63F52"/>
    <w:rsid w:val="00E64093"/>
    <w:rsid w:val="00E6411F"/>
    <w:rsid w:val="00E642FE"/>
    <w:rsid w:val="00E64320"/>
    <w:rsid w:val="00E6434C"/>
    <w:rsid w:val="00E644E5"/>
    <w:rsid w:val="00E6451E"/>
    <w:rsid w:val="00E64575"/>
    <w:rsid w:val="00E645C4"/>
    <w:rsid w:val="00E645D9"/>
    <w:rsid w:val="00E646A9"/>
    <w:rsid w:val="00E64777"/>
    <w:rsid w:val="00E647B4"/>
    <w:rsid w:val="00E64A6D"/>
    <w:rsid w:val="00E64BEC"/>
    <w:rsid w:val="00E64C23"/>
    <w:rsid w:val="00E64C4E"/>
    <w:rsid w:val="00E64CEF"/>
    <w:rsid w:val="00E64E01"/>
    <w:rsid w:val="00E64E16"/>
    <w:rsid w:val="00E64FA6"/>
    <w:rsid w:val="00E6508A"/>
    <w:rsid w:val="00E651FF"/>
    <w:rsid w:val="00E65242"/>
    <w:rsid w:val="00E652BE"/>
    <w:rsid w:val="00E65439"/>
    <w:rsid w:val="00E655DB"/>
    <w:rsid w:val="00E65639"/>
    <w:rsid w:val="00E6579A"/>
    <w:rsid w:val="00E65898"/>
    <w:rsid w:val="00E65A05"/>
    <w:rsid w:val="00E65C1A"/>
    <w:rsid w:val="00E65CB5"/>
    <w:rsid w:val="00E65E11"/>
    <w:rsid w:val="00E65E6E"/>
    <w:rsid w:val="00E662BF"/>
    <w:rsid w:val="00E6649F"/>
    <w:rsid w:val="00E664D3"/>
    <w:rsid w:val="00E6654E"/>
    <w:rsid w:val="00E66585"/>
    <w:rsid w:val="00E66586"/>
    <w:rsid w:val="00E666AE"/>
    <w:rsid w:val="00E666B4"/>
    <w:rsid w:val="00E666DB"/>
    <w:rsid w:val="00E667AC"/>
    <w:rsid w:val="00E6696F"/>
    <w:rsid w:val="00E66999"/>
    <w:rsid w:val="00E669B2"/>
    <w:rsid w:val="00E669CE"/>
    <w:rsid w:val="00E66D6F"/>
    <w:rsid w:val="00E66D99"/>
    <w:rsid w:val="00E66DFC"/>
    <w:rsid w:val="00E67110"/>
    <w:rsid w:val="00E671C1"/>
    <w:rsid w:val="00E671DF"/>
    <w:rsid w:val="00E671EC"/>
    <w:rsid w:val="00E671FC"/>
    <w:rsid w:val="00E6731F"/>
    <w:rsid w:val="00E67405"/>
    <w:rsid w:val="00E675FF"/>
    <w:rsid w:val="00E67612"/>
    <w:rsid w:val="00E6774A"/>
    <w:rsid w:val="00E6774C"/>
    <w:rsid w:val="00E6784C"/>
    <w:rsid w:val="00E679D1"/>
    <w:rsid w:val="00E67AFE"/>
    <w:rsid w:val="00E67B02"/>
    <w:rsid w:val="00E67B7C"/>
    <w:rsid w:val="00E67BCC"/>
    <w:rsid w:val="00E67CEC"/>
    <w:rsid w:val="00E67D1D"/>
    <w:rsid w:val="00E67D62"/>
    <w:rsid w:val="00E67D98"/>
    <w:rsid w:val="00E67DA7"/>
    <w:rsid w:val="00E67F1C"/>
    <w:rsid w:val="00E67FAB"/>
    <w:rsid w:val="00E67FD0"/>
    <w:rsid w:val="00E7017C"/>
    <w:rsid w:val="00E7023D"/>
    <w:rsid w:val="00E70261"/>
    <w:rsid w:val="00E70302"/>
    <w:rsid w:val="00E70596"/>
    <w:rsid w:val="00E705C0"/>
    <w:rsid w:val="00E705C1"/>
    <w:rsid w:val="00E705D3"/>
    <w:rsid w:val="00E705E4"/>
    <w:rsid w:val="00E70692"/>
    <w:rsid w:val="00E7098A"/>
    <w:rsid w:val="00E70A60"/>
    <w:rsid w:val="00E70ACD"/>
    <w:rsid w:val="00E70B64"/>
    <w:rsid w:val="00E70C28"/>
    <w:rsid w:val="00E70CAF"/>
    <w:rsid w:val="00E70E25"/>
    <w:rsid w:val="00E70EC6"/>
    <w:rsid w:val="00E70EF6"/>
    <w:rsid w:val="00E71014"/>
    <w:rsid w:val="00E7107D"/>
    <w:rsid w:val="00E71087"/>
    <w:rsid w:val="00E711A4"/>
    <w:rsid w:val="00E711B7"/>
    <w:rsid w:val="00E711D7"/>
    <w:rsid w:val="00E71251"/>
    <w:rsid w:val="00E71254"/>
    <w:rsid w:val="00E7126F"/>
    <w:rsid w:val="00E712E4"/>
    <w:rsid w:val="00E71326"/>
    <w:rsid w:val="00E7147D"/>
    <w:rsid w:val="00E71527"/>
    <w:rsid w:val="00E7152A"/>
    <w:rsid w:val="00E7154B"/>
    <w:rsid w:val="00E7158E"/>
    <w:rsid w:val="00E715CF"/>
    <w:rsid w:val="00E71654"/>
    <w:rsid w:val="00E716E3"/>
    <w:rsid w:val="00E716E8"/>
    <w:rsid w:val="00E7199B"/>
    <w:rsid w:val="00E71AD7"/>
    <w:rsid w:val="00E71B26"/>
    <w:rsid w:val="00E71BAB"/>
    <w:rsid w:val="00E71D2D"/>
    <w:rsid w:val="00E71FA6"/>
    <w:rsid w:val="00E72034"/>
    <w:rsid w:val="00E72035"/>
    <w:rsid w:val="00E720FD"/>
    <w:rsid w:val="00E72249"/>
    <w:rsid w:val="00E7232C"/>
    <w:rsid w:val="00E7240C"/>
    <w:rsid w:val="00E7244B"/>
    <w:rsid w:val="00E72491"/>
    <w:rsid w:val="00E72509"/>
    <w:rsid w:val="00E72526"/>
    <w:rsid w:val="00E72583"/>
    <w:rsid w:val="00E727E7"/>
    <w:rsid w:val="00E728B0"/>
    <w:rsid w:val="00E7296A"/>
    <w:rsid w:val="00E729E8"/>
    <w:rsid w:val="00E72ACC"/>
    <w:rsid w:val="00E72B01"/>
    <w:rsid w:val="00E72B75"/>
    <w:rsid w:val="00E72CF1"/>
    <w:rsid w:val="00E72D98"/>
    <w:rsid w:val="00E72DAE"/>
    <w:rsid w:val="00E72E97"/>
    <w:rsid w:val="00E72FC9"/>
    <w:rsid w:val="00E731B5"/>
    <w:rsid w:val="00E731B7"/>
    <w:rsid w:val="00E731F2"/>
    <w:rsid w:val="00E73329"/>
    <w:rsid w:val="00E733A4"/>
    <w:rsid w:val="00E733BD"/>
    <w:rsid w:val="00E73457"/>
    <w:rsid w:val="00E734C2"/>
    <w:rsid w:val="00E73672"/>
    <w:rsid w:val="00E7382B"/>
    <w:rsid w:val="00E738B1"/>
    <w:rsid w:val="00E73915"/>
    <w:rsid w:val="00E7393A"/>
    <w:rsid w:val="00E73941"/>
    <w:rsid w:val="00E73979"/>
    <w:rsid w:val="00E739B1"/>
    <w:rsid w:val="00E73AC5"/>
    <w:rsid w:val="00E73B0A"/>
    <w:rsid w:val="00E73B49"/>
    <w:rsid w:val="00E73B75"/>
    <w:rsid w:val="00E73B92"/>
    <w:rsid w:val="00E73DF0"/>
    <w:rsid w:val="00E73E26"/>
    <w:rsid w:val="00E73EA6"/>
    <w:rsid w:val="00E74044"/>
    <w:rsid w:val="00E74096"/>
    <w:rsid w:val="00E74127"/>
    <w:rsid w:val="00E74194"/>
    <w:rsid w:val="00E741C8"/>
    <w:rsid w:val="00E741CC"/>
    <w:rsid w:val="00E744B1"/>
    <w:rsid w:val="00E744CE"/>
    <w:rsid w:val="00E7456C"/>
    <w:rsid w:val="00E745ED"/>
    <w:rsid w:val="00E74789"/>
    <w:rsid w:val="00E748E3"/>
    <w:rsid w:val="00E74951"/>
    <w:rsid w:val="00E74A41"/>
    <w:rsid w:val="00E74B66"/>
    <w:rsid w:val="00E74BC1"/>
    <w:rsid w:val="00E74CB9"/>
    <w:rsid w:val="00E74D3D"/>
    <w:rsid w:val="00E74E7F"/>
    <w:rsid w:val="00E74E81"/>
    <w:rsid w:val="00E74F0F"/>
    <w:rsid w:val="00E74F30"/>
    <w:rsid w:val="00E74F8B"/>
    <w:rsid w:val="00E74FF4"/>
    <w:rsid w:val="00E7516B"/>
    <w:rsid w:val="00E751C7"/>
    <w:rsid w:val="00E75211"/>
    <w:rsid w:val="00E75258"/>
    <w:rsid w:val="00E752FA"/>
    <w:rsid w:val="00E7533D"/>
    <w:rsid w:val="00E75386"/>
    <w:rsid w:val="00E75475"/>
    <w:rsid w:val="00E754ED"/>
    <w:rsid w:val="00E75521"/>
    <w:rsid w:val="00E75609"/>
    <w:rsid w:val="00E75690"/>
    <w:rsid w:val="00E7575E"/>
    <w:rsid w:val="00E75866"/>
    <w:rsid w:val="00E758AA"/>
    <w:rsid w:val="00E759C0"/>
    <w:rsid w:val="00E75B33"/>
    <w:rsid w:val="00E75C24"/>
    <w:rsid w:val="00E75C9D"/>
    <w:rsid w:val="00E75E59"/>
    <w:rsid w:val="00E75EB0"/>
    <w:rsid w:val="00E75F4B"/>
    <w:rsid w:val="00E7611A"/>
    <w:rsid w:val="00E76148"/>
    <w:rsid w:val="00E76214"/>
    <w:rsid w:val="00E76259"/>
    <w:rsid w:val="00E7629A"/>
    <w:rsid w:val="00E76355"/>
    <w:rsid w:val="00E764B0"/>
    <w:rsid w:val="00E76581"/>
    <w:rsid w:val="00E765E8"/>
    <w:rsid w:val="00E76665"/>
    <w:rsid w:val="00E7666D"/>
    <w:rsid w:val="00E767FC"/>
    <w:rsid w:val="00E76803"/>
    <w:rsid w:val="00E7683C"/>
    <w:rsid w:val="00E76904"/>
    <w:rsid w:val="00E76928"/>
    <w:rsid w:val="00E769B8"/>
    <w:rsid w:val="00E76AFE"/>
    <w:rsid w:val="00E76D9F"/>
    <w:rsid w:val="00E76DB1"/>
    <w:rsid w:val="00E76E48"/>
    <w:rsid w:val="00E76F1B"/>
    <w:rsid w:val="00E76FDB"/>
    <w:rsid w:val="00E76FE8"/>
    <w:rsid w:val="00E7700E"/>
    <w:rsid w:val="00E7705C"/>
    <w:rsid w:val="00E77417"/>
    <w:rsid w:val="00E77512"/>
    <w:rsid w:val="00E7756A"/>
    <w:rsid w:val="00E77659"/>
    <w:rsid w:val="00E77671"/>
    <w:rsid w:val="00E7774E"/>
    <w:rsid w:val="00E778C3"/>
    <w:rsid w:val="00E779B7"/>
    <w:rsid w:val="00E77A2F"/>
    <w:rsid w:val="00E77A6C"/>
    <w:rsid w:val="00E77B94"/>
    <w:rsid w:val="00E77D39"/>
    <w:rsid w:val="00E77D88"/>
    <w:rsid w:val="00E77DDE"/>
    <w:rsid w:val="00E77DE7"/>
    <w:rsid w:val="00E77E09"/>
    <w:rsid w:val="00E77E57"/>
    <w:rsid w:val="00E800AB"/>
    <w:rsid w:val="00E8010D"/>
    <w:rsid w:val="00E80174"/>
    <w:rsid w:val="00E80185"/>
    <w:rsid w:val="00E8024D"/>
    <w:rsid w:val="00E8039B"/>
    <w:rsid w:val="00E8044B"/>
    <w:rsid w:val="00E80474"/>
    <w:rsid w:val="00E804CC"/>
    <w:rsid w:val="00E804FA"/>
    <w:rsid w:val="00E8057F"/>
    <w:rsid w:val="00E805B6"/>
    <w:rsid w:val="00E807C7"/>
    <w:rsid w:val="00E807D5"/>
    <w:rsid w:val="00E80826"/>
    <w:rsid w:val="00E809A6"/>
    <w:rsid w:val="00E80A01"/>
    <w:rsid w:val="00E80A2F"/>
    <w:rsid w:val="00E80AC3"/>
    <w:rsid w:val="00E80BA5"/>
    <w:rsid w:val="00E80C38"/>
    <w:rsid w:val="00E80DC6"/>
    <w:rsid w:val="00E80E30"/>
    <w:rsid w:val="00E80ED6"/>
    <w:rsid w:val="00E81096"/>
    <w:rsid w:val="00E810A0"/>
    <w:rsid w:val="00E8113C"/>
    <w:rsid w:val="00E8115F"/>
    <w:rsid w:val="00E811CA"/>
    <w:rsid w:val="00E8120D"/>
    <w:rsid w:val="00E812E5"/>
    <w:rsid w:val="00E8134B"/>
    <w:rsid w:val="00E8135B"/>
    <w:rsid w:val="00E8158A"/>
    <w:rsid w:val="00E815CF"/>
    <w:rsid w:val="00E815E1"/>
    <w:rsid w:val="00E81787"/>
    <w:rsid w:val="00E817AE"/>
    <w:rsid w:val="00E819F8"/>
    <w:rsid w:val="00E81A3C"/>
    <w:rsid w:val="00E81A4D"/>
    <w:rsid w:val="00E81A56"/>
    <w:rsid w:val="00E81B9B"/>
    <w:rsid w:val="00E81C0F"/>
    <w:rsid w:val="00E81DB1"/>
    <w:rsid w:val="00E81E33"/>
    <w:rsid w:val="00E81E73"/>
    <w:rsid w:val="00E81ED1"/>
    <w:rsid w:val="00E81FF4"/>
    <w:rsid w:val="00E8204F"/>
    <w:rsid w:val="00E82167"/>
    <w:rsid w:val="00E82229"/>
    <w:rsid w:val="00E822A6"/>
    <w:rsid w:val="00E82647"/>
    <w:rsid w:val="00E82670"/>
    <w:rsid w:val="00E826A3"/>
    <w:rsid w:val="00E827DD"/>
    <w:rsid w:val="00E82888"/>
    <w:rsid w:val="00E828C6"/>
    <w:rsid w:val="00E82A24"/>
    <w:rsid w:val="00E82A51"/>
    <w:rsid w:val="00E82BA2"/>
    <w:rsid w:val="00E82C63"/>
    <w:rsid w:val="00E83049"/>
    <w:rsid w:val="00E830D6"/>
    <w:rsid w:val="00E8318D"/>
    <w:rsid w:val="00E831F5"/>
    <w:rsid w:val="00E832E6"/>
    <w:rsid w:val="00E83369"/>
    <w:rsid w:val="00E83446"/>
    <w:rsid w:val="00E8355C"/>
    <w:rsid w:val="00E83568"/>
    <w:rsid w:val="00E836FC"/>
    <w:rsid w:val="00E8381C"/>
    <w:rsid w:val="00E83887"/>
    <w:rsid w:val="00E83930"/>
    <w:rsid w:val="00E83932"/>
    <w:rsid w:val="00E83936"/>
    <w:rsid w:val="00E83966"/>
    <w:rsid w:val="00E83A4E"/>
    <w:rsid w:val="00E83C0F"/>
    <w:rsid w:val="00E83D14"/>
    <w:rsid w:val="00E83D78"/>
    <w:rsid w:val="00E83E04"/>
    <w:rsid w:val="00E83E37"/>
    <w:rsid w:val="00E83F06"/>
    <w:rsid w:val="00E83F51"/>
    <w:rsid w:val="00E84018"/>
    <w:rsid w:val="00E84094"/>
    <w:rsid w:val="00E8409C"/>
    <w:rsid w:val="00E840B1"/>
    <w:rsid w:val="00E8419E"/>
    <w:rsid w:val="00E841C6"/>
    <w:rsid w:val="00E84314"/>
    <w:rsid w:val="00E8436B"/>
    <w:rsid w:val="00E843A0"/>
    <w:rsid w:val="00E843C4"/>
    <w:rsid w:val="00E84580"/>
    <w:rsid w:val="00E845A7"/>
    <w:rsid w:val="00E84655"/>
    <w:rsid w:val="00E8470C"/>
    <w:rsid w:val="00E84753"/>
    <w:rsid w:val="00E84814"/>
    <w:rsid w:val="00E848D5"/>
    <w:rsid w:val="00E84A18"/>
    <w:rsid w:val="00E84A69"/>
    <w:rsid w:val="00E84EDD"/>
    <w:rsid w:val="00E8500A"/>
    <w:rsid w:val="00E85041"/>
    <w:rsid w:val="00E851D6"/>
    <w:rsid w:val="00E851E0"/>
    <w:rsid w:val="00E852C5"/>
    <w:rsid w:val="00E8562F"/>
    <w:rsid w:val="00E85881"/>
    <w:rsid w:val="00E8595B"/>
    <w:rsid w:val="00E859CC"/>
    <w:rsid w:val="00E85B05"/>
    <w:rsid w:val="00E85DC8"/>
    <w:rsid w:val="00E85E29"/>
    <w:rsid w:val="00E85F3C"/>
    <w:rsid w:val="00E85F6C"/>
    <w:rsid w:val="00E85FA4"/>
    <w:rsid w:val="00E85FD2"/>
    <w:rsid w:val="00E86296"/>
    <w:rsid w:val="00E86310"/>
    <w:rsid w:val="00E863BB"/>
    <w:rsid w:val="00E863C5"/>
    <w:rsid w:val="00E86555"/>
    <w:rsid w:val="00E865B9"/>
    <w:rsid w:val="00E866AB"/>
    <w:rsid w:val="00E867A3"/>
    <w:rsid w:val="00E8682F"/>
    <w:rsid w:val="00E86884"/>
    <w:rsid w:val="00E869AD"/>
    <w:rsid w:val="00E86A3E"/>
    <w:rsid w:val="00E86A96"/>
    <w:rsid w:val="00E86ACD"/>
    <w:rsid w:val="00E86D0E"/>
    <w:rsid w:val="00E86D40"/>
    <w:rsid w:val="00E86D9C"/>
    <w:rsid w:val="00E86DF8"/>
    <w:rsid w:val="00E86E3F"/>
    <w:rsid w:val="00E86F26"/>
    <w:rsid w:val="00E86F2A"/>
    <w:rsid w:val="00E86F83"/>
    <w:rsid w:val="00E86FA9"/>
    <w:rsid w:val="00E8704F"/>
    <w:rsid w:val="00E87068"/>
    <w:rsid w:val="00E87090"/>
    <w:rsid w:val="00E874E0"/>
    <w:rsid w:val="00E8752E"/>
    <w:rsid w:val="00E875F7"/>
    <w:rsid w:val="00E875FE"/>
    <w:rsid w:val="00E87623"/>
    <w:rsid w:val="00E8781A"/>
    <w:rsid w:val="00E8788A"/>
    <w:rsid w:val="00E87A0D"/>
    <w:rsid w:val="00E87B37"/>
    <w:rsid w:val="00E87B50"/>
    <w:rsid w:val="00E87B8D"/>
    <w:rsid w:val="00E87BC3"/>
    <w:rsid w:val="00E87BD6"/>
    <w:rsid w:val="00E87DED"/>
    <w:rsid w:val="00E87EDF"/>
    <w:rsid w:val="00E87F55"/>
    <w:rsid w:val="00E900EE"/>
    <w:rsid w:val="00E90172"/>
    <w:rsid w:val="00E902B0"/>
    <w:rsid w:val="00E902C4"/>
    <w:rsid w:val="00E902E8"/>
    <w:rsid w:val="00E903A3"/>
    <w:rsid w:val="00E9058E"/>
    <w:rsid w:val="00E907FD"/>
    <w:rsid w:val="00E90896"/>
    <w:rsid w:val="00E90AD0"/>
    <w:rsid w:val="00E90B7C"/>
    <w:rsid w:val="00E90C04"/>
    <w:rsid w:val="00E90D99"/>
    <w:rsid w:val="00E90F5C"/>
    <w:rsid w:val="00E91012"/>
    <w:rsid w:val="00E91032"/>
    <w:rsid w:val="00E9104C"/>
    <w:rsid w:val="00E910A2"/>
    <w:rsid w:val="00E911FA"/>
    <w:rsid w:val="00E912EE"/>
    <w:rsid w:val="00E91339"/>
    <w:rsid w:val="00E916B4"/>
    <w:rsid w:val="00E91729"/>
    <w:rsid w:val="00E91775"/>
    <w:rsid w:val="00E918E4"/>
    <w:rsid w:val="00E91991"/>
    <w:rsid w:val="00E91B56"/>
    <w:rsid w:val="00E91BBB"/>
    <w:rsid w:val="00E91C6C"/>
    <w:rsid w:val="00E91C83"/>
    <w:rsid w:val="00E91CDE"/>
    <w:rsid w:val="00E91D52"/>
    <w:rsid w:val="00E91DB5"/>
    <w:rsid w:val="00E91FC9"/>
    <w:rsid w:val="00E9214A"/>
    <w:rsid w:val="00E92208"/>
    <w:rsid w:val="00E9230A"/>
    <w:rsid w:val="00E9239C"/>
    <w:rsid w:val="00E9248A"/>
    <w:rsid w:val="00E92713"/>
    <w:rsid w:val="00E9276F"/>
    <w:rsid w:val="00E92883"/>
    <w:rsid w:val="00E928D5"/>
    <w:rsid w:val="00E9296B"/>
    <w:rsid w:val="00E929FA"/>
    <w:rsid w:val="00E92A69"/>
    <w:rsid w:val="00E92B3A"/>
    <w:rsid w:val="00E92BAB"/>
    <w:rsid w:val="00E92BCA"/>
    <w:rsid w:val="00E92C68"/>
    <w:rsid w:val="00E92CD4"/>
    <w:rsid w:val="00E92D04"/>
    <w:rsid w:val="00E92ED3"/>
    <w:rsid w:val="00E92EF2"/>
    <w:rsid w:val="00E92FBD"/>
    <w:rsid w:val="00E92FF3"/>
    <w:rsid w:val="00E93166"/>
    <w:rsid w:val="00E93266"/>
    <w:rsid w:val="00E9327A"/>
    <w:rsid w:val="00E932EA"/>
    <w:rsid w:val="00E9336F"/>
    <w:rsid w:val="00E93455"/>
    <w:rsid w:val="00E9347D"/>
    <w:rsid w:val="00E93487"/>
    <w:rsid w:val="00E9349B"/>
    <w:rsid w:val="00E934E4"/>
    <w:rsid w:val="00E936BF"/>
    <w:rsid w:val="00E93709"/>
    <w:rsid w:val="00E93867"/>
    <w:rsid w:val="00E93A22"/>
    <w:rsid w:val="00E93A6D"/>
    <w:rsid w:val="00E93B73"/>
    <w:rsid w:val="00E93BB6"/>
    <w:rsid w:val="00E93BC0"/>
    <w:rsid w:val="00E93BF4"/>
    <w:rsid w:val="00E93C0E"/>
    <w:rsid w:val="00E93C88"/>
    <w:rsid w:val="00E93CA6"/>
    <w:rsid w:val="00E93CDD"/>
    <w:rsid w:val="00E93D80"/>
    <w:rsid w:val="00E93E27"/>
    <w:rsid w:val="00E93F02"/>
    <w:rsid w:val="00E93F15"/>
    <w:rsid w:val="00E93F36"/>
    <w:rsid w:val="00E93FB6"/>
    <w:rsid w:val="00E9404C"/>
    <w:rsid w:val="00E94142"/>
    <w:rsid w:val="00E9415E"/>
    <w:rsid w:val="00E94259"/>
    <w:rsid w:val="00E9459A"/>
    <w:rsid w:val="00E945F5"/>
    <w:rsid w:val="00E94623"/>
    <w:rsid w:val="00E946F0"/>
    <w:rsid w:val="00E947DC"/>
    <w:rsid w:val="00E9486A"/>
    <w:rsid w:val="00E9495C"/>
    <w:rsid w:val="00E94B21"/>
    <w:rsid w:val="00E94C57"/>
    <w:rsid w:val="00E94C9C"/>
    <w:rsid w:val="00E94CA8"/>
    <w:rsid w:val="00E94DF9"/>
    <w:rsid w:val="00E94E82"/>
    <w:rsid w:val="00E94E94"/>
    <w:rsid w:val="00E94F51"/>
    <w:rsid w:val="00E950F6"/>
    <w:rsid w:val="00E95103"/>
    <w:rsid w:val="00E9517E"/>
    <w:rsid w:val="00E952E9"/>
    <w:rsid w:val="00E952EB"/>
    <w:rsid w:val="00E9550A"/>
    <w:rsid w:val="00E9552B"/>
    <w:rsid w:val="00E956B7"/>
    <w:rsid w:val="00E957EF"/>
    <w:rsid w:val="00E9584E"/>
    <w:rsid w:val="00E959EC"/>
    <w:rsid w:val="00E95A6D"/>
    <w:rsid w:val="00E95AD7"/>
    <w:rsid w:val="00E95B8D"/>
    <w:rsid w:val="00E95BD1"/>
    <w:rsid w:val="00E95D7A"/>
    <w:rsid w:val="00E95DC2"/>
    <w:rsid w:val="00E95DDC"/>
    <w:rsid w:val="00E95F7B"/>
    <w:rsid w:val="00E95F8D"/>
    <w:rsid w:val="00E95FE4"/>
    <w:rsid w:val="00E96156"/>
    <w:rsid w:val="00E96300"/>
    <w:rsid w:val="00E964CB"/>
    <w:rsid w:val="00E964FF"/>
    <w:rsid w:val="00E96537"/>
    <w:rsid w:val="00E965CD"/>
    <w:rsid w:val="00E965E3"/>
    <w:rsid w:val="00E96732"/>
    <w:rsid w:val="00E96776"/>
    <w:rsid w:val="00E96799"/>
    <w:rsid w:val="00E9684B"/>
    <w:rsid w:val="00E9695C"/>
    <w:rsid w:val="00E969D2"/>
    <w:rsid w:val="00E96A59"/>
    <w:rsid w:val="00E96C51"/>
    <w:rsid w:val="00E96F21"/>
    <w:rsid w:val="00E970B6"/>
    <w:rsid w:val="00E970DF"/>
    <w:rsid w:val="00E971B2"/>
    <w:rsid w:val="00E972B4"/>
    <w:rsid w:val="00E97302"/>
    <w:rsid w:val="00E9735F"/>
    <w:rsid w:val="00E973EB"/>
    <w:rsid w:val="00E97489"/>
    <w:rsid w:val="00E97555"/>
    <w:rsid w:val="00E975DF"/>
    <w:rsid w:val="00E97688"/>
    <w:rsid w:val="00E9776B"/>
    <w:rsid w:val="00E9781B"/>
    <w:rsid w:val="00E97AD7"/>
    <w:rsid w:val="00E97B57"/>
    <w:rsid w:val="00E97C19"/>
    <w:rsid w:val="00E97ED1"/>
    <w:rsid w:val="00E97FC8"/>
    <w:rsid w:val="00EA003A"/>
    <w:rsid w:val="00EA005E"/>
    <w:rsid w:val="00EA00FB"/>
    <w:rsid w:val="00EA016A"/>
    <w:rsid w:val="00EA04C5"/>
    <w:rsid w:val="00EA04CC"/>
    <w:rsid w:val="00EA05FB"/>
    <w:rsid w:val="00EA0733"/>
    <w:rsid w:val="00EA0855"/>
    <w:rsid w:val="00EA08E6"/>
    <w:rsid w:val="00EA09A1"/>
    <w:rsid w:val="00EA09F8"/>
    <w:rsid w:val="00EA0A24"/>
    <w:rsid w:val="00EA0D82"/>
    <w:rsid w:val="00EA0E04"/>
    <w:rsid w:val="00EA0E4E"/>
    <w:rsid w:val="00EA0F04"/>
    <w:rsid w:val="00EA0FE2"/>
    <w:rsid w:val="00EA0FFD"/>
    <w:rsid w:val="00EA12E6"/>
    <w:rsid w:val="00EA15A1"/>
    <w:rsid w:val="00EA1622"/>
    <w:rsid w:val="00EA1661"/>
    <w:rsid w:val="00EA1696"/>
    <w:rsid w:val="00EA16EE"/>
    <w:rsid w:val="00EA17B1"/>
    <w:rsid w:val="00EA18F5"/>
    <w:rsid w:val="00EA19D4"/>
    <w:rsid w:val="00EA1A88"/>
    <w:rsid w:val="00EA1B70"/>
    <w:rsid w:val="00EA1CA3"/>
    <w:rsid w:val="00EA1DB7"/>
    <w:rsid w:val="00EA1E20"/>
    <w:rsid w:val="00EA1FBC"/>
    <w:rsid w:val="00EA20A4"/>
    <w:rsid w:val="00EA2162"/>
    <w:rsid w:val="00EA21FA"/>
    <w:rsid w:val="00EA22EE"/>
    <w:rsid w:val="00EA22FE"/>
    <w:rsid w:val="00EA23A5"/>
    <w:rsid w:val="00EA23AC"/>
    <w:rsid w:val="00EA249D"/>
    <w:rsid w:val="00EA24D7"/>
    <w:rsid w:val="00EA2562"/>
    <w:rsid w:val="00EA269D"/>
    <w:rsid w:val="00EA271E"/>
    <w:rsid w:val="00EA2778"/>
    <w:rsid w:val="00EA2797"/>
    <w:rsid w:val="00EA2A31"/>
    <w:rsid w:val="00EA2A63"/>
    <w:rsid w:val="00EA2A74"/>
    <w:rsid w:val="00EA2A78"/>
    <w:rsid w:val="00EA2AA0"/>
    <w:rsid w:val="00EA2BE5"/>
    <w:rsid w:val="00EA2C15"/>
    <w:rsid w:val="00EA2CDD"/>
    <w:rsid w:val="00EA2D70"/>
    <w:rsid w:val="00EA2DDF"/>
    <w:rsid w:val="00EA2F0F"/>
    <w:rsid w:val="00EA2F63"/>
    <w:rsid w:val="00EA2FCC"/>
    <w:rsid w:val="00EA2FE1"/>
    <w:rsid w:val="00EA319E"/>
    <w:rsid w:val="00EA3277"/>
    <w:rsid w:val="00EA34A9"/>
    <w:rsid w:val="00EA34AA"/>
    <w:rsid w:val="00EA3551"/>
    <w:rsid w:val="00EA3603"/>
    <w:rsid w:val="00EA3653"/>
    <w:rsid w:val="00EA3882"/>
    <w:rsid w:val="00EA38DF"/>
    <w:rsid w:val="00EA398F"/>
    <w:rsid w:val="00EA39A4"/>
    <w:rsid w:val="00EA39D8"/>
    <w:rsid w:val="00EA3A59"/>
    <w:rsid w:val="00EA3C2E"/>
    <w:rsid w:val="00EA3C3E"/>
    <w:rsid w:val="00EA3C46"/>
    <w:rsid w:val="00EA3E09"/>
    <w:rsid w:val="00EA4013"/>
    <w:rsid w:val="00EA405D"/>
    <w:rsid w:val="00EA4074"/>
    <w:rsid w:val="00EA417B"/>
    <w:rsid w:val="00EA4369"/>
    <w:rsid w:val="00EA4407"/>
    <w:rsid w:val="00EA452C"/>
    <w:rsid w:val="00EA482C"/>
    <w:rsid w:val="00EA4832"/>
    <w:rsid w:val="00EA48F8"/>
    <w:rsid w:val="00EA4A04"/>
    <w:rsid w:val="00EA4A61"/>
    <w:rsid w:val="00EA4B0A"/>
    <w:rsid w:val="00EA4CAF"/>
    <w:rsid w:val="00EA4CD9"/>
    <w:rsid w:val="00EA4D16"/>
    <w:rsid w:val="00EA4D9F"/>
    <w:rsid w:val="00EA4DB9"/>
    <w:rsid w:val="00EA4EB5"/>
    <w:rsid w:val="00EA4FD3"/>
    <w:rsid w:val="00EA4FDD"/>
    <w:rsid w:val="00EA5065"/>
    <w:rsid w:val="00EA5169"/>
    <w:rsid w:val="00EA53FF"/>
    <w:rsid w:val="00EA545E"/>
    <w:rsid w:val="00EA57D0"/>
    <w:rsid w:val="00EA5981"/>
    <w:rsid w:val="00EA599C"/>
    <w:rsid w:val="00EA5A6D"/>
    <w:rsid w:val="00EA5BAA"/>
    <w:rsid w:val="00EA5C1E"/>
    <w:rsid w:val="00EA5C65"/>
    <w:rsid w:val="00EA5CD2"/>
    <w:rsid w:val="00EA5CE9"/>
    <w:rsid w:val="00EA5D75"/>
    <w:rsid w:val="00EA5F10"/>
    <w:rsid w:val="00EA5F49"/>
    <w:rsid w:val="00EA604F"/>
    <w:rsid w:val="00EA613E"/>
    <w:rsid w:val="00EA6364"/>
    <w:rsid w:val="00EA6391"/>
    <w:rsid w:val="00EA63CF"/>
    <w:rsid w:val="00EA6A1D"/>
    <w:rsid w:val="00EA6AA2"/>
    <w:rsid w:val="00EA6D60"/>
    <w:rsid w:val="00EA6DCF"/>
    <w:rsid w:val="00EA6E23"/>
    <w:rsid w:val="00EA6E65"/>
    <w:rsid w:val="00EA6ECF"/>
    <w:rsid w:val="00EA70CC"/>
    <w:rsid w:val="00EA7145"/>
    <w:rsid w:val="00EA7210"/>
    <w:rsid w:val="00EA7295"/>
    <w:rsid w:val="00EA7439"/>
    <w:rsid w:val="00EA756A"/>
    <w:rsid w:val="00EA7703"/>
    <w:rsid w:val="00EA7773"/>
    <w:rsid w:val="00EA77EB"/>
    <w:rsid w:val="00EA781B"/>
    <w:rsid w:val="00EA781D"/>
    <w:rsid w:val="00EA79B8"/>
    <w:rsid w:val="00EA79F6"/>
    <w:rsid w:val="00EA7AAF"/>
    <w:rsid w:val="00EA7C0D"/>
    <w:rsid w:val="00EA7C3D"/>
    <w:rsid w:val="00EA7D51"/>
    <w:rsid w:val="00EA7D5A"/>
    <w:rsid w:val="00EA7E42"/>
    <w:rsid w:val="00EA7E83"/>
    <w:rsid w:val="00EA7EAB"/>
    <w:rsid w:val="00EA7FD9"/>
    <w:rsid w:val="00EA7FEC"/>
    <w:rsid w:val="00EB01D7"/>
    <w:rsid w:val="00EB021D"/>
    <w:rsid w:val="00EB0278"/>
    <w:rsid w:val="00EB0353"/>
    <w:rsid w:val="00EB059B"/>
    <w:rsid w:val="00EB0760"/>
    <w:rsid w:val="00EB07B1"/>
    <w:rsid w:val="00EB09AC"/>
    <w:rsid w:val="00EB0A24"/>
    <w:rsid w:val="00EB0A47"/>
    <w:rsid w:val="00EB0C42"/>
    <w:rsid w:val="00EB0CE4"/>
    <w:rsid w:val="00EB0E63"/>
    <w:rsid w:val="00EB0F67"/>
    <w:rsid w:val="00EB0F92"/>
    <w:rsid w:val="00EB0FBE"/>
    <w:rsid w:val="00EB0FDF"/>
    <w:rsid w:val="00EB1137"/>
    <w:rsid w:val="00EB11BB"/>
    <w:rsid w:val="00EB1339"/>
    <w:rsid w:val="00EB141E"/>
    <w:rsid w:val="00EB1467"/>
    <w:rsid w:val="00EB1609"/>
    <w:rsid w:val="00EB1668"/>
    <w:rsid w:val="00EB16B6"/>
    <w:rsid w:val="00EB1721"/>
    <w:rsid w:val="00EB17AE"/>
    <w:rsid w:val="00EB1897"/>
    <w:rsid w:val="00EB18C4"/>
    <w:rsid w:val="00EB19E0"/>
    <w:rsid w:val="00EB1AA3"/>
    <w:rsid w:val="00EB1BD4"/>
    <w:rsid w:val="00EB1C90"/>
    <w:rsid w:val="00EB1D0B"/>
    <w:rsid w:val="00EB2100"/>
    <w:rsid w:val="00EB2172"/>
    <w:rsid w:val="00EB217A"/>
    <w:rsid w:val="00EB219B"/>
    <w:rsid w:val="00EB21FD"/>
    <w:rsid w:val="00EB2345"/>
    <w:rsid w:val="00EB2695"/>
    <w:rsid w:val="00EB26B9"/>
    <w:rsid w:val="00EB26CF"/>
    <w:rsid w:val="00EB2711"/>
    <w:rsid w:val="00EB2776"/>
    <w:rsid w:val="00EB278F"/>
    <w:rsid w:val="00EB2827"/>
    <w:rsid w:val="00EB298A"/>
    <w:rsid w:val="00EB2AA6"/>
    <w:rsid w:val="00EB2AE1"/>
    <w:rsid w:val="00EB2BDD"/>
    <w:rsid w:val="00EB2C21"/>
    <w:rsid w:val="00EB2C9E"/>
    <w:rsid w:val="00EB2CD0"/>
    <w:rsid w:val="00EB2E62"/>
    <w:rsid w:val="00EB2F66"/>
    <w:rsid w:val="00EB3056"/>
    <w:rsid w:val="00EB30EB"/>
    <w:rsid w:val="00EB3137"/>
    <w:rsid w:val="00EB3302"/>
    <w:rsid w:val="00EB3386"/>
    <w:rsid w:val="00EB338B"/>
    <w:rsid w:val="00EB3413"/>
    <w:rsid w:val="00EB34D7"/>
    <w:rsid w:val="00EB35D2"/>
    <w:rsid w:val="00EB37C8"/>
    <w:rsid w:val="00EB3832"/>
    <w:rsid w:val="00EB38C9"/>
    <w:rsid w:val="00EB38DF"/>
    <w:rsid w:val="00EB392E"/>
    <w:rsid w:val="00EB395A"/>
    <w:rsid w:val="00EB3989"/>
    <w:rsid w:val="00EB39CD"/>
    <w:rsid w:val="00EB39EB"/>
    <w:rsid w:val="00EB3A2D"/>
    <w:rsid w:val="00EB3B65"/>
    <w:rsid w:val="00EB3B72"/>
    <w:rsid w:val="00EB3BC4"/>
    <w:rsid w:val="00EB3BE5"/>
    <w:rsid w:val="00EB3C2D"/>
    <w:rsid w:val="00EB3C61"/>
    <w:rsid w:val="00EB3D78"/>
    <w:rsid w:val="00EB3E6E"/>
    <w:rsid w:val="00EB4073"/>
    <w:rsid w:val="00EB409B"/>
    <w:rsid w:val="00EB41BC"/>
    <w:rsid w:val="00EB4279"/>
    <w:rsid w:val="00EB43CA"/>
    <w:rsid w:val="00EB4690"/>
    <w:rsid w:val="00EB4744"/>
    <w:rsid w:val="00EB4856"/>
    <w:rsid w:val="00EB486F"/>
    <w:rsid w:val="00EB48DE"/>
    <w:rsid w:val="00EB496D"/>
    <w:rsid w:val="00EB49B8"/>
    <w:rsid w:val="00EB4B0B"/>
    <w:rsid w:val="00EB4B67"/>
    <w:rsid w:val="00EB4B8E"/>
    <w:rsid w:val="00EB4BE3"/>
    <w:rsid w:val="00EB4C52"/>
    <w:rsid w:val="00EB4CE9"/>
    <w:rsid w:val="00EB4CED"/>
    <w:rsid w:val="00EB4D9E"/>
    <w:rsid w:val="00EB5010"/>
    <w:rsid w:val="00EB50A6"/>
    <w:rsid w:val="00EB50B1"/>
    <w:rsid w:val="00EB5164"/>
    <w:rsid w:val="00EB523A"/>
    <w:rsid w:val="00EB5267"/>
    <w:rsid w:val="00EB537C"/>
    <w:rsid w:val="00EB53F0"/>
    <w:rsid w:val="00EB543B"/>
    <w:rsid w:val="00EB544F"/>
    <w:rsid w:val="00EB54DE"/>
    <w:rsid w:val="00EB55EA"/>
    <w:rsid w:val="00EB5602"/>
    <w:rsid w:val="00EB5697"/>
    <w:rsid w:val="00EB56BF"/>
    <w:rsid w:val="00EB58FC"/>
    <w:rsid w:val="00EB5916"/>
    <w:rsid w:val="00EB59E4"/>
    <w:rsid w:val="00EB5A59"/>
    <w:rsid w:val="00EB5AC6"/>
    <w:rsid w:val="00EB5D4B"/>
    <w:rsid w:val="00EB5DC8"/>
    <w:rsid w:val="00EB5DD9"/>
    <w:rsid w:val="00EB5DEB"/>
    <w:rsid w:val="00EB5E40"/>
    <w:rsid w:val="00EB5F0A"/>
    <w:rsid w:val="00EB6016"/>
    <w:rsid w:val="00EB6023"/>
    <w:rsid w:val="00EB6063"/>
    <w:rsid w:val="00EB6068"/>
    <w:rsid w:val="00EB6078"/>
    <w:rsid w:val="00EB6100"/>
    <w:rsid w:val="00EB6255"/>
    <w:rsid w:val="00EB6316"/>
    <w:rsid w:val="00EB633F"/>
    <w:rsid w:val="00EB637E"/>
    <w:rsid w:val="00EB63F7"/>
    <w:rsid w:val="00EB6442"/>
    <w:rsid w:val="00EB64EB"/>
    <w:rsid w:val="00EB6594"/>
    <w:rsid w:val="00EB685B"/>
    <w:rsid w:val="00EB6878"/>
    <w:rsid w:val="00EB6943"/>
    <w:rsid w:val="00EB6987"/>
    <w:rsid w:val="00EB6C35"/>
    <w:rsid w:val="00EB6C83"/>
    <w:rsid w:val="00EB6D9A"/>
    <w:rsid w:val="00EB6DAC"/>
    <w:rsid w:val="00EB6F44"/>
    <w:rsid w:val="00EB6FAC"/>
    <w:rsid w:val="00EB7043"/>
    <w:rsid w:val="00EB706B"/>
    <w:rsid w:val="00EB722D"/>
    <w:rsid w:val="00EB729C"/>
    <w:rsid w:val="00EB72BF"/>
    <w:rsid w:val="00EB72D7"/>
    <w:rsid w:val="00EB7314"/>
    <w:rsid w:val="00EB757D"/>
    <w:rsid w:val="00EB7873"/>
    <w:rsid w:val="00EB7A97"/>
    <w:rsid w:val="00EB7B54"/>
    <w:rsid w:val="00EB7C72"/>
    <w:rsid w:val="00EB7CA5"/>
    <w:rsid w:val="00EB7D40"/>
    <w:rsid w:val="00EB7D8D"/>
    <w:rsid w:val="00EB7E4A"/>
    <w:rsid w:val="00EB7EBC"/>
    <w:rsid w:val="00EB7EE9"/>
    <w:rsid w:val="00EB7F22"/>
    <w:rsid w:val="00EB7F6C"/>
    <w:rsid w:val="00EB7F74"/>
    <w:rsid w:val="00EC0072"/>
    <w:rsid w:val="00EC0096"/>
    <w:rsid w:val="00EC0143"/>
    <w:rsid w:val="00EC01B8"/>
    <w:rsid w:val="00EC0285"/>
    <w:rsid w:val="00EC02B9"/>
    <w:rsid w:val="00EC0452"/>
    <w:rsid w:val="00EC04DA"/>
    <w:rsid w:val="00EC053F"/>
    <w:rsid w:val="00EC05D1"/>
    <w:rsid w:val="00EC07C6"/>
    <w:rsid w:val="00EC07DB"/>
    <w:rsid w:val="00EC0903"/>
    <w:rsid w:val="00EC098A"/>
    <w:rsid w:val="00EC09CB"/>
    <w:rsid w:val="00EC0AA3"/>
    <w:rsid w:val="00EC0B1C"/>
    <w:rsid w:val="00EC0BBE"/>
    <w:rsid w:val="00EC0C97"/>
    <w:rsid w:val="00EC0D7C"/>
    <w:rsid w:val="00EC0FC9"/>
    <w:rsid w:val="00EC11A0"/>
    <w:rsid w:val="00EC12B6"/>
    <w:rsid w:val="00EC12C9"/>
    <w:rsid w:val="00EC1413"/>
    <w:rsid w:val="00EC143C"/>
    <w:rsid w:val="00EC172A"/>
    <w:rsid w:val="00EC1779"/>
    <w:rsid w:val="00EC189C"/>
    <w:rsid w:val="00EC198C"/>
    <w:rsid w:val="00EC1A46"/>
    <w:rsid w:val="00EC1BE1"/>
    <w:rsid w:val="00EC1D30"/>
    <w:rsid w:val="00EC1D6A"/>
    <w:rsid w:val="00EC1DB4"/>
    <w:rsid w:val="00EC1E0E"/>
    <w:rsid w:val="00EC1FD1"/>
    <w:rsid w:val="00EC207F"/>
    <w:rsid w:val="00EC20DC"/>
    <w:rsid w:val="00EC20E1"/>
    <w:rsid w:val="00EC2268"/>
    <w:rsid w:val="00EC230D"/>
    <w:rsid w:val="00EC236D"/>
    <w:rsid w:val="00EC239D"/>
    <w:rsid w:val="00EC249B"/>
    <w:rsid w:val="00EC2560"/>
    <w:rsid w:val="00EC2872"/>
    <w:rsid w:val="00EC2941"/>
    <w:rsid w:val="00EC29C4"/>
    <w:rsid w:val="00EC2A11"/>
    <w:rsid w:val="00EC2A8B"/>
    <w:rsid w:val="00EC2AE9"/>
    <w:rsid w:val="00EC2B92"/>
    <w:rsid w:val="00EC2BA9"/>
    <w:rsid w:val="00EC2C41"/>
    <w:rsid w:val="00EC2C6B"/>
    <w:rsid w:val="00EC2C8E"/>
    <w:rsid w:val="00EC2D80"/>
    <w:rsid w:val="00EC2E00"/>
    <w:rsid w:val="00EC2E1A"/>
    <w:rsid w:val="00EC2E8E"/>
    <w:rsid w:val="00EC2F18"/>
    <w:rsid w:val="00EC3116"/>
    <w:rsid w:val="00EC3154"/>
    <w:rsid w:val="00EC328F"/>
    <w:rsid w:val="00EC33BC"/>
    <w:rsid w:val="00EC33C3"/>
    <w:rsid w:val="00EC340F"/>
    <w:rsid w:val="00EC3788"/>
    <w:rsid w:val="00EC37EF"/>
    <w:rsid w:val="00EC3800"/>
    <w:rsid w:val="00EC3813"/>
    <w:rsid w:val="00EC3910"/>
    <w:rsid w:val="00EC39D7"/>
    <w:rsid w:val="00EC39FD"/>
    <w:rsid w:val="00EC3CB1"/>
    <w:rsid w:val="00EC3DD8"/>
    <w:rsid w:val="00EC3E27"/>
    <w:rsid w:val="00EC3EB7"/>
    <w:rsid w:val="00EC3EEB"/>
    <w:rsid w:val="00EC3FD7"/>
    <w:rsid w:val="00EC4036"/>
    <w:rsid w:val="00EC40BB"/>
    <w:rsid w:val="00EC4227"/>
    <w:rsid w:val="00EC428E"/>
    <w:rsid w:val="00EC42BC"/>
    <w:rsid w:val="00EC4308"/>
    <w:rsid w:val="00EC4335"/>
    <w:rsid w:val="00EC43A6"/>
    <w:rsid w:val="00EC4512"/>
    <w:rsid w:val="00EC45D7"/>
    <w:rsid w:val="00EC4637"/>
    <w:rsid w:val="00EC471D"/>
    <w:rsid w:val="00EC4781"/>
    <w:rsid w:val="00EC4919"/>
    <w:rsid w:val="00EC4B30"/>
    <w:rsid w:val="00EC4B32"/>
    <w:rsid w:val="00EC4C3F"/>
    <w:rsid w:val="00EC4D16"/>
    <w:rsid w:val="00EC4D20"/>
    <w:rsid w:val="00EC4EE9"/>
    <w:rsid w:val="00EC4F50"/>
    <w:rsid w:val="00EC4FB4"/>
    <w:rsid w:val="00EC504D"/>
    <w:rsid w:val="00EC5131"/>
    <w:rsid w:val="00EC513A"/>
    <w:rsid w:val="00EC51B0"/>
    <w:rsid w:val="00EC51BE"/>
    <w:rsid w:val="00EC524D"/>
    <w:rsid w:val="00EC5370"/>
    <w:rsid w:val="00EC5436"/>
    <w:rsid w:val="00EC548B"/>
    <w:rsid w:val="00EC564E"/>
    <w:rsid w:val="00EC5900"/>
    <w:rsid w:val="00EC59CF"/>
    <w:rsid w:val="00EC59DC"/>
    <w:rsid w:val="00EC5AFB"/>
    <w:rsid w:val="00EC5B13"/>
    <w:rsid w:val="00EC5C82"/>
    <w:rsid w:val="00EC5D46"/>
    <w:rsid w:val="00EC5D6A"/>
    <w:rsid w:val="00EC5D9F"/>
    <w:rsid w:val="00EC5DAE"/>
    <w:rsid w:val="00EC5E0F"/>
    <w:rsid w:val="00EC5F4D"/>
    <w:rsid w:val="00EC5F7B"/>
    <w:rsid w:val="00EC6014"/>
    <w:rsid w:val="00EC6019"/>
    <w:rsid w:val="00EC60F5"/>
    <w:rsid w:val="00EC615D"/>
    <w:rsid w:val="00EC6294"/>
    <w:rsid w:val="00EC647F"/>
    <w:rsid w:val="00EC659B"/>
    <w:rsid w:val="00EC66EF"/>
    <w:rsid w:val="00EC67DB"/>
    <w:rsid w:val="00EC6822"/>
    <w:rsid w:val="00EC6916"/>
    <w:rsid w:val="00EC6ACF"/>
    <w:rsid w:val="00EC6B16"/>
    <w:rsid w:val="00EC6BAD"/>
    <w:rsid w:val="00EC6D10"/>
    <w:rsid w:val="00EC6D40"/>
    <w:rsid w:val="00EC6DEF"/>
    <w:rsid w:val="00EC6E8A"/>
    <w:rsid w:val="00EC6F17"/>
    <w:rsid w:val="00EC6FAC"/>
    <w:rsid w:val="00EC6FB0"/>
    <w:rsid w:val="00EC6FD9"/>
    <w:rsid w:val="00EC7030"/>
    <w:rsid w:val="00EC7193"/>
    <w:rsid w:val="00EC71B9"/>
    <w:rsid w:val="00EC7260"/>
    <w:rsid w:val="00EC72E5"/>
    <w:rsid w:val="00EC74DD"/>
    <w:rsid w:val="00EC75D7"/>
    <w:rsid w:val="00EC7681"/>
    <w:rsid w:val="00EC76CC"/>
    <w:rsid w:val="00EC76CF"/>
    <w:rsid w:val="00EC7711"/>
    <w:rsid w:val="00EC788D"/>
    <w:rsid w:val="00EC7A9F"/>
    <w:rsid w:val="00EC7AAF"/>
    <w:rsid w:val="00EC7B5C"/>
    <w:rsid w:val="00EC7BDE"/>
    <w:rsid w:val="00EC7C09"/>
    <w:rsid w:val="00EC7CB5"/>
    <w:rsid w:val="00EC7CCE"/>
    <w:rsid w:val="00EC7E74"/>
    <w:rsid w:val="00EC7E99"/>
    <w:rsid w:val="00EC7F0E"/>
    <w:rsid w:val="00EC7FB7"/>
    <w:rsid w:val="00EC7FD7"/>
    <w:rsid w:val="00ED002E"/>
    <w:rsid w:val="00ED03F4"/>
    <w:rsid w:val="00ED044F"/>
    <w:rsid w:val="00ED0484"/>
    <w:rsid w:val="00ED04B4"/>
    <w:rsid w:val="00ED0577"/>
    <w:rsid w:val="00ED0590"/>
    <w:rsid w:val="00ED05AD"/>
    <w:rsid w:val="00ED06FB"/>
    <w:rsid w:val="00ED0747"/>
    <w:rsid w:val="00ED0906"/>
    <w:rsid w:val="00ED0964"/>
    <w:rsid w:val="00ED09F4"/>
    <w:rsid w:val="00ED0A69"/>
    <w:rsid w:val="00ED0B18"/>
    <w:rsid w:val="00ED0B53"/>
    <w:rsid w:val="00ED0B77"/>
    <w:rsid w:val="00ED0CC3"/>
    <w:rsid w:val="00ED0D01"/>
    <w:rsid w:val="00ED0DA7"/>
    <w:rsid w:val="00ED0E1A"/>
    <w:rsid w:val="00ED0E29"/>
    <w:rsid w:val="00ED0F63"/>
    <w:rsid w:val="00ED0FA0"/>
    <w:rsid w:val="00ED1083"/>
    <w:rsid w:val="00ED10A5"/>
    <w:rsid w:val="00ED1129"/>
    <w:rsid w:val="00ED136D"/>
    <w:rsid w:val="00ED1501"/>
    <w:rsid w:val="00ED1523"/>
    <w:rsid w:val="00ED1555"/>
    <w:rsid w:val="00ED156A"/>
    <w:rsid w:val="00ED156D"/>
    <w:rsid w:val="00ED1588"/>
    <w:rsid w:val="00ED15E1"/>
    <w:rsid w:val="00ED170B"/>
    <w:rsid w:val="00ED176C"/>
    <w:rsid w:val="00ED177B"/>
    <w:rsid w:val="00ED17B5"/>
    <w:rsid w:val="00ED1879"/>
    <w:rsid w:val="00ED19AE"/>
    <w:rsid w:val="00ED1A61"/>
    <w:rsid w:val="00ED1C33"/>
    <w:rsid w:val="00ED1CEE"/>
    <w:rsid w:val="00ED1D50"/>
    <w:rsid w:val="00ED1E22"/>
    <w:rsid w:val="00ED1E44"/>
    <w:rsid w:val="00ED1E56"/>
    <w:rsid w:val="00ED1E63"/>
    <w:rsid w:val="00ED1EAC"/>
    <w:rsid w:val="00ED20FD"/>
    <w:rsid w:val="00ED210E"/>
    <w:rsid w:val="00ED2267"/>
    <w:rsid w:val="00ED226B"/>
    <w:rsid w:val="00ED2361"/>
    <w:rsid w:val="00ED2492"/>
    <w:rsid w:val="00ED262F"/>
    <w:rsid w:val="00ED26B5"/>
    <w:rsid w:val="00ED2760"/>
    <w:rsid w:val="00ED2772"/>
    <w:rsid w:val="00ED2877"/>
    <w:rsid w:val="00ED2901"/>
    <w:rsid w:val="00ED2C0B"/>
    <w:rsid w:val="00ED2D93"/>
    <w:rsid w:val="00ED2EB0"/>
    <w:rsid w:val="00ED2F10"/>
    <w:rsid w:val="00ED2F29"/>
    <w:rsid w:val="00ED2F73"/>
    <w:rsid w:val="00ED2F8F"/>
    <w:rsid w:val="00ED3244"/>
    <w:rsid w:val="00ED3319"/>
    <w:rsid w:val="00ED3396"/>
    <w:rsid w:val="00ED34AC"/>
    <w:rsid w:val="00ED34DA"/>
    <w:rsid w:val="00ED3546"/>
    <w:rsid w:val="00ED368A"/>
    <w:rsid w:val="00ED3691"/>
    <w:rsid w:val="00ED37F9"/>
    <w:rsid w:val="00ED3870"/>
    <w:rsid w:val="00ED3A43"/>
    <w:rsid w:val="00ED3D38"/>
    <w:rsid w:val="00ED3D3C"/>
    <w:rsid w:val="00ED3D56"/>
    <w:rsid w:val="00ED3DEA"/>
    <w:rsid w:val="00ED3E36"/>
    <w:rsid w:val="00ED3E49"/>
    <w:rsid w:val="00ED3F69"/>
    <w:rsid w:val="00ED3FF4"/>
    <w:rsid w:val="00ED410B"/>
    <w:rsid w:val="00ED4185"/>
    <w:rsid w:val="00ED41CA"/>
    <w:rsid w:val="00ED4229"/>
    <w:rsid w:val="00ED427E"/>
    <w:rsid w:val="00ED42E3"/>
    <w:rsid w:val="00ED4310"/>
    <w:rsid w:val="00ED441C"/>
    <w:rsid w:val="00ED44C9"/>
    <w:rsid w:val="00ED4535"/>
    <w:rsid w:val="00ED46AE"/>
    <w:rsid w:val="00ED472F"/>
    <w:rsid w:val="00ED4831"/>
    <w:rsid w:val="00ED48E3"/>
    <w:rsid w:val="00ED4986"/>
    <w:rsid w:val="00ED49B5"/>
    <w:rsid w:val="00ED4A51"/>
    <w:rsid w:val="00ED4AF1"/>
    <w:rsid w:val="00ED4C7D"/>
    <w:rsid w:val="00ED4D7E"/>
    <w:rsid w:val="00ED4E04"/>
    <w:rsid w:val="00ED4EE2"/>
    <w:rsid w:val="00ED4F5D"/>
    <w:rsid w:val="00ED52FF"/>
    <w:rsid w:val="00ED5350"/>
    <w:rsid w:val="00ED540A"/>
    <w:rsid w:val="00ED54AE"/>
    <w:rsid w:val="00ED5553"/>
    <w:rsid w:val="00ED5A20"/>
    <w:rsid w:val="00ED5BBC"/>
    <w:rsid w:val="00ED5BC9"/>
    <w:rsid w:val="00ED5BFB"/>
    <w:rsid w:val="00ED5D2F"/>
    <w:rsid w:val="00ED5D5C"/>
    <w:rsid w:val="00ED5DAF"/>
    <w:rsid w:val="00ED5E40"/>
    <w:rsid w:val="00ED5EC1"/>
    <w:rsid w:val="00ED5F64"/>
    <w:rsid w:val="00ED5FEF"/>
    <w:rsid w:val="00ED60D2"/>
    <w:rsid w:val="00ED635A"/>
    <w:rsid w:val="00ED63F0"/>
    <w:rsid w:val="00ED6455"/>
    <w:rsid w:val="00ED6489"/>
    <w:rsid w:val="00ED6551"/>
    <w:rsid w:val="00ED66B5"/>
    <w:rsid w:val="00ED6765"/>
    <w:rsid w:val="00ED6786"/>
    <w:rsid w:val="00ED68A7"/>
    <w:rsid w:val="00ED6A15"/>
    <w:rsid w:val="00ED6AAD"/>
    <w:rsid w:val="00ED6B6F"/>
    <w:rsid w:val="00ED6C14"/>
    <w:rsid w:val="00ED6E4E"/>
    <w:rsid w:val="00ED6EBA"/>
    <w:rsid w:val="00ED6ED0"/>
    <w:rsid w:val="00ED6F51"/>
    <w:rsid w:val="00ED6F9C"/>
    <w:rsid w:val="00ED7053"/>
    <w:rsid w:val="00ED7057"/>
    <w:rsid w:val="00ED7114"/>
    <w:rsid w:val="00ED7182"/>
    <w:rsid w:val="00ED71B5"/>
    <w:rsid w:val="00ED71B7"/>
    <w:rsid w:val="00ED71D3"/>
    <w:rsid w:val="00ED7229"/>
    <w:rsid w:val="00ED7264"/>
    <w:rsid w:val="00ED7285"/>
    <w:rsid w:val="00ED734B"/>
    <w:rsid w:val="00ED7743"/>
    <w:rsid w:val="00ED7885"/>
    <w:rsid w:val="00ED78B6"/>
    <w:rsid w:val="00ED7980"/>
    <w:rsid w:val="00ED7A8C"/>
    <w:rsid w:val="00ED7C5E"/>
    <w:rsid w:val="00ED7CAB"/>
    <w:rsid w:val="00ED7D90"/>
    <w:rsid w:val="00EE007A"/>
    <w:rsid w:val="00EE041E"/>
    <w:rsid w:val="00EE046E"/>
    <w:rsid w:val="00EE0567"/>
    <w:rsid w:val="00EE06CB"/>
    <w:rsid w:val="00EE073F"/>
    <w:rsid w:val="00EE07F3"/>
    <w:rsid w:val="00EE096E"/>
    <w:rsid w:val="00EE0999"/>
    <w:rsid w:val="00EE09B8"/>
    <w:rsid w:val="00EE0A51"/>
    <w:rsid w:val="00EE0A88"/>
    <w:rsid w:val="00EE0C0C"/>
    <w:rsid w:val="00EE0CF7"/>
    <w:rsid w:val="00EE0F02"/>
    <w:rsid w:val="00EE0F22"/>
    <w:rsid w:val="00EE0F58"/>
    <w:rsid w:val="00EE0FB4"/>
    <w:rsid w:val="00EE0FD5"/>
    <w:rsid w:val="00EE0FF7"/>
    <w:rsid w:val="00EE10B2"/>
    <w:rsid w:val="00EE124E"/>
    <w:rsid w:val="00EE1259"/>
    <w:rsid w:val="00EE1447"/>
    <w:rsid w:val="00EE14CC"/>
    <w:rsid w:val="00EE155D"/>
    <w:rsid w:val="00EE166B"/>
    <w:rsid w:val="00EE16C5"/>
    <w:rsid w:val="00EE178A"/>
    <w:rsid w:val="00EE17D2"/>
    <w:rsid w:val="00EE180A"/>
    <w:rsid w:val="00EE183A"/>
    <w:rsid w:val="00EE1846"/>
    <w:rsid w:val="00EE18C7"/>
    <w:rsid w:val="00EE18CD"/>
    <w:rsid w:val="00EE18D1"/>
    <w:rsid w:val="00EE19AF"/>
    <w:rsid w:val="00EE1A2E"/>
    <w:rsid w:val="00EE1B0E"/>
    <w:rsid w:val="00EE1BD1"/>
    <w:rsid w:val="00EE1BF1"/>
    <w:rsid w:val="00EE1C1B"/>
    <w:rsid w:val="00EE1CE1"/>
    <w:rsid w:val="00EE1E9A"/>
    <w:rsid w:val="00EE1ED4"/>
    <w:rsid w:val="00EE1F27"/>
    <w:rsid w:val="00EE2017"/>
    <w:rsid w:val="00EE2038"/>
    <w:rsid w:val="00EE2046"/>
    <w:rsid w:val="00EE239F"/>
    <w:rsid w:val="00EE23A4"/>
    <w:rsid w:val="00EE23C8"/>
    <w:rsid w:val="00EE2412"/>
    <w:rsid w:val="00EE243A"/>
    <w:rsid w:val="00EE2529"/>
    <w:rsid w:val="00EE258E"/>
    <w:rsid w:val="00EE25F2"/>
    <w:rsid w:val="00EE2674"/>
    <w:rsid w:val="00EE2704"/>
    <w:rsid w:val="00EE2898"/>
    <w:rsid w:val="00EE29EB"/>
    <w:rsid w:val="00EE2A51"/>
    <w:rsid w:val="00EE2A97"/>
    <w:rsid w:val="00EE2B43"/>
    <w:rsid w:val="00EE2C51"/>
    <w:rsid w:val="00EE2CE5"/>
    <w:rsid w:val="00EE2E0C"/>
    <w:rsid w:val="00EE2F22"/>
    <w:rsid w:val="00EE2F6B"/>
    <w:rsid w:val="00EE30CE"/>
    <w:rsid w:val="00EE3121"/>
    <w:rsid w:val="00EE3193"/>
    <w:rsid w:val="00EE327E"/>
    <w:rsid w:val="00EE333A"/>
    <w:rsid w:val="00EE333B"/>
    <w:rsid w:val="00EE346E"/>
    <w:rsid w:val="00EE346F"/>
    <w:rsid w:val="00EE349C"/>
    <w:rsid w:val="00EE3532"/>
    <w:rsid w:val="00EE35B2"/>
    <w:rsid w:val="00EE376F"/>
    <w:rsid w:val="00EE37E5"/>
    <w:rsid w:val="00EE3834"/>
    <w:rsid w:val="00EE3929"/>
    <w:rsid w:val="00EE3AC1"/>
    <w:rsid w:val="00EE3BC7"/>
    <w:rsid w:val="00EE3F7F"/>
    <w:rsid w:val="00EE3F89"/>
    <w:rsid w:val="00EE4090"/>
    <w:rsid w:val="00EE4120"/>
    <w:rsid w:val="00EE4285"/>
    <w:rsid w:val="00EE4366"/>
    <w:rsid w:val="00EE45CF"/>
    <w:rsid w:val="00EE4809"/>
    <w:rsid w:val="00EE4864"/>
    <w:rsid w:val="00EE4877"/>
    <w:rsid w:val="00EE4AC2"/>
    <w:rsid w:val="00EE4B87"/>
    <w:rsid w:val="00EE4E3C"/>
    <w:rsid w:val="00EE4F55"/>
    <w:rsid w:val="00EE51B2"/>
    <w:rsid w:val="00EE52E5"/>
    <w:rsid w:val="00EE53A7"/>
    <w:rsid w:val="00EE53F1"/>
    <w:rsid w:val="00EE541D"/>
    <w:rsid w:val="00EE551C"/>
    <w:rsid w:val="00EE5605"/>
    <w:rsid w:val="00EE5645"/>
    <w:rsid w:val="00EE5663"/>
    <w:rsid w:val="00EE56AE"/>
    <w:rsid w:val="00EE584E"/>
    <w:rsid w:val="00EE594F"/>
    <w:rsid w:val="00EE5962"/>
    <w:rsid w:val="00EE5988"/>
    <w:rsid w:val="00EE5A3E"/>
    <w:rsid w:val="00EE5B5E"/>
    <w:rsid w:val="00EE5B8C"/>
    <w:rsid w:val="00EE5B95"/>
    <w:rsid w:val="00EE5CC2"/>
    <w:rsid w:val="00EE5EA2"/>
    <w:rsid w:val="00EE5F5D"/>
    <w:rsid w:val="00EE5F63"/>
    <w:rsid w:val="00EE603A"/>
    <w:rsid w:val="00EE621C"/>
    <w:rsid w:val="00EE6258"/>
    <w:rsid w:val="00EE62ED"/>
    <w:rsid w:val="00EE6307"/>
    <w:rsid w:val="00EE632C"/>
    <w:rsid w:val="00EE63C9"/>
    <w:rsid w:val="00EE64B2"/>
    <w:rsid w:val="00EE652E"/>
    <w:rsid w:val="00EE65C1"/>
    <w:rsid w:val="00EE6654"/>
    <w:rsid w:val="00EE66AD"/>
    <w:rsid w:val="00EE6729"/>
    <w:rsid w:val="00EE6740"/>
    <w:rsid w:val="00EE67E9"/>
    <w:rsid w:val="00EE6841"/>
    <w:rsid w:val="00EE689F"/>
    <w:rsid w:val="00EE68BA"/>
    <w:rsid w:val="00EE69F1"/>
    <w:rsid w:val="00EE6AD5"/>
    <w:rsid w:val="00EE6B14"/>
    <w:rsid w:val="00EE6B96"/>
    <w:rsid w:val="00EE6CAB"/>
    <w:rsid w:val="00EE6DA5"/>
    <w:rsid w:val="00EE6EA7"/>
    <w:rsid w:val="00EE6F29"/>
    <w:rsid w:val="00EE6FE8"/>
    <w:rsid w:val="00EE705E"/>
    <w:rsid w:val="00EE7123"/>
    <w:rsid w:val="00EE7183"/>
    <w:rsid w:val="00EE719A"/>
    <w:rsid w:val="00EE71C8"/>
    <w:rsid w:val="00EE72DC"/>
    <w:rsid w:val="00EE7495"/>
    <w:rsid w:val="00EE74AB"/>
    <w:rsid w:val="00EE75DC"/>
    <w:rsid w:val="00EE76DC"/>
    <w:rsid w:val="00EE772F"/>
    <w:rsid w:val="00EE7744"/>
    <w:rsid w:val="00EE77F4"/>
    <w:rsid w:val="00EE78A3"/>
    <w:rsid w:val="00EE79B2"/>
    <w:rsid w:val="00EE7B0B"/>
    <w:rsid w:val="00EE7B67"/>
    <w:rsid w:val="00EE7BDD"/>
    <w:rsid w:val="00EE7BED"/>
    <w:rsid w:val="00EE7DBD"/>
    <w:rsid w:val="00EE7DFD"/>
    <w:rsid w:val="00EE7FA4"/>
    <w:rsid w:val="00EF0028"/>
    <w:rsid w:val="00EF0336"/>
    <w:rsid w:val="00EF03C9"/>
    <w:rsid w:val="00EF03E1"/>
    <w:rsid w:val="00EF0537"/>
    <w:rsid w:val="00EF05F6"/>
    <w:rsid w:val="00EF065E"/>
    <w:rsid w:val="00EF06BA"/>
    <w:rsid w:val="00EF07F4"/>
    <w:rsid w:val="00EF089A"/>
    <w:rsid w:val="00EF09DB"/>
    <w:rsid w:val="00EF0A07"/>
    <w:rsid w:val="00EF0A12"/>
    <w:rsid w:val="00EF0AA3"/>
    <w:rsid w:val="00EF0DA0"/>
    <w:rsid w:val="00EF0DA7"/>
    <w:rsid w:val="00EF1007"/>
    <w:rsid w:val="00EF11E6"/>
    <w:rsid w:val="00EF12B9"/>
    <w:rsid w:val="00EF1324"/>
    <w:rsid w:val="00EF145E"/>
    <w:rsid w:val="00EF154E"/>
    <w:rsid w:val="00EF15C9"/>
    <w:rsid w:val="00EF161F"/>
    <w:rsid w:val="00EF16B9"/>
    <w:rsid w:val="00EF189E"/>
    <w:rsid w:val="00EF1940"/>
    <w:rsid w:val="00EF198A"/>
    <w:rsid w:val="00EF1BA0"/>
    <w:rsid w:val="00EF1C10"/>
    <w:rsid w:val="00EF1C22"/>
    <w:rsid w:val="00EF1CDF"/>
    <w:rsid w:val="00EF1E2A"/>
    <w:rsid w:val="00EF1EF3"/>
    <w:rsid w:val="00EF1FD0"/>
    <w:rsid w:val="00EF206C"/>
    <w:rsid w:val="00EF20DA"/>
    <w:rsid w:val="00EF21AA"/>
    <w:rsid w:val="00EF21E6"/>
    <w:rsid w:val="00EF2250"/>
    <w:rsid w:val="00EF2345"/>
    <w:rsid w:val="00EF23CF"/>
    <w:rsid w:val="00EF2454"/>
    <w:rsid w:val="00EF2487"/>
    <w:rsid w:val="00EF248E"/>
    <w:rsid w:val="00EF2594"/>
    <w:rsid w:val="00EF2609"/>
    <w:rsid w:val="00EF26AB"/>
    <w:rsid w:val="00EF26B5"/>
    <w:rsid w:val="00EF26CF"/>
    <w:rsid w:val="00EF272C"/>
    <w:rsid w:val="00EF2A03"/>
    <w:rsid w:val="00EF2B08"/>
    <w:rsid w:val="00EF2BBB"/>
    <w:rsid w:val="00EF2BE2"/>
    <w:rsid w:val="00EF2EB0"/>
    <w:rsid w:val="00EF2F05"/>
    <w:rsid w:val="00EF2F0B"/>
    <w:rsid w:val="00EF2F7D"/>
    <w:rsid w:val="00EF30D6"/>
    <w:rsid w:val="00EF3121"/>
    <w:rsid w:val="00EF3178"/>
    <w:rsid w:val="00EF322F"/>
    <w:rsid w:val="00EF3411"/>
    <w:rsid w:val="00EF3565"/>
    <w:rsid w:val="00EF3576"/>
    <w:rsid w:val="00EF36B0"/>
    <w:rsid w:val="00EF37DC"/>
    <w:rsid w:val="00EF3824"/>
    <w:rsid w:val="00EF3B38"/>
    <w:rsid w:val="00EF3B49"/>
    <w:rsid w:val="00EF3B7C"/>
    <w:rsid w:val="00EF3BF4"/>
    <w:rsid w:val="00EF3C65"/>
    <w:rsid w:val="00EF3C9D"/>
    <w:rsid w:val="00EF3D41"/>
    <w:rsid w:val="00EF3D55"/>
    <w:rsid w:val="00EF3E49"/>
    <w:rsid w:val="00EF3EBA"/>
    <w:rsid w:val="00EF3F31"/>
    <w:rsid w:val="00EF407B"/>
    <w:rsid w:val="00EF40E2"/>
    <w:rsid w:val="00EF4151"/>
    <w:rsid w:val="00EF41BB"/>
    <w:rsid w:val="00EF41F1"/>
    <w:rsid w:val="00EF429A"/>
    <w:rsid w:val="00EF434E"/>
    <w:rsid w:val="00EF4390"/>
    <w:rsid w:val="00EF43E8"/>
    <w:rsid w:val="00EF44D7"/>
    <w:rsid w:val="00EF4631"/>
    <w:rsid w:val="00EF46A1"/>
    <w:rsid w:val="00EF47CB"/>
    <w:rsid w:val="00EF48AF"/>
    <w:rsid w:val="00EF48F2"/>
    <w:rsid w:val="00EF494F"/>
    <w:rsid w:val="00EF497C"/>
    <w:rsid w:val="00EF4AE7"/>
    <w:rsid w:val="00EF4B0E"/>
    <w:rsid w:val="00EF4B8F"/>
    <w:rsid w:val="00EF4BA1"/>
    <w:rsid w:val="00EF4EC1"/>
    <w:rsid w:val="00EF4EEE"/>
    <w:rsid w:val="00EF4F07"/>
    <w:rsid w:val="00EF4F47"/>
    <w:rsid w:val="00EF50DB"/>
    <w:rsid w:val="00EF5177"/>
    <w:rsid w:val="00EF51B2"/>
    <w:rsid w:val="00EF53DE"/>
    <w:rsid w:val="00EF54B7"/>
    <w:rsid w:val="00EF55E3"/>
    <w:rsid w:val="00EF5605"/>
    <w:rsid w:val="00EF5619"/>
    <w:rsid w:val="00EF572F"/>
    <w:rsid w:val="00EF57D5"/>
    <w:rsid w:val="00EF58D0"/>
    <w:rsid w:val="00EF590F"/>
    <w:rsid w:val="00EF5959"/>
    <w:rsid w:val="00EF59A1"/>
    <w:rsid w:val="00EF5B75"/>
    <w:rsid w:val="00EF5B86"/>
    <w:rsid w:val="00EF5C4C"/>
    <w:rsid w:val="00EF5D23"/>
    <w:rsid w:val="00EF5D6A"/>
    <w:rsid w:val="00EF5DAF"/>
    <w:rsid w:val="00EF5EB7"/>
    <w:rsid w:val="00EF5EEC"/>
    <w:rsid w:val="00EF5F5D"/>
    <w:rsid w:val="00EF5F8F"/>
    <w:rsid w:val="00EF5FC9"/>
    <w:rsid w:val="00EF6128"/>
    <w:rsid w:val="00EF61D7"/>
    <w:rsid w:val="00EF6239"/>
    <w:rsid w:val="00EF634D"/>
    <w:rsid w:val="00EF649A"/>
    <w:rsid w:val="00EF6531"/>
    <w:rsid w:val="00EF6574"/>
    <w:rsid w:val="00EF6606"/>
    <w:rsid w:val="00EF67E4"/>
    <w:rsid w:val="00EF68E2"/>
    <w:rsid w:val="00EF69B7"/>
    <w:rsid w:val="00EF6D10"/>
    <w:rsid w:val="00EF6E5D"/>
    <w:rsid w:val="00EF6EF9"/>
    <w:rsid w:val="00EF6F36"/>
    <w:rsid w:val="00EF6FD1"/>
    <w:rsid w:val="00EF7100"/>
    <w:rsid w:val="00EF71E7"/>
    <w:rsid w:val="00EF71E9"/>
    <w:rsid w:val="00EF72CD"/>
    <w:rsid w:val="00EF7335"/>
    <w:rsid w:val="00EF73E9"/>
    <w:rsid w:val="00EF754B"/>
    <w:rsid w:val="00EF759D"/>
    <w:rsid w:val="00EF767F"/>
    <w:rsid w:val="00EF76ED"/>
    <w:rsid w:val="00EF7765"/>
    <w:rsid w:val="00EF77E0"/>
    <w:rsid w:val="00EF78BF"/>
    <w:rsid w:val="00EF7C20"/>
    <w:rsid w:val="00EF7CF3"/>
    <w:rsid w:val="00EF7D64"/>
    <w:rsid w:val="00EF7D69"/>
    <w:rsid w:val="00EF7D6F"/>
    <w:rsid w:val="00EF7D97"/>
    <w:rsid w:val="00EF7E39"/>
    <w:rsid w:val="00EF7E50"/>
    <w:rsid w:val="00EF7E59"/>
    <w:rsid w:val="00EF7E94"/>
    <w:rsid w:val="00EF7EB9"/>
    <w:rsid w:val="00F00043"/>
    <w:rsid w:val="00F00144"/>
    <w:rsid w:val="00F0022B"/>
    <w:rsid w:val="00F002C8"/>
    <w:rsid w:val="00F0043C"/>
    <w:rsid w:val="00F00447"/>
    <w:rsid w:val="00F00520"/>
    <w:rsid w:val="00F005AA"/>
    <w:rsid w:val="00F00733"/>
    <w:rsid w:val="00F00816"/>
    <w:rsid w:val="00F0082D"/>
    <w:rsid w:val="00F00ADF"/>
    <w:rsid w:val="00F00C37"/>
    <w:rsid w:val="00F00CD4"/>
    <w:rsid w:val="00F00DBA"/>
    <w:rsid w:val="00F00DED"/>
    <w:rsid w:val="00F00EEE"/>
    <w:rsid w:val="00F00F58"/>
    <w:rsid w:val="00F00FE7"/>
    <w:rsid w:val="00F01067"/>
    <w:rsid w:val="00F010C4"/>
    <w:rsid w:val="00F011A2"/>
    <w:rsid w:val="00F011FF"/>
    <w:rsid w:val="00F012F4"/>
    <w:rsid w:val="00F01348"/>
    <w:rsid w:val="00F01421"/>
    <w:rsid w:val="00F014B6"/>
    <w:rsid w:val="00F014D7"/>
    <w:rsid w:val="00F015AB"/>
    <w:rsid w:val="00F016E9"/>
    <w:rsid w:val="00F0176D"/>
    <w:rsid w:val="00F01780"/>
    <w:rsid w:val="00F0182A"/>
    <w:rsid w:val="00F01996"/>
    <w:rsid w:val="00F019BB"/>
    <w:rsid w:val="00F01A7B"/>
    <w:rsid w:val="00F01AE7"/>
    <w:rsid w:val="00F01CE6"/>
    <w:rsid w:val="00F01F8A"/>
    <w:rsid w:val="00F01FCB"/>
    <w:rsid w:val="00F020A5"/>
    <w:rsid w:val="00F020E5"/>
    <w:rsid w:val="00F021A0"/>
    <w:rsid w:val="00F02277"/>
    <w:rsid w:val="00F022CD"/>
    <w:rsid w:val="00F02392"/>
    <w:rsid w:val="00F023D2"/>
    <w:rsid w:val="00F023F6"/>
    <w:rsid w:val="00F02466"/>
    <w:rsid w:val="00F02518"/>
    <w:rsid w:val="00F02519"/>
    <w:rsid w:val="00F025E4"/>
    <w:rsid w:val="00F028C1"/>
    <w:rsid w:val="00F02977"/>
    <w:rsid w:val="00F02CA7"/>
    <w:rsid w:val="00F02D67"/>
    <w:rsid w:val="00F02DBE"/>
    <w:rsid w:val="00F02EAC"/>
    <w:rsid w:val="00F03047"/>
    <w:rsid w:val="00F03135"/>
    <w:rsid w:val="00F03296"/>
    <w:rsid w:val="00F03466"/>
    <w:rsid w:val="00F03596"/>
    <w:rsid w:val="00F035AA"/>
    <w:rsid w:val="00F035CE"/>
    <w:rsid w:val="00F035E0"/>
    <w:rsid w:val="00F03618"/>
    <w:rsid w:val="00F0370D"/>
    <w:rsid w:val="00F0383D"/>
    <w:rsid w:val="00F03908"/>
    <w:rsid w:val="00F03AF0"/>
    <w:rsid w:val="00F03B41"/>
    <w:rsid w:val="00F03CCF"/>
    <w:rsid w:val="00F03DCB"/>
    <w:rsid w:val="00F03ECC"/>
    <w:rsid w:val="00F03F0C"/>
    <w:rsid w:val="00F03F6B"/>
    <w:rsid w:val="00F03F8E"/>
    <w:rsid w:val="00F03FC2"/>
    <w:rsid w:val="00F040D4"/>
    <w:rsid w:val="00F041AF"/>
    <w:rsid w:val="00F041D9"/>
    <w:rsid w:val="00F041E8"/>
    <w:rsid w:val="00F0427D"/>
    <w:rsid w:val="00F0430F"/>
    <w:rsid w:val="00F04379"/>
    <w:rsid w:val="00F043E0"/>
    <w:rsid w:val="00F043FF"/>
    <w:rsid w:val="00F045E0"/>
    <w:rsid w:val="00F046CB"/>
    <w:rsid w:val="00F047D0"/>
    <w:rsid w:val="00F04884"/>
    <w:rsid w:val="00F048D9"/>
    <w:rsid w:val="00F04976"/>
    <w:rsid w:val="00F04A7C"/>
    <w:rsid w:val="00F04A99"/>
    <w:rsid w:val="00F04B4F"/>
    <w:rsid w:val="00F04CCE"/>
    <w:rsid w:val="00F04EB2"/>
    <w:rsid w:val="00F04EFC"/>
    <w:rsid w:val="00F04F36"/>
    <w:rsid w:val="00F05004"/>
    <w:rsid w:val="00F0502C"/>
    <w:rsid w:val="00F05095"/>
    <w:rsid w:val="00F0518F"/>
    <w:rsid w:val="00F052F0"/>
    <w:rsid w:val="00F052FE"/>
    <w:rsid w:val="00F05389"/>
    <w:rsid w:val="00F053C4"/>
    <w:rsid w:val="00F05418"/>
    <w:rsid w:val="00F05440"/>
    <w:rsid w:val="00F05452"/>
    <w:rsid w:val="00F0545E"/>
    <w:rsid w:val="00F054C3"/>
    <w:rsid w:val="00F05550"/>
    <w:rsid w:val="00F05553"/>
    <w:rsid w:val="00F0557D"/>
    <w:rsid w:val="00F055B8"/>
    <w:rsid w:val="00F0567D"/>
    <w:rsid w:val="00F056FC"/>
    <w:rsid w:val="00F0575F"/>
    <w:rsid w:val="00F059AD"/>
    <w:rsid w:val="00F059D2"/>
    <w:rsid w:val="00F05A6F"/>
    <w:rsid w:val="00F05AED"/>
    <w:rsid w:val="00F05BFB"/>
    <w:rsid w:val="00F05CEA"/>
    <w:rsid w:val="00F05CF1"/>
    <w:rsid w:val="00F05D13"/>
    <w:rsid w:val="00F05D4A"/>
    <w:rsid w:val="00F05D7D"/>
    <w:rsid w:val="00F05E77"/>
    <w:rsid w:val="00F05EE0"/>
    <w:rsid w:val="00F05F34"/>
    <w:rsid w:val="00F05F8E"/>
    <w:rsid w:val="00F0610E"/>
    <w:rsid w:val="00F06189"/>
    <w:rsid w:val="00F062F8"/>
    <w:rsid w:val="00F063BD"/>
    <w:rsid w:val="00F06444"/>
    <w:rsid w:val="00F066FF"/>
    <w:rsid w:val="00F0686A"/>
    <w:rsid w:val="00F06A91"/>
    <w:rsid w:val="00F06B12"/>
    <w:rsid w:val="00F06BB6"/>
    <w:rsid w:val="00F06D3D"/>
    <w:rsid w:val="00F06D48"/>
    <w:rsid w:val="00F06E48"/>
    <w:rsid w:val="00F06E6B"/>
    <w:rsid w:val="00F06E7A"/>
    <w:rsid w:val="00F06EC9"/>
    <w:rsid w:val="00F06FAE"/>
    <w:rsid w:val="00F070CC"/>
    <w:rsid w:val="00F070EA"/>
    <w:rsid w:val="00F070EC"/>
    <w:rsid w:val="00F07192"/>
    <w:rsid w:val="00F073D0"/>
    <w:rsid w:val="00F073E9"/>
    <w:rsid w:val="00F07469"/>
    <w:rsid w:val="00F074B9"/>
    <w:rsid w:val="00F07512"/>
    <w:rsid w:val="00F075DE"/>
    <w:rsid w:val="00F07697"/>
    <w:rsid w:val="00F078C0"/>
    <w:rsid w:val="00F07957"/>
    <w:rsid w:val="00F0797A"/>
    <w:rsid w:val="00F0798C"/>
    <w:rsid w:val="00F079CA"/>
    <w:rsid w:val="00F07A09"/>
    <w:rsid w:val="00F07A95"/>
    <w:rsid w:val="00F07BCD"/>
    <w:rsid w:val="00F07C90"/>
    <w:rsid w:val="00F07C93"/>
    <w:rsid w:val="00F07CCE"/>
    <w:rsid w:val="00F07D8D"/>
    <w:rsid w:val="00F07E07"/>
    <w:rsid w:val="00F07EE2"/>
    <w:rsid w:val="00F07F52"/>
    <w:rsid w:val="00F07FD8"/>
    <w:rsid w:val="00F10039"/>
    <w:rsid w:val="00F10250"/>
    <w:rsid w:val="00F1026B"/>
    <w:rsid w:val="00F102F6"/>
    <w:rsid w:val="00F10385"/>
    <w:rsid w:val="00F10442"/>
    <w:rsid w:val="00F10576"/>
    <w:rsid w:val="00F1061D"/>
    <w:rsid w:val="00F10635"/>
    <w:rsid w:val="00F106DF"/>
    <w:rsid w:val="00F10712"/>
    <w:rsid w:val="00F1087F"/>
    <w:rsid w:val="00F109C1"/>
    <w:rsid w:val="00F109DC"/>
    <w:rsid w:val="00F10D16"/>
    <w:rsid w:val="00F10D18"/>
    <w:rsid w:val="00F10D47"/>
    <w:rsid w:val="00F10D7C"/>
    <w:rsid w:val="00F10E67"/>
    <w:rsid w:val="00F1107C"/>
    <w:rsid w:val="00F11125"/>
    <w:rsid w:val="00F11271"/>
    <w:rsid w:val="00F1128C"/>
    <w:rsid w:val="00F112B5"/>
    <w:rsid w:val="00F112B7"/>
    <w:rsid w:val="00F114E6"/>
    <w:rsid w:val="00F115D1"/>
    <w:rsid w:val="00F11721"/>
    <w:rsid w:val="00F11724"/>
    <w:rsid w:val="00F118D9"/>
    <w:rsid w:val="00F11922"/>
    <w:rsid w:val="00F1196D"/>
    <w:rsid w:val="00F119DC"/>
    <w:rsid w:val="00F11A54"/>
    <w:rsid w:val="00F11B23"/>
    <w:rsid w:val="00F11BEE"/>
    <w:rsid w:val="00F11C53"/>
    <w:rsid w:val="00F11CC4"/>
    <w:rsid w:val="00F11EC4"/>
    <w:rsid w:val="00F11F30"/>
    <w:rsid w:val="00F11FF3"/>
    <w:rsid w:val="00F12006"/>
    <w:rsid w:val="00F12019"/>
    <w:rsid w:val="00F1226F"/>
    <w:rsid w:val="00F12355"/>
    <w:rsid w:val="00F12480"/>
    <w:rsid w:val="00F126E8"/>
    <w:rsid w:val="00F126FC"/>
    <w:rsid w:val="00F12763"/>
    <w:rsid w:val="00F127B6"/>
    <w:rsid w:val="00F12850"/>
    <w:rsid w:val="00F12AEE"/>
    <w:rsid w:val="00F12C0A"/>
    <w:rsid w:val="00F12DC5"/>
    <w:rsid w:val="00F12DF0"/>
    <w:rsid w:val="00F12F3C"/>
    <w:rsid w:val="00F12FA7"/>
    <w:rsid w:val="00F1304F"/>
    <w:rsid w:val="00F13077"/>
    <w:rsid w:val="00F1318A"/>
    <w:rsid w:val="00F13221"/>
    <w:rsid w:val="00F13249"/>
    <w:rsid w:val="00F1327A"/>
    <w:rsid w:val="00F13346"/>
    <w:rsid w:val="00F1336E"/>
    <w:rsid w:val="00F134FF"/>
    <w:rsid w:val="00F13570"/>
    <w:rsid w:val="00F1375B"/>
    <w:rsid w:val="00F1384D"/>
    <w:rsid w:val="00F13880"/>
    <w:rsid w:val="00F138B4"/>
    <w:rsid w:val="00F139DC"/>
    <w:rsid w:val="00F13A24"/>
    <w:rsid w:val="00F13C83"/>
    <w:rsid w:val="00F13CB6"/>
    <w:rsid w:val="00F13E1C"/>
    <w:rsid w:val="00F13F1B"/>
    <w:rsid w:val="00F13FA5"/>
    <w:rsid w:val="00F14098"/>
    <w:rsid w:val="00F140C2"/>
    <w:rsid w:val="00F1410C"/>
    <w:rsid w:val="00F14388"/>
    <w:rsid w:val="00F143C8"/>
    <w:rsid w:val="00F1447E"/>
    <w:rsid w:val="00F144D6"/>
    <w:rsid w:val="00F14502"/>
    <w:rsid w:val="00F14540"/>
    <w:rsid w:val="00F14639"/>
    <w:rsid w:val="00F14683"/>
    <w:rsid w:val="00F1472E"/>
    <w:rsid w:val="00F148FE"/>
    <w:rsid w:val="00F149A4"/>
    <w:rsid w:val="00F14B2E"/>
    <w:rsid w:val="00F14BA9"/>
    <w:rsid w:val="00F14C1E"/>
    <w:rsid w:val="00F14C54"/>
    <w:rsid w:val="00F14D1A"/>
    <w:rsid w:val="00F14D62"/>
    <w:rsid w:val="00F1512B"/>
    <w:rsid w:val="00F15172"/>
    <w:rsid w:val="00F152F4"/>
    <w:rsid w:val="00F15319"/>
    <w:rsid w:val="00F1536B"/>
    <w:rsid w:val="00F15389"/>
    <w:rsid w:val="00F15443"/>
    <w:rsid w:val="00F1551F"/>
    <w:rsid w:val="00F1558C"/>
    <w:rsid w:val="00F156AE"/>
    <w:rsid w:val="00F156B9"/>
    <w:rsid w:val="00F15863"/>
    <w:rsid w:val="00F158AC"/>
    <w:rsid w:val="00F15B0A"/>
    <w:rsid w:val="00F15B7E"/>
    <w:rsid w:val="00F15BB8"/>
    <w:rsid w:val="00F15F48"/>
    <w:rsid w:val="00F1613C"/>
    <w:rsid w:val="00F16401"/>
    <w:rsid w:val="00F164B7"/>
    <w:rsid w:val="00F1668C"/>
    <w:rsid w:val="00F166AF"/>
    <w:rsid w:val="00F166B5"/>
    <w:rsid w:val="00F16709"/>
    <w:rsid w:val="00F16868"/>
    <w:rsid w:val="00F16886"/>
    <w:rsid w:val="00F168C1"/>
    <w:rsid w:val="00F16920"/>
    <w:rsid w:val="00F1695C"/>
    <w:rsid w:val="00F16AAB"/>
    <w:rsid w:val="00F16B47"/>
    <w:rsid w:val="00F16C9E"/>
    <w:rsid w:val="00F16E41"/>
    <w:rsid w:val="00F16EC8"/>
    <w:rsid w:val="00F16F62"/>
    <w:rsid w:val="00F17192"/>
    <w:rsid w:val="00F172D0"/>
    <w:rsid w:val="00F17323"/>
    <w:rsid w:val="00F17377"/>
    <w:rsid w:val="00F17717"/>
    <w:rsid w:val="00F17774"/>
    <w:rsid w:val="00F17824"/>
    <w:rsid w:val="00F1785B"/>
    <w:rsid w:val="00F178FC"/>
    <w:rsid w:val="00F17A3E"/>
    <w:rsid w:val="00F17D87"/>
    <w:rsid w:val="00F17E38"/>
    <w:rsid w:val="00F17ECB"/>
    <w:rsid w:val="00F17F57"/>
    <w:rsid w:val="00F200CC"/>
    <w:rsid w:val="00F200EB"/>
    <w:rsid w:val="00F20137"/>
    <w:rsid w:val="00F20161"/>
    <w:rsid w:val="00F20298"/>
    <w:rsid w:val="00F20322"/>
    <w:rsid w:val="00F2037A"/>
    <w:rsid w:val="00F2038F"/>
    <w:rsid w:val="00F203EA"/>
    <w:rsid w:val="00F20407"/>
    <w:rsid w:val="00F204D1"/>
    <w:rsid w:val="00F2059C"/>
    <w:rsid w:val="00F20622"/>
    <w:rsid w:val="00F20629"/>
    <w:rsid w:val="00F20643"/>
    <w:rsid w:val="00F20790"/>
    <w:rsid w:val="00F207C8"/>
    <w:rsid w:val="00F207DB"/>
    <w:rsid w:val="00F20879"/>
    <w:rsid w:val="00F20A30"/>
    <w:rsid w:val="00F20AAC"/>
    <w:rsid w:val="00F20B2B"/>
    <w:rsid w:val="00F20C29"/>
    <w:rsid w:val="00F20C2E"/>
    <w:rsid w:val="00F20C3C"/>
    <w:rsid w:val="00F20C57"/>
    <w:rsid w:val="00F20C6D"/>
    <w:rsid w:val="00F20C98"/>
    <w:rsid w:val="00F20CD7"/>
    <w:rsid w:val="00F20D0E"/>
    <w:rsid w:val="00F20D23"/>
    <w:rsid w:val="00F20F1E"/>
    <w:rsid w:val="00F20F8A"/>
    <w:rsid w:val="00F21035"/>
    <w:rsid w:val="00F210CD"/>
    <w:rsid w:val="00F21146"/>
    <w:rsid w:val="00F211A7"/>
    <w:rsid w:val="00F21310"/>
    <w:rsid w:val="00F21388"/>
    <w:rsid w:val="00F2139D"/>
    <w:rsid w:val="00F218CC"/>
    <w:rsid w:val="00F21A0A"/>
    <w:rsid w:val="00F21BB0"/>
    <w:rsid w:val="00F21CCE"/>
    <w:rsid w:val="00F21E03"/>
    <w:rsid w:val="00F21F19"/>
    <w:rsid w:val="00F21F31"/>
    <w:rsid w:val="00F21FAD"/>
    <w:rsid w:val="00F2202A"/>
    <w:rsid w:val="00F22254"/>
    <w:rsid w:val="00F2230B"/>
    <w:rsid w:val="00F22353"/>
    <w:rsid w:val="00F22435"/>
    <w:rsid w:val="00F22574"/>
    <w:rsid w:val="00F225E7"/>
    <w:rsid w:val="00F22623"/>
    <w:rsid w:val="00F226A9"/>
    <w:rsid w:val="00F227A2"/>
    <w:rsid w:val="00F2287E"/>
    <w:rsid w:val="00F228D6"/>
    <w:rsid w:val="00F2296E"/>
    <w:rsid w:val="00F229CF"/>
    <w:rsid w:val="00F22ACA"/>
    <w:rsid w:val="00F22DEE"/>
    <w:rsid w:val="00F22E44"/>
    <w:rsid w:val="00F22EA4"/>
    <w:rsid w:val="00F23039"/>
    <w:rsid w:val="00F23051"/>
    <w:rsid w:val="00F2307B"/>
    <w:rsid w:val="00F23097"/>
    <w:rsid w:val="00F230E1"/>
    <w:rsid w:val="00F232B3"/>
    <w:rsid w:val="00F234C2"/>
    <w:rsid w:val="00F234F3"/>
    <w:rsid w:val="00F23507"/>
    <w:rsid w:val="00F23685"/>
    <w:rsid w:val="00F23819"/>
    <w:rsid w:val="00F239C6"/>
    <w:rsid w:val="00F23A32"/>
    <w:rsid w:val="00F23ACE"/>
    <w:rsid w:val="00F23ADB"/>
    <w:rsid w:val="00F23BFE"/>
    <w:rsid w:val="00F23D08"/>
    <w:rsid w:val="00F23E11"/>
    <w:rsid w:val="00F23E4B"/>
    <w:rsid w:val="00F23EC5"/>
    <w:rsid w:val="00F23FB4"/>
    <w:rsid w:val="00F240EA"/>
    <w:rsid w:val="00F24302"/>
    <w:rsid w:val="00F244F4"/>
    <w:rsid w:val="00F2463A"/>
    <w:rsid w:val="00F246A5"/>
    <w:rsid w:val="00F2470D"/>
    <w:rsid w:val="00F24752"/>
    <w:rsid w:val="00F247E6"/>
    <w:rsid w:val="00F24812"/>
    <w:rsid w:val="00F24AC3"/>
    <w:rsid w:val="00F24B39"/>
    <w:rsid w:val="00F24C91"/>
    <w:rsid w:val="00F24D12"/>
    <w:rsid w:val="00F251F6"/>
    <w:rsid w:val="00F25266"/>
    <w:rsid w:val="00F2527C"/>
    <w:rsid w:val="00F253CF"/>
    <w:rsid w:val="00F25655"/>
    <w:rsid w:val="00F256B1"/>
    <w:rsid w:val="00F2574E"/>
    <w:rsid w:val="00F25A09"/>
    <w:rsid w:val="00F25A56"/>
    <w:rsid w:val="00F25A9D"/>
    <w:rsid w:val="00F25C48"/>
    <w:rsid w:val="00F25D76"/>
    <w:rsid w:val="00F25F63"/>
    <w:rsid w:val="00F25FA6"/>
    <w:rsid w:val="00F25FEC"/>
    <w:rsid w:val="00F26007"/>
    <w:rsid w:val="00F2648D"/>
    <w:rsid w:val="00F26578"/>
    <w:rsid w:val="00F2670A"/>
    <w:rsid w:val="00F26752"/>
    <w:rsid w:val="00F26866"/>
    <w:rsid w:val="00F268A2"/>
    <w:rsid w:val="00F26A2E"/>
    <w:rsid w:val="00F26A3A"/>
    <w:rsid w:val="00F26A8F"/>
    <w:rsid w:val="00F26C4C"/>
    <w:rsid w:val="00F26D83"/>
    <w:rsid w:val="00F26F13"/>
    <w:rsid w:val="00F26FCE"/>
    <w:rsid w:val="00F27052"/>
    <w:rsid w:val="00F2716F"/>
    <w:rsid w:val="00F271D9"/>
    <w:rsid w:val="00F271EA"/>
    <w:rsid w:val="00F272AD"/>
    <w:rsid w:val="00F276F7"/>
    <w:rsid w:val="00F279CF"/>
    <w:rsid w:val="00F279F9"/>
    <w:rsid w:val="00F27A7E"/>
    <w:rsid w:val="00F27AA3"/>
    <w:rsid w:val="00F27C0A"/>
    <w:rsid w:val="00F27D04"/>
    <w:rsid w:val="00F27DA4"/>
    <w:rsid w:val="00F27DC6"/>
    <w:rsid w:val="00F27EA3"/>
    <w:rsid w:val="00F27ED4"/>
    <w:rsid w:val="00F27F42"/>
    <w:rsid w:val="00F27FA6"/>
    <w:rsid w:val="00F27FFA"/>
    <w:rsid w:val="00F30004"/>
    <w:rsid w:val="00F30138"/>
    <w:rsid w:val="00F304A4"/>
    <w:rsid w:val="00F30559"/>
    <w:rsid w:val="00F305AB"/>
    <w:rsid w:val="00F30938"/>
    <w:rsid w:val="00F30A2C"/>
    <w:rsid w:val="00F30BB7"/>
    <w:rsid w:val="00F30D37"/>
    <w:rsid w:val="00F30D8A"/>
    <w:rsid w:val="00F30DE3"/>
    <w:rsid w:val="00F30F77"/>
    <w:rsid w:val="00F310F7"/>
    <w:rsid w:val="00F3117B"/>
    <w:rsid w:val="00F3155D"/>
    <w:rsid w:val="00F31569"/>
    <w:rsid w:val="00F31670"/>
    <w:rsid w:val="00F31725"/>
    <w:rsid w:val="00F317A5"/>
    <w:rsid w:val="00F318EB"/>
    <w:rsid w:val="00F3196B"/>
    <w:rsid w:val="00F319E4"/>
    <w:rsid w:val="00F31A80"/>
    <w:rsid w:val="00F31B06"/>
    <w:rsid w:val="00F31B8F"/>
    <w:rsid w:val="00F31C0D"/>
    <w:rsid w:val="00F31E6A"/>
    <w:rsid w:val="00F31F37"/>
    <w:rsid w:val="00F32006"/>
    <w:rsid w:val="00F32029"/>
    <w:rsid w:val="00F320BB"/>
    <w:rsid w:val="00F32382"/>
    <w:rsid w:val="00F324B1"/>
    <w:rsid w:val="00F32578"/>
    <w:rsid w:val="00F325F8"/>
    <w:rsid w:val="00F3270A"/>
    <w:rsid w:val="00F32715"/>
    <w:rsid w:val="00F3285D"/>
    <w:rsid w:val="00F32943"/>
    <w:rsid w:val="00F3295B"/>
    <w:rsid w:val="00F32998"/>
    <w:rsid w:val="00F329B6"/>
    <w:rsid w:val="00F329C5"/>
    <w:rsid w:val="00F32A8F"/>
    <w:rsid w:val="00F32AD3"/>
    <w:rsid w:val="00F32ADC"/>
    <w:rsid w:val="00F32C3A"/>
    <w:rsid w:val="00F32D8C"/>
    <w:rsid w:val="00F32EF6"/>
    <w:rsid w:val="00F3325D"/>
    <w:rsid w:val="00F33277"/>
    <w:rsid w:val="00F332E5"/>
    <w:rsid w:val="00F334BD"/>
    <w:rsid w:val="00F335A2"/>
    <w:rsid w:val="00F335BC"/>
    <w:rsid w:val="00F33760"/>
    <w:rsid w:val="00F338C5"/>
    <w:rsid w:val="00F33950"/>
    <w:rsid w:val="00F3395B"/>
    <w:rsid w:val="00F339D8"/>
    <w:rsid w:val="00F33D07"/>
    <w:rsid w:val="00F33DB8"/>
    <w:rsid w:val="00F33DCE"/>
    <w:rsid w:val="00F33DD2"/>
    <w:rsid w:val="00F33EFB"/>
    <w:rsid w:val="00F33FA4"/>
    <w:rsid w:val="00F33FC3"/>
    <w:rsid w:val="00F34008"/>
    <w:rsid w:val="00F34025"/>
    <w:rsid w:val="00F34036"/>
    <w:rsid w:val="00F3415B"/>
    <w:rsid w:val="00F341DB"/>
    <w:rsid w:val="00F3428D"/>
    <w:rsid w:val="00F34420"/>
    <w:rsid w:val="00F34430"/>
    <w:rsid w:val="00F34516"/>
    <w:rsid w:val="00F3477D"/>
    <w:rsid w:val="00F347AD"/>
    <w:rsid w:val="00F3484F"/>
    <w:rsid w:val="00F34A37"/>
    <w:rsid w:val="00F34C87"/>
    <w:rsid w:val="00F34CFF"/>
    <w:rsid w:val="00F34D1A"/>
    <w:rsid w:val="00F34F0A"/>
    <w:rsid w:val="00F3529A"/>
    <w:rsid w:val="00F3529D"/>
    <w:rsid w:val="00F353AA"/>
    <w:rsid w:val="00F354E5"/>
    <w:rsid w:val="00F35523"/>
    <w:rsid w:val="00F357F7"/>
    <w:rsid w:val="00F3581E"/>
    <w:rsid w:val="00F3587E"/>
    <w:rsid w:val="00F35964"/>
    <w:rsid w:val="00F359EA"/>
    <w:rsid w:val="00F35A7D"/>
    <w:rsid w:val="00F35AE8"/>
    <w:rsid w:val="00F35B62"/>
    <w:rsid w:val="00F35CDB"/>
    <w:rsid w:val="00F35D28"/>
    <w:rsid w:val="00F35DD9"/>
    <w:rsid w:val="00F35DFC"/>
    <w:rsid w:val="00F360A2"/>
    <w:rsid w:val="00F361EC"/>
    <w:rsid w:val="00F3629C"/>
    <w:rsid w:val="00F3641B"/>
    <w:rsid w:val="00F36432"/>
    <w:rsid w:val="00F36465"/>
    <w:rsid w:val="00F36488"/>
    <w:rsid w:val="00F36695"/>
    <w:rsid w:val="00F3669D"/>
    <w:rsid w:val="00F367A0"/>
    <w:rsid w:val="00F3690A"/>
    <w:rsid w:val="00F36A8C"/>
    <w:rsid w:val="00F36AAA"/>
    <w:rsid w:val="00F36C59"/>
    <w:rsid w:val="00F36CA7"/>
    <w:rsid w:val="00F36CBE"/>
    <w:rsid w:val="00F36E02"/>
    <w:rsid w:val="00F36E5E"/>
    <w:rsid w:val="00F36F39"/>
    <w:rsid w:val="00F36F6F"/>
    <w:rsid w:val="00F37015"/>
    <w:rsid w:val="00F370D8"/>
    <w:rsid w:val="00F37163"/>
    <w:rsid w:val="00F3719A"/>
    <w:rsid w:val="00F371C7"/>
    <w:rsid w:val="00F37201"/>
    <w:rsid w:val="00F37291"/>
    <w:rsid w:val="00F372B4"/>
    <w:rsid w:val="00F37312"/>
    <w:rsid w:val="00F37468"/>
    <w:rsid w:val="00F37497"/>
    <w:rsid w:val="00F374FF"/>
    <w:rsid w:val="00F37939"/>
    <w:rsid w:val="00F379E6"/>
    <w:rsid w:val="00F37A1F"/>
    <w:rsid w:val="00F37CCC"/>
    <w:rsid w:val="00F37D07"/>
    <w:rsid w:val="00F37D16"/>
    <w:rsid w:val="00F37D38"/>
    <w:rsid w:val="00F37DFC"/>
    <w:rsid w:val="00F37F85"/>
    <w:rsid w:val="00F40083"/>
    <w:rsid w:val="00F400E1"/>
    <w:rsid w:val="00F400E6"/>
    <w:rsid w:val="00F4010D"/>
    <w:rsid w:val="00F40122"/>
    <w:rsid w:val="00F40250"/>
    <w:rsid w:val="00F40493"/>
    <w:rsid w:val="00F40497"/>
    <w:rsid w:val="00F40526"/>
    <w:rsid w:val="00F406AB"/>
    <w:rsid w:val="00F40898"/>
    <w:rsid w:val="00F408FC"/>
    <w:rsid w:val="00F4098B"/>
    <w:rsid w:val="00F40ADE"/>
    <w:rsid w:val="00F40B32"/>
    <w:rsid w:val="00F40B8A"/>
    <w:rsid w:val="00F40BFD"/>
    <w:rsid w:val="00F40CD2"/>
    <w:rsid w:val="00F40E5B"/>
    <w:rsid w:val="00F40F18"/>
    <w:rsid w:val="00F40F6A"/>
    <w:rsid w:val="00F410A2"/>
    <w:rsid w:val="00F410EE"/>
    <w:rsid w:val="00F41187"/>
    <w:rsid w:val="00F4118A"/>
    <w:rsid w:val="00F41205"/>
    <w:rsid w:val="00F41370"/>
    <w:rsid w:val="00F4141F"/>
    <w:rsid w:val="00F41453"/>
    <w:rsid w:val="00F4146D"/>
    <w:rsid w:val="00F41610"/>
    <w:rsid w:val="00F416AF"/>
    <w:rsid w:val="00F417EC"/>
    <w:rsid w:val="00F417F7"/>
    <w:rsid w:val="00F4184D"/>
    <w:rsid w:val="00F4185C"/>
    <w:rsid w:val="00F41881"/>
    <w:rsid w:val="00F4192F"/>
    <w:rsid w:val="00F41A37"/>
    <w:rsid w:val="00F41A65"/>
    <w:rsid w:val="00F41AA2"/>
    <w:rsid w:val="00F41AD4"/>
    <w:rsid w:val="00F41C86"/>
    <w:rsid w:val="00F41E7E"/>
    <w:rsid w:val="00F41F7E"/>
    <w:rsid w:val="00F42028"/>
    <w:rsid w:val="00F42079"/>
    <w:rsid w:val="00F421BD"/>
    <w:rsid w:val="00F4224A"/>
    <w:rsid w:val="00F422BA"/>
    <w:rsid w:val="00F42320"/>
    <w:rsid w:val="00F423C6"/>
    <w:rsid w:val="00F423C9"/>
    <w:rsid w:val="00F424AF"/>
    <w:rsid w:val="00F4262F"/>
    <w:rsid w:val="00F42647"/>
    <w:rsid w:val="00F42747"/>
    <w:rsid w:val="00F427DA"/>
    <w:rsid w:val="00F427DE"/>
    <w:rsid w:val="00F42C6F"/>
    <w:rsid w:val="00F42C79"/>
    <w:rsid w:val="00F42D11"/>
    <w:rsid w:val="00F42D46"/>
    <w:rsid w:val="00F42D4E"/>
    <w:rsid w:val="00F42D56"/>
    <w:rsid w:val="00F42E7C"/>
    <w:rsid w:val="00F42F65"/>
    <w:rsid w:val="00F42FA2"/>
    <w:rsid w:val="00F43013"/>
    <w:rsid w:val="00F430AE"/>
    <w:rsid w:val="00F430D6"/>
    <w:rsid w:val="00F431C7"/>
    <w:rsid w:val="00F432A5"/>
    <w:rsid w:val="00F43435"/>
    <w:rsid w:val="00F4343A"/>
    <w:rsid w:val="00F4346C"/>
    <w:rsid w:val="00F43535"/>
    <w:rsid w:val="00F43696"/>
    <w:rsid w:val="00F43953"/>
    <w:rsid w:val="00F439B3"/>
    <w:rsid w:val="00F43A1A"/>
    <w:rsid w:val="00F43A9D"/>
    <w:rsid w:val="00F43ACB"/>
    <w:rsid w:val="00F43B01"/>
    <w:rsid w:val="00F43B08"/>
    <w:rsid w:val="00F43B0D"/>
    <w:rsid w:val="00F43B85"/>
    <w:rsid w:val="00F43BBF"/>
    <w:rsid w:val="00F43CE6"/>
    <w:rsid w:val="00F43EF9"/>
    <w:rsid w:val="00F43F00"/>
    <w:rsid w:val="00F43F7E"/>
    <w:rsid w:val="00F43FB9"/>
    <w:rsid w:val="00F43FC2"/>
    <w:rsid w:val="00F44009"/>
    <w:rsid w:val="00F4410F"/>
    <w:rsid w:val="00F4422C"/>
    <w:rsid w:val="00F442CC"/>
    <w:rsid w:val="00F442CE"/>
    <w:rsid w:val="00F4462B"/>
    <w:rsid w:val="00F44666"/>
    <w:rsid w:val="00F44707"/>
    <w:rsid w:val="00F448AB"/>
    <w:rsid w:val="00F4491D"/>
    <w:rsid w:val="00F4496B"/>
    <w:rsid w:val="00F44A47"/>
    <w:rsid w:val="00F44A50"/>
    <w:rsid w:val="00F44C5F"/>
    <w:rsid w:val="00F44C99"/>
    <w:rsid w:val="00F44CEF"/>
    <w:rsid w:val="00F44D52"/>
    <w:rsid w:val="00F44E08"/>
    <w:rsid w:val="00F44EDB"/>
    <w:rsid w:val="00F45005"/>
    <w:rsid w:val="00F45025"/>
    <w:rsid w:val="00F45088"/>
    <w:rsid w:val="00F4517F"/>
    <w:rsid w:val="00F45187"/>
    <w:rsid w:val="00F45190"/>
    <w:rsid w:val="00F452A0"/>
    <w:rsid w:val="00F45324"/>
    <w:rsid w:val="00F453E9"/>
    <w:rsid w:val="00F453EC"/>
    <w:rsid w:val="00F454BA"/>
    <w:rsid w:val="00F454E0"/>
    <w:rsid w:val="00F455AE"/>
    <w:rsid w:val="00F45645"/>
    <w:rsid w:val="00F458D2"/>
    <w:rsid w:val="00F4591C"/>
    <w:rsid w:val="00F45920"/>
    <w:rsid w:val="00F45A6C"/>
    <w:rsid w:val="00F45AA2"/>
    <w:rsid w:val="00F45ABE"/>
    <w:rsid w:val="00F45AE4"/>
    <w:rsid w:val="00F45C90"/>
    <w:rsid w:val="00F45CAA"/>
    <w:rsid w:val="00F45EC1"/>
    <w:rsid w:val="00F460BF"/>
    <w:rsid w:val="00F461D1"/>
    <w:rsid w:val="00F461F5"/>
    <w:rsid w:val="00F4621B"/>
    <w:rsid w:val="00F46379"/>
    <w:rsid w:val="00F464EA"/>
    <w:rsid w:val="00F464F6"/>
    <w:rsid w:val="00F465D0"/>
    <w:rsid w:val="00F46649"/>
    <w:rsid w:val="00F4664E"/>
    <w:rsid w:val="00F467CA"/>
    <w:rsid w:val="00F467D9"/>
    <w:rsid w:val="00F4696A"/>
    <w:rsid w:val="00F469A0"/>
    <w:rsid w:val="00F469FA"/>
    <w:rsid w:val="00F46AE2"/>
    <w:rsid w:val="00F46BF4"/>
    <w:rsid w:val="00F46C5F"/>
    <w:rsid w:val="00F46CCE"/>
    <w:rsid w:val="00F46F32"/>
    <w:rsid w:val="00F47033"/>
    <w:rsid w:val="00F470E2"/>
    <w:rsid w:val="00F470F4"/>
    <w:rsid w:val="00F47127"/>
    <w:rsid w:val="00F471D0"/>
    <w:rsid w:val="00F471D3"/>
    <w:rsid w:val="00F471F0"/>
    <w:rsid w:val="00F471F3"/>
    <w:rsid w:val="00F4722C"/>
    <w:rsid w:val="00F47377"/>
    <w:rsid w:val="00F474B8"/>
    <w:rsid w:val="00F47501"/>
    <w:rsid w:val="00F47683"/>
    <w:rsid w:val="00F47776"/>
    <w:rsid w:val="00F477AF"/>
    <w:rsid w:val="00F47814"/>
    <w:rsid w:val="00F4787B"/>
    <w:rsid w:val="00F479CC"/>
    <w:rsid w:val="00F47A32"/>
    <w:rsid w:val="00F47A6C"/>
    <w:rsid w:val="00F47B78"/>
    <w:rsid w:val="00F47CB2"/>
    <w:rsid w:val="00F47DDC"/>
    <w:rsid w:val="00F47E55"/>
    <w:rsid w:val="00F50001"/>
    <w:rsid w:val="00F50003"/>
    <w:rsid w:val="00F50006"/>
    <w:rsid w:val="00F500E9"/>
    <w:rsid w:val="00F50172"/>
    <w:rsid w:val="00F502AB"/>
    <w:rsid w:val="00F5030B"/>
    <w:rsid w:val="00F504A5"/>
    <w:rsid w:val="00F505E4"/>
    <w:rsid w:val="00F506B4"/>
    <w:rsid w:val="00F506E9"/>
    <w:rsid w:val="00F50949"/>
    <w:rsid w:val="00F50950"/>
    <w:rsid w:val="00F50A35"/>
    <w:rsid w:val="00F50ACE"/>
    <w:rsid w:val="00F50C8F"/>
    <w:rsid w:val="00F50C9E"/>
    <w:rsid w:val="00F50DC8"/>
    <w:rsid w:val="00F50EA2"/>
    <w:rsid w:val="00F50EA7"/>
    <w:rsid w:val="00F50FF0"/>
    <w:rsid w:val="00F510CF"/>
    <w:rsid w:val="00F512AD"/>
    <w:rsid w:val="00F512F2"/>
    <w:rsid w:val="00F51315"/>
    <w:rsid w:val="00F513AE"/>
    <w:rsid w:val="00F513E0"/>
    <w:rsid w:val="00F51409"/>
    <w:rsid w:val="00F5140D"/>
    <w:rsid w:val="00F515ED"/>
    <w:rsid w:val="00F515F9"/>
    <w:rsid w:val="00F51679"/>
    <w:rsid w:val="00F517F9"/>
    <w:rsid w:val="00F51830"/>
    <w:rsid w:val="00F518A9"/>
    <w:rsid w:val="00F518DC"/>
    <w:rsid w:val="00F51A1A"/>
    <w:rsid w:val="00F51AB2"/>
    <w:rsid w:val="00F51B94"/>
    <w:rsid w:val="00F51BEF"/>
    <w:rsid w:val="00F51C56"/>
    <w:rsid w:val="00F51C70"/>
    <w:rsid w:val="00F51CE7"/>
    <w:rsid w:val="00F51D7F"/>
    <w:rsid w:val="00F51DFB"/>
    <w:rsid w:val="00F51EC2"/>
    <w:rsid w:val="00F51FC4"/>
    <w:rsid w:val="00F52017"/>
    <w:rsid w:val="00F52028"/>
    <w:rsid w:val="00F521FB"/>
    <w:rsid w:val="00F521FD"/>
    <w:rsid w:val="00F52288"/>
    <w:rsid w:val="00F523FC"/>
    <w:rsid w:val="00F526CF"/>
    <w:rsid w:val="00F526EB"/>
    <w:rsid w:val="00F52883"/>
    <w:rsid w:val="00F528EB"/>
    <w:rsid w:val="00F52973"/>
    <w:rsid w:val="00F529D2"/>
    <w:rsid w:val="00F52A47"/>
    <w:rsid w:val="00F52A87"/>
    <w:rsid w:val="00F52AB9"/>
    <w:rsid w:val="00F52B93"/>
    <w:rsid w:val="00F52D7A"/>
    <w:rsid w:val="00F52E01"/>
    <w:rsid w:val="00F52FC7"/>
    <w:rsid w:val="00F530B2"/>
    <w:rsid w:val="00F5319C"/>
    <w:rsid w:val="00F531C5"/>
    <w:rsid w:val="00F532C9"/>
    <w:rsid w:val="00F5343A"/>
    <w:rsid w:val="00F53469"/>
    <w:rsid w:val="00F536EA"/>
    <w:rsid w:val="00F5374E"/>
    <w:rsid w:val="00F53860"/>
    <w:rsid w:val="00F53A83"/>
    <w:rsid w:val="00F53B34"/>
    <w:rsid w:val="00F53B9A"/>
    <w:rsid w:val="00F53C3D"/>
    <w:rsid w:val="00F53C45"/>
    <w:rsid w:val="00F53EB9"/>
    <w:rsid w:val="00F53F6D"/>
    <w:rsid w:val="00F53FBE"/>
    <w:rsid w:val="00F54026"/>
    <w:rsid w:val="00F540D2"/>
    <w:rsid w:val="00F5418D"/>
    <w:rsid w:val="00F54203"/>
    <w:rsid w:val="00F5428E"/>
    <w:rsid w:val="00F54300"/>
    <w:rsid w:val="00F543E1"/>
    <w:rsid w:val="00F5450F"/>
    <w:rsid w:val="00F54581"/>
    <w:rsid w:val="00F545A3"/>
    <w:rsid w:val="00F546B2"/>
    <w:rsid w:val="00F546FF"/>
    <w:rsid w:val="00F54941"/>
    <w:rsid w:val="00F549E0"/>
    <w:rsid w:val="00F54A22"/>
    <w:rsid w:val="00F54A8E"/>
    <w:rsid w:val="00F54AF4"/>
    <w:rsid w:val="00F54B69"/>
    <w:rsid w:val="00F54C1A"/>
    <w:rsid w:val="00F54D68"/>
    <w:rsid w:val="00F54D97"/>
    <w:rsid w:val="00F550FE"/>
    <w:rsid w:val="00F551D2"/>
    <w:rsid w:val="00F55382"/>
    <w:rsid w:val="00F553DB"/>
    <w:rsid w:val="00F555B2"/>
    <w:rsid w:val="00F55755"/>
    <w:rsid w:val="00F55772"/>
    <w:rsid w:val="00F55962"/>
    <w:rsid w:val="00F559F8"/>
    <w:rsid w:val="00F55A33"/>
    <w:rsid w:val="00F55CD9"/>
    <w:rsid w:val="00F55CFE"/>
    <w:rsid w:val="00F55D6E"/>
    <w:rsid w:val="00F55D8C"/>
    <w:rsid w:val="00F55EC0"/>
    <w:rsid w:val="00F55F6D"/>
    <w:rsid w:val="00F56003"/>
    <w:rsid w:val="00F5609C"/>
    <w:rsid w:val="00F560C5"/>
    <w:rsid w:val="00F56506"/>
    <w:rsid w:val="00F56521"/>
    <w:rsid w:val="00F5669A"/>
    <w:rsid w:val="00F5671B"/>
    <w:rsid w:val="00F56876"/>
    <w:rsid w:val="00F56951"/>
    <w:rsid w:val="00F56B66"/>
    <w:rsid w:val="00F56C1C"/>
    <w:rsid w:val="00F56C30"/>
    <w:rsid w:val="00F56E74"/>
    <w:rsid w:val="00F56E76"/>
    <w:rsid w:val="00F56F59"/>
    <w:rsid w:val="00F56F5F"/>
    <w:rsid w:val="00F56F9B"/>
    <w:rsid w:val="00F56FB4"/>
    <w:rsid w:val="00F5701C"/>
    <w:rsid w:val="00F57067"/>
    <w:rsid w:val="00F570B9"/>
    <w:rsid w:val="00F5725D"/>
    <w:rsid w:val="00F572A2"/>
    <w:rsid w:val="00F572A5"/>
    <w:rsid w:val="00F5730C"/>
    <w:rsid w:val="00F57313"/>
    <w:rsid w:val="00F573C7"/>
    <w:rsid w:val="00F5762F"/>
    <w:rsid w:val="00F57634"/>
    <w:rsid w:val="00F5765F"/>
    <w:rsid w:val="00F576D9"/>
    <w:rsid w:val="00F577E1"/>
    <w:rsid w:val="00F57817"/>
    <w:rsid w:val="00F579EB"/>
    <w:rsid w:val="00F579EE"/>
    <w:rsid w:val="00F57ABE"/>
    <w:rsid w:val="00F57AC0"/>
    <w:rsid w:val="00F57BED"/>
    <w:rsid w:val="00F57CF9"/>
    <w:rsid w:val="00F57E47"/>
    <w:rsid w:val="00F57FAA"/>
    <w:rsid w:val="00F6010C"/>
    <w:rsid w:val="00F6011F"/>
    <w:rsid w:val="00F60157"/>
    <w:rsid w:val="00F60198"/>
    <w:rsid w:val="00F602B6"/>
    <w:rsid w:val="00F60340"/>
    <w:rsid w:val="00F6036F"/>
    <w:rsid w:val="00F604ED"/>
    <w:rsid w:val="00F60514"/>
    <w:rsid w:val="00F605B9"/>
    <w:rsid w:val="00F605BF"/>
    <w:rsid w:val="00F6071D"/>
    <w:rsid w:val="00F607C6"/>
    <w:rsid w:val="00F60AA9"/>
    <w:rsid w:val="00F6100E"/>
    <w:rsid w:val="00F61049"/>
    <w:rsid w:val="00F610FB"/>
    <w:rsid w:val="00F613C7"/>
    <w:rsid w:val="00F61523"/>
    <w:rsid w:val="00F61595"/>
    <w:rsid w:val="00F6174F"/>
    <w:rsid w:val="00F61878"/>
    <w:rsid w:val="00F61957"/>
    <w:rsid w:val="00F619A2"/>
    <w:rsid w:val="00F61ADE"/>
    <w:rsid w:val="00F61B07"/>
    <w:rsid w:val="00F61B7A"/>
    <w:rsid w:val="00F61BE8"/>
    <w:rsid w:val="00F61BF7"/>
    <w:rsid w:val="00F61BFC"/>
    <w:rsid w:val="00F61CA8"/>
    <w:rsid w:val="00F61CCA"/>
    <w:rsid w:val="00F61D12"/>
    <w:rsid w:val="00F61E50"/>
    <w:rsid w:val="00F61F00"/>
    <w:rsid w:val="00F61F7F"/>
    <w:rsid w:val="00F61F96"/>
    <w:rsid w:val="00F62014"/>
    <w:rsid w:val="00F620A6"/>
    <w:rsid w:val="00F621C9"/>
    <w:rsid w:val="00F62206"/>
    <w:rsid w:val="00F62212"/>
    <w:rsid w:val="00F62355"/>
    <w:rsid w:val="00F624EA"/>
    <w:rsid w:val="00F625F8"/>
    <w:rsid w:val="00F62644"/>
    <w:rsid w:val="00F626CB"/>
    <w:rsid w:val="00F6288F"/>
    <w:rsid w:val="00F62937"/>
    <w:rsid w:val="00F62982"/>
    <w:rsid w:val="00F62A1C"/>
    <w:rsid w:val="00F62A7F"/>
    <w:rsid w:val="00F62C07"/>
    <w:rsid w:val="00F62CA5"/>
    <w:rsid w:val="00F62DAD"/>
    <w:rsid w:val="00F62DB1"/>
    <w:rsid w:val="00F62F1D"/>
    <w:rsid w:val="00F630E7"/>
    <w:rsid w:val="00F631D1"/>
    <w:rsid w:val="00F63297"/>
    <w:rsid w:val="00F632DC"/>
    <w:rsid w:val="00F63400"/>
    <w:rsid w:val="00F6345E"/>
    <w:rsid w:val="00F634A3"/>
    <w:rsid w:val="00F634A6"/>
    <w:rsid w:val="00F63525"/>
    <w:rsid w:val="00F635BD"/>
    <w:rsid w:val="00F636CA"/>
    <w:rsid w:val="00F637D0"/>
    <w:rsid w:val="00F63928"/>
    <w:rsid w:val="00F63975"/>
    <w:rsid w:val="00F639B1"/>
    <w:rsid w:val="00F63AA9"/>
    <w:rsid w:val="00F63B1A"/>
    <w:rsid w:val="00F63C36"/>
    <w:rsid w:val="00F63EF1"/>
    <w:rsid w:val="00F63FC7"/>
    <w:rsid w:val="00F6404E"/>
    <w:rsid w:val="00F640B6"/>
    <w:rsid w:val="00F641CB"/>
    <w:rsid w:val="00F641FA"/>
    <w:rsid w:val="00F64200"/>
    <w:rsid w:val="00F642AF"/>
    <w:rsid w:val="00F642FE"/>
    <w:rsid w:val="00F64511"/>
    <w:rsid w:val="00F6453D"/>
    <w:rsid w:val="00F64607"/>
    <w:rsid w:val="00F64727"/>
    <w:rsid w:val="00F6485C"/>
    <w:rsid w:val="00F648F3"/>
    <w:rsid w:val="00F649E5"/>
    <w:rsid w:val="00F64AD5"/>
    <w:rsid w:val="00F64AF8"/>
    <w:rsid w:val="00F64B3D"/>
    <w:rsid w:val="00F64B5C"/>
    <w:rsid w:val="00F64DC4"/>
    <w:rsid w:val="00F64E11"/>
    <w:rsid w:val="00F64E24"/>
    <w:rsid w:val="00F64E31"/>
    <w:rsid w:val="00F64E45"/>
    <w:rsid w:val="00F64EC4"/>
    <w:rsid w:val="00F64F43"/>
    <w:rsid w:val="00F650A2"/>
    <w:rsid w:val="00F6535D"/>
    <w:rsid w:val="00F653AC"/>
    <w:rsid w:val="00F654C5"/>
    <w:rsid w:val="00F65541"/>
    <w:rsid w:val="00F65566"/>
    <w:rsid w:val="00F6558E"/>
    <w:rsid w:val="00F655DE"/>
    <w:rsid w:val="00F65635"/>
    <w:rsid w:val="00F6563A"/>
    <w:rsid w:val="00F6577A"/>
    <w:rsid w:val="00F65940"/>
    <w:rsid w:val="00F65983"/>
    <w:rsid w:val="00F65991"/>
    <w:rsid w:val="00F659E9"/>
    <w:rsid w:val="00F65A2D"/>
    <w:rsid w:val="00F65B37"/>
    <w:rsid w:val="00F65B60"/>
    <w:rsid w:val="00F65B7C"/>
    <w:rsid w:val="00F65BC9"/>
    <w:rsid w:val="00F65CE6"/>
    <w:rsid w:val="00F65E82"/>
    <w:rsid w:val="00F65ED6"/>
    <w:rsid w:val="00F6605F"/>
    <w:rsid w:val="00F66119"/>
    <w:rsid w:val="00F66148"/>
    <w:rsid w:val="00F661BB"/>
    <w:rsid w:val="00F6626A"/>
    <w:rsid w:val="00F66286"/>
    <w:rsid w:val="00F66311"/>
    <w:rsid w:val="00F6636F"/>
    <w:rsid w:val="00F666C4"/>
    <w:rsid w:val="00F669CD"/>
    <w:rsid w:val="00F66A19"/>
    <w:rsid w:val="00F66A87"/>
    <w:rsid w:val="00F66AA1"/>
    <w:rsid w:val="00F66B63"/>
    <w:rsid w:val="00F66BC4"/>
    <w:rsid w:val="00F66C13"/>
    <w:rsid w:val="00F66CA6"/>
    <w:rsid w:val="00F66E40"/>
    <w:rsid w:val="00F66F12"/>
    <w:rsid w:val="00F66F9A"/>
    <w:rsid w:val="00F67115"/>
    <w:rsid w:val="00F6718A"/>
    <w:rsid w:val="00F6724D"/>
    <w:rsid w:val="00F6727A"/>
    <w:rsid w:val="00F672E6"/>
    <w:rsid w:val="00F6735D"/>
    <w:rsid w:val="00F67403"/>
    <w:rsid w:val="00F67409"/>
    <w:rsid w:val="00F6741E"/>
    <w:rsid w:val="00F67582"/>
    <w:rsid w:val="00F675FE"/>
    <w:rsid w:val="00F67606"/>
    <w:rsid w:val="00F6770F"/>
    <w:rsid w:val="00F67715"/>
    <w:rsid w:val="00F677D8"/>
    <w:rsid w:val="00F67870"/>
    <w:rsid w:val="00F67891"/>
    <w:rsid w:val="00F678C7"/>
    <w:rsid w:val="00F679D1"/>
    <w:rsid w:val="00F67A9B"/>
    <w:rsid w:val="00F67AC5"/>
    <w:rsid w:val="00F67B86"/>
    <w:rsid w:val="00F67E0B"/>
    <w:rsid w:val="00F70108"/>
    <w:rsid w:val="00F7022F"/>
    <w:rsid w:val="00F70368"/>
    <w:rsid w:val="00F7049C"/>
    <w:rsid w:val="00F706F0"/>
    <w:rsid w:val="00F70872"/>
    <w:rsid w:val="00F70AB9"/>
    <w:rsid w:val="00F70B6A"/>
    <w:rsid w:val="00F70B6F"/>
    <w:rsid w:val="00F70C8B"/>
    <w:rsid w:val="00F70D94"/>
    <w:rsid w:val="00F70DC5"/>
    <w:rsid w:val="00F70DD8"/>
    <w:rsid w:val="00F70F76"/>
    <w:rsid w:val="00F71172"/>
    <w:rsid w:val="00F711D1"/>
    <w:rsid w:val="00F71306"/>
    <w:rsid w:val="00F713BF"/>
    <w:rsid w:val="00F7140F"/>
    <w:rsid w:val="00F71446"/>
    <w:rsid w:val="00F71447"/>
    <w:rsid w:val="00F71568"/>
    <w:rsid w:val="00F715B7"/>
    <w:rsid w:val="00F715D0"/>
    <w:rsid w:val="00F716B5"/>
    <w:rsid w:val="00F7174E"/>
    <w:rsid w:val="00F717E7"/>
    <w:rsid w:val="00F7182B"/>
    <w:rsid w:val="00F71915"/>
    <w:rsid w:val="00F71B02"/>
    <w:rsid w:val="00F71C7B"/>
    <w:rsid w:val="00F71EC6"/>
    <w:rsid w:val="00F71EED"/>
    <w:rsid w:val="00F71FA5"/>
    <w:rsid w:val="00F722EA"/>
    <w:rsid w:val="00F72326"/>
    <w:rsid w:val="00F7233E"/>
    <w:rsid w:val="00F72547"/>
    <w:rsid w:val="00F72559"/>
    <w:rsid w:val="00F7269C"/>
    <w:rsid w:val="00F727EC"/>
    <w:rsid w:val="00F72833"/>
    <w:rsid w:val="00F72939"/>
    <w:rsid w:val="00F72A52"/>
    <w:rsid w:val="00F72A67"/>
    <w:rsid w:val="00F72A9E"/>
    <w:rsid w:val="00F72B30"/>
    <w:rsid w:val="00F72C11"/>
    <w:rsid w:val="00F72D15"/>
    <w:rsid w:val="00F72D67"/>
    <w:rsid w:val="00F72DEA"/>
    <w:rsid w:val="00F72EB9"/>
    <w:rsid w:val="00F72EE3"/>
    <w:rsid w:val="00F72EE4"/>
    <w:rsid w:val="00F72EF8"/>
    <w:rsid w:val="00F73001"/>
    <w:rsid w:val="00F730CC"/>
    <w:rsid w:val="00F73114"/>
    <w:rsid w:val="00F7318A"/>
    <w:rsid w:val="00F7324F"/>
    <w:rsid w:val="00F73270"/>
    <w:rsid w:val="00F735E0"/>
    <w:rsid w:val="00F73775"/>
    <w:rsid w:val="00F737DB"/>
    <w:rsid w:val="00F7387E"/>
    <w:rsid w:val="00F73991"/>
    <w:rsid w:val="00F739D6"/>
    <w:rsid w:val="00F73B23"/>
    <w:rsid w:val="00F73BA5"/>
    <w:rsid w:val="00F73BCE"/>
    <w:rsid w:val="00F73C2D"/>
    <w:rsid w:val="00F73E43"/>
    <w:rsid w:val="00F73E50"/>
    <w:rsid w:val="00F73EC1"/>
    <w:rsid w:val="00F73F1A"/>
    <w:rsid w:val="00F741A2"/>
    <w:rsid w:val="00F7420A"/>
    <w:rsid w:val="00F7424D"/>
    <w:rsid w:val="00F74474"/>
    <w:rsid w:val="00F74522"/>
    <w:rsid w:val="00F7456B"/>
    <w:rsid w:val="00F745A4"/>
    <w:rsid w:val="00F745C9"/>
    <w:rsid w:val="00F7461E"/>
    <w:rsid w:val="00F7462A"/>
    <w:rsid w:val="00F7462F"/>
    <w:rsid w:val="00F74755"/>
    <w:rsid w:val="00F74766"/>
    <w:rsid w:val="00F74813"/>
    <w:rsid w:val="00F74A78"/>
    <w:rsid w:val="00F74B39"/>
    <w:rsid w:val="00F74C36"/>
    <w:rsid w:val="00F74CD6"/>
    <w:rsid w:val="00F74D8E"/>
    <w:rsid w:val="00F75046"/>
    <w:rsid w:val="00F75097"/>
    <w:rsid w:val="00F753C3"/>
    <w:rsid w:val="00F7557B"/>
    <w:rsid w:val="00F75613"/>
    <w:rsid w:val="00F7574B"/>
    <w:rsid w:val="00F7587B"/>
    <w:rsid w:val="00F75968"/>
    <w:rsid w:val="00F759F2"/>
    <w:rsid w:val="00F75A8E"/>
    <w:rsid w:val="00F75B62"/>
    <w:rsid w:val="00F75C98"/>
    <w:rsid w:val="00F75CE2"/>
    <w:rsid w:val="00F75EA8"/>
    <w:rsid w:val="00F75F33"/>
    <w:rsid w:val="00F75F76"/>
    <w:rsid w:val="00F75FB7"/>
    <w:rsid w:val="00F75FF9"/>
    <w:rsid w:val="00F76007"/>
    <w:rsid w:val="00F7613A"/>
    <w:rsid w:val="00F7616B"/>
    <w:rsid w:val="00F762CC"/>
    <w:rsid w:val="00F76376"/>
    <w:rsid w:val="00F7642E"/>
    <w:rsid w:val="00F764BE"/>
    <w:rsid w:val="00F76513"/>
    <w:rsid w:val="00F765AD"/>
    <w:rsid w:val="00F765FD"/>
    <w:rsid w:val="00F7664F"/>
    <w:rsid w:val="00F76801"/>
    <w:rsid w:val="00F7689B"/>
    <w:rsid w:val="00F768B0"/>
    <w:rsid w:val="00F76953"/>
    <w:rsid w:val="00F76AE5"/>
    <w:rsid w:val="00F76B14"/>
    <w:rsid w:val="00F76B3E"/>
    <w:rsid w:val="00F76C08"/>
    <w:rsid w:val="00F76C38"/>
    <w:rsid w:val="00F76D0E"/>
    <w:rsid w:val="00F76ECE"/>
    <w:rsid w:val="00F76EE5"/>
    <w:rsid w:val="00F76FE2"/>
    <w:rsid w:val="00F771C4"/>
    <w:rsid w:val="00F771C9"/>
    <w:rsid w:val="00F7722D"/>
    <w:rsid w:val="00F77245"/>
    <w:rsid w:val="00F772A0"/>
    <w:rsid w:val="00F7737D"/>
    <w:rsid w:val="00F773C3"/>
    <w:rsid w:val="00F77432"/>
    <w:rsid w:val="00F7759D"/>
    <w:rsid w:val="00F775FC"/>
    <w:rsid w:val="00F77872"/>
    <w:rsid w:val="00F778AF"/>
    <w:rsid w:val="00F77907"/>
    <w:rsid w:val="00F77B0C"/>
    <w:rsid w:val="00F77BF0"/>
    <w:rsid w:val="00F77D3B"/>
    <w:rsid w:val="00F77D81"/>
    <w:rsid w:val="00F77DDB"/>
    <w:rsid w:val="00F77E05"/>
    <w:rsid w:val="00F77F64"/>
    <w:rsid w:val="00F77FA8"/>
    <w:rsid w:val="00F8000A"/>
    <w:rsid w:val="00F8008C"/>
    <w:rsid w:val="00F80302"/>
    <w:rsid w:val="00F80510"/>
    <w:rsid w:val="00F80566"/>
    <w:rsid w:val="00F80599"/>
    <w:rsid w:val="00F80841"/>
    <w:rsid w:val="00F80A7C"/>
    <w:rsid w:val="00F80B96"/>
    <w:rsid w:val="00F80C3B"/>
    <w:rsid w:val="00F80FD7"/>
    <w:rsid w:val="00F81021"/>
    <w:rsid w:val="00F81092"/>
    <w:rsid w:val="00F81117"/>
    <w:rsid w:val="00F8119C"/>
    <w:rsid w:val="00F811F9"/>
    <w:rsid w:val="00F814BB"/>
    <w:rsid w:val="00F814C7"/>
    <w:rsid w:val="00F8150C"/>
    <w:rsid w:val="00F81591"/>
    <w:rsid w:val="00F815B6"/>
    <w:rsid w:val="00F8163D"/>
    <w:rsid w:val="00F816D9"/>
    <w:rsid w:val="00F816DD"/>
    <w:rsid w:val="00F8177C"/>
    <w:rsid w:val="00F8178B"/>
    <w:rsid w:val="00F819ED"/>
    <w:rsid w:val="00F81A85"/>
    <w:rsid w:val="00F81ACD"/>
    <w:rsid w:val="00F81AED"/>
    <w:rsid w:val="00F81B20"/>
    <w:rsid w:val="00F81C45"/>
    <w:rsid w:val="00F81D17"/>
    <w:rsid w:val="00F81D37"/>
    <w:rsid w:val="00F81D8F"/>
    <w:rsid w:val="00F81D98"/>
    <w:rsid w:val="00F81DE7"/>
    <w:rsid w:val="00F81E86"/>
    <w:rsid w:val="00F82082"/>
    <w:rsid w:val="00F820E1"/>
    <w:rsid w:val="00F82145"/>
    <w:rsid w:val="00F82162"/>
    <w:rsid w:val="00F822C5"/>
    <w:rsid w:val="00F824F8"/>
    <w:rsid w:val="00F8252A"/>
    <w:rsid w:val="00F82572"/>
    <w:rsid w:val="00F8266F"/>
    <w:rsid w:val="00F826C1"/>
    <w:rsid w:val="00F826EA"/>
    <w:rsid w:val="00F82746"/>
    <w:rsid w:val="00F827B2"/>
    <w:rsid w:val="00F82889"/>
    <w:rsid w:val="00F82922"/>
    <w:rsid w:val="00F82AA9"/>
    <w:rsid w:val="00F82ABC"/>
    <w:rsid w:val="00F82ACC"/>
    <w:rsid w:val="00F82B06"/>
    <w:rsid w:val="00F82B16"/>
    <w:rsid w:val="00F82B2B"/>
    <w:rsid w:val="00F82BA9"/>
    <w:rsid w:val="00F82C43"/>
    <w:rsid w:val="00F82C6E"/>
    <w:rsid w:val="00F82DDE"/>
    <w:rsid w:val="00F82EB5"/>
    <w:rsid w:val="00F82ED1"/>
    <w:rsid w:val="00F82F41"/>
    <w:rsid w:val="00F83168"/>
    <w:rsid w:val="00F831E6"/>
    <w:rsid w:val="00F83255"/>
    <w:rsid w:val="00F83284"/>
    <w:rsid w:val="00F8332C"/>
    <w:rsid w:val="00F834CD"/>
    <w:rsid w:val="00F8358A"/>
    <w:rsid w:val="00F83667"/>
    <w:rsid w:val="00F836F9"/>
    <w:rsid w:val="00F83852"/>
    <w:rsid w:val="00F83A83"/>
    <w:rsid w:val="00F83A95"/>
    <w:rsid w:val="00F83B07"/>
    <w:rsid w:val="00F83B1A"/>
    <w:rsid w:val="00F83B41"/>
    <w:rsid w:val="00F83D01"/>
    <w:rsid w:val="00F83D0B"/>
    <w:rsid w:val="00F83D80"/>
    <w:rsid w:val="00F83E78"/>
    <w:rsid w:val="00F83F3B"/>
    <w:rsid w:val="00F8401C"/>
    <w:rsid w:val="00F84051"/>
    <w:rsid w:val="00F840FB"/>
    <w:rsid w:val="00F842F8"/>
    <w:rsid w:val="00F84364"/>
    <w:rsid w:val="00F845D7"/>
    <w:rsid w:val="00F8475C"/>
    <w:rsid w:val="00F84857"/>
    <w:rsid w:val="00F848BA"/>
    <w:rsid w:val="00F849F8"/>
    <w:rsid w:val="00F84AB5"/>
    <w:rsid w:val="00F84AF4"/>
    <w:rsid w:val="00F84C4B"/>
    <w:rsid w:val="00F84D8A"/>
    <w:rsid w:val="00F84DBC"/>
    <w:rsid w:val="00F84F51"/>
    <w:rsid w:val="00F84F73"/>
    <w:rsid w:val="00F84FCF"/>
    <w:rsid w:val="00F85000"/>
    <w:rsid w:val="00F850C4"/>
    <w:rsid w:val="00F8518F"/>
    <w:rsid w:val="00F8522A"/>
    <w:rsid w:val="00F85262"/>
    <w:rsid w:val="00F85279"/>
    <w:rsid w:val="00F854B7"/>
    <w:rsid w:val="00F854C0"/>
    <w:rsid w:val="00F85559"/>
    <w:rsid w:val="00F85633"/>
    <w:rsid w:val="00F856E4"/>
    <w:rsid w:val="00F857A8"/>
    <w:rsid w:val="00F85823"/>
    <w:rsid w:val="00F85C4B"/>
    <w:rsid w:val="00F85C94"/>
    <w:rsid w:val="00F85CD1"/>
    <w:rsid w:val="00F85D55"/>
    <w:rsid w:val="00F85F8E"/>
    <w:rsid w:val="00F85FBB"/>
    <w:rsid w:val="00F85FC1"/>
    <w:rsid w:val="00F85FC9"/>
    <w:rsid w:val="00F8600B"/>
    <w:rsid w:val="00F8610A"/>
    <w:rsid w:val="00F8625D"/>
    <w:rsid w:val="00F86280"/>
    <w:rsid w:val="00F8631D"/>
    <w:rsid w:val="00F8632E"/>
    <w:rsid w:val="00F86356"/>
    <w:rsid w:val="00F864C2"/>
    <w:rsid w:val="00F865FF"/>
    <w:rsid w:val="00F86745"/>
    <w:rsid w:val="00F86751"/>
    <w:rsid w:val="00F8686F"/>
    <w:rsid w:val="00F869B5"/>
    <w:rsid w:val="00F86B5D"/>
    <w:rsid w:val="00F86BD7"/>
    <w:rsid w:val="00F86C58"/>
    <w:rsid w:val="00F86EB1"/>
    <w:rsid w:val="00F86EB7"/>
    <w:rsid w:val="00F8702B"/>
    <w:rsid w:val="00F8719C"/>
    <w:rsid w:val="00F8732E"/>
    <w:rsid w:val="00F87330"/>
    <w:rsid w:val="00F87487"/>
    <w:rsid w:val="00F874E3"/>
    <w:rsid w:val="00F8761F"/>
    <w:rsid w:val="00F87643"/>
    <w:rsid w:val="00F87880"/>
    <w:rsid w:val="00F879E6"/>
    <w:rsid w:val="00F879F4"/>
    <w:rsid w:val="00F87AEF"/>
    <w:rsid w:val="00F87B45"/>
    <w:rsid w:val="00F87DFA"/>
    <w:rsid w:val="00F87F59"/>
    <w:rsid w:val="00F87F96"/>
    <w:rsid w:val="00F900D1"/>
    <w:rsid w:val="00F90197"/>
    <w:rsid w:val="00F9026B"/>
    <w:rsid w:val="00F903B1"/>
    <w:rsid w:val="00F90422"/>
    <w:rsid w:val="00F90492"/>
    <w:rsid w:val="00F90493"/>
    <w:rsid w:val="00F904A2"/>
    <w:rsid w:val="00F904EF"/>
    <w:rsid w:val="00F9073C"/>
    <w:rsid w:val="00F9076D"/>
    <w:rsid w:val="00F90791"/>
    <w:rsid w:val="00F907E8"/>
    <w:rsid w:val="00F9098F"/>
    <w:rsid w:val="00F909EE"/>
    <w:rsid w:val="00F90B2C"/>
    <w:rsid w:val="00F90BCB"/>
    <w:rsid w:val="00F90C5F"/>
    <w:rsid w:val="00F90CE3"/>
    <w:rsid w:val="00F90D66"/>
    <w:rsid w:val="00F90DD4"/>
    <w:rsid w:val="00F91012"/>
    <w:rsid w:val="00F91073"/>
    <w:rsid w:val="00F910C8"/>
    <w:rsid w:val="00F910D0"/>
    <w:rsid w:val="00F91247"/>
    <w:rsid w:val="00F912E4"/>
    <w:rsid w:val="00F9140F"/>
    <w:rsid w:val="00F91443"/>
    <w:rsid w:val="00F914D8"/>
    <w:rsid w:val="00F914FA"/>
    <w:rsid w:val="00F91566"/>
    <w:rsid w:val="00F9163A"/>
    <w:rsid w:val="00F91698"/>
    <w:rsid w:val="00F916E1"/>
    <w:rsid w:val="00F9172D"/>
    <w:rsid w:val="00F9183A"/>
    <w:rsid w:val="00F91842"/>
    <w:rsid w:val="00F9184C"/>
    <w:rsid w:val="00F918CB"/>
    <w:rsid w:val="00F9197B"/>
    <w:rsid w:val="00F91980"/>
    <w:rsid w:val="00F91A12"/>
    <w:rsid w:val="00F91AE6"/>
    <w:rsid w:val="00F91C57"/>
    <w:rsid w:val="00F91C71"/>
    <w:rsid w:val="00F91C88"/>
    <w:rsid w:val="00F91D86"/>
    <w:rsid w:val="00F91D87"/>
    <w:rsid w:val="00F91DC1"/>
    <w:rsid w:val="00F91DDA"/>
    <w:rsid w:val="00F91F05"/>
    <w:rsid w:val="00F91F0E"/>
    <w:rsid w:val="00F92209"/>
    <w:rsid w:val="00F92279"/>
    <w:rsid w:val="00F9234B"/>
    <w:rsid w:val="00F9238C"/>
    <w:rsid w:val="00F923C2"/>
    <w:rsid w:val="00F92434"/>
    <w:rsid w:val="00F9252C"/>
    <w:rsid w:val="00F925BE"/>
    <w:rsid w:val="00F92C34"/>
    <w:rsid w:val="00F92D32"/>
    <w:rsid w:val="00F92FEA"/>
    <w:rsid w:val="00F9310D"/>
    <w:rsid w:val="00F93119"/>
    <w:rsid w:val="00F93260"/>
    <w:rsid w:val="00F93454"/>
    <w:rsid w:val="00F934E6"/>
    <w:rsid w:val="00F936AF"/>
    <w:rsid w:val="00F93739"/>
    <w:rsid w:val="00F93835"/>
    <w:rsid w:val="00F938C9"/>
    <w:rsid w:val="00F93959"/>
    <w:rsid w:val="00F93A3A"/>
    <w:rsid w:val="00F93A4C"/>
    <w:rsid w:val="00F93A7B"/>
    <w:rsid w:val="00F93A80"/>
    <w:rsid w:val="00F93B6C"/>
    <w:rsid w:val="00F93CC6"/>
    <w:rsid w:val="00F93E3D"/>
    <w:rsid w:val="00F93E8A"/>
    <w:rsid w:val="00F93EB7"/>
    <w:rsid w:val="00F93FE8"/>
    <w:rsid w:val="00F940B5"/>
    <w:rsid w:val="00F94214"/>
    <w:rsid w:val="00F9427F"/>
    <w:rsid w:val="00F942C6"/>
    <w:rsid w:val="00F943AE"/>
    <w:rsid w:val="00F945C4"/>
    <w:rsid w:val="00F948D9"/>
    <w:rsid w:val="00F9494C"/>
    <w:rsid w:val="00F94A79"/>
    <w:rsid w:val="00F94AAF"/>
    <w:rsid w:val="00F94C0B"/>
    <w:rsid w:val="00F94C97"/>
    <w:rsid w:val="00F94E7C"/>
    <w:rsid w:val="00F94FDA"/>
    <w:rsid w:val="00F950D4"/>
    <w:rsid w:val="00F952E0"/>
    <w:rsid w:val="00F956D6"/>
    <w:rsid w:val="00F957EA"/>
    <w:rsid w:val="00F95B0A"/>
    <w:rsid w:val="00F95BAC"/>
    <w:rsid w:val="00F95BBD"/>
    <w:rsid w:val="00F95BDC"/>
    <w:rsid w:val="00F95C09"/>
    <w:rsid w:val="00F95C6E"/>
    <w:rsid w:val="00F95C9A"/>
    <w:rsid w:val="00F95ED3"/>
    <w:rsid w:val="00F95EE0"/>
    <w:rsid w:val="00F95FB5"/>
    <w:rsid w:val="00F9600E"/>
    <w:rsid w:val="00F9626F"/>
    <w:rsid w:val="00F96463"/>
    <w:rsid w:val="00F96491"/>
    <w:rsid w:val="00F964BF"/>
    <w:rsid w:val="00F96507"/>
    <w:rsid w:val="00F9655C"/>
    <w:rsid w:val="00F96673"/>
    <w:rsid w:val="00F96694"/>
    <w:rsid w:val="00F968CF"/>
    <w:rsid w:val="00F96A33"/>
    <w:rsid w:val="00F96A9C"/>
    <w:rsid w:val="00F96B2F"/>
    <w:rsid w:val="00F96C13"/>
    <w:rsid w:val="00F96CA9"/>
    <w:rsid w:val="00F96CE4"/>
    <w:rsid w:val="00F96E32"/>
    <w:rsid w:val="00F9723A"/>
    <w:rsid w:val="00F972C1"/>
    <w:rsid w:val="00F97308"/>
    <w:rsid w:val="00F97335"/>
    <w:rsid w:val="00F97667"/>
    <w:rsid w:val="00F97708"/>
    <w:rsid w:val="00F97710"/>
    <w:rsid w:val="00F97733"/>
    <w:rsid w:val="00F97743"/>
    <w:rsid w:val="00F97797"/>
    <w:rsid w:val="00F977F2"/>
    <w:rsid w:val="00F9782F"/>
    <w:rsid w:val="00F978C0"/>
    <w:rsid w:val="00F97B0A"/>
    <w:rsid w:val="00F97B28"/>
    <w:rsid w:val="00F97B56"/>
    <w:rsid w:val="00F97C90"/>
    <w:rsid w:val="00F97E07"/>
    <w:rsid w:val="00FA019D"/>
    <w:rsid w:val="00FA028E"/>
    <w:rsid w:val="00FA02AA"/>
    <w:rsid w:val="00FA0482"/>
    <w:rsid w:val="00FA04CE"/>
    <w:rsid w:val="00FA0564"/>
    <w:rsid w:val="00FA05E7"/>
    <w:rsid w:val="00FA0773"/>
    <w:rsid w:val="00FA077C"/>
    <w:rsid w:val="00FA0B25"/>
    <w:rsid w:val="00FA0B37"/>
    <w:rsid w:val="00FA0B67"/>
    <w:rsid w:val="00FA0BF6"/>
    <w:rsid w:val="00FA0CEA"/>
    <w:rsid w:val="00FA0DAD"/>
    <w:rsid w:val="00FA129F"/>
    <w:rsid w:val="00FA144F"/>
    <w:rsid w:val="00FA151C"/>
    <w:rsid w:val="00FA160F"/>
    <w:rsid w:val="00FA171E"/>
    <w:rsid w:val="00FA17DA"/>
    <w:rsid w:val="00FA183F"/>
    <w:rsid w:val="00FA18E0"/>
    <w:rsid w:val="00FA1924"/>
    <w:rsid w:val="00FA198B"/>
    <w:rsid w:val="00FA1A66"/>
    <w:rsid w:val="00FA1B4A"/>
    <w:rsid w:val="00FA1BCE"/>
    <w:rsid w:val="00FA1BED"/>
    <w:rsid w:val="00FA1E67"/>
    <w:rsid w:val="00FA1EC3"/>
    <w:rsid w:val="00FA1F91"/>
    <w:rsid w:val="00FA1FDA"/>
    <w:rsid w:val="00FA2034"/>
    <w:rsid w:val="00FA209A"/>
    <w:rsid w:val="00FA20C8"/>
    <w:rsid w:val="00FA2158"/>
    <w:rsid w:val="00FA21A1"/>
    <w:rsid w:val="00FA21DD"/>
    <w:rsid w:val="00FA24C2"/>
    <w:rsid w:val="00FA2583"/>
    <w:rsid w:val="00FA26D8"/>
    <w:rsid w:val="00FA275F"/>
    <w:rsid w:val="00FA28D3"/>
    <w:rsid w:val="00FA2A1F"/>
    <w:rsid w:val="00FA2A34"/>
    <w:rsid w:val="00FA2A99"/>
    <w:rsid w:val="00FA2ADB"/>
    <w:rsid w:val="00FA2B43"/>
    <w:rsid w:val="00FA2CF2"/>
    <w:rsid w:val="00FA30B1"/>
    <w:rsid w:val="00FA321B"/>
    <w:rsid w:val="00FA3286"/>
    <w:rsid w:val="00FA328F"/>
    <w:rsid w:val="00FA332C"/>
    <w:rsid w:val="00FA336D"/>
    <w:rsid w:val="00FA33A8"/>
    <w:rsid w:val="00FA3437"/>
    <w:rsid w:val="00FA3485"/>
    <w:rsid w:val="00FA34E8"/>
    <w:rsid w:val="00FA351D"/>
    <w:rsid w:val="00FA3538"/>
    <w:rsid w:val="00FA3674"/>
    <w:rsid w:val="00FA36D0"/>
    <w:rsid w:val="00FA36FF"/>
    <w:rsid w:val="00FA37EE"/>
    <w:rsid w:val="00FA3810"/>
    <w:rsid w:val="00FA38C7"/>
    <w:rsid w:val="00FA3994"/>
    <w:rsid w:val="00FA3AFB"/>
    <w:rsid w:val="00FA3BBF"/>
    <w:rsid w:val="00FA3C56"/>
    <w:rsid w:val="00FA3C74"/>
    <w:rsid w:val="00FA3DDF"/>
    <w:rsid w:val="00FA3F1E"/>
    <w:rsid w:val="00FA3F31"/>
    <w:rsid w:val="00FA4006"/>
    <w:rsid w:val="00FA40DB"/>
    <w:rsid w:val="00FA4105"/>
    <w:rsid w:val="00FA41FA"/>
    <w:rsid w:val="00FA4397"/>
    <w:rsid w:val="00FA4503"/>
    <w:rsid w:val="00FA4593"/>
    <w:rsid w:val="00FA45AC"/>
    <w:rsid w:val="00FA4920"/>
    <w:rsid w:val="00FA496F"/>
    <w:rsid w:val="00FA49EF"/>
    <w:rsid w:val="00FA4A44"/>
    <w:rsid w:val="00FA4B9D"/>
    <w:rsid w:val="00FA4DA6"/>
    <w:rsid w:val="00FA4E4B"/>
    <w:rsid w:val="00FA4F4E"/>
    <w:rsid w:val="00FA4F82"/>
    <w:rsid w:val="00FA4FF0"/>
    <w:rsid w:val="00FA51A6"/>
    <w:rsid w:val="00FA51D7"/>
    <w:rsid w:val="00FA522A"/>
    <w:rsid w:val="00FA5289"/>
    <w:rsid w:val="00FA548A"/>
    <w:rsid w:val="00FA5546"/>
    <w:rsid w:val="00FA5578"/>
    <w:rsid w:val="00FA5772"/>
    <w:rsid w:val="00FA577E"/>
    <w:rsid w:val="00FA5792"/>
    <w:rsid w:val="00FA58A8"/>
    <w:rsid w:val="00FA59A0"/>
    <w:rsid w:val="00FA5A5D"/>
    <w:rsid w:val="00FA5A65"/>
    <w:rsid w:val="00FA5AD6"/>
    <w:rsid w:val="00FA5B32"/>
    <w:rsid w:val="00FA5B9A"/>
    <w:rsid w:val="00FA5C82"/>
    <w:rsid w:val="00FA5D27"/>
    <w:rsid w:val="00FA5D9D"/>
    <w:rsid w:val="00FA5ED2"/>
    <w:rsid w:val="00FA5F8F"/>
    <w:rsid w:val="00FA5F99"/>
    <w:rsid w:val="00FA60EA"/>
    <w:rsid w:val="00FA6179"/>
    <w:rsid w:val="00FA6441"/>
    <w:rsid w:val="00FA650E"/>
    <w:rsid w:val="00FA654E"/>
    <w:rsid w:val="00FA6686"/>
    <w:rsid w:val="00FA676F"/>
    <w:rsid w:val="00FA67DE"/>
    <w:rsid w:val="00FA68E9"/>
    <w:rsid w:val="00FA6994"/>
    <w:rsid w:val="00FA6A30"/>
    <w:rsid w:val="00FA6B66"/>
    <w:rsid w:val="00FA6BD6"/>
    <w:rsid w:val="00FA6C59"/>
    <w:rsid w:val="00FA6D4C"/>
    <w:rsid w:val="00FA6E5B"/>
    <w:rsid w:val="00FA6FB4"/>
    <w:rsid w:val="00FA70F6"/>
    <w:rsid w:val="00FA7150"/>
    <w:rsid w:val="00FA71AD"/>
    <w:rsid w:val="00FA71B6"/>
    <w:rsid w:val="00FA71C8"/>
    <w:rsid w:val="00FA71F4"/>
    <w:rsid w:val="00FA7205"/>
    <w:rsid w:val="00FA721B"/>
    <w:rsid w:val="00FA724D"/>
    <w:rsid w:val="00FA72A6"/>
    <w:rsid w:val="00FA72D9"/>
    <w:rsid w:val="00FA7340"/>
    <w:rsid w:val="00FA73A2"/>
    <w:rsid w:val="00FA73B2"/>
    <w:rsid w:val="00FA7419"/>
    <w:rsid w:val="00FA74C3"/>
    <w:rsid w:val="00FA74D0"/>
    <w:rsid w:val="00FA74D1"/>
    <w:rsid w:val="00FA74F5"/>
    <w:rsid w:val="00FA75E9"/>
    <w:rsid w:val="00FA7628"/>
    <w:rsid w:val="00FA76E5"/>
    <w:rsid w:val="00FA77A5"/>
    <w:rsid w:val="00FA78C0"/>
    <w:rsid w:val="00FA78C6"/>
    <w:rsid w:val="00FA7C4B"/>
    <w:rsid w:val="00FA7CD7"/>
    <w:rsid w:val="00FA7CF8"/>
    <w:rsid w:val="00FA7DEF"/>
    <w:rsid w:val="00FA7E25"/>
    <w:rsid w:val="00FA7E5D"/>
    <w:rsid w:val="00FA7FAF"/>
    <w:rsid w:val="00FB0095"/>
    <w:rsid w:val="00FB00B3"/>
    <w:rsid w:val="00FB01AD"/>
    <w:rsid w:val="00FB01C3"/>
    <w:rsid w:val="00FB02B6"/>
    <w:rsid w:val="00FB02B8"/>
    <w:rsid w:val="00FB02CC"/>
    <w:rsid w:val="00FB07B0"/>
    <w:rsid w:val="00FB07C4"/>
    <w:rsid w:val="00FB07E4"/>
    <w:rsid w:val="00FB0865"/>
    <w:rsid w:val="00FB088A"/>
    <w:rsid w:val="00FB08AE"/>
    <w:rsid w:val="00FB0933"/>
    <w:rsid w:val="00FB097A"/>
    <w:rsid w:val="00FB0988"/>
    <w:rsid w:val="00FB09EB"/>
    <w:rsid w:val="00FB0A82"/>
    <w:rsid w:val="00FB0AD3"/>
    <w:rsid w:val="00FB0AEC"/>
    <w:rsid w:val="00FB0BBA"/>
    <w:rsid w:val="00FB0CDF"/>
    <w:rsid w:val="00FB0DB0"/>
    <w:rsid w:val="00FB0E88"/>
    <w:rsid w:val="00FB0EF7"/>
    <w:rsid w:val="00FB0F99"/>
    <w:rsid w:val="00FB0FFC"/>
    <w:rsid w:val="00FB132D"/>
    <w:rsid w:val="00FB133C"/>
    <w:rsid w:val="00FB1481"/>
    <w:rsid w:val="00FB1958"/>
    <w:rsid w:val="00FB1A9D"/>
    <w:rsid w:val="00FB1B34"/>
    <w:rsid w:val="00FB1B7B"/>
    <w:rsid w:val="00FB1C3C"/>
    <w:rsid w:val="00FB1C74"/>
    <w:rsid w:val="00FB1CEB"/>
    <w:rsid w:val="00FB1D21"/>
    <w:rsid w:val="00FB1EA7"/>
    <w:rsid w:val="00FB1F6A"/>
    <w:rsid w:val="00FB1F6E"/>
    <w:rsid w:val="00FB1F8D"/>
    <w:rsid w:val="00FB2094"/>
    <w:rsid w:val="00FB217D"/>
    <w:rsid w:val="00FB21BD"/>
    <w:rsid w:val="00FB21EF"/>
    <w:rsid w:val="00FB2200"/>
    <w:rsid w:val="00FB24A6"/>
    <w:rsid w:val="00FB2590"/>
    <w:rsid w:val="00FB260B"/>
    <w:rsid w:val="00FB28CF"/>
    <w:rsid w:val="00FB29AF"/>
    <w:rsid w:val="00FB2AF3"/>
    <w:rsid w:val="00FB2B6A"/>
    <w:rsid w:val="00FB2BFA"/>
    <w:rsid w:val="00FB2C46"/>
    <w:rsid w:val="00FB2C78"/>
    <w:rsid w:val="00FB2CD5"/>
    <w:rsid w:val="00FB2DC7"/>
    <w:rsid w:val="00FB2F5F"/>
    <w:rsid w:val="00FB2F70"/>
    <w:rsid w:val="00FB2FFD"/>
    <w:rsid w:val="00FB3056"/>
    <w:rsid w:val="00FB30A3"/>
    <w:rsid w:val="00FB316D"/>
    <w:rsid w:val="00FB31D4"/>
    <w:rsid w:val="00FB3200"/>
    <w:rsid w:val="00FB3368"/>
    <w:rsid w:val="00FB33E7"/>
    <w:rsid w:val="00FB3977"/>
    <w:rsid w:val="00FB3B31"/>
    <w:rsid w:val="00FB3BBC"/>
    <w:rsid w:val="00FB3CC5"/>
    <w:rsid w:val="00FB3CD0"/>
    <w:rsid w:val="00FB3CD2"/>
    <w:rsid w:val="00FB3E4E"/>
    <w:rsid w:val="00FB410D"/>
    <w:rsid w:val="00FB4128"/>
    <w:rsid w:val="00FB4435"/>
    <w:rsid w:val="00FB4581"/>
    <w:rsid w:val="00FB45AD"/>
    <w:rsid w:val="00FB45B3"/>
    <w:rsid w:val="00FB4994"/>
    <w:rsid w:val="00FB4A6C"/>
    <w:rsid w:val="00FB4AC9"/>
    <w:rsid w:val="00FB4AFA"/>
    <w:rsid w:val="00FB4B33"/>
    <w:rsid w:val="00FB4C96"/>
    <w:rsid w:val="00FB4CF0"/>
    <w:rsid w:val="00FB4D21"/>
    <w:rsid w:val="00FB4D33"/>
    <w:rsid w:val="00FB4D78"/>
    <w:rsid w:val="00FB4E58"/>
    <w:rsid w:val="00FB51A1"/>
    <w:rsid w:val="00FB51C9"/>
    <w:rsid w:val="00FB51E1"/>
    <w:rsid w:val="00FB5210"/>
    <w:rsid w:val="00FB52F7"/>
    <w:rsid w:val="00FB54D7"/>
    <w:rsid w:val="00FB5626"/>
    <w:rsid w:val="00FB5688"/>
    <w:rsid w:val="00FB56B6"/>
    <w:rsid w:val="00FB5771"/>
    <w:rsid w:val="00FB581A"/>
    <w:rsid w:val="00FB58C0"/>
    <w:rsid w:val="00FB58DD"/>
    <w:rsid w:val="00FB59C3"/>
    <w:rsid w:val="00FB5CF9"/>
    <w:rsid w:val="00FB5DEE"/>
    <w:rsid w:val="00FB5E32"/>
    <w:rsid w:val="00FB5E5A"/>
    <w:rsid w:val="00FB5E81"/>
    <w:rsid w:val="00FB5EC8"/>
    <w:rsid w:val="00FB5F68"/>
    <w:rsid w:val="00FB607E"/>
    <w:rsid w:val="00FB60F6"/>
    <w:rsid w:val="00FB6139"/>
    <w:rsid w:val="00FB62AB"/>
    <w:rsid w:val="00FB6491"/>
    <w:rsid w:val="00FB675C"/>
    <w:rsid w:val="00FB675E"/>
    <w:rsid w:val="00FB689B"/>
    <w:rsid w:val="00FB6B37"/>
    <w:rsid w:val="00FB6CDC"/>
    <w:rsid w:val="00FB6D5D"/>
    <w:rsid w:val="00FB6DC6"/>
    <w:rsid w:val="00FB6E62"/>
    <w:rsid w:val="00FB6E68"/>
    <w:rsid w:val="00FB6F10"/>
    <w:rsid w:val="00FB71C7"/>
    <w:rsid w:val="00FB71EE"/>
    <w:rsid w:val="00FB7216"/>
    <w:rsid w:val="00FB72CA"/>
    <w:rsid w:val="00FB743F"/>
    <w:rsid w:val="00FB74F4"/>
    <w:rsid w:val="00FB762B"/>
    <w:rsid w:val="00FB7729"/>
    <w:rsid w:val="00FB78A2"/>
    <w:rsid w:val="00FB790A"/>
    <w:rsid w:val="00FB79D6"/>
    <w:rsid w:val="00FB79E9"/>
    <w:rsid w:val="00FB7CC3"/>
    <w:rsid w:val="00FB7D12"/>
    <w:rsid w:val="00FC003B"/>
    <w:rsid w:val="00FC01E1"/>
    <w:rsid w:val="00FC01F8"/>
    <w:rsid w:val="00FC026E"/>
    <w:rsid w:val="00FC02CF"/>
    <w:rsid w:val="00FC033A"/>
    <w:rsid w:val="00FC0435"/>
    <w:rsid w:val="00FC04AF"/>
    <w:rsid w:val="00FC0625"/>
    <w:rsid w:val="00FC0673"/>
    <w:rsid w:val="00FC08BE"/>
    <w:rsid w:val="00FC093C"/>
    <w:rsid w:val="00FC0B75"/>
    <w:rsid w:val="00FC0BB7"/>
    <w:rsid w:val="00FC0C17"/>
    <w:rsid w:val="00FC0C33"/>
    <w:rsid w:val="00FC0C51"/>
    <w:rsid w:val="00FC0C7A"/>
    <w:rsid w:val="00FC0D11"/>
    <w:rsid w:val="00FC0D4F"/>
    <w:rsid w:val="00FC0E6E"/>
    <w:rsid w:val="00FC0F9B"/>
    <w:rsid w:val="00FC0FF1"/>
    <w:rsid w:val="00FC103F"/>
    <w:rsid w:val="00FC10CC"/>
    <w:rsid w:val="00FC11A3"/>
    <w:rsid w:val="00FC11BE"/>
    <w:rsid w:val="00FC11E8"/>
    <w:rsid w:val="00FC13E4"/>
    <w:rsid w:val="00FC14F4"/>
    <w:rsid w:val="00FC15AF"/>
    <w:rsid w:val="00FC167B"/>
    <w:rsid w:val="00FC16C3"/>
    <w:rsid w:val="00FC1780"/>
    <w:rsid w:val="00FC1848"/>
    <w:rsid w:val="00FC18A3"/>
    <w:rsid w:val="00FC18F4"/>
    <w:rsid w:val="00FC1B1C"/>
    <w:rsid w:val="00FC1B3A"/>
    <w:rsid w:val="00FC1B3E"/>
    <w:rsid w:val="00FC1B67"/>
    <w:rsid w:val="00FC1B6E"/>
    <w:rsid w:val="00FC1BF2"/>
    <w:rsid w:val="00FC1C0A"/>
    <w:rsid w:val="00FC1C26"/>
    <w:rsid w:val="00FC1C71"/>
    <w:rsid w:val="00FC1D91"/>
    <w:rsid w:val="00FC1FC2"/>
    <w:rsid w:val="00FC2335"/>
    <w:rsid w:val="00FC23C1"/>
    <w:rsid w:val="00FC2400"/>
    <w:rsid w:val="00FC2518"/>
    <w:rsid w:val="00FC2538"/>
    <w:rsid w:val="00FC2625"/>
    <w:rsid w:val="00FC264F"/>
    <w:rsid w:val="00FC270E"/>
    <w:rsid w:val="00FC2730"/>
    <w:rsid w:val="00FC275D"/>
    <w:rsid w:val="00FC28FF"/>
    <w:rsid w:val="00FC2A78"/>
    <w:rsid w:val="00FC2B57"/>
    <w:rsid w:val="00FC2D6F"/>
    <w:rsid w:val="00FC2E76"/>
    <w:rsid w:val="00FC2F22"/>
    <w:rsid w:val="00FC2F5E"/>
    <w:rsid w:val="00FC2FE3"/>
    <w:rsid w:val="00FC2FF3"/>
    <w:rsid w:val="00FC3005"/>
    <w:rsid w:val="00FC30C0"/>
    <w:rsid w:val="00FC313E"/>
    <w:rsid w:val="00FC3367"/>
    <w:rsid w:val="00FC3398"/>
    <w:rsid w:val="00FC3581"/>
    <w:rsid w:val="00FC3647"/>
    <w:rsid w:val="00FC372B"/>
    <w:rsid w:val="00FC374C"/>
    <w:rsid w:val="00FC37BB"/>
    <w:rsid w:val="00FC38AB"/>
    <w:rsid w:val="00FC3954"/>
    <w:rsid w:val="00FC395A"/>
    <w:rsid w:val="00FC3BB2"/>
    <w:rsid w:val="00FC3D13"/>
    <w:rsid w:val="00FC3E14"/>
    <w:rsid w:val="00FC3EA9"/>
    <w:rsid w:val="00FC3F53"/>
    <w:rsid w:val="00FC3F68"/>
    <w:rsid w:val="00FC3F69"/>
    <w:rsid w:val="00FC3FB6"/>
    <w:rsid w:val="00FC4201"/>
    <w:rsid w:val="00FC439D"/>
    <w:rsid w:val="00FC458C"/>
    <w:rsid w:val="00FC45A2"/>
    <w:rsid w:val="00FC4609"/>
    <w:rsid w:val="00FC4629"/>
    <w:rsid w:val="00FC46BD"/>
    <w:rsid w:val="00FC46DF"/>
    <w:rsid w:val="00FC46ED"/>
    <w:rsid w:val="00FC4789"/>
    <w:rsid w:val="00FC4861"/>
    <w:rsid w:val="00FC4C4B"/>
    <w:rsid w:val="00FC4D33"/>
    <w:rsid w:val="00FC4D4B"/>
    <w:rsid w:val="00FC4DB7"/>
    <w:rsid w:val="00FC4DCE"/>
    <w:rsid w:val="00FC4E63"/>
    <w:rsid w:val="00FC501B"/>
    <w:rsid w:val="00FC5042"/>
    <w:rsid w:val="00FC51B7"/>
    <w:rsid w:val="00FC5340"/>
    <w:rsid w:val="00FC5379"/>
    <w:rsid w:val="00FC53BD"/>
    <w:rsid w:val="00FC550E"/>
    <w:rsid w:val="00FC552F"/>
    <w:rsid w:val="00FC55DC"/>
    <w:rsid w:val="00FC5806"/>
    <w:rsid w:val="00FC58A8"/>
    <w:rsid w:val="00FC58F4"/>
    <w:rsid w:val="00FC5904"/>
    <w:rsid w:val="00FC5971"/>
    <w:rsid w:val="00FC5E6A"/>
    <w:rsid w:val="00FC61CC"/>
    <w:rsid w:val="00FC63C3"/>
    <w:rsid w:val="00FC63C6"/>
    <w:rsid w:val="00FC6425"/>
    <w:rsid w:val="00FC64BF"/>
    <w:rsid w:val="00FC64E1"/>
    <w:rsid w:val="00FC6504"/>
    <w:rsid w:val="00FC6579"/>
    <w:rsid w:val="00FC66E6"/>
    <w:rsid w:val="00FC66F9"/>
    <w:rsid w:val="00FC6863"/>
    <w:rsid w:val="00FC6887"/>
    <w:rsid w:val="00FC689E"/>
    <w:rsid w:val="00FC6905"/>
    <w:rsid w:val="00FC692B"/>
    <w:rsid w:val="00FC6985"/>
    <w:rsid w:val="00FC6A4C"/>
    <w:rsid w:val="00FC6AD8"/>
    <w:rsid w:val="00FC6ADA"/>
    <w:rsid w:val="00FC6B0F"/>
    <w:rsid w:val="00FC6B3C"/>
    <w:rsid w:val="00FC6B50"/>
    <w:rsid w:val="00FC6C30"/>
    <w:rsid w:val="00FC6C50"/>
    <w:rsid w:val="00FC6CB0"/>
    <w:rsid w:val="00FC6CF4"/>
    <w:rsid w:val="00FC6ED1"/>
    <w:rsid w:val="00FC70B1"/>
    <w:rsid w:val="00FC70C1"/>
    <w:rsid w:val="00FC70C8"/>
    <w:rsid w:val="00FC723B"/>
    <w:rsid w:val="00FC73A9"/>
    <w:rsid w:val="00FC73DB"/>
    <w:rsid w:val="00FC75A9"/>
    <w:rsid w:val="00FC75C0"/>
    <w:rsid w:val="00FC75F3"/>
    <w:rsid w:val="00FC763E"/>
    <w:rsid w:val="00FC77E9"/>
    <w:rsid w:val="00FC7947"/>
    <w:rsid w:val="00FC7B24"/>
    <w:rsid w:val="00FC7B27"/>
    <w:rsid w:val="00FC7B3A"/>
    <w:rsid w:val="00FC7CAB"/>
    <w:rsid w:val="00FC7D1E"/>
    <w:rsid w:val="00FC7D80"/>
    <w:rsid w:val="00FC7E88"/>
    <w:rsid w:val="00FC7EBD"/>
    <w:rsid w:val="00FC7F07"/>
    <w:rsid w:val="00FD016C"/>
    <w:rsid w:val="00FD01B6"/>
    <w:rsid w:val="00FD02A1"/>
    <w:rsid w:val="00FD0488"/>
    <w:rsid w:val="00FD05DA"/>
    <w:rsid w:val="00FD0844"/>
    <w:rsid w:val="00FD08A8"/>
    <w:rsid w:val="00FD08AA"/>
    <w:rsid w:val="00FD08AC"/>
    <w:rsid w:val="00FD08B7"/>
    <w:rsid w:val="00FD0993"/>
    <w:rsid w:val="00FD0A0F"/>
    <w:rsid w:val="00FD0A2E"/>
    <w:rsid w:val="00FD0A39"/>
    <w:rsid w:val="00FD0A79"/>
    <w:rsid w:val="00FD0A93"/>
    <w:rsid w:val="00FD0ADE"/>
    <w:rsid w:val="00FD0B3C"/>
    <w:rsid w:val="00FD0B63"/>
    <w:rsid w:val="00FD0BA2"/>
    <w:rsid w:val="00FD0CAF"/>
    <w:rsid w:val="00FD0CBF"/>
    <w:rsid w:val="00FD0D5B"/>
    <w:rsid w:val="00FD0D89"/>
    <w:rsid w:val="00FD10DF"/>
    <w:rsid w:val="00FD137C"/>
    <w:rsid w:val="00FD13B0"/>
    <w:rsid w:val="00FD146F"/>
    <w:rsid w:val="00FD149A"/>
    <w:rsid w:val="00FD15B6"/>
    <w:rsid w:val="00FD168B"/>
    <w:rsid w:val="00FD16BF"/>
    <w:rsid w:val="00FD1746"/>
    <w:rsid w:val="00FD1776"/>
    <w:rsid w:val="00FD17E1"/>
    <w:rsid w:val="00FD1802"/>
    <w:rsid w:val="00FD187B"/>
    <w:rsid w:val="00FD1B81"/>
    <w:rsid w:val="00FD1D4C"/>
    <w:rsid w:val="00FD1EF2"/>
    <w:rsid w:val="00FD1F1A"/>
    <w:rsid w:val="00FD1F7E"/>
    <w:rsid w:val="00FD2022"/>
    <w:rsid w:val="00FD2128"/>
    <w:rsid w:val="00FD2184"/>
    <w:rsid w:val="00FD2288"/>
    <w:rsid w:val="00FD22ED"/>
    <w:rsid w:val="00FD2303"/>
    <w:rsid w:val="00FD2410"/>
    <w:rsid w:val="00FD24C8"/>
    <w:rsid w:val="00FD2670"/>
    <w:rsid w:val="00FD28AE"/>
    <w:rsid w:val="00FD2954"/>
    <w:rsid w:val="00FD2978"/>
    <w:rsid w:val="00FD2A5E"/>
    <w:rsid w:val="00FD2A63"/>
    <w:rsid w:val="00FD2B1E"/>
    <w:rsid w:val="00FD2C4B"/>
    <w:rsid w:val="00FD2CEB"/>
    <w:rsid w:val="00FD2E4F"/>
    <w:rsid w:val="00FD2EAA"/>
    <w:rsid w:val="00FD2FB4"/>
    <w:rsid w:val="00FD319F"/>
    <w:rsid w:val="00FD31B8"/>
    <w:rsid w:val="00FD3291"/>
    <w:rsid w:val="00FD355B"/>
    <w:rsid w:val="00FD35E7"/>
    <w:rsid w:val="00FD37EB"/>
    <w:rsid w:val="00FD38E7"/>
    <w:rsid w:val="00FD38EB"/>
    <w:rsid w:val="00FD393F"/>
    <w:rsid w:val="00FD3B25"/>
    <w:rsid w:val="00FD3C12"/>
    <w:rsid w:val="00FD3CD0"/>
    <w:rsid w:val="00FD3CE5"/>
    <w:rsid w:val="00FD3DFA"/>
    <w:rsid w:val="00FD3EC2"/>
    <w:rsid w:val="00FD4095"/>
    <w:rsid w:val="00FD40A2"/>
    <w:rsid w:val="00FD4112"/>
    <w:rsid w:val="00FD41BF"/>
    <w:rsid w:val="00FD41EA"/>
    <w:rsid w:val="00FD4205"/>
    <w:rsid w:val="00FD427E"/>
    <w:rsid w:val="00FD427F"/>
    <w:rsid w:val="00FD45C1"/>
    <w:rsid w:val="00FD46DF"/>
    <w:rsid w:val="00FD46E0"/>
    <w:rsid w:val="00FD47EA"/>
    <w:rsid w:val="00FD47F5"/>
    <w:rsid w:val="00FD4964"/>
    <w:rsid w:val="00FD496E"/>
    <w:rsid w:val="00FD49EC"/>
    <w:rsid w:val="00FD49F5"/>
    <w:rsid w:val="00FD4B8E"/>
    <w:rsid w:val="00FD4D9D"/>
    <w:rsid w:val="00FD4DC7"/>
    <w:rsid w:val="00FD4E35"/>
    <w:rsid w:val="00FD4E53"/>
    <w:rsid w:val="00FD4ED4"/>
    <w:rsid w:val="00FD5020"/>
    <w:rsid w:val="00FD50F0"/>
    <w:rsid w:val="00FD5183"/>
    <w:rsid w:val="00FD518F"/>
    <w:rsid w:val="00FD5585"/>
    <w:rsid w:val="00FD55EE"/>
    <w:rsid w:val="00FD5684"/>
    <w:rsid w:val="00FD57C9"/>
    <w:rsid w:val="00FD58A0"/>
    <w:rsid w:val="00FD58B1"/>
    <w:rsid w:val="00FD58CE"/>
    <w:rsid w:val="00FD59F8"/>
    <w:rsid w:val="00FD5A0A"/>
    <w:rsid w:val="00FD5AE5"/>
    <w:rsid w:val="00FD5CC9"/>
    <w:rsid w:val="00FD5D40"/>
    <w:rsid w:val="00FD5D5D"/>
    <w:rsid w:val="00FD5E61"/>
    <w:rsid w:val="00FD5E73"/>
    <w:rsid w:val="00FD5ED0"/>
    <w:rsid w:val="00FD6097"/>
    <w:rsid w:val="00FD61A2"/>
    <w:rsid w:val="00FD62C4"/>
    <w:rsid w:val="00FD62E2"/>
    <w:rsid w:val="00FD62E3"/>
    <w:rsid w:val="00FD6474"/>
    <w:rsid w:val="00FD64E3"/>
    <w:rsid w:val="00FD65E5"/>
    <w:rsid w:val="00FD6815"/>
    <w:rsid w:val="00FD6836"/>
    <w:rsid w:val="00FD6B0A"/>
    <w:rsid w:val="00FD6BB9"/>
    <w:rsid w:val="00FD6CBB"/>
    <w:rsid w:val="00FD6E9A"/>
    <w:rsid w:val="00FD6EF9"/>
    <w:rsid w:val="00FD7044"/>
    <w:rsid w:val="00FD7219"/>
    <w:rsid w:val="00FD729D"/>
    <w:rsid w:val="00FD7436"/>
    <w:rsid w:val="00FD7503"/>
    <w:rsid w:val="00FD751A"/>
    <w:rsid w:val="00FD7582"/>
    <w:rsid w:val="00FD75D4"/>
    <w:rsid w:val="00FD75F3"/>
    <w:rsid w:val="00FD76A9"/>
    <w:rsid w:val="00FD76FE"/>
    <w:rsid w:val="00FD7A7C"/>
    <w:rsid w:val="00FD7AFE"/>
    <w:rsid w:val="00FD7C09"/>
    <w:rsid w:val="00FD7CAA"/>
    <w:rsid w:val="00FD7CDF"/>
    <w:rsid w:val="00FD7F03"/>
    <w:rsid w:val="00FD7F28"/>
    <w:rsid w:val="00FE0034"/>
    <w:rsid w:val="00FE0171"/>
    <w:rsid w:val="00FE01DB"/>
    <w:rsid w:val="00FE01F3"/>
    <w:rsid w:val="00FE025F"/>
    <w:rsid w:val="00FE02EA"/>
    <w:rsid w:val="00FE0588"/>
    <w:rsid w:val="00FE05A1"/>
    <w:rsid w:val="00FE05E1"/>
    <w:rsid w:val="00FE0608"/>
    <w:rsid w:val="00FE061D"/>
    <w:rsid w:val="00FE065C"/>
    <w:rsid w:val="00FE08A1"/>
    <w:rsid w:val="00FE0A4E"/>
    <w:rsid w:val="00FE0A77"/>
    <w:rsid w:val="00FE0B2D"/>
    <w:rsid w:val="00FE0C29"/>
    <w:rsid w:val="00FE0CA4"/>
    <w:rsid w:val="00FE0CAC"/>
    <w:rsid w:val="00FE0CB5"/>
    <w:rsid w:val="00FE0D8C"/>
    <w:rsid w:val="00FE0F42"/>
    <w:rsid w:val="00FE0F46"/>
    <w:rsid w:val="00FE0FA1"/>
    <w:rsid w:val="00FE0FD1"/>
    <w:rsid w:val="00FE1105"/>
    <w:rsid w:val="00FE11FD"/>
    <w:rsid w:val="00FE122D"/>
    <w:rsid w:val="00FE12D6"/>
    <w:rsid w:val="00FE140D"/>
    <w:rsid w:val="00FE1413"/>
    <w:rsid w:val="00FE14BE"/>
    <w:rsid w:val="00FE16C7"/>
    <w:rsid w:val="00FE176C"/>
    <w:rsid w:val="00FE1836"/>
    <w:rsid w:val="00FE1942"/>
    <w:rsid w:val="00FE1961"/>
    <w:rsid w:val="00FE1D23"/>
    <w:rsid w:val="00FE1E00"/>
    <w:rsid w:val="00FE1E0E"/>
    <w:rsid w:val="00FE1E25"/>
    <w:rsid w:val="00FE1EFB"/>
    <w:rsid w:val="00FE2424"/>
    <w:rsid w:val="00FE243D"/>
    <w:rsid w:val="00FE2535"/>
    <w:rsid w:val="00FE2598"/>
    <w:rsid w:val="00FE269D"/>
    <w:rsid w:val="00FE2772"/>
    <w:rsid w:val="00FE27DA"/>
    <w:rsid w:val="00FE2946"/>
    <w:rsid w:val="00FE2954"/>
    <w:rsid w:val="00FE2B7C"/>
    <w:rsid w:val="00FE2EAA"/>
    <w:rsid w:val="00FE2FB1"/>
    <w:rsid w:val="00FE2FBC"/>
    <w:rsid w:val="00FE3099"/>
    <w:rsid w:val="00FE30B5"/>
    <w:rsid w:val="00FE3114"/>
    <w:rsid w:val="00FE318E"/>
    <w:rsid w:val="00FE3421"/>
    <w:rsid w:val="00FE34E6"/>
    <w:rsid w:val="00FE3566"/>
    <w:rsid w:val="00FE3589"/>
    <w:rsid w:val="00FE35AC"/>
    <w:rsid w:val="00FE35E4"/>
    <w:rsid w:val="00FE35ED"/>
    <w:rsid w:val="00FE361A"/>
    <w:rsid w:val="00FE3771"/>
    <w:rsid w:val="00FE3810"/>
    <w:rsid w:val="00FE3877"/>
    <w:rsid w:val="00FE398D"/>
    <w:rsid w:val="00FE39B7"/>
    <w:rsid w:val="00FE39D2"/>
    <w:rsid w:val="00FE3A7E"/>
    <w:rsid w:val="00FE3AAC"/>
    <w:rsid w:val="00FE3CD0"/>
    <w:rsid w:val="00FE3DE5"/>
    <w:rsid w:val="00FE3DF9"/>
    <w:rsid w:val="00FE3E66"/>
    <w:rsid w:val="00FE3F3A"/>
    <w:rsid w:val="00FE4249"/>
    <w:rsid w:val="00FE4293"/>
    <w:rsid w:val="00FE42F9"/>
    <w:rsid w:val="00FE430B"/>
    <w:rsid w:val="00FE44B5"/>
    <w:rsid w:val="00FE44E3"/>
    <w:rsid w:val="00FE4505"/>
    <w:rsid w:val="00FE4598"/>
    <w:rsid w:val="00FE46C9"/>
    <w:rsid w:val="00FE46CF"/>
    <w:rsid w:val="00FE48DF"/>
    <w:rsid w:val="00FE4938"/>
    <w:rsid w:val="00FE49D7"/>
    <w:rsid w:val="00FE4A00"/>
    <w:rsid w:val="00FE4A13"/>
    <w:rsid w:val="00FE4A5C"/>
    <w:rsid w:val="00FE4AC9"/>
    <w:rsid w:val="00FE4AF8"/>
    <w:rsid w:val="00FE4BF7"/>
    <w:rsid w:val="00FE4C6E"/>
    <w:rsid w:val="00FE4D5C"/>
    <w:rsid w:val="00FE4E39"/>
    <w:rsid w:val="00FE4EAA"/>
    <w:rsid w:val="00FE50B1"/>
    <w:rsid w:val="00FE5192"/>
    <w:rsid w:val="00FE53C0"/>
    <w:rsid w:val="00FE543B"/>
    <w:rsid w:val="00FE54B6"/>
    <w:rsid w:val="00FE55C3"/>
    <w:rsid w:val="00FE5619"/>
    <w:rsid w:val="00FE563F"/>
    <w:rsid w:val="00FE578B"/>
    <w:rsid w:val="00FE58DA"/>
    <w:rsid w:val="00FE5982"/>
    <w:rsid w:val="00FE59FC"/>
    <w:rsid w:val="00FE5A43"/>
    <w:rsid w:val="00FE5DAA"/>
    <w:rsid w:val="00FE5E33"/>
    <w:rsid w:val="00FE5E3F"/>
    <w:rsid w:val="00FE5ED2"/>
    <w:rsid w:val="00FE6034"/>
    <w:rsid w:val="00FE61B8"/>
    <w:rsid w:val="00FE623D"/>
    <w:rsid w:val="00FE627F"/>
    <w:rsid w:val="00FE631A"/>
    <w:rsid w:val="00FE6395"/>
    <w:rsid w:val="00FE6520"/>
    <w:rsid w:val="00FE6526"/>
    <w:rsid w:val="00FE6545"/>
    <w:rsid w:val="00FE66B8"/>
    <w:rsid w:val="00FE6861"/>
    <w:rsid w:val="00FE6902"/>
    <w:rsid w:val="00FE6928"/>
    <w:rsid w:val="00FE6B5E"/>
    <w:rsid w:val="00FE6BE1"/>
    <w:rsid w:val="00FE6BF3"/>
    <w:rsid w:val="00FE6CC7"/>
    <w:rsid w:val="00FE6D59"/>
    <w:rsid w:val="00FE6DF6"/>
    <w:rsid w:val="00FE6E31"/>
    <w:rsid w:val="00FE6ECA"/>
    <w:rsid w:val="00FE6F6B"/>
    <w:rsid w:val="00FE6F84"/>
    <w:rsid w:val="00FE70C6"/>
    <w:rsid w:val="00FE70F8"/>
    <w:rsid w:val="00FE71CD"/>
    <w:rsid w:val="00FE71D6"/>
    <w:rsid w:val="00FE72C4"/>
    <w:rsid w:val="00FE733C"/>
    <w:rsid w:val="00FE7364"/>
    <w:rsid w:val="00FE7445"/>
    <w:rsid w:val="00FE74A4"/>
    <w:rsid w:val="00FE74C2"/>
    <w:rsid w:val="00FE77E4"/>
    <w:rsid w:val="00FE78CB"/>
    <w:rsid w:val="00FE7925"/>
    <w:rsid w:val="00FE7987"/>
    <w:rsid w:val="00FE798E"/>
    <w:rsid w:val="00FE7A83"/>
    <w:rsid w:val="00FE7BB8"/>
    <w:rsid w:val="00FE7C94"/>
    <w:rsid w:val="00FE7D78"/>
    <w:rsid w:val="00FE7F3E"/>
    <w:rsid w:val="00FF0111"/>
    <w:rsid w:val="00FF01D6"/>
    <w:rsid w:val="00FF0216"/>
    <w:rsid w:val="00FF03A8"/>
    <w:rsid w:val="00FF057D"/>
    <w:rsid w:val="00FF0589"/>
    <w:rsid w:val="00FF0767"/>
    <w:rsid w:val="00FF0775"/>
    <w:rsid w:val="00FF07C4"/>
    <w:rsid w:val="00FF0800"/>
    <w:rsid w:val="00FF091F"/>
    <w:rsid w:val="00FF09FA"/>
    <w:rsid w:val="00FF0A19"/>
    <w:rsid w:val="00FF0A30"/>
    <w:rsid w:val="00FF0A79"/>
    <w:rsid w:val="00FF0B49"/>
    <w:rsid w:val="00FF0C8D"/>
    <w:rsid w:val="00FF0D31"/>
    <w:rsid w:val="00FF0DD7"/>
    <w:rsid w:val="00FF0FAA"/>
    <w:rsid w:val="00FF1007"/>
    <w:rsid w:val="00FF1092"/>
    <w:rsid w:val="00FF10F0"/>
    <w:rsid w:val="00FF110B"/>
    <w:rsid w:val="00FF11D1"/>
    <w:rsid w:val="00FF123C"/>
    <w:rsid w:val="00FF149C"/>
    <w:rsid w:val="00FF17F5"/>
    <w:rsid w:val="00FF1940"/>
    <w:rsid w:val="00FF1ADB"/>
    <w:rsid w:val="00FF1BD1"/>
    <w:rsid w:val="00FF1CFD"/>
    <w:rsid w:val="00FF1F75"/>
    <w:rsid w:val="00FF20B1"/>
    <w:rsid w:val="00FF20EA"/>
    <w:rsid w:val="00FF2112"/>
    <w:rsid w:val="00FF2207"/>
    <w:rsid w:val="00FF22E0"/>
    <w:rsid w:val="00FF23EC"/>
    <w:rsid w:val="00FF240D"/>
    <w:rsid w:val="00FF24A0"/>
    <w:rsid w:val="00FF24F2"/>
    <w:rsid w:val="00FF255D"/>
    <w:rsid w:val="00FF255E"/>
    <w:rsid w:val="00FF2592"/>
    <w:rsid w:val="00FF2598"/>
    <w:rsid w:val="00FF259A"/>
    <w:rsid w:val="00FF25B6"/>
    <w:rsid w:val="00FF2819"/>
    <w:rsid w:val="00FF2891"/>
    <w:rsid w:val="00FF299E"/>
    <w:rsid w:val="00FF2A7B"/>
    <w:rsid w:val="00FF2AB6"/>
    <w:rsid w:val="00FF2AEC"/>
    <w:rsid w:val="00FF2B63"/>
    <w:rsid w:val="00FF2BF0"/>
    <w:rsid w:val="00FF2C76"/>
    <w:rsid w:val="00FF2D51"/>
    <w:rsid w:val="00FF2D6C"/>
    <w:rsid w:val="00FF2DE2"/>
    <w:rsid w:val="00FF3062"/>
    <w:rsid w:val="00FF308B"/>
    <w:rsid w:val="00FF315A"/>
    <w:rsid w:val="00FF31B9"/>
    <w:rsid w:val="00FF31F0"/>
    <w:rsid w:val="00FF350E"/>
    <w:rsid w:val="00FF3649"/>
    <w:rsid w:val="00FF3672"/>
    <w:rsid w:val="00FF37AC"/>
    <w:rsid w:val="00FF37E4"/>
    <w:rsid w:val="00FF3868"/>
    <w:rsid w:val="00FF38F4"/>
    <w:rsid w:val="00FF395E"/>
    <w:rsid w:val="00FF3A62"/>
    <w:rsid w:val="00FF3BE5"/>
    <w:rsid w:val="00FF3CB5"/>
    <w:rsid w:val="00FF3F3C"/>
    <w:rsid w:val="00FF3FA7"/>
    <w:rsid w:val="00FF4275"/>
    <w:rsid w:val="00FF42CD"/>
    <w:rsid w:val="00FF44F2"/>
    <w:rsid w:val="00FF450F"/>
    <w:rsid w:val="00FF4532"/>
    <w:rsid w:val="00FF465F"/>
    <w:rsid w:val="00FF47C9"/>
    <w:rsid w:val="00FF482C"/>
    <w:rsid w:val="00FF482D"/>
    <w:rsid w:val="00FF48BA"/>
    <w:rsid w:val="00FF49AA"/>
    <w:rsid w:val="00FF49DB"/>
    <w:rsid w:val="00FF49E5"/>
    <w:rsid w:val="00FF49EC"/>
    <w:rsid w:val="00FF4CCB"/>
    <w:rsid w:val="00FF4CDA"/>
    <w:rsid w:val="00FF4D77"/>
    <w:rsid w:val="00FF4DB3"/>
    <w:rsid w:val="00FF5001"/>
    <w:rsid w:val="00FF512C"/>
    <w:rsid w:val="00FF5162"/>
    <w:rsid w:val="00FF51B3"/>
    <w:rsid w:val="00FF520F"/>
    <w:rsid w:val="00FF53B8"/>
    <w:rsid w:val="00FF5793"/>
    <w:rsid w:val="00FF58CC"/>
    <w:rsid w:val="00FF5929"/>
    <w:rsid w:val="00FF59DE"/>
    <w:rsid w:val="00FF5B4A"/>
    <w:rsid w:val="00FF5C0A"/>
    <w:rsid w:val="00FF5D69"/>
    <w:rsid w:val="00FF5DA8"/>
    <w:rsid w:val="00FF5DF9"/>
    <w:rsid w:val="00FF5E55"/>
    <w:rsid w:val="00FF5FA1"/>
    <w:rsid w:val="00FF5FDD"/>
    <w:rsid w:val="00FF5FF7"/>
    <w:rsid w:val="00FF60E1"/>
    <w:rsid w:val="00FF620A"/>
    <w:rsid w:val="00FF62A8"/>
    <w:rsid w:val="00FF62FC"/>
    <w:rsid w:val="00FF633A"/>
    <w:rsid w:val="00FF637A"/>
    <w:rsid w:val="00FF63D6"/>
    <w:rsid w:val="00FF65DB"/>
    <w:rsid w:val="00FF662D"/>
    <w:rsid w:val="00FF6751"/>
    <w:rsid w:val="00FF683F"/>
    <w:rsid w:val="00FF6971"/>
    <w:rsid w:val="00FF69B3"/>
    <w:rsid w:val="00FF69EC"/>
    <w:rsid w:val="00FF6C2A"/>
    <w:rsid w:val="00FF6C5C"/>
    <w:rsid w:val="00FF6D34"/>
    <w:rsid w:val="00FF6D72"/>
    <w:rsid w:val="00FF6E08"/>
    <w:rsid w:val="00FF7038"/>
    <w:rsid w:val="00FF7063"/>
    <w:rsid w:val="00FF71C3"/>
    <w:rsid w:val="00FF720C"/>
    <w:rsid w:val="00FF7365"/>
    <w:rsid w:val="00FF755A"/>
    <w:rsid w:val="00FF75AB"/>
    <w:rsid w:val="00FF773F"/>
    <w:rsid w:val="00FF787A"/>
    <w:rsid w:val="00FF7B2E"/>
    <w:rsid w:val="00FF7B76"/>
    <w:rsid w:val="00FF7C3E"/>
    <w:rsid w:val="00FF7C82"/>
    <w:rsid w:val="00FF7DA6"/>
    <w:rsid w:val="00FF7F07"/>
    <w:rsid w:val="00FF7FBE"/>
    <w:rsid w:val="00FF7FCF"/>
    <w:rsid w:val="0350C759"/>
    <w:rsid w:val="067C2BED"/>
    <w:rsid w:val="0E165B3B"/>
    <w:rsid w:val="1314F04A"/>
    <w:rsid w:val="17189FB2"/>
    <w:rsid w:val="186F1DDC"/>
    <w:rsid w:val="19381610"/>
    <w:rsid w:val="1C08A728"/>
    <w:rsid w:val="2113CC93"/>
    <w:rsid w:val="235B11DD"/>
    <w:rsid w:val="25C94FFC"/>
    <w:rsid w:val="266DF353"/>
    <w:rsid w:val="290E8EAD"/>
    <w:rsid w:val="2A4E062A"/>
    <w:rsid w:val="2A984DEB"/>
    <w:rsid w:val="3BC18D10"/>
    <w:rsid w:val="3D9189AA"/>
    <w:rsid w:val="3F9C3C27"/>
    <w:rsid w:val="46AE42DD"/>
    <w:rsid w:val="479AD369"/>
    <w:rsid w:val="4AE49C6C"/>
    <w:rsid w:val="4D64A65F"/>
    <w:rsid w:val="4D9566A4"/>
    <w:rsid w:val="55BD0482"/>
    <w:rsid w:val="597C7509"/>
    <w:rsid w:val="5C41132F"/>
    <w:rsid w:val="5F062808"/>
    <w:rsid w:val="5F2E27DA"/>
    <w:rsid w:val="5F9B120F"/>
    <w:rsid w:val="6101C592"/>
    <w:rsid w:val="65693A81"/>
    <w:rsid w:val="6C36BA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5E734"/>
  <w15:docId w15:val="{9FEA96CF-6C8F-4B63-A3CE-8A600D9A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A46"/>
    <w:pPr>
      <w:spacing w:before="240" w:after="240" w:line="240" w:lineRule="auto"/>
    </w:pPr>
    <w:rPr>
      <w:rFonts w:ascii="Calibri Light" w:eastAsia="Times New Roman" w:hAnsi="Calibri Light" w:cs="Times New Roman"/>
      <w:color w:val="000000" w:themeColor="text1"/>
      <w:szCs w:val="20"/>
      <w:lang w:eastAsia="en-AU"/>
    </w:rPr>
  </w:style>
  <w:style w:type="paragraph" w:styleId="Heading1">
    <w:name w:val="heading 1"/>
    <w:basedOn w:val="HeadingBase"/>
    <w:next w:val="Normal"/>
    <w:link w:val="Heading1Char"/>
    <w:qFormat/>
    <w:rsid w:val="00EB3386"/>
    <w:pPr>
      <w:spacing w:before="600" w:line="460" w:lineRule="exact"/>
      <w:outlineLvl w:val="0"/>
    </w:pPr>
    <w:rPr>
      <w:b/>
      <w:bCs w:val="0"/>
      <w:color w:val="3B455C" w:themeColor="accent1"/>
      <w:sz w:val="56"/>
    </w:rPr>
  </w:style>
  <w:style w:type="paragraph" w:styleId="Heading2">
    <w:name w:val="heading 2"/>
    <w:basedOn w:val="HeadingBase"/>
    <w:next w:val="Normal"/>
    <w:link w:val="Heading2Char"/>
    <w:qFormat/>
    <w:rsid w:val="00EB3386"/>
    <w:pPr>
      <w:spacing w:before="360" w:line="460" w:lineRule="exact"/>
      <w:outlineLvl w:val="1"/>
    </w:pPr>
    <w:rPr>
      <w:bCs w:val="0"/>
      <w:iCs/>
      <w:color w:val="616652" w:themeColor="accent2"/>
      <w:sz w:val="44"/>
      <w:szCs w:val="28"/>
    </w:rPr>
  </w:style>
  <w:style w:type="paragraph" w:styleId="Heading3">
    <w:name w:val="heading 3"/>
    <w:basedOn w:val="HeadingBase"/>
    <w:next w:val="Normal"/>
    <w:link w:val="Heading3Char"/>
    <w:qFormat/>
    <w:rsid w:val="00ED4986"/>
    <w:pPr>
      <w:spacing w:before="320" w:line="400" w:lineRule="exact"/>
      <w:outlineLvl w:val="2"/>
    </w:pPr>
    <w:rPr>
      <w:bCs w:val="0"/>
      <w:color w:val="3B455C" w:themeColor="accent1"/>
      <w:sz w:val="36"/>
      <w:szCs w:val="26"/>
    </w:rPr>
  </w:style>
  <w:style w:type="paragraph" w:styleId="Heading4">
    <w:name w:val="heading 4"/>
    <w:basedOn w:val="HeadingBase"/>
    <w:next w:val="Normal"/>
    <w:link w:val="Heading4Char"/>
    <w:qFormat/>
    <w:rsid w:val="00EB3386"/>
    <w:pPr>
      <w:spacing w:before="280" w:line="276" w:lineRule="auto"/>
      <w:outlineLvl w:val="3"/>
    </w:pPr>
    <w:rPr>
      <w:rFonts w:ascii="Calibri Light" w:hAnsi="Calibri Light"/>
      <w:b/>
      <w:bCs w:val="0"/>
      <w:sz w:val="28"/>
      <w:szCs w:val="26"/>
    </w:rPr>
  </w:style>
  <w:style w:type="paragraph" w:styleId="Heading5">
    <w:name w:val="heading 5"/>
    <w:basedOn w:val="HeadingBase"/>
    <w:next w:val="Normal"/>
    <w:link w:val="Heading5Char"/>
    <w:rsid w:val="00EB3386"/>
    <w:pPr>
      <w:spacing w:before="240" w:after="0" w:line="276" w:lineRule="auto"/>
      <w:outlineLvl w:val="4"/>
    </w:pPr>
    <w:rPr>
      <w:bCs w:val="0"/>
      <w:iCs/>
      <w:color w:val="3B455C" w:themeColor="accent1"/>
      <w:sz w:val="25"/>
    </w:rPr>
  </w:style>
  <w:style w:type="paragraph" w:styleId="Heading6">
    <w:name w:val="heading 6"/>
    <w:basedOn w:val="HeadingBase"/>
    <w:next w:val="Normal"/>
    <w:link w:val="Heading6Char"/>
    <w:rsid w:val="00EB3386"/>
    <w:pPr>
      <w:spacing w:before="240" w:after="0" w:line="276" w:lineRule="auto"/>
      <w:outlineLvl w:val="5"/>
    </w:pPr>
    <w:rPr>
      <w:rFonts w:ascii="Calibri Light" w:hAnsi="Calibri Light"/>
      <w:b/>
      <w:bCs w:val="0"/>
      <w:color w:val="616652" w:themeColor="accent2"/>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386"/>
    <w:rPr>
      <w:rFonts w:asciiTheme="majorHAnsi" w:eastAsia="Times New Roman" w:hAnsiTheme="majorHAnsi" w:cs="Arial"/>
      <w:b/>
      <w:color w:val="3B455C" w:themeColor="accent1"/>
      <w:kern w:val="32"/>
      <w:sz w:val="56"/>
      <w:szCs w:val="36"/>
      <w:lang w:eastAsia="en-AU"/>
    </w:rPr>
  </w:style>
  <w:style w:type="character" w:customStyle="1" w:styleId="Heading2Char">
    <w:name w:val="Heading 2 Char"/>
    <w:basedOn w:val="DefaultParagraphFont"/>
    <w:link w:val="Heading2"/>
    <w:rsid w:val="00EB3386"/>
    <w:rPr>
      <w:rFonts w:asciiTheme="majorHAnsi" w:eastAsia="Times New Roman" w:hAnsiTheme="majorHAnsi" w:cs="Arial"/>
      <w:iCs/>
      <w:color w:val="616652" w:themeColor="accent2"/>
      <w:kern w:val="32"/>
      <w:sz w:val="44"/>
      <w:szCs w:val="28"/>
      <w:lang w:eastAsia="en-AU"/>
    </w:rPr>
  </w:style>
  <w:style w:type="character" w:customStyle="1" w:styleId="Heading3Char">
    <w:name w:val="Heading 3 Char"/>
    <w:basedOn w:val="DefaultParagraphFont"/>
    <w:link w:val="Heading3"/>
    <w:rsid w:val="00ED4986"/>
    <w:rPr>
      <w:rFonts w:asciiTheme="majorHAnsi" w:eastAsia="Times New Roman" w:hAnsiTheme="majorHAnsi" w:cs="Arial"/>
      <w:color w:val="3B455C" w:themeColor="accent1"/>
      <w:kern w:val="32"/>
      <w:sz w:val="36"/>
      <w:szCs w:val="26"/>
      <w:lang w:eastAsia="en-AU"/>
    </w:rPr>
  </w:style>
  <w:style w:type="character" w:customStyle="1" w:styleId="Heading4Char">
    <w:name w:val="Heading 4 Char"/>
    <w:basedOn w:val="DefaultParagraphFont"/>
    <w:link w:val="Heading4"/>
    <w:rsid w:val="00EB3386"/>
    <w:rPr>
      <w:rFonts w:ascii="Calibri Light" w:eastAsia="Times New Roman" w:hAnsi="Calibri Light" w:cs="Arial"/>
      <w:b/>
      <w:color w:val="000000" w:themeColor="text1"/>
      <w:kern w:val="32"/>
      <w:sz w:val="28"/>
      <w:szCs w:val="26"/>
      <w:lang w:eastAsia="en-AU"/>
    </w:rPr>
  </w:style>
  <w:style w:type="character" w:customStyle="1" w:styleId="Heading5Char">
    <w:name w:val="Heading 5 Char"/>
    <w:basedOn w:val="DefaultParagraphFont"/>
    <w:link w:val="Heading5"/>
    <w:rsid w:val="00EB3386"/>
    <w:rPr>
      <w:rFonts w:asciiTheme="majorHAnsi" w:eastAsia="Times New Roman" w:hAnsiTheme="majorHAnsi" w:cs="Arial"/>
      <w:iCs/>
      <w:color w:val="3B455C" w:themeColor="accent1"/>
      <w:kern w:val="32"/>
      <w:sz w:val="25"/>
      <w:szCs w:val="36"/>
      <w:lang w:eastAsia="en-AU"/>
    </w:rPr>
  </w:style>
  <w:style w:type="character" w:customStyle="1" w:styleId="Heading6Char">
    <w:name w:val="Heading 6 Char"/>
    <w:basedOn w:val="DefaultParagraphFont"/>
    <w:link w:val="Heading6"/>
    <w:rsid w:val="00EB3386"/>
    <w:rPr>
      <w:rFonts w:ascii="Calibri Light" w:eastAsia="Times New Roman" w:hAnsi="Calibri Light" w:cs="Arial"/>
      <w:b/>
      <w:color w:val="616652" w:themeColor="accent2"/>
      <w:kern w:val="32"/>
      <w:sz w:val="23"/>
      <w:lang w:eastAsia="en-AU"/>
    </w:rPr>
  </w:style>
  <w:style w:type="paragraph" w:customStyle="1" w:styleId="ChartGraphic">
    <w:name w:val="Chart Graphic"/>
    <w:basedOn w:val="Normal"/>
    <w:next w:val="Normal"/>
    <w:rsid w:val="00EB3386"/>
    <w:pPr>
      <w:keepNext/>
      <w:spacing w:before="0" w:after="0"/>
      <w:jc w:val="center"/>
    </w:pPr>
    <w:rPr>
      <w:color w:val="3B455C" w:themeColor="accent1"/>
      <w:sz w:val="20"/>
    </w:rPr>
  </w:style>
  <w:style w:type="paragraph" w:customStyle="1" w:styleId="AlphaParagraph">
    <w:name w:val="Alpha Paragraph"/>
    <w:basedOn w:val="Normal"/>
    <w:qFormat/>
    <w:rsid w:val="00EB3386"/>
    <w:pPr>
      <w:numPr>
        <w:ilvl w:val="1"/>
        <w:numId w:val="7"/>
      </w:numPr>
      <w:spacing w:before="0"/>
    </w:pPr>
  </w:style>
  <w:style w:type="character" w:customStyle="1" w:styleId="DashChar">
    <w:name w:val="Dash Char"/>
    <w:basedOn w:val="DefaultParagraphFont"/>
    <w:link w:val="Dash"/>
    <w:locked/>
    <w:rsid w:val="00EB3386"/>
    <w:rPr>
      <w:rFonts w:eastAsia="Times New Roman" w:cs="Times New Roman"/>
      <w:color w:val="000000" w:themeColor="text1"/>
      <w:szCs w:val="20"/>
      <w:lang w:eastAsia="en-AU"/>
    </w:rPr>
  </w:style>
  <w:style w:type="character" w:customStyle="1" w:styleId="DoubleDotChar">
    <w:name w:val="Double Dot Char"/>
    <w:basedOn w:val="DefaultParagraphFont"/>
    <w:link w:val="DoubleDot"/>
    <w:locked/>
    <w:rsid w:val="00EB3386"/>
    <w:rPr>
      <w:rFonts w:eastAsia="Times New Roman" w:cs="Times New Roman"/>
      <w:color w:val="000000" w:themeColor="text1"/>
      <w:szCs w:val="20"/>
      <w:lang w:eastAsia="en-AU"/>
    </w:rPr>
  </w:style>
  <w:style w:type="character" w:customStyle="1" w:styleId="BulletChar">
    <w:name w:val="Bullet Char"/>
    <w:aliases w:val="Body Char,Bullet + line Char,Bullets Char,L Char,List Paragraph1 Char,List Paragraph11 Char,List Paragraph2 Char,Number Char,Recommendation Char,b + line Char,b + line Char Char,b Char,b Char Char,b1 Char,level 1 Char,List Paragraph Char"/>
    <w:basedOn w:val="DefaultParagraphFont"/>
    <w:link w:val="Bullet"/>
    <w:locked/>
    <w:rsid w:val="006C6F85"/>
    <w:rPr>
      <w:rFonts w:ascii="Calibri Light" w:eastAsia="Times New Roman" w:hAnsi="Calibri Light" w:cs="Times New Roman"/>
      <w:color w:val="000000" w:themeColor="text1"/>
      <w:szCs w:val="20"/>
      <w:lang w:eastAsia="en-AU"/>
    </w:rPr>
  </w:style>
  <w:style w:type="paragraph" w:customStyle="1" w:styleId="BoxHeading">
    <w:name w:val="Box Heading"/>
    <w:basedOn w:val="Normal"/>
    <w:next w:val="Normal"/>
    <w:rsid w:val="002F28C1"/>
    <w:pPr>
      <w:keepNext/>
      <w:spacing w:before="120" w:after="120"/>
    </w:pPr>
    <w:rPr>
      <w:b/>
      <w:sz w:val="26"/>
      <w:szCs w:val="26"/>
    </w:rPr>
  </w:style>
  <w:style w:type="paragraph" w:customStyle="1" w:styleId="BoxText">
    <w:name w:val="Box Text"/>
    <w:basedOn w:val="Normal"/>
    <w:link w:val="BoxTextChar"/>
    <w:rsid w:val="00EB3386"/>
    <w:pPr>
      <w:spacing w:before="120" w:after="120"/>
    </w:pPr>
    <w:rPr>
      <w:sz w:val="20"/>
    </w:rPr>
  </w:style>
  <w:style w:type="paragraph" w:customStyle="1" w:styleId="Bullet">
    <w:name w:val="Bullet"/>
    <w:aliases w:val="Body,Bullet + line,b,b + line,b1,level 1,BodyNum,Bullet Char1,Bullet Char1 Char Char Char,Bullet Char1 Char Char Char Char,Bullet Char1 Char Char Char Char Char,b1 Char Char Char,bulleted"/>
    <w:basedOn w:val="Normal"/>
    <w:link w:val="BulletChar"/>
    <w:qFormat/>
    <w:rsid w:val="006C6F85"/>
    <w:pPr>
      <w:numPr>
        <w:numId w:val="9"/>
      </w:numPr>
      <w:tabs>
        <w:tab w:val="clear" w:pos="520"/>
      </w:tabs>
      <w:spacing w:before="120" w:after="60"/>
    </w:pPr>
  </w:style>
  <w:style w:type="paragraph" w:customStyle="1" w:styleId="ChartandTableFootnoteAlpha">
    <w:name w:val="Chart and Table Footnote Alpha"/>
    <w:rsid w:val="006D10A1"/>
    <w:pPr>
      <w:numPr>
        <w:numId w:val="8"/>
      </w:numPr>
      <w:spacing w:before="40" w:after="40" w:line="240" w:lineRule="auto"/>
      <w:contextualSpacing/>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2719DD"/>
  </w:style>
  <w:style w:type="paragraph" w:customStyle="1" w:styleId="ChartorTableNote">
    <w:name w:val="Chart or Table Note"/>
    <w:next w:val="Normal"/>
    <w:rsid w:val="00FC6985"/>
    <w:pPr>
      <w:spacing w:before="60" w:after="40" w:line="240" w:lineRule="auto"/>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EB3386"/>
    <w:rPr>
      <w:bCs/>
    </w:rPr>
  </w:style>
  <w:style w:type="paragraph" w:customStyle="1" w:styleId="ReportDate">
    <w:name w:val="Report Date"/>
    <w:basedOn w:val="Normal"/>
    <w:link w:val="ReportDateChar"/>
    <w:rsid w:val="00EB3386"/>
    <w:pPr>
      <w:keepNext/>
      <w:spacing w:before="0" w:after="360"/>
    </w:pPr>
    <w:rPr>
      <w:color w:val="FFFFFF" w:themeColor="background1"/>
      <w:sz w:val="32"/>
    </w:rPr>
  </w:style>
  <w:style w:type="paragraph" w:customStyle="1" w:styleId="Dash">
    <w:name w:val="Dash"/>
    <w:basedOn w:val="Normal"/>
    <w:link w:val="DashChar"/>
    <w:qFormat/>
    <w:rsid w:val="00EB3386"/>
    <w:pPr>
      <w:numPr>
        <w:ilvl w:val="1"/>
        <w:numId w:val="9"/>
      </w:numPr>
      <w:tabs>
        <w:tab w:val="clear" w:pos="804"/>
      </w:tabs>
      <w:spacing w:before="120" w:after="120"/>
    </w:pPr>
    <w:rPr>
      <w:rFonts w:asciiTheme="minorHAnsi" w:hAnsiTheme="minorHAnsi"/>
    </w:rPr>
  </w:style>
  <w:style w:type="paragraph" w:customStyle="1" w:styleId="DoubleDot">
    <w:name w:val="Double Dot"/>
    <w:basedOn w:val="Normal"/>
    <w:link w:val="DoubleDotChar"/>
    <w:qFormat/>
    <w:rsid w:val="00EB3386"/>
    <w:pPr>
      <w:numPr>
        <w:ilvl w:val="2"/>
        <w:numId w:val="9"/>
      </w:numPr>
      <w:tabs>
        <w:tab w:val="clear" w:pos="1088"/>
      </w:tabs>
      <w:spacing w:before="120" w:after="120"/>
    </w:pPr>
    <w:rPr>
      <w:rFonts w:asciiTheme="minorHAnsi" w:hAnsiTheme="minorHAnsi"/>
    </w:rPr>
  </w:style>
  <w:style w:type="paragraph" w:customStyle="1" w:styleId="TableMainHeading">
    <w:name w:val="Table Main Heading"/>
    <w:basedOn w:val="Heading3"/>
    <w:next w:val="Normal"/>
    <w:rsid w:val="002719DD"/>
    <w:pPr>
      <w:spacing w:before="240" w:after="60" w:line="240" w:lineRule="auto"/>
      <w:outlineLvl w:val="3"/>
    </w:pPr>
    <w:rPr>
      <w:b/>
      <w:color w:val="auto"/>
      <w:sz w:val="26"/>
    </w:rPr>
  </w:style>
  <w:style w:type="paragraph" w:customStyle="1" w:styleId="FooterEven">
    <w:name w:val="Footer Even"/>
    <w:basedOn w:val="Footer"/>
    <w:rsid w:val="00EB3386"/>
    <w:pPr>
      <w:keepNext/>
      <w:tabs>
        <w:tab w:val="clear" w:pos="4513"/>
        <w:tab w:val="clear" w:pos="9026"/>
        <w:tab w:val="right" w:pos="9072"/>
      </w:tabs>
      <w:jc w:val="left"/>
    </w:pPr>
    <w:rPr>
      <w:noProof/>
      <w:color w:val="auto"/>
    </w:rPr>
  </w:style>
  <w:style w:type="paragraph" w:customStyle="1" w:styleId="FooterOdd">
    <w:name w:val="Footer Odd"/>
    <w:basedOn w:val="Footer"/>
    <w:rsid w:val="00EB3386"/>
    <w:pPr>
      <w:keepNext/>
      <w:tabs>
        <w:tab w:val="clear" w:pos="4513"/>
        <w:tab w:val="clear" w:pos="9026"/>
        <w:tab w:val="right" w:pos="10206"/>
      </w:tabs>
      <w:ind w:left="720" w:hanging="720"/>
      <w:jc w:val="right"/>
    </w:pPr>
    <w:rPr>
      <w:color w:val="auto"/>
    </w:rPr>
  </w:style>
  <w:style w:type="character" w:styleId="Hyperlink">
    <w:name w:val="Hyperlink"/>
    <w:basedOn w:val="DefaultParagraphFont"/>
    <w:uiPriority w:val="99"/>
    <w:rsid w:val="00EB3386"/>
    <w:rPr>
      <w:color w:val="3A6FAF"/>
      <w:u w:val="none"/>
    </w:rPr>
  </w:style>
  <w:style w:type="paragraph" w:customStyle="1" w:styleId="OutlineNumbered2">
    <w:name w:val="Outline Numbered 2"/>
    <w:basedOn w:val="Normal"/>
    <w:rsid w:val="00EB3386"/>
    <w:pPr>
      <w:numPr>
        <w:ilvl w:val="1"/>
        <w:numId w:val="5"/>
      </w:numPr>
      <w:spacing w:before="0"/>
    </w:pPr>
  </w:style>
  <w:style w:type="paragraph" w:customStyle="1" w:styleId="OutlineNumbered3">
    <w:name w:val="Outline Numbered 3"/>
    <w:basedOn w:val="Normal"/>
    <w:link w:val="OutlineNumbered3Char"/>
    <w:rsid w:val="00EB3386"/>
    <w:pPr>
      <w:numPr>
        <w:ilvl w:val="2"/>
        <w:numId w:val="5"/>
      </w:numPr>
      <w:spacing w:before="0"/>
    </w:pPr>
  </w:style>
  <w:style w:type="paragraph" w:customStyle="1" w:styleId="SingleParagraph">
    <w:name w:val="Single Paragraph"/>
    <w:basedOn w:val="Normal"/>
    <w:link w:val="SingleParagraphChar"/>
    <w:rsid w:val="00EB3386"/>
    <w:pPr>
      <w:spacing w:before="0" w:after="0"/>
    </w:pPr>
  </w:style>
  <w:style w:type="paragraph" w:customStyle="1" w:styleId="TableSecondHeading">
    <w:name w:val="Table Second Heading"/>
    <w:basedOn w:val="Normal"/>
    <w:next w:val="Normal"/>
    <w:rsid w:val="00EB3386"/>
    <w:pPr>
      <w:keepNext/>
      <w:spacing w:before="60" w:after="60"/>
    </w:pPr>
    <w:rPr>
      <w:b/>
      <w:color w:val="616652" w:themeColor="accent2"/>
      <w:sz w:val="23"/>
    </w:rPr>
  </w:style>
  <w:style w:type="paragraph" w:customStyle="1" w:styleId="TableColumnHeadingCentred">
    <w:name w:val="Table Column Heading Centred"/>
    <w:basedOn w:val="TableTextLeft"/>
    <w:rsid w:val="00EB3386"/>
    <w:pPr>
      <w:jc w:val="center"/>
    </w:pPr>
    <w:rPr>
      <w:b/>
      <w:sz w:val="20"/>
    </w:rPr>
  </w:style>
  <w:style w:type="paragraph" w:customStyle="1" w:styleId="TableColumnHeadingLeft">
    <w:name w:val="Table Column Heading Left"/>
    <w:basedOn w:val="TableTextLeft"/>
    <w:rsid w:val="00EB3386"/>
    <w:rPr>
      <w:b/>
      <w:sz w:val="20"/>
    </w:rPr>
  </w:style>
  <w:style w:type="paragraph" w:customStyle="1" w:styleId="TableColumnHeadingRight">
    <w:name w:val="Table Column Heading Right"/>
    <w:basedOn w:val="TableTextLeft"/>
    <w:rsid w:val="00EB3386"/>
    <w:pPr>
      <w:jc w:val="right"/>
    </w:pPr>
    <w:rPr>
      <w:b/>
      <w:sz w:val="20"/>
    </w:rPr>
  </w:style>
  <w:style w:type="table" w:styleId="TableGrid">
    <w:name w:val="Table Grid"/>
    <w:basedOn w:val="TableNormal"/>
    <w:rsid w:val="00EB3386"/>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3B455C" w:themeColor="accent1"/>
        <w:sz w:val="20"/>
      </w:rPr>
      <w:tblPr/>
      <w:tcPr>
        <w:shd w:val="clear" w:color="auto" w:fill="F2E3C7" w:themeFill="background2"/>
      </w:tcPr>
    </w:tblStylePr>
  </w:style>
  <w:style w:type="paragraph" w:customStyle="1" w:styleId="TableTextCentered">
    <w:name w:val="Table Text Centered"/>
    <w:basedOn w:val="TableTextRight"/>
    <w:rsid w:val="00EB3386"/>
    <w:pPr>
      <w:jc w:val="center"/>
    </w:pPr>
    <w:rPr>
      <w:color w:val="auto"/>
    </w:rPr>
  </w:style>
  <w:style w:type="paragraph" w:customStyle="1" w:styleId="TableTextLeft">
    <w:name w:val="Table Text Left"/>
    <w:basedOn w:val="TableTextRight"/>
    <w:rsid w:val="007B71A8"/>
    <w:pPr>
      <w:spacing w:after="80"/>
      <w:jc w:val="left"/>
    </w:pPr>
    <w:rPr>
      <w:color w:val="auto"/>
    </w:rPr>
  </w:style>
  <w:style w:type="paragraph" w:customStyle="1" w:styleId="TableTextRight">
    <w:name w:val="Table Text Right"/>
    <w:basedOn w:val="Normal"/>
    <w:rsid w:val="00EB3386"/>
    <w:pPr>
      <w:spacing w:before="40" w:after="40"/>
      <w:jc w:val="right"/>
    </w:pPr>
    <w:rPr>
      <w:sz w:val="18"/>
    </w:rPr>
  </w:style>
  <w:style w:type="paragraph" w:styleId="TOC1">
    <w:name w:val="toc 1"/>
    <w:basedOn w:val="Normal"/>
    <w:next w:val="Normal"/>
    <w:uiPriority w:val="39"/>
    <w:rsid w:val="00EB3386"/>
    <w:pPr>
      <w:keepNext/>
      <w:tabs>
        <w:tab w:val="right" w:leader="dot" w:pos="9072"/>
      </w:tabs>
      <w:spacing w:before="180" w:after="0"/>
      <w:ind w:right="-2"/>
    </w:pPr>
    <w:rPr>
      <w:b/>
      <w:noProof/>
      <w:sz w:val="24"/>
      <w:szCs w:val="22"/>
    </w:rPr>
  </w:style>
  <w:style w:type="paragraph" w:styleId="TOC2">
    <w:name w:val="toc 2"/>
    <w:basedOn w:val="Normal"/>
    <w:next w:val="Normal"/>
    <w:uiPriority w:val="39"/>
    <w:rsid w:val="00EB3386"/>
    <w:pPr>
      <w:keepNext/>
      <w:tabs>
        <w:tab w:val="right" w:leader="dot" w:pos="9072"/>
      </w:tabs>
      <w:spacing w:before="40" w:after="20"/>
      <w:ind w:right="-2"/>
    </w:pPr>
    <w:rPr>
      <w:noProof/>
      <w:color w:val="595959" w:themeColor="text2"/>
    </w:rPr>
  </w:style>
  <w:style w:type="paragraph" w:styleId="TOC3">
    <w:name w:val="toc 3"/>
    <w:basedOn w:val="Normal"/>
    <w:next w:val="Normal"/>
    <w:uiPriority w:val="39"/>
    <w:rsid w:val="00EB3386"/>
    <w:pPr>
      <w:tabs>
        <w:tab w:val="right" w:leader="dot" w:pos="9072"/>
      </w:tabs>
      <w:spacing w:before="20" w:after="0"/>
      <w:ind w:left="284" w:right="-2"/>
    </w:pPr>
    <w:rPr>
      <w:rFonts w:cs="Calibri"/>
      <w:noProof/>
    </w:rPr>
  </w:style>
  <w:style w:type="numbering" w:customStyle="1" w:styleId="OutlineList">
    <w:name w:val="OutlineList"/>
    <w:uiPriority w:val="99"/>
    <w:rsid w:val="00EB3386"/>
    <w:pPr>
      <w:numPr>
        <w:numId w:val="4"/>
      </w:numPr>
    </w:pPr>
  </w:style>
  <w:style w:type="numbering" w:customStyle="1" w:styleId="BulletedList">
    <w:name w:val="Bulleted List"/>
    <w:uiPriority w:val="99"/>
    <w:rsid w:val="00EB3386"/>
    <w:pPr>
      <w:numPr>
        <w:numId w:val="1"/>
      </w:numPr>
    </w:pPr>
  </w:style>
  <w:style w:type="numbering" w:customStyle="1" w:styleId="BoxBulletedList">
    <w:name w:val="Box Bulleted List"/>
    <w:uiPriority w:val="99"/>
    <w:rsid w:val="00EB3386"/>
    <w:pPr>
      <w:numPr>
        <w:numId w:val="2"/>
      </w:numPr>
    </w:pPr>
  </w:style>
  <w:style w:type="numbering" w:customStyle="1" w:styleId="OneLevelList">
    <w:name w:val="OneLevelList"/>
    <w:uiPriority w:val="99"/>
    <w:rsid w:val="00EB3386"/>
    <w:pPr>
      <w:numPr>
        <w:numId w:val="3"/>
      </w:numPr>
    </w:pPr>
  </w:style>
  <w:style w:type="numbering" w:customStyle="1" w:styleId="ChartandTableFootnoteAlphaList">
    <w:name w:val="ChartandTableFootnoteAlphaList"/>
    <w:uiPriority w:val="99"/>
    <w:rsid w:val="00EB3386"/>
    <w:pPr>
      <w:numPr>
        <w:numId w:val="8"/>
      </w:numPr>
    </w:pPr>
  </w:style>
  <w:style w:type="paragraph" w:customStyle="1" w:styleId="Heading1Numbered">
    <w:name w:val="Heading 1 Numbered"/>
    <w:basedOn w:val="Heading1"/>
    <w:next w:val="Normal"/>
    <w:rsid w:val="00ED4986"/>
    <w:pPr>
      <w:numPr>
        <w:numId w:val="6"/>
      </w:numPr>
      <w:spacing w:line="560" w:lineRule="exact"/>
    </w:pPr>
  </w:style>
  <w:style w:type="character" w:customStyle="1" w:styleId="SingleParagraphChar">
    <w:name w:val="Single Paragraph Char"/>
    <w:basedOn w:val="DefaultParagraphFont"/>
    <w:link w:val="SingleParagraph"/>
    <w:rsid w:val="00EB3386"/>
    <w:rPr>
      <w:rFonts w:ascii="Calibri Light" w:eastAsia="Times New Roman" w:hAnsi="Calibri Light" w:cs="Times New Roman"/>
      <w:color w:val="000000" w:themeColor="text1"/>
      <w:szCs w:val="20"/>
      <w:lang w:eastAsia="en-AU"/>
    </w:rPr>
  </w:style>
  <w:style w:type="paragraph" w:customStyle="1" w:styleId="Heading2Numbered">
    <w:name w:val="Heading 2 Numbered"/>
    <w:basedOn w:val="Heading2"/>
    <w:next w:val="Normal"/>
    <w:rsid w:val="00EB3386"/>
    <w:pPr>
      <w:numPr>
        <w:ilvl w:val="1"/>
        <w:numId w:val="6"/>
      </w:numPr>
    </w:pPr>
  </w:style>
  <w:style w:type="paragraph" w:customStyle="1" w:styleId="Heading3Numbered">
    <w:name w:val="Heading 3 Numbered"/>
    <w:basedOn w:val="Heading3"/>
    <w:rsid w:val="00EB3386"/>
    <w:pPr>
      <w:numPr>
        <w:ilvl w:val="2"/>
        <w:numId w:val="6"/>
      </w:numPr>
    </w:pPr>
  </w:style>
  <w:style w:type="paragraph" w:styleId="Title">
    <w:name w:val="Title"/>
    <w:basedOn w:val="Normal"/>
    <w:next w:val="Normal"/>
    <w:link w:val="TitleChar"/>
    <w:uiPriority w:val="10"/>
    <w:rsid w:val="00EB3386"/>
    <w:pPr>
      <w:spacing w:before="0" w:after="300"/>
      <w:contextualSpacing/>
    </w:pPr>
    <w:rPr>
      <w:rFonts w:asciiTheme="majorHAnsi" w:eastAsiaTheme="majorEastAsia" w:hAnsiTheme="majorHAnsi"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EB3386"/>
    <w:rPr>
      <w:rFonts w:asciiTheme="majorHAnsi" w:eastAsiaTheme="majorEastAsia" w:hAnsiTheme="majorHAnsi"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rsid w:val="00EB3386"/>
    <w:pPr>
      <w:numPr>
        <w:ilvl w:val="1"/>
      </w:numPr>
    </w:pPr>
    <w:rPr>
      <w:rFonts w:asciiTheme="majorHAnsi" w:eastAsiaTheme="majorEastAsia" w:hAnsiTheme="majorHAnsi" w:cstheme="majorBidi"/>
      <w:iCs/>
      <w:color w:val="BAD4E8" w:themeColor="accent5"/>
      <w:sz w:val="44"/>
      <w:szCs w:val="44"/>
    </w:rPr>
  </w:style>
  <w:style w:type="character" w:customStyle="1" w:styleId="SubtitleChar">
    <w:name w:val="Subtitle Char"/>
    <w:basedOn w:val="DefaultParagraphFont"/>
    <w:link w:val="Subtitle"/>
    <w:uiPriority w:val="11"/>
    <w:rsid w:val="00EB3386"/>
    <w:rPr>
      <w:rFonts w:asciiTheme="majorHAnsi" w:eastAsiaTheme="majorEastAsia" w:hAnsiTheme="majorHAnsi" w:cstheme="majorBidi"/>
      <w:iCs/>
      <w:color w:val="BAD4E8" w:themeColor="accent5"/>
      <w:sz w:val="44"/>
      <w:szCs w:val="44"/>
      <w:lang w:eastAsia="en-AU"/>
    </w:rPr>
  </w:style>
  <w:style w:type="character" w:styleId="SubtleEmphasis">
    <w:name w:val="Subtle Emphasis"/>
    <w:basedOn w:val="DefaultParagraphFont"/>
    <w:uiPriority w:val="19"/>
    <w:rsid w:val="00EB3386"/>
    <w:rPr>
      <w:i/>
      <w:iCs/>
      <w:color w:val="808080" w:themeColor="text1" w:themeTint="7F"/>
    </w:rPr>
  </w:style>
  <w:style w:type="paragraph" w:styleId="Footer">
    <w:name w:val="footer"/>
    <w:basedOn w:val="Normal"/>
    <w:link w:val="FooterChar"/>
    <w:unhideWhenUsed/>
    <w:rsid w:val="00EB3386"/>
    <w:pPr>
      <w:tabs>
        <w:tab w:val="center" w:pos="4513"/>
        <w:tab w:val="right" w:pos="9026"/>
      </w:tabs>
      <w:spacing w:before="0" w:after="0"/>
      <w:jc w:val="center"/>
    </w:pPr>
    <w:rPr>
      <w:sz w:val="20"/>
    </w:rPr>
  </w:style>
  <w:style w:type="character" w:customStyle="1" w:styleId="FooterChar">
    <w:name w:val="Footer Char"/>
    <w:basedOn w:val="DefaultParagraphFont"/>
    <w:link w:val="Footer"/>
    <w:rsid w:val="00EB3386"/>
    <w:rPr>
      <w:rFonts w:ascii="Calibri Light" w:eastAsia="Times New Roman" w:hAnsi="Calibri Light" w:cs="Times New Roman"/>
      <w:color w:val="000000" w:themeColor="text1"/>
      <w:sz w:val="20"/>
      <w:szCs w:val="20"/>
      <w:lang w:eastAsia="en-AU"/>
    </w:rPr>
  </w:style>
  <w:style w:type="paragraph" w:styleId="Header">
    <w:name w:val="header"/>
    <w:basedOn w:val="Normal"/>
    <w:link w:val="HeaderChar"/>
    <w:uiPriority w:val="99"/>
    <w:unhideWhenUsed/>
    <w:rsid w:val="00EB3386"/>
    <w:pPr>
      <w:keepNext/>
      <w:spacing w:before="0" w:after="0"/>
      <w:jc w:val="right"/>
    </w:pPr>
    <w:rPr>
      <w:color w:val="auto"/>
      <w:sz w:val="20"/>
    </w:rPr>
  </w:style>
  <w:style w:type="character" w:customStyle="1" w:styleId="HeaderChar">
    <w:name w:val="Header Char"/>
    <w:basedOn w:val="DefaultParagraphFont"/>
    <w:link w:val="Header"/>
    <w:uiPriority w:val="99"/>
    <w:rsid w:val="00EB3386"/>
    <w:rPr>
      <w:rFonts w:ascii="Calibri Light" w:eastAsia="Times New Roman" w:hAnsi="Calibri Light" w:cs="Times New Roman"/>
      <w:sz w:val="20"/>
      <w:szCs w:val="20"/>
      <w:lang w:eastAsia="en-AU"/>
    </w:rPr>
  </w:style>
  <w:style w:type="character" w:styleId="PlaceholderText">
    <w:name w:val="Placeholder Text"/>
    <w:basedOn w:val="DefaultParagraphFont"/>
    <w:uiPriority w:val="99"/>
    <w:semiHidden/>
    <w:rsid w:val="00EB3386"/>
    <w:rPr>
      <w:color w:val="808080"/>
    </w:rPr>
  </w:style>
  <w:style w:type="paragraph" w:customStyle="1" w:styleId="AppendixHeading">
    <w:name w:val="Appendix Heading"/>
    <w:basedOn w:val="Heading1"/>
    <w:next w:val="Normal"/>
    <w:rsid w:val="00EB3386"/>
  </w:style>
  <w:style w:type="paragraph" w:customStyle="1" w:styleId="HeadingBase">
    <w:name w:val="Heading Base"/>
    <w:rsid w:val="00EB3386"/>
    <w:pPr>
      <w:keepNext/>
      <w:spacing w:after="120" w:line="240" w:lineRule="auto"/>
    </w:pPr>
    <w:rPr>
      <w:rFonts w:asciiTheme="majorHAnsi" w:eastAsia="Times New Roman" w:hAnsiTheme="majorHAnsi" w:cs="Arial"/>
      <w:bCs/>
      <w:color w:val="000000" w:themeColor="text1"/>
      <w:kern w:val="32"/>
      <w:sz w:val="48"/>
      <w:szCs w:val="36"/>
      <w:lang w:eastAsia="en-AU"/>
    </w:rPr>
  </w:style>
  <w:style w:type="character" w:customStyle="1" w:styleId="ReportDateChar">
    <w:name w:val="Report Date Char"/>
    <w:basedOn w:val="DefaultParagraphFont"/>
    <w:link w:val="ReportDate"/>
    <w:rsid w:val="00EB3386"/>
    <w:rPr>
      <w:rFonts w:ascii="Calibri Light" w:eastAsia="Times New Roman" w:hAnsi="Calibri Light" w:cs="Times New Roman"/>
      <w:color w:val="FFFFFF" w:themeColor="background1"/>
      <w:sz w:val="32"/>
      <w:szCs w:val="20"/>
      <w:lang w:eastAsia="en-AU"/>
    </w:rPr>
  </w:style>
  <w:style w:type="paragraph" w:customStyle="1" w:styleId="NotesHeading">
    <w:name w:val="Notes Heading"/>
    <w:basedOn w:val="Normal"/>
    <w:rsid w:val="00EB3386"/>
    <w:pPr>
      <w:keepNext/>
      <w:spacing w:after="360"/>
      <w:jc w:val="center"/>
    </w:pPr>
    <w:rPr>
      <w:rFonts w:ascii="Century Gothic" w:hAnsi="Century Gothic"/>
      <w:smallCaps/>
      <w:color w:val="595959" w:themeColor="text2"/>
      <w:sz w:val="36"/>
      <w:szCs w:val="36"/>
    </w:rPr>
  </w:style>
  <w:style w:type="paragraph" w:styleId="ListParagraph">
    <w:name w:val="List Paragraph"/>
    <w:basedOn w:val="Normal"/>
    <w:uiPriority w:val="34"/>
    <w:rsid w:val="00EB3386"/>
    <w:pPr>
      <w:ind w:left="720"/>
      <w:contextualSpacing/>
    </w:pPr>
  </w:style>
  <w:style w:type="paragraph" w:customStyle="1" w:styleId="TableTextIndented">
    <w:name w:val="Table Text Indented"/>
    <w:basedOn w:val="TableTextLeft"/>
    <w:rsid w:val="00EB3386"/>
    <w:pPr>
      <w:ind w:left="284"/>
    </w:pPr>
  </w:style>
  <w:style w:type="paragraph" w:customStyle="1" w:styleId="TableHeadingContinued">
    <w:name w:val="Table Heading Continued"/>
    <w:basedOn w:val="TableMainHeading"/>
    <w:next w:val="TableGraphic"/>
    <w:rsid w:val="00EB3386"/>
  </w:style>
  <w:style w:type="paragraph" w:customStyle="1" w:styleId="TableGraphic">
    <w:name w:val="Table Graphic"/>
    <w:basedOn w:val="HeadingBase"/>
    <w:next w:val="Normal"/>
    <w:rsid w:val="00EB3386"/>
    <w:pPr>
      <w:spacing w:after="0"/>
    </w:pPr>
  </w:style>
  <w:style w:type="paragraph" w:customStyle="1" w:styleId="HeaderEven">
    <w:name w:val="Header Even"/>
    <w:basedOn w:val="Header"/>
    <w:qFormat/>
    <w:rsid w:val="00EB3386"/>
    <w:pPr>
      <w:jc w:val="left"/>
    </w:pPr>
  </w:style>
  <w:style w:type="paragraph" w:customStyle="1" w:styleId="HeaderOdd">
    <w:name w:val="Header Odd"/>
    <w:basedOn w:val="Header"/>
    <w:qFormat/>
    <w:rsid w:val="00EB3386"/>
  </w:style>
  <w:style w:type="paragraph" w:styleId="FootnoteText">
    <w:name w:val="footnote text"/>
    <w:basedOn w:val="Normal"/>
    <w:link w:val="FootnoteTextChar"/>
    <w:uiPriority w:val="99"/>
    <w:rsid w:val="00EB3386"/>
    <w:pPr>
      <w:spacing w:before="0" w:after="0"/>
      <w:ind w:left="397" w:hanging="397"/>
    </w:pPr>
    <w:rPr>
      <w:sz w:val="20"/>
    </w:rPr>
  </w:style>
  <w:style w:type="character" w:customStyle="1" w:styleId="FootnoteTextChar">
    <w:name w:val="Footnote Text Char"/>
    <w:basedOn w:val="DefaultParagraphFont"/>
    <w:link w:val="FootnoteText"/>
    <w:uiPriority w:val="99"/>
    <w:rsid w:val="00EB3386"/>
    <w:rPr>
      <w:rFonts w:ascii="Calibri Light" w:eastAsia="Times New Roman" w:hAnsi="Calibri Light" w:cs="Times New Roman"/>
      <w:color w:val="000000" w:themeColor="text1"/>
      <w:sz w:val="20"/>
      <w:szCs w:val="20"/>
      <w:lang w:eastAsia="en-AU"/>
    </w:rPr>
  </w:style>
  <w:style w:type="character" w:styleId="FootnoteReference">
    <w:name w:val="footnote reference"/>
    <w:basedOn w:val="DefaultParagraphFont"/>
    <w:uiPriority w:val="99"/>
    <w:rsid w:val="00EB3386"/>
    <w:rPr>
      <w:sz w:val="18"/>
    </w:rPr>
  </w:style>
  <w:style w:type="paragraph" w:styleId="BalloonText">
    <w:name w:val="Balloon Text"/>
    <w:basedOn w:val="Normal"/>
    <w:link w:val="BalloonTextChar"/>
    <w:uiPriority w:val="99"/>
    <w:semiHidden/>
    <w:unhideWhenUsed/>
    <w:rsid w:val="00EB338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86"/>
    <w:rPr>
      <w:rFonts w:ascii="Tahoma" w:eastAsia="Times New Roman" w:hAnsi="Tahoma" w:cs="Tahoma"/>
      <w:color w:val="000000" w:themeColor="text1"/>
      <w:sz w:val="16"/>
      <w:szCs w:val="16"/>
      <w:lang w:eastAsia="en-AU"/>
    </w:rPr>
  </w:style>
  <w:style w:type="character" w:customStyle="1" w:styleId="BoxTextChar">
    <w:name w:val="Box Text Char"/>
    <w:basedOn w:val="DefaultParagraphFont"/>
    <w:link w:val="BoxText"/>
    <w:locked/>
    <w:rsid w:val="00EB3386"/>
    <w:rPr>
      <w:rFonts w:ascii="Calibri Light" w:eastAsia="Times New Roman" w:hAnsi="Calibri Light" w:cs="Times New Roman"/>
      <w:color w:val="000000" w:themeColor="text1"/>
      <w:sz w:val="20"/>
      <w:szCs w:val="20"/>
      <w:lang w:eastAsia="en-AU"/>
    </w:rPr>
  </w:style>
  <w:style w:type="paragraph" w:customStyle="1" w:styleId="Boxbullet">
    <w:name w:val="Box bullet"/>
    <w:basedOn w:val="BoxText"/>
    <w:rsid w:val="00EB3386"/>
    <w:pPr>
      <w:numPr>
        <w:numId w:val="10"/>
      </w:numPr>
    </w:pPr>
    <w:rPr>
      <w:lang w:eastAsia="en-US"/>
    </w:rPr>
  </w:style>
  <w:style w:type="paragraph" w:customStyle="1" w:styleId="Boxdash">
    <w:name w:val="Box dash"/>
    <w:basedOn w:val="Boxbullet"/>
    <w:rsid w:val="00EB3386"/>
    <w:pPr>
      <w:numPr>
        <w:ilvl w:val="1"/>
      </w:numPr>
      <w:tabs>
        <w:tab w:val="num" w:pos="1040"/>
      </w:tabs>
      <w:spacing w:before="60" w:after="60" w:line="276" w:lineRule="auto"/>
    </w:pPr>
    <w:rPr>
      <w:rFonts w:eastAsiaTheme="minorHAnsi"/>
      <w:color w:val="0D0D0D" w:themeColor="text1" w:themeTint="F2"/>
    </w:rPr>
  </w:style>
  <w:style w:type="paragraph" w:customStyle="1" w:styleId="Boxdoubledot">
    <w:name w:val="Box double dot"/>
    <w:basedOn w:val="Boxdash"/>
    <w:rsid w:val="00EB3386"/>
    <w:pPr>
      <w:numPr>
        <w:ilvl w:val="2"/>
      </w:numPr>
      <w:tabs>
        <w:tab w:val="left" w:pos="567"/>
        <w:tab w:val="num" w:pos="1560"/>
      </w:tabs>
    </w:pPr>
  </w:style>
  <w:style w:type="paragraph" w:customStyle="1" w:styleId="Instructions">
    <w:name w:val="Instructions"/>
    <w:basedOn w:val="Normal"/>
    <w:uiPriority w:val="1"/>
    <w:qFormat/>
    <w:rsid w:val="00EB3386"/>
    <w:pPr>
      <w:shd w:val="clear" w:color="auto" w:fill="FFFF00"/>
      <w:ind w:left="170" w:hanging="170"/>
    </w:pPr>
    <w:rPr>
      <w:sz w:val="20"/>
      <w:szCs w:val="24"/>
    </w:rPr>
  </w:style>
  <w:style w:type="character" w:styleId="CommentReference">
    <w:name w:val="annotation reference"/>
    <w:basedOn w:val="DefaultParagraphFont"/>
    <w:uiPriority w:val="99"/>
    <w:semiHidden/>
    <w:unhideWhenUsed/>
    <w:rsid w:val="00EB3386"/>
    <w:rPr>
      <w:sz w:val="16"/>
      <w:szCs w:val="16"/>
    </w:rPr>
  </w:style>
  <w:style w:type="paragraph" w:styleId="CommentText">
    <w:name w:val="annotation text"/>
    <w:basedOn w:val="Normal"/>
    <w:link w:val="CommentTextChar"/>
    <w:uiPriority w:val="99"/>
    <w:unhideWhenUsed/>
    <w:rsid w:val="00EB3386"/>
    <w:rPr>
      <w:rFonts w:ascii="Calibri" w:hAnsi="Calibri"/>
      <w:sz w:val="20"/>
    </w:rPr>
  </w:style>
  <w:style w:type="character" w:customStyle="1" w:styleId="CommentTextChar">
    <w:name w:val="Comment Text Char"/>
    <w:basedOn w:val="DefaultParagraphFont"/>
    <w:link w:val="CommentText"/>
    <w:uiPriority w:val="99"/>
    <w:rsid w:val="00EB3386"/>
    <w:rPr>
      <w:rFonts w:ascii="Calibri" w:eastAsia="Times New Roman" w:hAnsi="Calibri" w:cs="Times New Roman"/>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EB3386"/>
    <w:rPr>
      <w:b/>
      <w:bCs/>
    </w:rPr>
  </w:style>
  <w:style w:type="character" w:customStyle="1" w:styleId="CommentSubjectChar">
    <w:name w:val="Comment Subject Char"/>
    <w:basedOn w:val="CommentTextChar"/>
    <w:link w:val="CommentSubject"/>
    <w:uiPriority w:val="99"/>
    <w:semiHidden/>
    <w:rsid w:val="00EB3386"/>
    <w:rPr>
      <w:rFonts w:ascii="Calibri" w:eastAsia="Times New Roman" w:hAnsi="Calibri" w:cs="Times New Roman"/>
      <w:b/>
      <w:bCs/>
      <w:color w:val="000000" w:themeColor="text1"/>
      <w:sz w:val="20"/>
      <w:szCs w:val="20"/>
      <w:lang w:eastAsia="en-AU"/>
    </w:rPr>
  </w:style>
  <w:style w:type="character" w:customStyle="1" w:styleId="ui-provider">
    <w:name w:val="ui-provider"/>
    <w:basedOn w:val="DefaultParagraphFont"/>
    <w:rsid w:val="009A4DA0"/>
  </w:style>
  <w:style w:type="character" w:styleId="Mention">
    <w:name w:val="Mention"/>
    <w:basedOn w:val="DefaultParagraphFont"/>
    <w:uiPriority w:val="99"/>
    <w:unhideWhenUsed/>
    <w:rsid w:val="009A4DA0"/>
    <w:rPr>
      <w:color w:val="2B579A"/>
      <w:shd w:val="clear" w:color="auto" w:fill="E1DFDD"/>
    </w:rPr>
  </w:style>
  <w:style w:type="table" w:customStyle="1" w:styleId="TableGrid1">
    <w:name w:val="Table Grid1"/>
    <w:basedOn w:val="TableNormal"/>
    <w:next w:val="TableGrid"/>
    <w:uiPriority w:val="39"/>
    <w:rsid w:val="009A4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4DA0"/>
    <w:rPr>
      <w:b/>
      <w:bCs/>
    </w:rPr>
  </w:style>
  <w:style w:type="paragraph" w:styleId="EndnoteText">
    <w:name w:val="endnote text"/>
    <w:basedOn w:val="Normal"/>
    <w:link w:val="EndnoteTextChar"/>
    <w:uiPriority w:val="99"/>
    <w:semiHidden/>
    <w:unhideWhenUsed/>
    <w:rsid w:val="009A4DA0"/>
    <w:pPr>
      <w:spacing w:before="0" w:after="0"/>
    </w:pPr>
    <w:rPr>
      <w:rFonts w:eastAsiaTheme="minorHAnsi" w:cstheme="minorBidi"/>
      <w:color w:val="auto"/>
      <w:sz w:val="20"/>
      <w:lang w:eastAsia="en-US"/>
    </w:rPr>
  </w:style>
  <w:style w:type="character" w:customStyle="1" w:styleId="EndnoteTextChar">
    <w:name w:val="Endnote Text Char"/>
    <w:basedOn w:val="DefaultParagraphFont"/>
    <w:link w:val="EndnoteText"/>
    <w:uiPriority w:val="99"/>
    <w:semiHidden/>
    <w:rsid w:val="009A4DA0"/>
    <w:rPr>
      <w:sz w:val="20"/>
      <w:szCs w:val="20"/>
    </w:rPr>
  </w:style>
  <w:style w:type="character" w:styleId="EndnoteReference">
    <w:name w:val="endnote reference"/>
    <w:basedOn w:val="DefaultParagraphFont"/>
    <w:uiPriority w:val="99"/>
    <w:semiHidden/>
    <w:unhideWhenUsed/>
    <w:rsid w:val="009A4DA0"/>
    <w:rPr>
      <w:vertAlign w:val="superscript"/>
    </w:rPr>
  </w:style>
  <w:style w:type="paragraph" w:styleId="Revision">
    <w:name w:val="Revision"/>
    <w:hidden/>
    <w:uiPriority w:val="99"/>
    <w:semiHidden/>
    <w:rsid w:val="009A4DA0"/>
    <w:pPr>
      <w:spacing w:after="0" w:line="240" w:lineRule="auto"/>
    </w:pPr>
  </w:style>
  <w:style w:type="paragraph" w:styleId="NormalWeb">
    <w:name w:val="Normal (Web)"/>
    <w:basedOn w:val="Normal"/>
    <w:uiPriority w:val="99"/>
    <w:unhideWhenUsed/>
    <w:rsid w:val="009A4DA0"/>
    <w:pPr>
      <w:spacing w:before="100" w:beforeAutospacing="1" w:after="100" w:afterAutospacing="1"/>
    </w:pPr>
    <w:rPr>
      <w:rFonts w:ascii="Wingdings" w:eastAsia="Wingdings" w:hAnsi="Wingdings" w:cs="Wingdings"/>
      <w:color w:val="auto"/>
      <w:sz w:val="24"/>
      <w:szCs w:val="24"/>
    </w:rPr>
  </w:style>
  <w:style w:type="paragraph" w:customStyle="1" w:styleId="BulletA">
    <w:name w:val="Bullet A"/>
    <w:rsid w:val="009A4DA0"/>
    <w:pPr>
      <w:pBdr>
        <w:top w:val="nil"/>
        <w:left w:val="nil"/>
        <w:bottom w:val="nil"/>
        <w:right w:val="nil"/>
        <w:between w:val="nil"/>
        <w:bar w:val="nil"/>
      </w:pBdr>
      <w:tabs>
        <w:tab w:val="left" w:pos="520"/>
      </w:tabs>
    </w:pPr>
    <w:rPr>
      <w:rFonts w:ascii="Arial Unicode MS" w:eastAsia="Century Gothic" w:hAnsi="Arial Unicode MS" w:cs="Century Gothic"/>
      <w:color w:val="000000"/>
      <w:u w:color="000000"/>
      <w:bdr w:val="nil"/>
      <w:lang w:val="en-US" w:eastAsia="en-AU"/>
    </w:rPr>
  </w:style>
  <w:style w:type="character" w:customStyle="1" w:styleId="superscript">
    <w:name w:val="superscript"/>
    <w:basedOn w:val="DefaultParagraphFont"/>
    <w:rsid w:val="009A4DA0"/>
  </w:style>
  <w:style w:type="character" w:styleId="Emphasis">
    <w:name w:val="Emphasis"/>
    <w:basedOn w:val="DefaultParagraphFont"/>
    <w:uiPriority w:val="20"/>
    <w:qFormat/>
    <w:rsid w:val="009A4DA0"/>
    <w:rPr>
      <w:i/>
      <w:iCs/>
    </w:rPr>
  </w:style>
  <w:style w:type="character" w:customStyle="1" w:styleId="OutlineNumbered3Char">
    <w:name w:val="Outline Numbered 3 Char"/>
    <w:basedOn w:val="DefaultParagraphFont"/>
    <w:link w:val="OutlineNumbered3"/>
    <w:rsid w:val="009A4DA0"/>
    <w:rPr>
      <w:rFonts w:ascii="Calibri Light" w:eastAsia="Times New Roman" w:hAnsi="Calibri Light" w:cs="Times New Roman"/>
      <w:color w:val="000000" w:themeColor="text1"/>
      <w:szCs w:val="20"/>
      <w:lang w:eastAsia="en-AU"/>
    </w:rPr>
  </w:style>
  <w:style w:type="character" w:styleId="FollowedHyperlink">
    <w:name w:val="FollowedHyperlink"/>
    <w:basedOn w:val="DefaultParagraphFont"/>
    <w:uiPriority w:val="99"/>
    <w:semiHidden/>
    <w:unhideWhenUsed/>
    <w:rsid w:val="009A4DA0"/>
    <w:rPr>
      <w:color w:val="844D9E" w:themeColor="followedHyperlink"/>
      <w:u w:val="single"/>
    </w:rPr>
  </w:style>
  <w:style w:type="character" w:styleId="UnresolvedMention">
    <w:name w:val="Unresolved Mention"/>
    <w:basedOn w:val="DefaultParagraphFont"/>
    <w:uiPriority w:val="99"/>
    <w:unhideWhenUsed/>
    <w:rsid w:val="009A4DA0"/>
    <w:rPr>
      <w:color w:val="605E5C"/>
      <w:shd w:val="clear" w:color="auto" w:fill="E1DFDD"/>
    </w:rPr>
  </w:style>
  <w:style w:type="paragraph" w:customStyle="1" w:styleId="SecurityClassificationHeader">
    <w:name w:val="Security Classification Header"/>
    <w:link w:val="SecurityClassificationHeaderChar"/>
    <w:rsid w:val="009A4DA0"/>
    <w:pPr>
      <w:spacing w:before="360" w:after="60"/>
      <w:jc w:val="center"/>
    </w:pPr>
    <w:rPr>
      <w:rFonts w:eastAsia="Times New Roman" w:cs="Times New Roman"/>
      <w:b/>
      <w:color w:val="FF0000"/>
      <w:sz w:val="24"/>
      <w:szCs w:val="20"/>
      <w:lang w:eastAsia="en-AU"/>
    </w:rPr>
  </w:style>
  <w:style w:type="character" w:customStyle="1" w:styleId="SecurityClassificationHeaderChar">
    <w:name w:val="Security Classification Header Char"/>
    <w:basedOn w:val="HeaderChar"/>
    <w:link w:val="SecurityClassificationHeader"/>
    <w:rsid w:val="009A4DA0"/>
    <w:rPr>
      <w:rFonts w:ascii="Calibri Light" w:eastAsia="Times New Roman" w:hAnsi="Calibri Light" w:cs="Times New Roman"/>
      <w:b/>
      <w:color w:val="FF0000"/>
      <w:sz w:val="24"/>
      <w:szCs w:val="20"/>
      <w:lang w:eastAsia="en-AU"/>
    </w:rPr>
  </w:style>
  <w:style w:type="paragraph" w:customStyle="1" w:styleId="SecurityClassificationFooter">
    <w:name w:val="Security Classification Footer"/>
    <w:link w:val="SecurityClassificationFooterChar"/>
    <w:rsid w:val="009A4DA0"/>
    <w:pPr>
      <w:spacing w:after="60"/>
      <w:jc w:val="center"/>
    </w:pPr>
    <w:rPr>
      <w:rFonts w:eastAsia="Times New Roman" w:cs="Times New Roman"/>
      <w:b/>
      <w:color w:val="FF0000"/>
      <w:sz w:val="24"/>
      <w:szCs w:val="20"/>
      <w:lang w:eastAsia="en-AU"/>
    </w:rPr>
  </w:style>
  <w:style w:type="character" w:customStyle="1" w:styleId="SecurityClassificationFooterChar">
    <w:name w:val="Security Classification Footer Char"/>
    <w:basedOn w:val="HeaderChar"/>
    <w:link w:val="SecurityClassificationFooter"/>
    <w:rsid w:val="009A4DA0"/>
    <w:rPr>
      <w:rFonts w:ascii="Calibri Light" w:eastAsia="Times New Roman" w:hAnsi="Calibri Light" w:cs="Times New Roman"/>
      <w:b/>
      <w:color w:val="FF0000"/>
      <w:sz w:val="24"/>
      <w:szCs w:val="20"/>
      <w:lang w:eastAsia="en-AU"/>
    </w:rPr>
  </w:style>
  <w:style w:type="paragraph" w:customStyle="1" w:styleId="DLMSecurityHeader">
    <w:name w:val="DLM Security Header"/>
    <w:link w:val="DLMSecurityHeaderChar"/>
    <w:rsid w:val="009A4DA0"/>
    <w:pPr>
      <w:spacing w:before="360" w:after="60"/>
      <w:jc w:val="center"/>
    </w:pPr>
    <w:rPr>
      <w:rFonts w:eastAsia="Times New Roman" w:cs="Times New Roman"/>
      <w:b/>
      <w:color w:val="FF0000"/>
      <w:sz w:val="24"/>
      <w:szCs w:val="20"/>
      <w:lang w:eastAsia="en-AU"/>
    </w:rPr>
  </w:style>
  <w:style w:type="character" w:customStyle="1" w:styleId="DLMSecurityHeaderChar">
    <w:name w:val="DLM Security Header Char"/>
    <w:basedOn w:val="HeaderChar"/>
    <w:link w:val="DLMSecurityHeader"/>
    <w:rsid w:val="009A4DA0"/>
    <w:rPr>
      <w:rFonts w:ascii="Calibri Light" w:eastAsia="Times New Roman" w:hAnsi="Calibri Light" w:cs="Times New Roman"/>
      <w:b/>
      <w:color w:val="FF0000"/>
      <w:sz w:val="24"/>
      <w:szCs w:val="20"/>
      <w:lang w:eastAsia="en-AU"/>
    </w:rPr>
  </w:style>
  <w:style w:type="paragraph" w:customStyle="1" w:styleId="DLMSecurityFooter">
    <w:name w:val="DLM Security Footer"/>
    <w:link w:val="DLMSecurityFooterChar"/>
    <w:rsid w:val="009A4DA0"/>
    <w:pPr>
      <w:spacing w:before="360" w:after="60"/>
      <w:jc w:val="center"/>
    </w:pPr>
    <w:rPr>
      <w:rFonts w:eastAsia="Times New Roman" w:cs="Times New Roman"/>
      <w:b/>
      <w:color w:val="FF0000"/>
      <w:sz w:val="24"/>
      <w:szCs w:val="20"/>
      <w:lang w:eastAsia="en-AU"/>
    </w:rPr>
  </w:style>
  <w:style w:type="character" w:customStyle="1" w:styleId="DLMSecurityFooterChar">
    <w:name w:val="DLM Security Footer Char"/>
    <w:basedOn w:val="HeaderChar"/>
    <w:link w:val="DLMSecurityFooter"/>
    <w:rsid w:val="009A4DA0"/>
    <w:rPr>
      <w:rFonts w:ascii="Calibri Light" w:eastAsia="Times New Roman" w:hAnsi="Calibri Light" w:cs="Times New Roman"/>
      <w:b/>
      <w:color w:val="FF0000"/>
      <w:sz w:val="24"/>
      <w:szCs w:val="20"/>
      <w:lang w:eastAsia="en-AU"/>
    </w:rPr>
  </w:style>
  <w:style w:type="character" w:styleId="SmartLink">
    <w:name w:val="Smart Link"/>
    <w:basedOn w:val="DefaultParagraphFont"/>
    <w:uiPriority w:val="99"/>
    <w:semiHidden/>
    <w:unhideWhenUsed/>
    <w:rsid w:val="009A4DA0"/>
    <w:rPr>
      <w:color w:val="0000FF"/>
      <w:u w:val="single"/>
      <w:shd w:val="clear" w:color="auto" w:fill="F3F2F1"/>
    </w:rPr>
  </w:style>
  <w:style w:type="paragraph" w:customStyle="1" w:styleId="BoxHeading2">
    <w:name w:val="Box Heading 2"/>
    <w:basedOn w:val="Normal"/>
    <w:next w:val="BoxText"/>
    <w:qFormat/>
    <w:rsid w:val="00D018FC"/>
    <w:pPr>
      <w:framePr w:hSpace="181" w:wrap="around" w:vAnchor="text" w:hAnchor="text" w:y="1"/>
      <w:spacing w:before="120" w:after="120"/>
      <w:suppressOverlap/>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307">
      <w:bodyDiv w:val="1"/>
      <w:marLeft w:val="0"/>
      <w:marRight w:val="0"/>
      <w:marTop w:val="0"/>
      <w:marBottom w:val="0"/>
      <w:divBdr>
        <w:top w:val="none" w:sz="0" w:space="0" w:color="auto"/>
        <w:left w:val="none" w:sz="0" w:space="0" w:color="auto"/>
        <w:bottom w:val="none" w:sz="0" w:space="0" w:color="auto"/>
        <w:right w:val="none" w:sz="0" w:space="0" w:color="auto"/>
      </w:divBdr>
    </w:div>
    <w:div w:id="178273449">
      <w:bodyDiv w:val="1"/>
      <w:marLeft w:val="0"/>
      <w:marRight w:val="0"/>
      <w:marTop w:val="0"/>
      <w:marBottom w:val="0"/>
      <w:divBdr>
        <w:top w:val="none" w:sz="0" w:space="0" w:color="auto"/>
        <w:left w:val="none" w:sz="0" w:space="0" w:color="auto"/>
        <w:bottom w:val="none" w:sz="0" w:space="0" w:color="auto"/>
        <w:right w:val="none" w:sz="0" w:space="0" w:color="auto"/>
      </w:divBdr>
    </w:div>
    <w:div w:id="185365755">
      <w:bodyDiv w:val="1"/>
      <w:marLeft w:val="0"/>
      <w:marRight w:val="0"/>
      <w:marTop w:val="0"/>
      <w:marBottom w:val="0"/>
      <w:divBdr>
        <w:top w:val="none" w:sz="0" w:space="0" w:color="auto"/>
        <w:left w:val="none" w:sz="0" w:space="0" w:color="auto"/>
        <w:bottom w:val="none" w:sz="0" w:space="0" w:color="auto"/>
        <w:right w:val="none" w:sz="0" w:space="0" w:color="auto"/>
      </w:divBdr>
    </w:div>
    <w:div w:id="188225727">
      <w:bodyDiv w:val="1"/>
      <w:marLeft w:val="0"/>
      <w:marRight w:val="0"/>
      <w:marTop w:val="0"/>
      <w:marBottom w:val="0"/>
      <w:divBdr>
        <w:top w:val="none" w:sz="0" w:space="0" w:color="auto"/>
        <w:left w:val="none" w:sz="0" w:space="0" w:color="auto"/>
        <w:bottom w:val="none" w:sz="0" w:space="0" w:color="auto"/>
        <w:right w:val="none" w:sz="0" w:space="0" w:color="auto"/>
      </w:divBdr>
    </w:div>
    <w:div w:id="266818581">
      <w:bodyDiv w:val="1"/>
      <w:marLeft w:val="0"/>
      <w:marRight w:val="0"/>
      <w:marTop w:val="0"/>
      <w:marBottom w:val="0"/>
      <w:divBdr>
        <w:top w:val="none" w:sz="0" w:space="0" w:color="auto"/>
        <w:left w:val="none" w:sz="0" w:space="0" w:color="auto"/>
        <w:bottom w:val="none" w:sz="0" w:space="0" w:color="auto"/>
        <w:right w:val="none" w:sz="0" w:space="0" w:color="auto"/>
      </w:divBdr>
    </w:div>
    <w:div w:id="394284402">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742147031">
      <w:bodyDiv w:val="1"/>
      <w:marLeft w:val="0"/>
      <w:marRight w:val="0"/>
      <w:marTop w:val="0"/>
      <w:marBottom w:val="0"/>
      <w:divBdr>
        <w:top w:val="none" w:sz="0" w:space="0" w:color="auto"/>
        <w:left w:val="none" w:sz="0" w:space="0" w:color="auto"/>
        <w:bottom w:val="none" w:sz="0" w:space="0" w:color="auto"/>
        <w:right w:val="none" w:sz="0" w:space="0" w:color="auto"/>
      </w:divBdr>
    </w:div>
    <w:div w:id="781608040">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79442205">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1153908245">
      <w:bodyDiv w:val="1"/>
      <w:marLeft w:val="0"/>
      <w:marRight w:val="0"/>
      <w:marTop w:val="0"/>
      <w:marBottom w:val="0"/>
      <w:divBdr>
        <w:top w:val="none" w:sz="0" w:space="0" w:color="auto"/>
        <w:left w:val="none" w:sz="0" w:space="0" w:color="auto"/>
        <w:bottom w:val="none" w:sz="0" w:space="0" w:color="auto"/>
        <w:right w:val="none" w:sz="0" w:space="0" w:color="auto"/>
      </w:divBdr>
    </w:div>
    <w:div w:id="1283341437">
      <w:bodyDiv w:val="1"/>
      <w:marLeft w:val="0"/>
      <w:marRight w:val="0"/>
      <w:marTop w:val="0"/>
      <w:marBottom w:val="0"/>
      <w:divBdr>
        <w:top w:val="none" w:sz="0" w:space="0" w:color="auto"/>
        <w:left w:val="none" w:sz="0" w:space="0" w:color="auto"/>
        <w:bottom w:val="none" w:sz="0" w:space="0" w:color="auto"/>
        <w:right w:val="none" w:sz="0" w:space="0" w:color="auto"/>
      </w:divBdr>
    </w:div>
    <w:div w:id="1350520885">
      <w:bodyDiv w:val="1"/>
      <w:marLeft w:val="0"/>
      <w:marRight w:val="0"/>
      <w:marTop w:val="0"/>
      <w:marBottom w:val="0"/>
      <w:divBdr>
        <w:top w:val="none" w:sz="0" w:space="0" w:color="auto"/>
        <w:left w:val="none" w:sz="0" w:space="0" w:color="auto"/>
        <w:bottom w:val="none" w:sz="0" w:space="0" w:color="auto"/>
        <w:right w:val="none" w:sz="0" w:space="0" w:color="auto"/>
      </w:divBdr>
    </w:div>
    <w:div w:id="1376275097">
      <w:bodyDiv w:val="1"/>
      <w:marLeft w:val="0"/>
      <w:marRight w:val="0"/>
      <w:marTop w:val="0"/>
      <w:marBottom w:val="0"/>
      <w:divBdr>
        <w:top w:val="none" w:sz="0" w:space="0" w:color="auto"/>
        <w:left w:val="none" w:sz="0" w:space="0" w:color="auto"/>
        <w:bottom w:val="none" w:sz="0" w:space="0" w:color="auto"/>
        <w:right w:val="none" w:sz="0" w:space="0" w:color="auto"/>
      </w:divBdr>
    </w:div>
    <w:div w:id="1405491417">
      <w:bodyDiv w:val="1"/>
      <w:marLeft w:val="0"/>
      <w:marRight w:val="0"/>
      <w:marTop w:val="0"/>
      <w:marBottom w:val="0"/>
      <w:divBdr>
        <w:top w:val="none" w:sz="0" w:space="0" w:color="auto"/>
        <w:left w:val="none" w:sz="0" w:space="0" w:color="auto"/>
        <w:bottom w:val="none" w:sz="0" w:space="0" w:color="auto"/>
        <w:right w:val="none" w:sz="0" w:space="0" w:color="auto"/>
      </w:divBdr>
    </w:div>
    <w:div w:id="1438259607">
      <w:bodyDiv w:val="1"/>
      <w:marLeft w:val="0"/>
      <w:marRight w:val="0"/>
      <w:marTop w:val="0"/>
      <w:marBottom w:val="0"/>
      <w:divBdr>
        <w:top w:val="none" w:sz="0" w:space="0" w:color="auto"/>
        <w:left w:val="none" w:sz="0" w:space="0" w:color="auto"/>
        <w:bottom w:val="none" w:sz="0" w:space="0" w:color="auto"/>
        <w:right w:val="none" w:sz="0" w:space="0" w:color="auto"/>
      </w:divBdr>
    </w:div>
    <w:div w:id="1564102412">
      <w:bodyDiv w:val="1"/>
      <w:marLeft w:val="0"/>
      <w:marRight w:val="0"/>
      <w:marTop w:val="0"/>
      <w:marBottom w:val="0"/>
      <w:divBdr>
        <w:top w:val="none" w:sz="0" w:space="0" w:color="auto"/>
        <w:left w:val="none" w:sz="0" w:space="0" w:color="auto"/>
        <w:bottom w:val="none" w:sz="0" w:space="0" w:color="auto"/>
        <w:right w:val="none" w:sz="0" w:space="0" w:color="auto"/>
      </w:divBdr>
    </w:div>
    <w:div w:id="1583679997">
      <w:bodyDiv w:val="1"/>
      <w:marLeft w:val="0"/>
      <w:marRight w:val="0"/>
      <w:marTop w:val="0"/>
      <w:marBottom w:val="0"/>
      <w:divBdr>
        <w:top w:val="none" w:sz="0" w:space="0" w:color="auto"/>
        <w:left w:val="none" w:sz="0" w:space="0" w:color="auto"/>
        <w:bottom w:val="none" w:sz="0" w:space="0" w:color="auto"/>
        <w:right w:val="none" w:sz="0" w:space="0" w:color="auto"/>
      </w:divBdr>
    </w:div>
    <w:div w:id="1945376145">
      <w:bodyDiv w:val="1"/>
      <w:marLeft w:val="0"/>
      <w:marRight w:val="0"/>
      <w:marTop w:val="0"/>
      <w:marBottom w:val="0"/>
      <w:divBdr>
        <w:top w:val="none" w:sz="0" w:space="0" w:color="auto"/>
        <w:left w:val="none" w:sz="0" w:space="0" w:color="auto"/>
        <w:bottom w:val="none" w:sz="0" w:space="0" w:color="auto"/>
        <w:right w:val="none" w:sz="0" w:space="0" w:color="auto"/>
      </w:divBdr>
    </w:div>
    <w:div w:id="1988632936">
      <w:bodyDiv w:val="1"/>
      <w:marLeft w:val="0"/>
      <w:marRight w:val="0"/>
      <w:marTop w:val="0"/>
      <w:marBottom w:val="0"/>
      <w:divBdr>
        <w:top w:val="none" w:sz="0" w:space="0" w:color="auto"/>
        <w:left w:val="none" w:sz="0" w:space="0" w:color="auto"/>
        <w:bottom w:val="none" w:sz="0" w:space="0" w:color="auto"/>
        <w:right w:val="none" w:sz="0" w:space="0" w:color="auto"/>
      </w:divBdr>
    </w:div>
    <w:div w:id="2021159658">
      <w:bodyDiv w:val="1"/>
      <w:marLeft w:val="0"/>
      <w:marRight w:val="0"/>
      <w:marTop w:val="0"/>
      <w:marBottom w:val="0"/>
      <w:divBdr>
        <w:top w:val="none" w:sz="0" w:space="0" w:color="auto"/>
        <w:left w:val="none" w:sz="0" w:space="0" w:color="auto"/>
        <w:bottom w:val="none" w:sz="0" w:space="0" w:color="auto"/>
        <w:right w:val="none" w:sz="0" w:space="0" w:color="auto"/>
      </w:divBdr>
    </w:div>
    <w:div w:id="20473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ecd.org/els/family/PH5-1-Measures-financing-affordable-housing-development.pdf" TargetMode="External"/><Relationship Id="rId21" Type="http://schemas.openxmlformats.org/officeDocument/2006/relationships/footer" Target="footer3.xml"/><Relationship Id="rId42" Type="http://schemas.openxmlformats.org/officeDocument/2006/relationships/hyperlink" Target="https://www.abs.gov.au/statistics/people/housing/estimating-homelessness-census/latest-release" TargetMode="External"/><Relationship Id="rId63" Type="http://schemas.openxmlformats.org/officeDocument/2006/relationships/hyperlink" Target="https://www.ahuri.edu.au/research/final-reports/72" TargetMode="External"/><Relationship Id="rId84" Type="http://schemas.openxmlformats.org/officeDocument/2006/relationships/hyperlink" Target="https://www.boj.or.jp/en/research/wps_rev/rev_2022/data/rev22e07.pdf" TargetMode="External"/><Relationship Id="rId138" Type="http://schemas.openxmlformats.org/officeDocument/2006/relationships/hyperlink" Target="https://www.economist.com/finance-and-economics/2021/09/25/beware-the-backlash-as-financiers-muscle-into-rental-property" TargetMode="External"/><Relationship Id="rId107" Type="http://schemas.openxmlformats.org/officeDocument/2006/relationships/hyperlink" Target="https://www.gov.uk/government/publications/housing-guarantee-scheme-rules-private-rented-sector" TargetMode="External"/><Relationship Id="rId11" Type="http://schemas.openxmlformats.org/officeDocument/2006/relationships/image" Target="media/image2.jpeg"/><Relationship Id="rId32" Type="http://schemas.openxmlformats.org/officeDocument/2006/relationships/hyperlink" Target="https://www.australianretirementtrust.com.au/newsroom/deliver-social-housing-in-qld" TargetMode="External"/><Relationship Id="rId53" Type="http://schemas.openxmlformats.org/officeDocument/2006/relationships/hyperlink" Target="https://news.anz.com/content/dam/news/articles/2023/May/PDF-housing-affordability-23/AU24823_Housing%20Affordability%20Report%2022_Digi_FA02B.pdf" TargetMode="External"/><Relationship Id="rId74" Type="http://schemas.openxmlformats.org/officeDocument/2006/relationships/hyperlink" Target="https://www.gov.uk/government/statistics/affordable-housing-supply-in-england-2021-to-2022/affordable-housing-supply-in-england-2021-to-2022" TargetMode="External"/><Relationship Id="rId128" Type="http://schemas.openxmlformats.org/officeDocument/2006/relationships/hyperlink" Target="https://www.AHURI.edu.au/research/final-reports/219" TargetMode="External"/><Relationship Id="rId5" Type="http://schemas.openxmlformats.org/officeDocument/2006/relationships/footnotes" Target="footnotes.xml"/><Relationship Id="rId90" Type="http://schemas.openxmlformats.org/officeDocument/2006/relationships/hyperlink" Target="http://ispt.net.au/pdf/2022_Annual_Review/docs/ISPT_2022_Annual_Review.pdf" TargetMode="External"/><Relationship Id="rId95" Type="http://schemas.openxmlformats.org/officeDocument/2006/relationships/hyperlink" Target="https://www.jll.com.au/content/dam/jll-com/documents/pdf/research/apac/australia/jll-alternative-investment-review-v4.pdf" TargetMode="External"/><Relationship Id="rId22" Type="http://schemas.openxmlformats.org/officeDocument/2006/relationships/footer" Target="footer4.xml"/><Relationship Id="rId27" Type="http://schemas.openxmlformats.org/officeDocument/2006/relationships/hyperlink" Target="https://www.abs.gov.au/statistics/economy/finance/managed-funds-australia/latest-release" TargetMode="External"/><Relationship Id="rId43" Type="http://schemas.openxmlformats.org/officeDocument/2006/relationships/hyperlink" Target="https://www.abs.gov.au/statistics/industry/building-and-construction/building-activity-australia/mar-2022" TargetMode="External"/><Relationship Id="rId48" Type="http://schemas.openxmlformats.org/officeDocument/2006/relationships/hyperlink" Target="https://www.ahuri.edu.au/research/brief/what-difference-between-social-housing-and-affordable-housing-and-why-do-they-matter" TargetMode="External"/><Relationship Id="rId64" Type="http://schemas.openxmlformats.org/officeDocument/2006/relationships/hyperlink" Target="https://www.theguardian.com/world/2022/jan/27/large-investors-drive-up-house-prices-in-europes-cities-study-finds" TargetMode="External"/><Relationship Id="rId69" Type="http://schemas.openxmlformats.org/officeDocument/2006/relationships/hyperlink" Target="https://www.corelogic.com.au/news-research/news/2023/chronic-supply-shortage-causes-reacceleration-of-australian-rental-market" TargetMode="External"/><Relationship Id="rId113" Type="http://schemas.openxmlformats.org/officeDocument/2006/relationships/hyperlink" Target="https://www.facs.nsw.gov.au/download?file=640701" TargetMode="External"/><Relationship Id="rId118" Type="http://schemas.openxmlformats.org/officeDocument/2006/relationships/hyperlink" Target="https://www.oecd.org/housing/data/affordable-housing-database/" TargetMode="External"/><Relationship Id="rId134" Type="http://schemas.openxmlformats.org/officeDocument/2006/relationships/hyperlink" Target="https://www.sgch.com.au/news/sgch-and-lighthouse-scale-up-to-120million-institutional-investment-to-support-affordable-key-worker-housing/" TargetMode="External"/><Relationship Id="rId139" Type="http://schemas.openxmlformats.org/officeDocument/2006/relationships/hyperlink" Target="https://www.whitehouse.gov/omb/budget/analytical-perspectives/" TargetMode="External"/><Relationship Id="rId80" Type="http://schemas.openxmlformats.org/officeDocument/2006/relationships/hyperlink" Target="https://www.greens-efa.eu/en/article/document/my-home-is-an-asset-class" TargetMode="External"/><Relationship Id="rId85" Type="http://schemas.openxmlformats.org/officeDocument/2006/relationships/hyperlink" Target="https://web.archive.org/web/20140227074623/http:/www.homesandcommunities.co.uk/ourwork/affordable-homes-guarantees-programme" TargetMode="External"/><Relationship Id="rId12" Type="http://schemas.openxmlformats.org/officeDocument/2006/relationships/hyperlink" Target="http://creativecommons.org/licenses/by/3.0/au/deed.en" TargetMode="External"/><Relationship Id="rId17" Type="http://schemas.openxmlformats.org/officeDocument/2006/relationships/header" Target="header2.xml"/><Relationship Id="rId33" Type="http://schemas.openxmlformats.org/officeDocument/2006/relationships/image" Target="media/image6.emf"/><Relationship Id="rId38" Type="http://schemas.openxmlformats.org/officeDocument/2006/relationships/header" Target="header7.xml"/><Relationship Id="rId59" Type="http://schemas.openxmlformats.org/officeDocument/2006/relationships/hyperlink" Target="https://assemblecommunities.com/australiansuper-makes-cornerstone-investment-in-assemble-communities/" TargetMode="External"/><Relationship Id="rId103" Type="http://schemas.openxmlformats.org/officeDocument/2006/relationships/hyperlink" Target="https://www.ahuri.edu.au/sites/default/files/migration/documents/AHURI_Final_Report_No278_Developing-the-scale-and-capacity-of-Australias-affordable-housing-industry.pdf" TargetMode="External"/><Relationship Id="rId108" Type="http://schemas.openxmlformats.org/officeDocument/2006/relationships/hyperlink" Target="https://www.pc.gov.au/research/supporting/ecosystem-services/cmfes.pdf" TargetMode="External"/><Relationship Id="rId124" Type="http://schemas.openxmlformats.org/officeDocument/2006/relationships/hyperlink" Target="https://www.pc.gov.au/research/supporting/efficiency-effectiveness/efficiency-effectiveness.pdf" TargetMode="External"/><Relationship Id="rId129" Type="http://schemas.openxmlformats.org/officeDocument/2006/relationships/hyperlink" Target="http://www.ahuri.edu.au/research/final-reports/267" TargetMode="External"/><Relationship Id="rId54" Type="http://schemas.openxmlformats.org/officeDocument/2006/relationships/hyperlink" Target="https://www.asx.com.au/about/market-statistics/historical-market-statistics.html" TargetMode="External"/><Relationship Id="rId70" Type="http://schemas.openxmlformats.org/officeDocument/2006/relationships/hyperlink" Target="https://www.corelogic.com.au/__data/assets/pdf_file/0016/15910/CoreLogic-HVI-Jul-2023-FINAL.pdf" TargetMode="External"/><Relationship Id="rId75" Type="http://schemas.openxmlformats.org/officeDocument/2006/relationships/hyperlink" Target="https://data.europa.eu/doi/10.2760/07168" TargetMode="External"/><Relationship Id="rId91" Type="http://schemas.openxmlformats.org/officeDocument/2006/relationships/hyperlink" Target="https://www.jll.com.au/en/trends-and-insights/research/australian-industrial-market-overview-q1-2023" TargetMode="External"/><Relationship Id="rId96" Type="http://schemas.openxmlformats.org/officeDocument/2006/relationships/hyperlink" Target="https://www.adb.org/sites/default/files/publication/181404/adbi-wp558.pdf" TargetMode="External"/><Relationship Id="rId140" Type="http://schemas.openxmlformats.org/officeDocument/2006/relationships/hyperlink" Target="https://treasury.gov.au/sites/default/files/2023-04/c2022-313936-yfys-review.pdf"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4.png"/><Relationship Id="rId28" Type="http://schemas.openxmlformats.org/officeDocument/2006/relationships/hyperlink" Target="https://www.abs.gov.au/statistics/economy/finance/managed-funds-australia/latest-release" TargetMode="External"/><Relationship Id="rId49" Type="http://schemas.openxmlformats.org/officeDocument/2006/relationships/hyperlink" Target="https://www.aihw.gov.au/reports/housing-assistance/housing-assistance-in-australia/contents/social-housing-dwellings" TargetMode="External"/><Relationship Id="rId114" Type="http://schemas.openxmlformats.org/officeDocument/2006/relationships/hyperlink" Target="https://legislation.nsw.gov.au/view/html/inforce/current/epi-2021-0714" TargetMode="External"/><Relationship Id="rId119" Type="http://schemas.openxmlformats.org/officeDocument/2006/relationships/hyperlink" Target="https://www.ons.gov.uk/peoplepopulationandcommunity/housing/bulletins/housingenglandandwales/census2021" TargetMode="External"/><Relationship Id="rId44" Type="http://schemas.openxmlformats.org/officeDocument/2006/relationships/hyperlink" Target="https://www.abs.gov.au/statistics/economy/price-indexes-and-inflation/total-value-dwellings/latest-release" TargetMode="External"/><Relationship Id="rId60" Type="http://schemas.openxmlformats.org/officeDocument/2006/relationships/hyperlink" Target="https://download.asic.gov.au/media/5801438/rg97-published-28-september-2020.pdf" TargetMode="External"/><Relationship Id="rId65" Type="http://schemas.openxmlformats.org/officeDocument/2006/relationships/hyperlink" Target="https://doi.org/10.1177/00420980211026466" TargetMode="External"/><Relationship Id="rId81" Type="http://schemas.openxmlformats.org/officeDocument/2006/relationships/hyperlink" Target="https://www.globalpropertyguide.com/Europe/Germany/Price-History" TargetMode="External"/><Relationship Id="rId86" Type="http://schemas.openxmlformats.org/officeDocument/2006/relationships/hyperlink" Target="https://web.archive.org/web/20190725155446/https:/assets.publishing.service.gov.uk/government/uploads/system/uploads/attachment_data/file/559586/Build_to_Rent_Fund_Prospectus_-_archived.pdf" TargetMode="External"/><Relationship Id="rId130" Type="http://schemas.openxmlformats.org/officeDocument/2006/relationships/hyperlink" Target="https://pdf.savills.asia/asia-pacific-research/australian-research/australia-student-accommodation/australian-student-accommodation-2022.pdf" TargetMode="External"/><Relationship Id="rId135" Type="http://schemas.openxmlformats.org/officeDocument/2006/relationships/hyperlink" Target="https://hbr.org/2005/04/the-half-truth-of-first-mover-advantage" TargetMode="External"/><Relationship Id="rId13" Type="http://schemas.openxmlformats.org/officeDocument/2006/relationships/hyperlink" Target="https://www.pmc.gov.au/honours-and-symbols/commonwealth-coat-arms" TargetMode="External"/><Relationship Id="rId18" Type="http://schemas.openxmlformats.org/officeDocument/2006/relationships/footer" Target="footer2.xml"/><Relationship Id="rId39" Type="http://schemas.openxmlformats.org/officeDocument/2006/relationships/footer" Target="footer9.xml"/><Relationship Id="rId109" Type="http://schemas.openxmlformats.org/officeDocument/2006/relationships/hyperlink" Target="https://nrsch.gov.au/documents/publications/regulatory-framework-latest.pdf" TargetMode="External"/><Relationship Id="rId34" Type="http://schemas.openxmlformats.org/officeDocument/2006/relationships/header" Target="header5.xml"/><Relationship Id="rId50" Type="http://schemas.openxmlformats.org/officeDocument/2006/relationships/hyperlink" Target="https://www.aihw.gov.au/reports/housing-assistance/housing-assistance-in-australia/contents/households-and-waiting-lists" TargetMode="External"/><Relationship Id="rId55" Type="http://schemas.openxmlformats.org/officeDocument/2006/relationships/hyperlink" Target="https://www.homelesshub.ca/sites/default/files/attachments/august-financialization-rental-housing-ofha-en.pdf" TargetMode="External"/><Relationship Id="rId76" Type="http://schemas.openxmlformats.org/officeDocument/2006/relationships/hyperlink" Target="https://www.expatica.com/fr/housing/housing-basics/housing-in-france-103857/" TargetMode="External"/><Relationship Id="rId97" Type="http://schemas.openxmlformats.org/officeDocument/2006/relationships/hyperlink" Target="https://www.ahuri.edu.au/sites/default/files/migration/documents/AHURI_Positioning_Paper_No156_The-use-of-guarantees-in-affordable-housing-investment-a-selective-international-review.pdf" TargetMode="External"/><Relationship Id="rId104" Type="http://schemas.openxmlformats.org/officeDocument/2006/relationships/hyperlink" Target="https://cityfutures.ada.unsw.edu.au/documents/81/Next_moves_report.pdf" TargetMode="External"/><Relationship Id="rId120" Type="http://schemas.openxmlformats.org/officeDocument/2006/relationships/hyperlink" Target="https://cityfutures.ada.unsw.edu.au/documents/551/LCOM_0000_Build_to_Rent_Report_WEB_July_2019.pdf" TargetMode="External"/><Relationship Id="rId125" Type="http://schemas.openxmlformats.org/officeDocument/2006/relationships/hyperlink" Target="https://www.propertycouncil.com.au/wp-content/uploads/2022/11/Property-Council-PBSA-Report-08.11.2022-v3.pdf" TargetMode="External"/><Relationship Id="rId141" Type="http://schemas.openxmlformats.org/officeDocument/2006/relationships/hyperlink" Target="https://treasury.gov.au/publication/p2021-217760" TargetMode="External"/><Relationship Id="rId7" Type="http://schemas.openxmlformats.org/officeDocument/2006/relationships/image" Target="media/image1.png"/><Relationship Id="rId71" Type="http://schemas.openxmlformats.org/officeDocument/2006/relationships/hyperlink" Target="https://www.corelogic.com.au/news-research/reports/quarterly-rental-review" TargetMode="External"/><Relationship Id="rId92" Type="http://schemas.openxmlformats.org/officeDocument/2006/relationships/hyperlink" Target="https://www.jll.com.au/en/trends-and-insights/research/australian-retail-market-overview-q1-2023" TargetMode="External"/><Relationship Id="rId2" Type="http://schemas.openxmlformats.org/officeDocument/2006/relationships/styles" Target="styles.xml"/><Relationship Id="rId29" Type="http://schemas.openxmlformats.org/officeDocument/2006/relationships/image" Target="media/image5.png"/><Relationship Id="rId24" Type="http://schemas.openxmlformats.org/officeDocument/2006/relationships/hyperlink" Target="https://www.ahuri.edu.au/research/final-reports/296" TargetMode="External"/><Relationship Id="rId40" Type="http://schemas.openxmlformats.org/officeDocument/2006/relationships/hyperlink" Target="https://www.abs.gov.au/census/find-census-data/quickstats/2021/AUS" TargetMode="External"/><Relationship Id="rId45" Type="http://schemas.openxmlformats.org/officeDocument/2006/relationships/hyperlink" Target="https://www.abs.gov.au/statistics/economy/finance/managed-funds-australia/latest-release" TargetMode="External"/><Relationship Id="rId66" Type="http://schemas.openxmlformats.org/officeDocument/2006/relationships/hyperlink" Target="https://www.claytonutz.com/knowledge/2023/june/the-current-state-of-play-state-and-territory-land-tax-relief-for-build-to-rent-btr-projects" TargetMode="External"/><Relationship Id="rId87" Type="http://schemas.openxmlformats.org/officeDocument/2006/relationships/hyperlink" Target="https://www.ahuri.edu.au/research/final-reports/296" TargetMode="External"/><Relationship Id="rId110" Type="http://schemas.openxmlformats.org/officeDocument/2006/relationships/hyperlink" Target="https://nrsch.gov.au/providers/categories-of-registration-tiers.html" TargetMode="External"/><Relationship Id="rId115" Type="http://schemas.openxmlformats.org/officeDocument/2006/relationships/hyperlink" Target="https://www.treasury.nsw.gov.au/sites/default/files/2021-02/Treasurer%E2%80%99s%20Guidelines%20for%20the%20Reduction%20in%20Land%20Value%20for%20Certain%20Build-to-rent%20Properties%2C%20for%20Land%20Tax%20Purposes.pdf" TargetMode="External"/><Relationship Id="rId131" Type="http://schemas.openxmlformats.org/officeDocument/2006/relationships/hyperlink" Target="https://www.savills.com/impacts/market-trends/multifamily-attracts-record-global-investment.html" TargetMode="External"/><Relationship Id="rId136" Type="http://schemas.openxmlformats.org/officeDocument/2006/relationships/hyperlink" Target="https://ministers.treasury.gov.au/ministers/michael-sukkar-2017/media-releases/increasing-supply-affordable-housing" TargetMode="External"/><Relationship Id="rId61" Type="http://schemas.openxmlformats.org/officeDocument/2006/relationships/hyperlink" Target="https://www.ahuri.edu.au/research/final-reports/388" TargetMode="External"/><Relationship Id="rId82" Type="http://schemas.openxmlformats.org/officeDocument/2006/relationships/hyperlink" Target="https://www.rba.gov.au/publications/bulletin/2023/jun/new-insights-into-the-rental-market.html" TargetMode="External"/><Relationship Id="rId19" Type="http://schemas.openxmlformats.org/officeDocument/2006/relationships/header" Target="header3.xml"/><Relationship Id="rId14" Type="http://schemas.openxmlformats.org/officeDocument/2006/relationships/hyperlink" Target="mailto:enquiries@nhsac.gov.au" TargetMode="External"/><Relationship Id="rId30" Type="http://schemas.openxmlformats.org/officeDocument/2006/relationships/chart" Target="charts/chart1.xml"/><Relationship Id="rId35" Type="http://schemas.openxmlformats.org/officeDocument/2006/relationships/header" Target="header6.xml"/><Relationship Id="rId56" Type="http://schemas.openxmlformats.org/officeDocument/2006/relationships/hyperlink" Target="https://www.australianpropertyjournal.com.au/2021/07/08/arklife-sets-sail-for-brisbane-build-to-rent/" TargetMode="External"/><Relationship Id="rId77" Type="http://schemas.openxmlformats.org/officeDocument/2006/relationships/hyperlink" Target="https://www.propertycouncil.com.au/submissions/a-new-form-of-housing-supply-for-australia-build-to-rent-housing" TargetMode="External"/><Relationship Id="rId100" Type="http://schemas.openxmlformats.org/officeDocument/2006/relationships/hyperlink" Target="https://www.pexa.com.au/staticly-media/2023/05/LongView-PEXA-Whitepaper-3-Mobilising-Private-Capital-for-New-Housing-Solutions-sm-1684212151.pdf" TargetMode="External"/><Relationship Id="rId105" Type="http://schemas.openxmlformats.org/officeDocument/2006/relationships/hyperlink" Target="https://www.ahuri.edu.au/research/final-reports/65" TargetMode="External"/><Relationship Id="rId126" Type="http://schemas.openxmlformats.org/officeDocument/2006/relationships/hyperlink" Target="https://www.rba.gov.au/chart-pack/bond-issuance.html" TargetMode="External"/><Relationship Id="rId8" Type="http://schemas.openxmlformats.org/officeDocument/2006/relationships/header" Target="header1.xml"/><Relationship Id="rId51" Type="http://schemas.openxmlformats.org/officeDocument/2006/relationships/hyperlink" Target="https://www.aihw.gov.au/reports/australias-welfare/home-ownership-and-housing-tenure" TargetMode="External"/><Relationship Id="rId72" Type="http://schemas.openxmlformats.org/officeDocument/2006/relationships/hyperlink" Target="http://classic.austlii.edu.au/au/journals/UNSWLawJl/2021/22.html" TargetMode="External"/><Relationship Id="rId93" Type="http://schemas.openxmlformats.org/officeDocument/2006/relationships/hyperlink" Target="https://www.jll.com.au/en/trends-and-insights/research/australian-office-market-overview-q1-2023" TargetMode="External"/><Relationship Id="rId98" Type="http://schemas.openxmlformats.org/officeDocument/2006/relationships/hyperlink" Target="https://www.ahuri.edu.au/research/final-reports/315" TargetMode="External"/><Relationship Id="rId121" Type="http://schemas.openxmlformats.org/officeDocument/2006/relationships/hyperlink" Target="https://www.gov.uk/government/news/funding-package-to-deliver-thousands-of-new-homes%20accessed%20July%202023" TargetMode="External"/><Relationship Id="rId142" Type="http://schemas.openxmlformats.org/officeDocument/2006/relationships/hyperlink" Target="https://treasury.gov.au/publication/economic-roundup-winter-2006/a-brief-history-of-australias-tax-system" TargetMode="External"/><Relationship Id="rId3" Type="http://schemas.openxmlformats.org/officeDocument/2006/relationships/settings" Target="settings.xml"/><Relationship Id="rId25" Type="http://schemas.openxmlformats.org/officeDocument/2006/relationships/hyperlink" Target="https://www.ahuri.edu.au/research/final-reports/296" TargetMode="External"/><Relationship Id="rId46" Type="http://schemas.openxmlformats.org/officeDocument/2006/relationships/hyperlink" Target="https://www.brookings.edu/articles/france-rental-housing-markets/" TargetMode="External"/><Relationship Id="rId67" Type="http://schemas.openxmlformats.org/officeDocument/2006/relationships/hyperlink" Target="https://treasury.gov.au/sites/default/files/2019-03/C2016-050_Final_report.pdf" TargetMode="External"/><Relationship Id="rId116" Type="http://schemas.openxmlformats.org/officeDocument/2006/relationships/hyperlink" Target="https://www.nhfic.gov.au/research/state-nations-housing-report-2022-23" TargetMode="External"/><Relationship Id="rId137" Type="http://schemas.openxmlformats.org/officeDocument/2006/relationships/hyperlink" Target="https://www.sro.tas.gov.au/land-tax/exemptions-and-rebates/new-home-used-for-long-term-rental-exemption" TargetMode="External"/><Relationship Id="rId20" Type="http://schemas.openxmlformats.org/officeDocument/2006/relationships/header" Target="header4.xml"/><Relationship Id="rId41" Type="http://schemas.openxmlformats.org/officeDocument/2006/relationships/hyperlink" Target="https://www.abs.gov.au/statistics/people/housing/housing-occupancy-and-costs/latest-release" TargetMode="External"/><Relationship Id="rId62" Type="http://schemas.openxmlformats.org/officeDocument/2006/relationships/hyperlink" Target="https://www.ahuri.edu.au/sites/default/files/migration/documents/AHURI_Final_Report_No14_New_approaches_to_expanding_the_supply_of_affordable_housing_in_Australia.pdf" TargetMode="External"/><Relationship Id="rId83" Type="http://schemas.openxmlformats.org/officeDocument/2006/relationships/hyperlink" Target="https://assets.publishing.service.gov.uk/government/uploads/system/uploads/attachment_data/file/1157608/E02903086_HMT_Main_Supply_Estimates_23-24_Web_Accessible.pdf" TargetMode="External"/><Relationship Id="rId88" Type="http://schemas.openxmlformats.org/officeDocument/2006/relationships/hyperlink" Target="https://www.pc.gov.au/inquiries/completed/public-housing" TargetMode="External"/><Relationship Id="rId111" Type="http://schemas.openxmlformats.org/officeDocument/2006/relationships/hyperlink" Target="https://shelter.org.au/site/wp-content/uploads/The-Australian-Rental-Market-Report-Final-Web.pdf" TargetMode="External"/><Relationship Id="rId132" Type="http://schemas.openxmlformats.org/officeDocument/2006/relationships/hyperlink" Target="http://eprints.lse.ac.uk/106241/" TargetMode="External"/><Relationship Id="rId15" Type="http://schemas.openxmlformats.org/officeDocument/2006/relationships/footer" Target="footer1.xml"/><Relationship Id="rId36" Type="http://schemas.openxmlformats.org/officeDocument/2006/relationships/footer" Target="footer7.xml"/><Relationship Id="rId57" Type="http://schemas.openxmlformats.org/officeDocument/2006/relationships/hyperlink" Target="https://www.apra.gov.au/quarterly-superannuation-statistics" TargetMode="External"/><Relationship Id="rId106" Type="http://schemas.openxmlformats.org/officeDocument/2006/relationships/hyperlink" Target="https://www.ahuri.edu.au/research/final-reports/202" TargetMode="External"/><Relationship Id="rId127" Type="http://schemas.openxmlformats.org/officeDocument/2006/relationships/hyperlink" Target="https://www.rba.gov.au/statistics/tables/" TargetMode="External"/><Relationship Id="rId10" Type="http://schemas.openxmlformats.org/officeDocument/2006/relationships/hyperlink" Target="http://creativecommons.org/licenses/by/3.0/au/legalcode" TargetMode="External"/><Relationship Id="rId31" Type="http://schemas.openxmlformats.org/officeDocument/2006/relationships/footer" Target="footer6.xml"/><Relationship Id="rId52" Type="http://schemas.openxmlformats.org/officeDocument/2006/relationships/hyperlink" Target="https://pimcoprimerealestate.com/_Resources/Persistent/4a88cfc939bbdf2bacaf415c5cc74389113767eb/Japan%20multifamily%20investments.pdf" TargetMode="External"/><Relationship Id="rId73" Type="http://schemas.openxmlformats.org/officeDocument/2006/relationships/hyperlink" Target="https://assets.publishing.service.gov.uk/government/uploads/system/uploads/attachment_data/file/344495/ahgp.pdf" TargetMode="External"/><Relationship Id="rId78" Type="http://schemas.openxmlformats.org/officeDocument/2006/relationships/hyperlink" Target="https://mf.freddiemac.com/docs/2023_multifamily_outlook.pdf" TargetMode="External"/><Relationship Id="rId94" Type="http://schemas.openxmlformats.org/officeDocument/2006/relationships/hyperlink" Target="https://www.jll.com.au/content/dam/jll-com/documents/pdf/research/apac/australia/jll-research-australias-build-to-rent-sector-review-outlook-2023-final.pdf" TargetMode="External"/><Relationship Id="rId99" Type="http://schemas.openxmlformats.org/officeDocument/2006/relationships/hyperlink" Target="https://www.ahuri.edu.au/sites/default/files/migration/documents/AHURI-Final-Report-306-Social-housing-as-infrastructure-an-investment-pathway.pdf" TargetMode="External"/><Relationship Id="rId101" Type="http://schemas.openxmlformats.org/officeDocument/2006/relationships/hyperlink" Target="https://longview.com.au/hubfs/whitepaper-what-drives-australian-house-prices-over-long-term.pdf" TargetMode="External"/><Relationship Id="rId122" Type="http://schemas.openxmlformats.org/officeDocument/2006/relationships/hyperlink" Target="https://www.pc.gov.au/ongoing/report-on-government-services/2023/housing-and-homelessness/homelessness-services" TargetMode="External"/><Relationship Id="rId143" Type="http://schemas.openxmlformats.org/officeDocument/2006/relationships/hyperlink" Target="https://www.brookings.edu/articles/japan-rental-housing-markets/" TargetMode="External"/><Relationship Id="rId4" Type="http://schemas.openxmlformats.org/officeDocument/2006/relationships/webSettings" Target="webSettings.xml"/><Relationship Id="rId9" Type="http://schemas.openxmlformats.org/officeDocument/2006/relationships/hyperlink" Target="http://creativecommons.org/licenses/by/3.0/au/deed.en" TargetMode="External"/><Relationship Id="rId26" Type="http://schemas.openxmlformats.org/officeDocument/2006/relationships/footer" Target="footer5.xml"/><Relationship Id="rId47" Type="http://schemas.openxmlformats.org/officeDocument/2006/relationships/hyperlink" Target="https://treasury.gov.au/consultation/council-on-federal-financial-relations-affordable-housing-working-group-innovative-financing-models" TargetMode="External"/><Relationship Id="rId68" Type="http://schemas.openxmlformats.org/officeDocument/2006/relationships/hyperlink" Target="https://www.facs.nsw.gov.au/download?file=672883" TargetMode="External"/><Relationship Id="rId89" Type="http://schemas.openxmlformats.org/officeDocument/2006/relationships/hyperlink" Target="https://www.ipf.org.uk/resourceLibrary/the-size---structure-of-the-uk-property-market-year-end-2020--january-2022--report.html" TargetMode="External"/><Relationship Id="rId112" Type="http://schemas.openxmlformats.org/officeDocument/2006/relationships/hyperlink" Target="https://www.facs.nsw.gov.au/reforms/NRSCH/review-of-the-national-regulatory-system-for-community-housing" TargetMode="External"/><Relationship Id="rId133" Type="http://schemas.openxmlformats.org/officeDocument/2006/relationships/hyperlink" Target="https://sellier-patrimoine.com/en/pinel" TargetMode="External"/><Relationship Id="rId16" Type="http://schemas.openxmlformats.org/officeDocument/2006/relationships/image" Target="media/image3.png"/><Relationship Id="rId37" Type="http://schemas.openxmlformats.org/officeDocument/2006/relationships/footer" Target="footer8.xml"/><Relationship Id="rId58" Type="http://schemas.openxmlformats.org/officeDocument/2006/relationships/hyperlink" Target="https://s3.ap-southeast-2.amazonaws.com/assets.ansellstrategic.com.au/app/uploads/2014/04/14084616/Ansell-Strategic-Investing-in-Aged-Care-The-Second-Wave.pdf" TargetMode="External"/><Relationship Id="rId79" Type="http://schemas.openxmlformats.org/officeDocument/2006/relationships/hyperlink" Target="https://www.oecd-ilibrary.org/docserver/1ce75d38-en.pdf?expires=1689746267&amp;id=id&amp;accname=guest&amp;checksum=B6F18FBBD52B4ED7F05F69A027A7F8EE" TargetMode="External"/><Relationship Id="rId102" Type="http://schemas.openxmlformats.org/officeDocument/2006/relationships/hyperlink" Target="https://www.ahuri.edu.au/research/final-reports/401" TargetMode="External"/><Relationship Id="rId123" Type="http://schemas.openxmlformats.org/officeDocument/2006/relationships/hyperlink" Target="https://www.pc.gov.au/inquiries/completed/housing-homelessness/report" TargetMode="External"/><Relationship Id="rId14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ityfutures.ada.unsw.edu.au/documents/81/Next_moves_report.pdf" TargetMode="External"/><Relationship Id="rId1" Type="http://schemas.openxmlformats.org/officeDocument/2006/relationships/hyperlink" Target="https://www.ahuri.edu.au/research/final-reports/38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9.1039426523297495E-3"/>
          <c:y val="4.9402777777777775E-2"/>
          <c:w val="0.98367697132616483"/>
          <c:h val="0.94555753968253964"/>
        </c:manualLayout>
      </c:layout>
      <c:barChart>
        <c:barDir val="col"/>
        <c:grouping val="clustered"/>
        <c:varyColors val="0"/>
        <c:ser>
          <c:idx val="0"/>
          <c:order val="0"/>
          <c:spPr>
            <a:solidFill>
              <a:schemeClr val="accent1"/>
            </a:solidFill>
            <a:ln>
              <a:noFill/>
            </a:ln>
            <a:effectLst/>
          </c:spPr>
          <c:invertIfNegative val="0"/>
          <c:cat>
            <c:strRef>
              <c:f>'Chart 2 (APRA)'!$AM$62:$AM$67</c:f>
              <c:strCache>
                <c:ptCount val="6"/>
                <c:pt idx="0">
                  <c:v>Equity</c:v>
                </c:pt>
                <c:pt idx="1">
                  <c:v>Fixed income</c:v>
                </c:pt>
                <c:pt idx="2">
                  <c:v>Cash</c:v>
                </c:pt>
                <c:pt idx="3">
                  <c:v>Property</c:v>
                </c:pt>
                <c:pt idx="4">
                  <c:v>Infrastructure</c:v>
                </c:pt>
                <c:pt idx="5">
                  <c:v>Other</c:v>
                </c:pt>
              </c:strCache>
            </c:strRef>
          </c:cat>
          <c:val>
            <c:numRef>
              <c:f>'Chart 2 (APRA)'!$AO$62:$AO$67</c:f>
              <c:numCache>
                <c:formatCode>General</c:formatCode>
                <c:ptCount val="6"/>
                <c:pt idx="0">
                  <c:v>53.900000000000006</c:v>
                </c:pt>
                <c:pt idx="1">
                  <c:v>19</c:v>
                </c:pt>
                <c:pt idx="2">
                  <c:v>9.3000000000000007</c:v>
                </c:pt>
                <c:pt idx="3">
                  <c:v>7.5</c:v>
                </c:pt>
                <c:pt idx="4">
                  <c:v>8</c:v>
                </c:pt>
                <c:pt idx="5">
                  <c:v>2.2000000000000002</c:v>
                </c:pt>
              </c:numCache>
            </c:numRef>
          </c:val>
          <c:extLst>
            <c:ext xmlns:c16="http://schemas.microsoft.com/office/drawing/2014/chart" uri="{C3380CC4-5D6E-409C-BE32-E72D297353CC}">
              <c16:uniqueId val="{00000000-7516-41C1-916C-2E08B740F361}"/>
            </c:ext>
          </c:extLst>
        </c:ser>
        <c:dLbls>
          <c:showLegendKey val="0"/>
          <c:showVal val="0"/>
          <c:showCatName val="0"/>
          <c:showSerName val="0"/>
          <c:showPercent val="0"/>
          <c:showBubbleSize val="0"/>
        </c:dLbls>
        <c:gapWidth val="50"/>
        <c:overlap val="-27"/>
        <c:axId val="896955423"/>
        <c:axId val="896962495"/>
      </c:barChart>
      <c:barChart>
        <c:barDir val="col"/>
        <c:grouping val="clustered"/>
        <c:varyColors val="0"/>
        <c:ser>
          <c:idx val="1"/>
          <c:order val="1"/>
          <c:tx>
            <c:v>DUMMY</c:v>
          </c:tx>
          <c:spPr>
            <a:noFill/>
            <a:ln>
              <a:noFill/>
            </a:ln>
            <a:effectLst/>
            <a:extLst>
              <a:ext uri="{909E8E84-426E-40DD-AFC4-6F175D3DCCD1}">
                <a14:hiddenFill xmlns:a14="http://schemas.microsoft.com/office/drawing/2010/main">
                  <a:solidFill>
                    <a:srgbClr val="E61E26"/>
                  </a:solidFill>
                </a14:hiddenFill>
              </a:ext>
              <a:ext uri="{91240B29-F687-4F45-9708-019B960494DF}">
                <a14:hiddenLine xmlns:a14="http://schemas.microsoft.com/office/drawing/2010/main">
                  <a:noFill/>
                </a14:hiddenLine>
              </a:ext>
            </a:extLst>
          </c:spPr>
          <c:invertIfNegative val="0"/>
          <c:val>
            <c:numLit>
              <c:formatCode>General</c:formatCode>
              <c:ptCount val="1"/>
              <c:pt idx="0">
                <c:v>0</c:v>
              </c:pt>
            </c:numLit>
          </c:val>
          <c:extLst>
            <c:ext xmlns:c16="http://schemas.microsoft.com/office/drawing/2014/chart" uri="{C3380CC4-5D6E-409C-BE32-E72D297353CC}">
              <c16:uniqueId val="{00000001-7516-41C1-916C-2E08B740F361}"/>
            </c:ext>
          </c:extLst>
        </c:ser>
        <c:dLbls>
          <c:showLegendKey val="0"/>
          <c:showVal val="0"/>
          <c:showCatName val="0"/>
          <c:showSerName val="0"/>
          <c:showPercent val="0"/>
          <c:showBubbleSize val="0"/>
        </c:dLbls>
        <c:gapWidth val="219"/>
        <c:overlap val="-27"/>
        <c:axId val="905112319"/>
        <c:axId val="905123967"/>
      </c:barChart>
      <c:catAx>
        <c:axId val="896955423"/>
        <c:scaling>
          <c:orientation val="minMax"/>
        </c:scaling>
        <c:delete val="0"/>
        <c:axPos val="b"/>
        <c:numFmt formatCode="General" sourceLinked="1"/>
        <c:majorTickMark val="out"/>
        <c:minorTickMark val="none"/>
        <c:tickLblPos val="low"/>
        <c:spPr>
          <a:noFill/>
          <a:ln w="12700" cap="flat" cmpd="sng" algn="ctr">
            <a:solidFill>
              <a:srgbClr val="808080"/>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896962495"/>
        <c:crosses val="autoZero"/>
        <c:auto val="1"/>
        <c:lblAlgn val="ctr"/>
        <c:lblOffset val="100"/>
        <c:noMultiLvlLbl val="0"/>
      </c:catAx>
      <c:valAx>
        <c:axId val="896962495"/>
        <c:scaling>
          <c:orientation val="minMax"/>
        </c:scaling>
        <c:delete val="0"/>
        <c:axPos val="l"/>
        <c:majorGridlines>
          <c:spPr>
            <a:ln w="25400" cap="flat" cmpd="sng" algn="ctr">
              <a:noFill/>
              <a:round/>
            </a:ln>
            <a:effectLst/>
          </c:spPr>
        </c:majorGridlines>
        <c:title>
          <c:tx>
            <c:rich>
              <a:bodyPr rot="0" spcFirstLastPara="1" vertOverflow="ellipsis" wrap="square" anchor="ctr" anchorCtr="1"/>
              <a:lstStyle/>
              <a:p>
                <a:pPr>
                  <a:defRPr sz="800" b="0" i="0" u="none" strike="noStrike" kern="1200" baseline="0">
                    <a:solidFill>
                      <a:srgbClr val="000000"/>
                    </a:solidFill>
                    <a:latin typeface="Arial"/>
                    <a:ea typeface="Arial"/>
                    <a:cs typeface="Arial"/>
                  </a:defRPr>
                </a:pPr>
                <a:r>
                  <a:rPr lang="en-AU"/>
                  <a:t>Per cent</a:t>
                </a:r>
              </a:p>
            </c:rich>
          </c:tx>
          <c:layout>
            <c:manualLayout>
              <c:xMode val="edge"/>
              <c:yMode val="edge"/>
              <c:x val="2.2759856630824374E-3"/>
              <c:y val="0"/>
            </c:manualLayout>
          </c:layout>
          <c:overlay val="0"/>
          <c:spPr>
            <a:noFill/>
            <a:ln>
              <a:noFill/>
            </a:ln>
            <a:effectLst/>
          </c:spPr>
          <c:txPr>
            <a:bodyPr rot="0" spcFirstLastPara="1" vertOverflow="ellipsis" wrap="square" anchor="ctr" anchorCtr="1"/>
            <a:lstStyle/>
            <a:p>
              <a:pPr>
                <a:defRPr sz="800" b="0" i="0" u="none" strike="noStrike" kern="1200" baseline="0">
                  <a:solidFill>
                    <a:srgbClr val="000000"/>
                  </a:solidFill>
                  <a:latin typeface="Arial"/>
                  <a:ea typeface="Arial"/>
                  <a:cs typeface="Arial"/>
                </a:defRPr>
              </a:pPr>
              <a:endParaRPr lang="en-US"/>
            </a:p>
          </c:txPr>
        </c:title>
        <c:numFmt formatCode="0" sourceLinked="0"/>
        <c:majorTickMark val="in"/>
        <c:minorTickMark val="none"/>
        <c:tickLblPos val="nextTo"/>
        <c:spPr>
          <a:noFill/>
          <a:ln w="12700">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896955423"/>
        <c:crosses val="autoZero"/>
        <c:crossBetween val="between"/>
      </c:valAx>
      <c:valAx>
        <c:axId val="905123967"/>
        <c:scaling>
          <c:orientation val="minMax"/>
          <c:max val="60"/>
          <c:min val="0"/>
        </c:scaling>
        <c:delete val="1"/>
        <c:axPos val="r"/>
        <c:numFmt formatCode="0" sourceLinked="0"/>
        <c:majorTickMark val="in"/>
        <c:minorTickMark val="none"/>
        <c:tickLblPos val="nextTo"/>
        <c:crossAx val="905112319"/>
        <c:crosses val="max"/>
        <c:crossBetween val="between"/>
        <c:majorUnit val="10"/>
        <c:minorUnit val="2"/>
      </c:valAx>
      <c:catAx>
        <c:axId val="905112319"/>
        <c:scaling>
          <c:orientation val="minMax"/>
        </c:scaling>
        <c:delete val="1"/>
        <c:axPos val="b"/>
        <c:majorTickMark val="out"/>
        <c:minorTickMark val="none"/>
        <c:tickLblPos val="nextTo"/>
        <c:crossAx val="905123967"/>
        <c:crosses val="autoZero"/>
        <c:auto val="1"/>
        <c:lblAlgn val="ctr"/>
        <c:lblOffset val="100"/>
        <c:noMultiLvlLbl val="0"/>
      </c:catAx>
      <c:spPr>
        <a:noFill/>
        <a:ln w="25400">
          <a:noFill/>
        </a:ln>
        <a:effectLst/>
        <a:extLst>
          <a:ext uri="{909E8E84-426E-40DD-AFC4-6F175D3DCCD1}">
            <a14:hiddenFill xmlns:a14="http://schemas.microsoft.com/office/drawing/2010/main">
              <a:noFill/>
            </a14:hiddenFill>
          </a:ext>
        </a:ex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25400" cap="flat" cmpd="sng" algn="ctr">
      <a:noFill/>
      <a:round/>
    </a:ln>
    <a:effectLst/>
    <a:extLst>
      <a:ext uri="{909E8E84-426E-40DD-AFC4-6F175D3DCCD1}">
        <a14:hiddenFill xmlns:a14="http://schemas.microsoft.com/office/drawing/2010/main">
          <a:solidFill>
            <a:sysClr val="window" lastClr="FFFFFF"/>
          </a:solidFill>
        </a14:hiddenFill>
      </a:ext>
    </a:ex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SYBrand">
  <a:themeElements>
    <a:clrScheme name="NHSAC">
      <a:dk1>
        <a:sysClr val="windowText" lastClr="000000"/>
      </a:dk1>
      <a:lt1>
        <a:sysClr val="window" lastClr="FFFFFF"/>
      </a:lt1>
      <a:dk2>
        <a:srgbClr val="595959"/>
      </a:dk2>
      <a:lt2>
        <a:srgbClr val="F2E3C7"/>
      </a:lt2>
      <a:accent1>
        <a:srgbClr val="3B455C"/>
      </a:accent1>
      <a:accent2>
        <a:srgbClr val="616652"/>
      </a:accent2>
      <a:accent3>
        <a:srgbClr val="596682"/>
      </a:accent3>
      <a:accent4>
        <a:srgbClr val="D4B08C"/>
      </a:accent4>
      <a:accent5>
        <a:srgbClr val="BAD4E8"/>
      </a:accent5>
      <a:accent6>
        <a:srgbClr val="F2E3C7"/>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30240</Words>
  <Characters>187792</Characters>
  <Application>Microsoft Office Word</Application>
  <DocSecurity>2</DocSecurity>
  <Lines>3237</Lines>
  <Paragraphs>1425</Paragraphs>
  <ScaleCrop>false</ScaleCrop>
  <HeadingPairs>
    <vt:vector size="2" baseType="variant">
      <vt:variant>
        <vt:lpstr>Title</vt:lpstr>
      </vt:variant>
      <vt:variant>
        <vt:i4>1</vt:i4>
      </vt:variant>
    </vt:vector>
  </HeadingPairs>
  <TitlesOfParts>
    <vt:vector size="1" baseType="lpstr">
      <vt:lpstr>Barriers to Institutional Investment, Finance and Innovation in Housing</vt:lpstr>
    </vt:vector>
  </TitlesOfParts>
  <Company/>
  <LinksUpToDate>false</LinksUpToDate>
  <CharactersWithSpaces>216607</CharactersWithSpaces>
  <SharedDoc>false</SharedDoc>
  <HLinks>
    <vt:vector size="1020" baseType="variant">
      <vt:variant>
        <vt:i4>1048669</vt:i4>
      </vt:variant>
      <vt:variant>
        <vt:i4>666</vt:i4>
      </vt:variant>
      <vt:variant>
        <vt:i4>0</vt:i4>
      </vt:variant>
      <vt:variant>
        <vt:i4>5</vt:i4>
      </vt:variant>
      <vt:variant>
        <vt:lpwstr>https://www.brookings.edu/articles/japan-rental-housing-markets/</vt:lpwstr>
      </vt:variant>
      <vt:variant>
        <vt:lpwstr/>
      </vt:variant>
      <vt:variant>
        <vt:i4>524383</vt:i4>
      </vt:variant>
      <vt:variant>
        <vt:i4>663</vt:i4>
      </vt:variant>
      <vt:variant>
        <vt:i4>0</vt:i4>
      </vt:variant>
      <vt:variant>
        <vt:i4>5</vt:i4>
      </vt:variant>
      <vt:variant>
        <vt:lpwstr>https://treasury.gov.au/publication/economic-roundup-winter-2006/a-brief-history-of-australias-tax-system</vt:lpwstr>
      </vt:variant>
      <vt:variant>
        <vt:lpwstr/>
      </vt:variant>
      <vt:variant>
        <vt:i4>262165</vt:i4>
      </vt:variant>
      <vt:variant>
        <vt:i4>660</vt:i4>
      </vt:variant>
      <vt:variant>
        <vt:i4>0</vt:i4>
      </vt:variant>
      <vt:variant>
        <vt:i4>5</vt:i4>
      </vt:variant>
      <vt:variant>
        <vt:lpwstr>https://treasury.gov.au/publication/p2021-217760</vt:lpwstr>
      </vt:variant>
      <vt:variant>
        <vt:lpwstr/>
      </vt:variant>
      <vt:variant>
        <vt:i4>5832732</vt:i4>
      </vt:variant>
      <vt:variant>
        <vt:i4>657</vt:i4>
      </vt:variant>
      <vt:variant>
        <vt:i4>0</vt:i4>
      </vt:variant>
      <vt:variant>
        <vt:i4>5</vt:i4>
      </vt:variant>
      <vt:variant>
        <vt:lpwstr>https://treasury.gov.au/sites/default/files/2023-04/c2022-313936-yfys-review.pdf</vt:lpwstr>
      </vt:variant>
      <vt:variant>
        <vt:lpwstr/>
      </vt:variant>
      <vt:variant>
        <vt:i4>3604531</vt:i4>
      </vt:variant>
      <vt:variant>
        <vt:i4>654</vt:i4>
      </vt:variant>
      <vt:variant>
        <vt:i4>0</vt:i4>
      </vt:variant>
      <vt:variant>
        <vt:i4>5</vt:i4>
      </vt:variant>
      <vt:variant>
        <vt:lpwstr>https://www.whitehouse.gov/omb/budget/analytical-perspectives/</vt:lpwstr>
      </vt:variant>
      <vt:variant>
        <vt:lpwstr/>
      </vt:variant>
      <vt:variant>
        <vt:i4>851988</vt:i4>
      </vt:variant>
      <vt:variant>
        <vt:i4>651</vt:i4>
      </vt:variant>
      <vt:variant>
        <vt:i4>0</vt:i4>
      </vt:variant>
      <vt:variant>
        <vt:i4>5</vt:i4>
      </vt:variant>
      <vt:variant>
        <vt:lpwstr>https://www.economist.com/finance-and-economics/2021/09/25/beware-the-backlash-as-financiers-muscle-into-rental-property</vt:lpwstr>
      </vt:variant>
      <vt:variant>
        <vt:lpwstr/>
      </vt:variant>
      <vt:variant>
        <vt:i4>2752544</vt:i4>
      </vt:variant>
      <vt:variant>
        <vt:i4>648</vt:i4>
      </vt:variant>
      <vt:variant>
        <vt:i4>0</vt:i4>
      </vt:variant>
      <vt:variant>
        <vt:i4>5</vt:i4>
      </vt:variant>
      <vt:variant>
        <vt:lpwstr>https://www.sro.tas.gov.au/land-tax/exemptions-and-rebates/new-home-used-for-long-term-rental-exemption</vt:lpwstr>
      </vt:variant>
      <vt:variant>
        <vt:lpwstr/>
      </vt:variant>
      <vt:variant>
        <vt:i4>8126568</vt:i4>
      </vt:variant>
      <vt:variant>
        <vt:i4>645</vt:i4>
      </vt:variant>
      <vt:variant>
        <vt:i4>0</vt:i4>
      </vt:variant>
      <vt:variant>
        <vt:i4>5</vt:i4>
      </vt:variant>
      <vt:variant>
        <vt:lpwstr>https://ministers.treasury.gov.au/ministers/michael-sukkar-2017/media-releases/increasing-supply-affordable-housing</vt:lpwstr>
      </vt:variant>
      <vt:variant>
        <vt:lpwstr/>
      </vt:variant>
      <vt:variant>
        <vt:i4>7667759</vt:i4>
      </vt:variant>
      <vt:variant>
        <vt:i4>642</vt:i4>
      </vt:variant>
      <vt:variant>
        <vt:i4>0</vt:i4>
      </vt:variant>
      <vt:variant>
        <vt:i4>5</vt:i4>
      </vt:variant>
      <vt:variant>
        <vt:lpwstr>https://hbr.org/2005/04/the-half-truth-of-first-mover-advantage</vt:lpwstr>
      </vt:variant>
      <vt:variant>
        <vt:lpwstr/>
      </vt:variant>
      <vt:variant>
        <vt:i4>2883623</vt:i4>
      </vt:variant>
      <vt:variant>
        <vt:i4>639</vt:i4>
      </vt:variant>
      <vt:variant>
        <vt:i4>0</vt:i4>
      </vt:variant>
      <vt:variant>
        <vt:i4>5</vt:i4>
      </vt:variant>
      <vt:variant>
        <vt:lpwstr>https://www.sgch.com.au/news/sgch-and-lighthouse-scale-up-to-120million-institutional-investment-to-support-affordable-key-worker-housing/</vt:lpwstr>
      </vt:variant>
      <vt:variant>
        <vt:lpwstr/>
      </vt:variant>
      <vt:variant>
        <vt:i4>6946870</vt:i4>
      </vt:variant>
      <vt:variant>
        <vt:i4>636</vt:i4>
      </vt:variant>
      <vt:variant>
        <vt:i4>0</vt:i4>
      </vt:variant>
      <vt:variant>
        <vt:i4>5</vt:i4>
      </vt:variant>
      <vt:variant>
        <vt:lpwstr>https://sellier-patrimoine.com/en/pinel</vt:lpwstr>
      </vt:variant>
      <vt:variant>
        <vt:lpwstr/>
      </vt:variant>
      <vt:variant>
        <vt:i4>1048605</vt:i4>
      </vt:variant>
      <vt:variant>
        <vt:i4>633</vt:i4>
      </vt:variant>
      <vt:variant>
        <vt:i4>0</vt:i4>
      </vt:variant>
      <vt:variant>
        <vt:i4>5</vt:i4>
      </vt:variant>
      <vt:variant>
        <vt:lpwstr>http://eprints.lse.ac.uk/106241/</vt:lpwstr>
      </vt:variant>
      <vt:variant>
        <vt:lpwstr/>
      </vt:variant>
      <vt:variant>
        <vt:i4>1638416</vt:i4>
      </vt:variant>
      <vt:variant>
        <vt:i4>630</vt:i4>
      </vt:variant>
      <vt:variant>
        <vt:i4>0</vt:i4>
      </vt:variant>
      <vt:variant>
        <vt:i4>5</vt:i4>
      </vt:variant>
      <vt:variant>
        <vt:lpwstr>https://www.savills.com/impacts/market-trends/multifamily-attracts-record-global-investment.html</vt:lpwstr>
      </vt:variant>
      <vt:variant>
        <vt:lpwstr/>
      </vt:variant>
      <vt:variant>
        <vt:i4>131090</vt:i4>
      </vt:variant>
      <vt:variant>
        <vt:i4>627</vt:i4>
      </vt:variant>
      <vt:variant>
        <vt:i4>0</vt:i4>
      </vt:variant>
      <vt:variant>
        <vt:i4>5</vt:i4>
      </vt:variant>
      <vt:variant>
        <vt:lpwstr>https://pdf.savills.asia/asia-pacific-research/australian-research/australia-student-accommodation/australian-student-accommodation-2022.pdf</vt:lpwstr>
      </vt:variant>
      <vt:variant>
        <vt:lpwstr/>
      </vt:variant>
      <vt:variant>
        <vt:i4>7340085</vt:i4>
      </vt:variant>
      <vt:variant>
        <vt:i4>624</vt:i4>
      </vt:variant>
      <vt:variant>
        <vt:i4>0</vt:i4>
      </vt:variant>
      <vt:variant>
        <vt:i4>5</vt:i4>
      </vt:variant>
      <vt:variant>
        <vt:lpwstr>http://www.ahuri.edu.au/research/final-reports/267</vt:lpwstr>
      </vt:variant>
      <vt:variant>
        <vt:lpwstr/>
      </vt:variant>
      <vt:variant>
        <vt:i4>2752556</vt:i4>
      </vt:variant>
      <vt:variant>
        <vt:i4>621</vt:i4>
      </vt:variant>
      <vt:variant>
        <vt:i4>0</vt:i4>
      </vt:variant>
      <vt:variant>
        <vt:i4>5</vt:i4>
      </vt:variant>
      <vt:variant>
        <vt:lpwstr>https://www.ahuri.edu.au/research/final-reports/219</vt:lpwstr>
      </vt:variant>
      <vt:variant>
        <vt:lpwstr/>
      </vt:variant>
      <vt:variant>
        <vt:i4>851990</vt:i4>
      </vt:variant>
      <vt:variant>
        <vt:i4>618</vt:i4>
      </vt:variant>
      <vt:variant>
        <vt:i4>0</vt:i4>
      </vt:variant>
      <vt:variant>
        <vt:i4>5</vt:i4>
      </vt:variant>
      <vt:variant>
        <vt:lpwstr>https://www.rba.gov.au/statistics/tables/</vt:lpwstr>
      </vt:variant>
      <vt:variant>
        <vt:lpwstr/>
      </vt:variant>
      <vt:variant>
        <vt:i4>6225944</vt:i4>
      </vt:variant>
      <vt:variant>
        <vt:i4>615</vt:i4>
      </vt:variant>
      <vt:variant>
        <vt:i4>0</vt:i4>
      </vt:variant>
      <vt:variant>
        <vt:i4>5</vt:i4>
      </vt:variant>
      <vt:variant>
        <vt:lpwstr>https://www.rba.gov.au/chart-pack/bond-issuance.html</vt:lpwstr>
      </vt:variant>
      <vt:variant>
        <vt:lpwstr/>
      </vt:variant>
      <vt:variant>
        <vt:i4>1835087</vt:i4>
      </vt:variant>
      <vt:variant>
        <vt:i4>612</vt:i4>
      </vt:variant>
      <vt:variant>
        <vt:i4>0</vt:i4>
      </vt:variant>
      <vt:variant>
        <vt:i4>5</vt:i4>
      </vt:variant>
      <vt:variant>
        <vt:lpwstr>https://www.propertycouncil.com.au/wp-content/uploads/2022/11/Property-Council-PBSA-Report-08.11.2022-v3.pdf</vt:lpwstr>
      </vt:variant>
      <vt:variant>
        <vt:lpwstr/>
      </vt:variant>
      <vt:variant>
        <vt:i4>2162812</vt:i4>
      </vt:variant>
      <vt:variant>
        <vt:i4>609</vt:i4>
      </vt:variant>
      <vt:variant>
        <vt:i4>0</vt:i4>
      </vt:variant>
      <vt:variant>
        <vt:i4>5</vt:i4>
      </vt:variant>
      <vt:variant>
        <vt:lpwstr>https://www.pc.gov.au/research/supporting/efficiency-effectiveness/efficiency-effectiveness.pdf</vt:lpwstr>
      </vt:variant>
      <vt:variant>
        <vt:lpwstr/>
      </vt:variant>
      <vt:variant>
        <vt:i4>4325378</vt:i4>
      </vt:variant>
      <vt:variant>
        <vt:i4>606</vt:i4>
      </vt:variant>
      <vt:variant>
        <vt:i4>0</vt:i4>
      </vt:variant>
      <vt:variant>
        <vt:i4>5</vt:i4>
      </vt:variant>
      <vt:variant>
        <vt:lpwstr>https://www.pc.gov.au/inquiries/completed/housing-homelessness/report</vt:lpwstr>
      </vt:variant>
      <vt:variant>
        <vt:lpwstr/>
      </vt:variant>
      <vt:variant>
        <vt:i4>6619186</vt:i4>
      </vt:variant>
      <vt:variant>
        <vt:i4>603</vt:i4>
      </vt:variant>
      <vt:variant>
        <vt:i4>0</vt:i4>
      </vt:variant>
      <vt:variant>
        <vt:i4>5</vt:i4>
      </vt:variant>
      <vt:variant>
        <vt:lpwstr>https://www.pc.gov.au/ongoing/report-on-government-services/2023/housing-and-homelessness/homelessness-services</vt:lpwstr>
      </vt:variant>
      <vt:variant>
        <vt:lpwstr/>
      </vt:variant>
      <vt:variant>
        <vt:i4>3342443</vt:i4>
      </vt:variant>
      <vt:variant>
        <vt:i4>600</vt:i4>
      </vt:variant>
      <vt:variant>
        <vt:i4>0</vt:i4>
      </vt:variant>
      <vt:variant>
        <vt:i4>5</vt:i4>
      </vt:variant>
      <vt:variant>
        <vt:lpwstr>https://www.gov.uk/government/news/funding-package-to-deliver-thousands-of-new-homes accessed July 2023</vt:lpwstr>
      </vt:variant>
      <vt:variant>
        <vt:lpwstr/>
      </vt:variant>
      <vt:variant>
        <vt:i4>7274617</vt:i4>
      </vt:variant>
      <vt:variant>
        <vt:i4>597</vt:i4>
      </vt:variant>
      <vt:variant>
        <vt:i4>0</vt:i4>
      </vt:variant>
      <vt:variant>
        <vt:i4>5</vt:i4>
      </vt:variant>
      <vt:variant>
        <vt:lpwstr>https://cityfutures.ada.unsw.edu.au/documents/551/LCOM_0000_Build_to_Rent_Report_WEB_July_2019.pdf</vt:lpwstr>
      </vt:variant>
      <vt:variant>
        <vt:lpwstr/>
      </vt:variant>
      <vt:variant>
        <vt:i4>7209080</vt:i4>
      </vt:variant>
      <vt:variant>
        <vt:i4>594</vt:i4>
      </vt:variant>
      <vt:variant>
        <vt:i4>0</vt:i4>
      </vt:variant>
      <vt:variant>
        <vt:i4>5</vt:i4>
      </vt:variant>
      <vt:variant>
        <vt:lpwstr>https://www.ons.gov.uk/peoplepopulationandcommunity/housing/bulletins/housingenglandandwales/census2021</vt:lpwstr>
      </vt:variant>
      <vt:variant>
        <vt:lpwstr/>
      </vt:variant>
      <vt:variant>
        <vt:i4>3801196</vt:i4>
      </vt:variant>
      <vt:variant>
        <vt:i4>591</vt:i4>
      </vt:variant>
      <vt:variant>
        <vt:i4>0</vt:i4>
      </vt:variant>
      <vt:variant>
        <vt:i4>5</vt:i4>
      </vt:variant>
      <vt:variant>
        <vt:lpwstr>https://www.oecd.org/housing/data/affordable-housing-database/</vt:lpwstr>
      </vt:variant>
      <vt:variant>
        <vt:lpwstr/>
      </vt:variant>
      <vt:variant>
        <vt:i4>2359414</vt:i4>
      </vt:variant>
      <vt:variant>
        <vt:i4>588</vt:i4>
      </vt:variant>
      <vt:variant>
        <vt:i4>0</vt:i4>
      </vt:variant>
      <vt:variant>
        <vt:i4>5</vt:i4>
      </vt:variant>
      <vt:variant>
        <vt:lpwstr>https://www.oecd.org/els/family/PH5-1-Measures-financing-affordable-housing-development.pdf</vt:lpwstr>
      </vt:variant>
      <vt:variant>
        <vt:lpwstr/>
      </vt:variant>
      <vt:variant>
        <vt:i4>2490465</vt:i4>
      </vt:variant>
      <vt:variant>
        <vt:i4>585</vt:i4>
      </vt:variant>
      <vt:variant>
        <vt:i4>0</vt:i4>
      </vt:variant>
      <vt:variant>
        <vt:i4>5</vt:i4>
      </vt:variant>
      <vt:variant>
        <vt:lpwstr>https://www.nhfic.gov.au/research/state-nations-housing-report-2022-23</vt:lpwstr>
      </vt:variant>
      <vt:variant>
        <vt:lpwstr/>
      </vt:variant>
      <vt:variant>
        <vt:i4>1572929</vt:i4>
      </vt:variant>
      <vt:variant>
        <vt:i4>582</vt:i4>
      </vt:variant>
      <vt:variant>
        <vt:i4>0</vt:i4>
      </vt:variant>
      <vt:variant>
        <vt:i4>5</vt:i4>
      </vt:variant>
      <vt:variant>
        <vt:lpwstr>https://www.treasury.nsw.gov.au/sites/default/files/2021-02/Treasurer%E2%80%99s Guidelines for the Reduction in Land Value for Certain Build-to-rent Properties%2C for Land Tax Purposes.pdf</vt:lpwstr>
      </vt:variant>
      <vt:variant>
        <vt:lpwstr/>
      </vt:variant>
      <vt:variant>
        <vt:i4>4915291</vt:i4>
      </vt:variant>
      <vt:variant>
        <vt:i4>579</vt:i4>
      </vt:variant>
      <vt:variant>
        <vt:i4>0</vt:i4>
      </vt:variant>
      <vt:variant>
        <vt:i4>5</vt:i4>
      </vt:variant>
      <vt:variant>
        <vt:lpwstr>https://legislation.nsw.gov.au/view/html/inforce/current/epi-2021-0714</vt:lpwstr>
      </vt:variant>
      <vt:variant>
        <vt:lpwstr>sec.13</vt:lpwstr>
      </vt:variant>
      <vt:variant>
        <vt:i4>1245209</vt:i4>
      </vt:variant>
      <vt:variant>
        <vt:i4>576</vt:i4>
      </vt:variant>
      <vt:variant>
        <vt:i4>0</vt:i4>
      </vt:variant>
      <vt:variant>
        <vt:i4>5</vt:i4>
      </vt:variant>
      <vt:variant>
        <vt:lpwstr>https://www.facs.nsw.gov.au/download?file=640701</vt:lpwstr>
      </vt:variant>
      <vt:variant>
        <vt:lpwstr/>
      </vt:variant>
      <vt:variant>
        <vt:i4>4325450</vt:i4>
      </vt:variant>
      <vt:variant>
        <vt:i4>573</vt:i4>
      </vt:variant>
      <vt:variant>
        <vt:i4>0</vt:i4>
      </vt:variant>
      <vt:variant>
        <vt:i4>5</vt:i4>
      </vt:variant>
      <vt:variant>
        <vt:lpwstr>https://www.facs.nsw.gov.au/reforms/NRSCH/review-of-the-national-regulatory-system-for-community-housing</vt:lpwstr>
      </vt:variant>
      <vt:variant>
        <vt:lpwstr/>
      </vt:variant>
      <vt:variant>
        <vt:i4>5898261</vt:i4>
      </vt:variant>
      <vt:variant>
        <vt:i4>570</vt:i4>
      </vt:variant>
      <vt:variant>
        <vt:i4>0</vt:i4>
      </vt:variant>
      <vt:variant>
        <vt:i4>5</vt:i4>
      </vt:variant>
      <vt:variant>
        <vt:lpwstr>https://shelter.org.au/site/wp-content/uploads/The-Australian-Rental-Market-Report-Final-Web.pdf</vt:lpwstr>
      </vt:variant>
      <vt:variant>
        <vt:lpwstr/>
      </vt:variant>
      <vt:variant>
        <vt:i4>5832733</vt:i4>
      </vt:variant>
      <vt:variant>
        <vt:i4>567</vt:i4>
      </vt:variant>
      <vt:variant>
        <vt:i4>0</vt:i4>
      </vt:variant>
      <vt:variant>
        <vt:i4>5</vt:i4>
      </vt:variant>
      <vt:variant>
        <vt:lpwstr>https://nrsch.gov.au/providers/categories-of-registration-tiers.html</vt:lpwstr>
      </vt:variant>
      <vt:variant>
        <vt:lpwstr/>
      </vt:variant>
      <vt:variant>
        <vt:i4>8323129</vt:i4>
      </vt:variant>
      <vt:variant>
        <vt:i4>564</vt:i4>
      </vt:variant>
      <vt:variant>
        <vt:i4>0</vt:i4>
      </vt:variant>
      <vt:variant>
        <vt:i4>5</vt:i4>
      </vt:variant>
      <vt:variant>
        <vt:lpwstr>https://nrsch.gov.au/documents/publications/regulatory-framework-latest.pdf</vt:lpwstr>
      </vt:variant>
      <vt:variant>
        <vt:lpwstr/>
      </vt:variant>
      <vt:variant>
        <vt:i4>8323189</vt:i4>
      </vt:variant>
      <vt:variant>
        <vt:i4>561</vt:i4>
      </vt:variant>
      <vt:variant>
        <vt:i4>0</vt:i4>
      </vt:variant>
      <vt:variant>
        <vt:i4>5</vt:i4>
      </vt:variant>
      <vt:variant>
        <vt:lpwstr>https://www.pc.gov.au/research/supporting/ecosystem-services/cmfes.pdf</vt:lpwstr>
      </vt:variant>
      <vt:variant>
        <vt:lpwstr/>
      </vt:variant>
      <vt:variant>
        <vt:i4>7012452</vt:i4>
      </vt:variant>
      <vt:variant>
        <vt:i4>558</vt:i4>
      </vt:variant>
      <vt:variant>
        <vt:i4>0</vt:i4>
      </vt:variant>
      <vt:variant>
        <vt:i4>5</vt:i4>
      </vt:variant>
      <vt:variant>
        <vt:lpwstr>https://www.gov.uk/government/publications/housing-guarantee-scheme-rules-private-rented-sector</vt:lpwstr>
      </vt:variant>
      <vt:variant>
        <vt:lpwstr/>
      </vt:variant>
      <vt:variant>
        <vt:i4>2818092</vt:i4>
      </vt:variant>
      <vt:variant>
        <vt:i4>555</vt:i4>
      </vt:variant>
      <vt:variant>
        <vt:i4>0</vt:i4>
      </vt:variant>
      <vt:variant>
        <vt:i4>5</vt:i4>
      </vt:variant>
      <vt:variant>
        <vt:lpwstr>https://www.ahuri.edu.au/research/final-reports/202</vt:lpwstr>
      </vt:variant>
      <vt:variant>
        <vt:lpwstr/>
      </vt:variant>
      <vt:variant>
        <vt:i4>3014696</vt:i4>
      </vt:variant>
      <vt:variant>
        <vt:i4>552</vt:i4>
      </vt:variant>
      <vt:variant>
        <vt:i4>0</vt:i4>
      </vt:variant>
      <vt:variant>
        <vt:i4>5</vt:i4>
      </vt:variant>
      <vt:variant>
        <vt:lpwstr>https://www.ahuri.edu.au/research/final-reports/65</vt:lpwstr>
      </vt:variant>
      <vt:variant>
        <vt:lpwstr/>
      </vt:variant>
      <vt:variant>
        <vt:i4>2490480</vt:i4>
      </vt:variant>
      <vt:variant>
        <vt:i4>549</vt:i4>
      </vt:variant>
      <vt:variant>
        <vt:i4>0</vt:i4>
      </vt:variant>
      <vt:variant>
        <vt:i4>5</vt:i4>
      </vt:variant>
      <vt:variant>
        <vt:lpwstr>https://cityfutures.ada.unsw.edu.au/documents/81/Next_moves_report.pdf</vt:lpwstr>
      </vt:variant>
      <vt:variant>
        <vt:lpwstr/>
      </vt:variant>
      <vt:variant>
        <vt:i4>5570570</vt:i4>
      </vt:variant>
      <vt:variant>
        <vt:i4>546</vt:i4>
      </vt:variant>
      <vt:variant>
        <vt:i4>0</vt:i4>
      </vt:variant>
      <vt:variant>
        <vt:i4>5</vt:i4>
      </vt:variant>
      <vt:variant>
        <vt:lpwstr>https://www.ahuri.edu.au/sites/default/files/migration/documents/AHURI_Final_Report_No278_Developing-the-scale-and-capacity-of-Australias-affordable-housing-industry.pdf</vt:lpwstr>
      </vt:variant>
      <vt:variant>
        <vt:lpwstr/>
      </vt:variant>
      <vt:variant>
        <vt:i4>2818090</vt:i4>
      </vt:variant>
      <vt:variant>
        <vt:i4>543</vt:i4>
      </vt:variant>
      <vt:variant>
        <vt:i4>0</vt:i4>
      </vt:variant>
      <vt:variant>
        <vt:i4>5</vt:i4>
      </vt:variant>
      <vt:variant>
        <vt:lpwstr>https://www.ahuri.edu.au/research/final-reports/401</vt:lpwstr>
      </vt:variant>
      <vt:variant>
        <vt:lpwstr/>
      </vt:variant>
      <vt:variant>
        <vt:i4>2687012</vt:i4>
      </vt:variant>
      <vt:variant>
        <vt:i4>540</vt:i4>
      </vt:variant>
      <vt:variant>
        <vt:i4>0</vt:i4>
      </vt:variant>
      <vt:variant>
        <vt:i4>5</vt:i4>
      </vt:variant>
      <vt:variant>
        <vt:lpwstr>https://longview.com.au/hubfs/whitepaper-what-drives-australian-house-prices-over-long-term.pdf</vt:lpwstr>
      </vt:variant>
      <vt:variant>
        <vt:lpwstr/>
      </vt:variant>
      <vt:variant>
        <vt:i4>4587533</vt:i4>
      </vt:variant>
      <vt:variant>
        <vt:i4>537</vt:i4>
      </vt:variant>
      <vt:variant>
        <vt:i4>0</vt:i4>
      </vt:variant>
      <vt:variant>
        <vt:i4>5</vt:i4>
      </vt:variant>
      <vt:variant>
        <vt:lpwstr>https://www.pexa.com.au/staticly-media/2023/05/LongView-PEXA-Whitepaper-3-Mobilising-Private-Capital-for-New-Housing-Solutions-sm-1684212151.pdf</vt:lpwstr>
      </vt:variant>
      <vt:variant>
        <vt:lpwstr/>
      </vt:variant>
      <vt:variant>
        <vt:i4>6946940</vt:i4>
      </vt:variant>
      <vt:variant>
        <vt:i4>534</vt:i4>
      </vt:variant>
      <vt:variant>
        <vt:i4>0</vt:i4>
      </vt:variant>
      <vt:variant>
        <vt:i4>5</vt:i4>
      </vt:variant>
      <vt:variant>
        <vt:lpwstr>https://www.ahuri.edu.au/sites/default/files/migration/documents/AHURI-Final-Report-306-Social-housing-as-infrastructure-an-investment-pathway.pdf</vt:lpwstr>
      </vt:variant>
      <vt:variant>
        <vt:lpwstr/>
      </vt:variant>
      <vt:variant>
        <vt:i4>2752557</vt:i4>
      </vt:variant>
      <vt:variant>
        <vt:i4>531</vt:i4>
      </vt:variant>
      <vt:variant>
        <vt:i4>0</vt:i4>
      </vt:variant>
      <vt:variant>
        <vt:i4>5</vt:i4>
      </vt:variant>
      <vt:variant>
        <vt:lpwstr>https://www.ahuri.edu.au/research/final-reports/315</vt:lpwstr>
      </vt:variant>
      <vt:variant>
        <vt:lpwstr/>
      </vt:variant>
      <vt:variant>
        <vt:i4>3670135</vt:i4>
      </vt:variant>
      <vt:variant>
        <vt:i4>528</vt:i4>
      </vt:variant>
      <vt:variant>
        <vt:i4>0</vt:i4>
      </vt:variant>
      <vt:variant>
        <vt:i4>5</vt:i4>
      </vt:variant>
      <vt:variant>
        <vt:lpwstr>https://www.ahuri.edu.au/sites/default/files/migration/documents/AHURI_Positioning_Paper_No156_The-use-of-guarantees-in-affordable-housing-investment-a-selective-international-review.pdf</vt:lpwstr>
      </vt:variant>
      <vt:variant>
        <vt:lpwstr/>
      </vt:variant>
      <vt:variant>
        <vt:i4>5177408</vt:i4>
      </vt:variant>
      <vt:variant>
        <vt:i4>525</vt:i4>
      </vt:variant>
      <vt:variant>
        <vt:i4>0</vt:i4>
      </vt:variant>
      <vt:variant>
        <vt:i4>5</vt:i4>
      </vt:variant>
      <vt:variant>
        <vt:lpwstr>https://www.adb.org/sites/default/files/publication/181404/adbi-wp558.pdf</vt:lpwstr>
      </vt:variant>
      <vt:variant>
        <vt:lpwstr/>
      </vt:variant>
      <vt:variant>
        <vt:i4>1638400</vt:i4>
      </vt:variant>
      <vt:variant>
        <vt:i4>522</vt:i4>
      </vt:variant>
      <vt:variant>
        <vt:i4>0</vt:i4>
      </vt:variant>
      <vt:variant>
        <vt:i4>5</vt:i4>
      </vt:variant>
      <vt:variant>
        <vt:lpwstr>https://www.jll.com.au/content/dam/jll-com/documents/pdf/research/apac/australia/jll-alternative-investment-review-v4.pdf</vt:lpwstr>
      </vt:variant>
      <vt:variant>
        <vt:lpwstr/>
      </vt:variant>
      <vt:variant>
        <vt:i4>3932285</vt:i4>
      </vt:variant>
      <vt:variant>
        <vt:i4>519</vt:i4>
      </vt:variant>
      <vt:variant>
        <vt:i4>0</vt:i4>
      </vt:variant>
      <vt:variant>
        <vt:i4>5</vt:i4>
      </vt:variant>
      <vt:variant>
        <vt:lpwstr>https://www.jll.com.au/content/dam/jll-com/documents/pdf/research/apac/australia/jll-research-australias-build-to-rent-sector-review-outlook-2023-final.pdf</vt:lpwstr>
      </vt:variant>
      <vt:variant>
        <vt:lpwstr/>
      </vt:variant>
      <vt:variant>
        <vt:i4>1703960</vt:i4>
      </vt:variant>
      <vt:variant>
        <vt:i4>516</vt:i4>
      </vt:variant>
      <vt:variant>
        <vt:i4>0</vt:i4>
      </vt:variant>
      <vt:variant>
        <vt:i4>5</vt:i4>
      </vt:variant>
      <vt:variant>
        <vt:lpwstr>https://www.jll.com.au/en/trends-and-insights/research/australian-office-market-overview-q1-2023</vt:lpwstr>
      </vt:variant>
      <vt:variant>
        <vt:lpwstr/>
      </vt:variant>
      <vt:variant>
        <vt:i4>1572893</vt:i4>
      </vt:variant>
      <vt:variant>
        <vt:i4>513</vt:i4>
      </vt:variant>
      <vt:variant>
        <vt:i4>0</vt:i4>
      </vt:variant>
      <vt:variant>
        <vt:i4>5</vt:i4>
      </vt:variant>
      <vt:variant>
        <vt:lpwstr>https://www.jll.com.au/en/trends-and-insights/research/australian-retail-market-overview-q1-2023</vt:lpwstr>
      </vt:variant>
      <vt:variant>
        <vt:lpwstr/>
      </vt:variant>
      <vt:variant>
        <vt:i4>1703967</vt:i4>
      </vt:variant>
      <vt:variant>
        <vt:i4>510</vt:i4>
      </vt:variant>
      <vt:variant>
        <vt:i4>0</vt:i4>
      </vt:variant>
      <vt:variant>
        <vt:i4>5</vt:i4>
      </vt:variant>
      <vt:variant>
        <vt:lpwstr>https://www.jll.com.au/en/trends-and-insights/research/australian-industrial-market-overview-q1-2023</vt:lpwstr>
      </vt:variant>
      <vt:variant>
        <vt:lpwstr/>
      </vt:variant>
      <vt:variant>
        <vt:i4>5636213</vt:i4>
      </vt:variant>
      <vt:variant>
        <vt:i4>507</vt:i4>
      </vt:variant>
      <vt:variant>
        <vt:i4>0</vt:i4>
      </vt:variant>
      <vt:variant>
        <vt:i4>5</vt:i4>
      </vt:variant>
      <vt:variant>
        <vt:lpwstr>http://ispt.net.au/pdf/2022_Annual_Review/docs/ISPT_2022_Annual_Review.pdf</vt:lpwstr>
      </vt:variant>
      <vt:variant>
        <vt:lpwstr/>
      </vt:variant>
      <vt:variant>
        <vt:i4>3080229</vt:i4>
      </vt:variant>
      <vt:variant>
        <vt:i4>504</vt:i4>
      </vt:variant>
      <vt:variant>
        <vt:i4>0</vt:i4>
      </vt:variant>
      <vt:variant>
        <vt:i4>5</vt:i4>
      </vt:variant>
      <vt:variant>
        <vt:lpwstr>https://www.ipf.org.uk/resourceLibrary/the-size---structure-of-the-uk-property-market-year-end-2020--january-2022--report.html</vt:lpwstr>
      </vt:variant>
      <vt:variant>
        <vt:lpwstr/>
      </vt:variant>
      <vt:variant>
        <vt:i4>917527</vt:i4>
      </vt:variant>
      <vt:variant>
        <vt:i4>501</vt:i4>
      </vt:variant>
      <vt:variant>
        <vt:i4>0</vt:i4>
      </vt:variant>
      <vt:variant>
        <vt:i4>5</vt:i4>
      </vt:variant>
      <vt:variant>
        <vt:lpwstr>https://www.pc.gov.au/inquiries/completed/public-housing</vt:lpwstr>
      </vt:variant>
      <vt:variant>
        <vt:lpwstr/>
      </vt:variant>
      <vt:variant>
        <vt:i4>2228268</vt:i4>
      </vt:variant>
      <vt:variant>
        <vt:i4>498</vt:i4>
      </vt:variant>
      <vt:variant>
        <vt:i4>0</vt:i4>
      </vt:variant>
      <vt:variant>
        <vt:i4>5</vt:i4>
      </vt:variant>
      <vt:variant>
        <vt:lpwstr>https://www.ahuri.edu.au/research/final-reports/296</vt:lpwstr>
      </vt:variant>
      <vt:variant>
        <vt:lpwstr/>
      </vt:variant>
      <vt:variant>
        <vt:i4>7340114</vt:i4>
      </vt:variant>
      <vt:variant>
        <vt:i4>495</vt:i4>
      </vt:variant>
      <vt:variant>
        <vt:i4>0</vt:i4>
      </vt:variant>
      <vt:variant>
        <vt:i4>5</vt:i4>
      </vt:variant>
      <vt:variant>
        <vt:lpwstr>https://web.archive.org/web/20190725155446/https:/assets.publishing.service.gov.uk/government/uploads/system/uploads/attachment_data/file/559586/Build_to_Rent_Fund_Prospectus_-_archived.pdf</vt:lpwstr>
      </vt:variant>
      <vt:variant>
        <vt:lpwstr/>
      </vt:variant>
      <vt:variant>
        <vt:i4>6094916</vt:i4>
      </vt:variant>
      <vt:variant>
        <vt:i4>492</vt:i4>
      </vt:variant>
      <vt:variant>
        <vt:i4>0</vt:i4>
      </vt:variant>
      <vt:variant>
        <vt:i4>5</vt:i4>
      </vt:variant>
      <vt:variant>
        <vt:lpwstr>https://web.archive.org/web/20140227074623/http:/www.homesandcommunities.co.uk/ourwork/affordable-homes-guarantees-programme</vt:lpwstr>
      </vt:variant>
      <vt:variant>
        <vt:lpwstr/>
      </vt:variant>
      <vt:variant>
        <vt:i4>852046</vt:i4>
      </vt:variant>
      <vt:variant>
        <vt:i4>489</vt:i4>
      </vt:variant>
      <vt:variant>
        <vt:i4>0</vt:i4>
      </vt:variant>
      <vt:variant>
        <vt:i4>5</vt:i4>
      </vt:variant>
      <vt:variant>
        <vt:lpwstr>https://www.boj.or.jp/en/research/wps_rev/rev_2022/data/rev22e07.pdf</vt:lpwstr>
      </vt:variant>
      <vt:variant>
        <vt:lpwstr/>
      </vt:variant>
      <vt:variant>
        <vt:i4>2359358</vt:i4>
      </vt:variant>
      <vt:variant>
        <vt:i4>486</vt:i4>
      </vt:variant>
      <vt:variant>
        <vt:i4>0</vt:i4>
      </vt:variant>
      <vt:variant>
        <vt:i4>5</vt:i4>
      </vt:variant>
      <vt:variant>
        <vt:lpwstr>https://assets.publishing.service.gov.uk/government/uploads/system/uploads/attachment_data/file/1157608/E02903086_HMT_Main_Supply_Estimates_23-24_Web_Accessible.pdf</vt:lpwstr>
      </vt:variant>
      <vt:variant>
        <vt:lpwstr/>
      </vt:variant>
      <vt:variant>
        <vt:i4>6553650</vt:i4>
      </vt:variant>
      <vt:variant>
        <vt:i4>483</vt:i4>
      </vt:variant>
      <vt:variant>
        <vt:i4>0</vt:i4>
      </vt:variant>
      <vt:variant>
        <vt:i4>5</vt:i4>
      </vt:variant>
      <vt:variant>
        <vt:lpwstr>https://www.rba.gov.au/publications/bulletin/2023/jun/new-insights-into-the-rental-market.html</vt:lpwstr>
      </vt:variant>
      <vt:variant>
        <vt:lpwstr/>
      </vt:variant>
      <vt:variant>
        <vt:i4>6225936</vt:i4>
      </vt:variant>
      <vt:variant>
        <vt:i4>480</vt:i4>
      </vt:variant>
      <vt:variant>
        <vt:i4>0</vt:i4>
      </vt:variant>
      <vt:variant>
        <vt:i4>5</vt:i4>
      </vt:variant>
      <vt:variant>
        <vt:lpwstr>https://www.globalpropertyguide.com/Europe/Germany/Price-History</vt:lpwstr>
      </vt:variant>
      <vt:variant>
        <vt:lpwstr/>
      </vt:variant>
      <vt:variant>
        <vt:i4>8257569</vt:i4>
      </vt:variant>
      <vt:variant>
        <vt:i4>477</vt:i4>
      </vt:variant>
      <vt:variant>
        <vt:i4>0</vt:i4>
      </vt:variant>
      <vt:variant>
        <vt:i4>5</vt:i4>
      </vt:variant>
      <vt:variant>
        <vt:lpwstr>https://www.greens-efa.eu/en/article/document/my-home-is-an-asset-class</vt:lpwstr>
      </vt:variant>
      <vt:variant>
        <vt:lpwstr/>
      </vt:variant>
      <vt:variant>
        <vt:i4>1048669</vt:i4>
      </vt:variant>
      <vt:variant>
        <vt:i4>474</vt:i4>
      </vt:variant>
      <vt:variant>
        <vt:i4>0</vt:i4>
      </vt:variant>
      <vt:variant>
        <vt:i4>5</vt:i4>
      </vt:variant>
      <vt:variant>
        <vt:lpwstr>https://www.oecd-ilibrary.org/docserver/1ce75d38-en.pdf?expires=1689746267&amp;id=id&amp;accname=guest&amp;checksum=B6F18FBBD52B4ED7F05F69A027A7F8EE</vt:lpwstr>
      </vt:variant>
      <vt:variant>
        <vt:lpwstr/>
      </vt:variant>
      <vt:variant>
        <vt:i4>3932193</vt:i4>
      </vt:variant>
      <vt:variant>
        <vt:i4>471</vt:i4>
      </vt:variant>
      <vt:variant>
        <vt:i4>0</vt:i4>
      </vt:variant>
      <vt:variant>
        <vt:i4>5</vt:i4>
      </vt:variant>
      <vt:variant>
        <vt:lpwstr>https://mf.freddiemac.com/docs/2023_multifamily_outlook.pdf</vt:lpwstr>
      </vt:variant>
      <vt:variant>
        <vt:lpwstr/>
      </vt:variant>
      <vt:variant>
        <vt:i4>2883704</vt:i4>
      </vt:variant>
      <vt:variant>
        <vt:i4>468</vt:i4>
      </vt:variant>
      <vt:variant>
        <vt:i4>0</vt:i4>
      </vt:variant>
      <vt:variant>
        <vt:i4>5</vt:i4>
      </vt:variant>
      <vt:variant>
        <vt:lpwstr>https://www.propertycouncil.com.au/submissions/a-new-form-of-housing-supply-for-australia-build-to-rent-housing</vt:lpwstr>
      </vt:variant>
      <vt:variant>
        <vt:lpwstr/>
      </vt:variant>
      <vt:variant>
        <vt:i4>5308484</vt:i4>
      </vt:variant>
      <vt:variant>
        <vt:i4>465</vt:i4>
      </vt:variant>
      <vt:variant>
        <vt:i4>0</vt:i4>
      </vt:variant>
      <vt:variant>
        <vt:i4>5</vt:i4>
      </vt:variant>
      <vt:variant>
        <vt:lpwstr>https://www.expatica.com/fr/housing/housing-basics/housing-in-france-103857/</vt:lpwstr>
      </vt:variant>
      <vt:variant>
        <vt:lpwstr/>
      </vt:variant>
      <vt:variant>
        <vt:i4>65557</vt:i4>
      </vt:variant>
      <vt:variant>
        <vt:i4>462</vt:i4>
      </vt:variant>
      <vt:variant>
        <vt:i4>0</vt:i4>
      </vt:variant>
      <vt:variant>
        <vt:i4>5</vt:i4>
      </vt:variant>
      <vt:variant>
        <vt:lpwstr>https://data.europa.eu/doi/10.2760/07168</vt:lpwstr>
      </vt:variant>
      <vt:variant>
        <vt:lpwstr/>
      </vt:variant>
      <vt:variant>
        <vt:i4>4456466</vt:i4>
      </vt:variant>
      <vt:variant>
        <vt:i4>459</vt:i4>
      </vt:variant>
      <vt:variant>
        <vt:i4>0</vt:i4>
      </vt:variant>
      <vt:variant>
        <vt:i4>5</vt:i4>
      </vt:variant>
      <vt:variant>
        <vt:lpwstr>https://www.gov.uk/government/statistics/affordable-housing-supply-in-england-2021-to-2022/affordable-housing-supply-in-england-2021-to-2022</vt:lpwstr>
      </vt:variant>
      <vt:variant>
        <vt:lpwstr/>
      </vt:variant>
      <vt:variant>
        <vt:i4>5570668</vt:i4>
      </vt:variant>
      <vt:variant>
        <vt:i4>456</vt:i4>
      </vt:variant>
      <vt:variant>
        <vt:i4>0</vt:i4>
      </vt:variant>
      <vt:variant>
        <vt:i4>5</vt:i4>
      </vt:variant>
      <vt:variant>
        <vt:lpwstr>https://assets.publishing.service.gov.uk/government/uploads/system/uploads/attachment_data/file/344495/ahgp.pdf</vt:lpwstr>
      </vt:variant>
      <vt:variant>
        <vt:lpwstr/>
      </vt:variant>
      <vt:variant>
        <vt:i4>983040</vt:i4>
      </vt:variant>
      <vt:variant>
        <vt:i4>453</vt:i4>
      </vt:variant>
      <vt:variant>
        <vt:i4>0</vt:i4>
      </vt:variant>
      <vt:variant>
        <vt:i4>5</vt:i4>
      </vt:variant>
      <vt:variant>
        <vt:lpwstr>http://classic.austlii.edu.au/au/journals/UNSWLawJl/2021/22.html</vt:lpwstr>
      </vt:variant>
      <vt:variant>
        <vt:lpwstr/>
      </vt:variant>
      <vt:variant>
        <vt:i4>3604525</vt:i4>
      </vt:variant>
      <vt:variant>
        <vt:i4>450</vt:i4>
      </vt:variant>
      <vt:variant>
        <vt:i4>0</vt:i4>
      </vt:variant>
      <vt:variant>
        <vt:i4>5</vt:i4>
      </vt:variant>
      <vt:variant>
        <vt:lpwstr>https://www.corelogic.com.au/news-research/reports/quarterly-rental-review</vt:lpwstr>
      </vt:variant>
      <vt:variant>
        <vt:lpwstr/>
      </vt:variant>
      <vt:variant>
        <vt:i4>4653160</vt:i4>
      </vt:variant>
      <vt:variant>
        <vt:i4>447</vt:i4>
      </vt:variant>
      <vt:variant>
        <vt:i4>0</vt:i4>
      </vt:variant>
      <vt:variant>
        <vt:i4>5</vt:i4>
      </vt:variant>
      <vt:variant>
        <vt:lpwstr>https://www.corelogic.com.au/__data/assets/pdf_file/0016/15910/CoreLogic-HVI-Jul-2023-FINAL.pdf</vt:lpwstr>
      </vt:variant>
      <vt:variant>
        <vt:lpwstr/>
      </vt:variant>
      <vt:variant>
        <vt:i4>3145855</vt:i4>
      </vt:variant>
      <vt:variant>
        <vt:i4>444</vt:i4>
      </vt:variant>
      <vt:variant>
        <vt:i4>0</vt:i4>
      </vt:variant>
      <vt:variant>
        <vt:i4>5</vt:i4>
      </vt:variant>
      <vt:variant>
        <vt:lpwstr>https://www.corelogic.com.au/news-research/news/2023/chronic-supply-shortage-causes-reacceleration-of-australian-rental-market</vt:lpwstr>
      </vt:variant>
      <vt:variant>
        <vt:lpwstr/>
      </vt:variant>
      <vt:variant>
        <vt:i4>1900563</vt:i4>
      </vt:variant>
      <vt:variant>
        <vt:i4>441</vt:i4>
      </vt:variant>
      <vt:variant>
        <vt:i4>0</vt:i4>
      </vt:variant>
      <vt:variant>
        <vt:i4>5</vt:i4>
      </vt:variant>
      <vt:variant>
        <vt:lpwstr>https://www.facs.nsw.gov.au/download?file=672883</vt:lpwstr>
      </vt:variant>
      <vt:variant>
        <vt:lpwstr/>
      </vt:variant>
      <vt:variant>
        <vt:i4>8061026</vt:i4>
      </vt:variant>
      <vt:variant>
        <vt:i4>438</vt:i4>
      </vt:variant>
      <vt:variant>
        <vt:i4>0</vt:i4>
      </vt:variant>
      <vt:variant>
        <vt:i4>5</vt:i4>
      </vt:variant>
      <vt:variant>
        <vt:lpwstr>https://treasury.gov.au/sites/default/files/2019-03/C2016-050_Final_report.pdf</vt:lpwstr>
      </vt:variant>
      <vt:variant>
        <vt:lpwstr/>
      </vt:variant>
      <vt:variant>
        <vt:i4>8060975</vt:i4>
      </vt:variant>
      <vt:variant>
        <vt:i4>435</vt:i4>
      </vt:variant>
      <vt:variant>
        <vt:i4>0</vt:i4>
      </vt:variant>
      <vt:variant>
        <vt:i4>5</vt:i4>
      </vt:variant>
      <vt:variant>
        <vt:lpwstr>https://www.claytonutz.com/knowledge/2023/june/the-current-state-of-play-state-and-territory-land-tax-relief-for-build-to-rent-btr-projects</vt:lpwstr>
      </vt:variant>
      <vt:variant>
        <vt:lpwstr/>
      </vt:variant>
      <vt:variant>
        <vt:i4>1966165</vt:i4>
      </vt:variant>
      <vt:variant>
        <vt:i4>432</vt:i4>
      </vt:variant>
      <vt:variant>
        <vt:i4>0</vt:i4>
      </vt:variant>
      <vt:variant>
        <vt:i4>5</vt:i4>
      </vt:variant>
      <vt:variant>
        <vt:lpwstr>https://doi.org/10.1177/00420980211026466</vt:lpwstr>
      </vt:variant>
      <vt:variant>
        <vt:lpwstr/>
      </vt:variant>
      <vt:variant>
        <vt:i4>1310738</vt:i4>
      </vt:variant>
      <vt:variant>
        <vt:i4>429</vt:i4>
      </vt:variant>
      <vt:variant>
        <vt:i4>0</vt:i4>
      </vt:variant>
      <vt:variant>
        <vt:i4>5</vt:i4>
      </vt:variant>
      <vt:variant>
        <vt:lpwstr>https://www.theguardian.com/world/2022/jan/27/large-investors-drive-up-house-prices-in-europes-cities-study-finds</vt:lpwstr>
      </vt:variant>
      <vt:variant>
        <vt:lpwstr/>
      </vt:variant>
      <vt:variant>
        <vt:i4>2687017</vt:i4>
      </vt:variant>
      <vt:variant>
        <vt:i4>426</vt:i4>
      </vt:variant>
      <vt:variant>
        <vt:i4>0</vt:i4>
      </vt:variant>
      <vt:variant>
        <vt:i4>5</vt:i4>
      </vt:variant>
      <vt:variant>
        <vt:lpwstr>https://www.ahuri.edu.au/research/final-reports/72</vt:lpwstr>
      </vt:variant>
      <vt:variant>
        <vt:lpwstr/>
      </vt:variant>
      <vt:variant>
        <vt:i4>4653073</vt:i4>
      </vt:variant>
      <vt:variant>
        <vt:i4>423</vt:i4>
      </vt:variant>
      <vt:variant>
        <vt:i4>0</vt:i4>
      </vt:variant>
      <vt:variant>
        <vt:i4>5</vt:i4>
      </vt:variant>
      <vt:variant>
        <vt:lpwstr>https://www.ahuri.edu.au/sites/default/files/migration/documents/AHURI_Final_Report_No14_New_approaches_to_expanding_the_supply_of_affordable_housing_in_Australia.pdf</vt:lpwstr>
      </vt:variant>
      <vt:variant>
        <vt:lpwstr/>
      </vt:variant>
      <vt:variant>
        <vt:i4>2293805</vt:i4>
      </vt:variant>
      <vt:variant>
        <vt:i4>420</vt:i4>
      </vt:variant>
      <vt:variant>
        <vt:i4>0</vt:i4>
      </vt:variant>
      <vt:variant>
        <vt:i4>5</vt:i4>
      </vt:variant>
      <vt:variant>
        <vt:lpwstr>https://www.ahuri.edu.au/research/final-reports/388</vt:lpwstr>
      </vt:variant>
      <vt:variant>
        <vt:lpwstr/>
      </vt:variant>
      <vt:variant>
        <vt:i4>2621557</vt:i4>
      </vt:variant>
      <vt:variant>
        <vt:i4>417</vt:i4>
      </vt:variant>
      <vt:variant>
        <vt:i4>0</vt:i4>
      </vt:variant>
      <vt:variant>
        <vt:i4>5</vt:i4>
      </vt:variant>
      <vt:variant>
        <vt:lpwstr>https://download.asic.gov.au/media/5801438/rg97-published-28-september-2020.pdf</vt:lpwstr>
      </vt:variant>
      <vt:variant>
        <vt:lpwstr/>
      </vt:variant>
      <vt:variant>
        <vt:i4>1507422</vt:i4>
      </vt:variant>
      <vt:variant>
        <vt:i4>414</vt:i4>
      </vt:variant>
      <vt:variant>
        <vt:i4>0</vt:i4>
      </vt:variant>
      <vt:variant>
        <vt:i4>5</vt:i4>
      </vt:variant>
      <vt:variant>
        <vt:lpwstr>https://assemblecommunities.com/australiansuper-makes-cornerstone-investment-in-assemble-communities/</vt:lpwstr>
      </vt:variant>
      <vt:variant>
        <vt:lpwstr/>
      </vt:variant>
      <vt:variant>
        <vt:i4>8257597</vt:i4>
      </vt:variant>
      <vt:variant>
        <vt:i4>411</vt:i4>
      </vt:variant>
      <vt:variant>
        <vt:i4>0</vt:i4>
      </vt:variant>
      <vt:variant>
        <vt:i4>5</vt:i4>
      </vt:variant>
      <vt:variant>
        <vt:lpwstr>https://s3.ap-southeast-2.amazonaws.com/assets.ansellstrategic.com.au/app/uploads/2014/04/14084616/Ansell-Strategic-Investing-in-Aged-Care-The-Second-Wave.pdf</vt:lpwstr>
      </vt:variant>
      <vt:variant>
        <vt:lpwstr/>
      </vt:variant>
      <vt:variant>
        <vt:i4>3145824</vt:i4>
      </vt:variant>
      <vt:variant>
        <vt:i4>408</vt:i4>
      </vt:variant>
      <vt:variant>
        <vt:i4>0</vt:i4>
      </vt:variant>
      <vt:variant>
        <vt:i4>5</vt:i4>
      </vt:variant>
      <vt:variant>
        <vt:lpwstr>https://www.apra.gov.au/quarterly-superannuation-statistics</vt:lpwstr>
      </vt:variant>
      <vt:variant>
        <vt:lpwstr/>
      </vt:variant>
      <vt:variant>
        <vt:i4>131100</vt:i4>
      </vt:variant>
      <vt:variant>
        <vt:i4>405</vt:i4>
      </vt:variant>
      <vt:variant>
        <vt:i4>0</vt:i4>
      </vt:variant>
      <vt:variant>
        <vt:i4>5</vt:i4>
      </vt:variant>
      <vt:variant>
        <vt:lpwstr>https://www.australianpropertyjournal.com.au/2021/07/08/arklife-sets-sail-for-brisbane-build-to-rent/</vt:lpwstr>
      </vt:variant>
      <vt:variant>
        <vt:lpwstr>:~:text=BUILD%2Dto%2Drent%20operator%20Arklife,a%20%241%20billion%20Qualitas%20fund.</vt:lpwstr>
      </vt:variant>
      <vt:variant>
        <vt:i4>1835033</vt:i4>
      </vt:variant>
      <vt:variant>
        <vt:i4>402</vt:i4>
      </vt:variant>
      <vt:variant>
        <vt:i4>0</vt:i4>
      </vt:variant>
      <vt:variant>
        <vt:i4>5</vt:i4>
      </vt:variant>
      <vt:variant>
        <vt:lpwstr>https://www.homelesshub.ca/sites/default/files/attachments/august-financialization-rental-housing-ofha-en.pdf</vt:lpwstr>
      </vt:variant>
      <vt:variant>
        <vt:lpwstr/>
      </vt:variant>
      <vt:variant>
        <vt:i4>1048647</vt:i4>
      </vt:variant>
      <vt:variant>
        <vt:i4>399</vt:i4>
      </vt:variant>
      <vt:variant>
        <vt:i4>0</vt:i4>
      </vt:variant>
      <vt:variant>
        <vt:i4>5</vt:i4>
      </vt:variant>
      <vt:variant>
        <vt:lpwstr>https://www.asx.com.au/about/market-statistics/historical-market-statistics.html</vt:lpwstr>
      </vt:variant>
      <vt:variant>
        <vt:lpwstr/>
      </vt:variant>
      <vt:variant>
        <vt:i4>4849717</vt:i4>
      </vt:variant>
      <vt:variant>
        <vt:i4>396</vt:i4>
      </vt:variant>
      <vt:variant>
        <vt:i4>0</vt:i4>
      </vt:variant>
      <vt:variant>
        <vt:i4>5</vt:i4>
      </vt:variant>
      <vt:variant>
        <vt:lpwstr>https://news.anz.com/content/dam/news/articles/2023/May/PDF-housing-affordability-23/AU24823_Housing Affordability Report 22_Digi_FA02B.pdf</vt:lpwstr>
      </vt:variant>
      <vt:variant>
        <vt:lpwstr/>
      </vt:variant>
      <vt:variant>
        <vt:i4>6422541</vt:i4>
      </vt:variant>
      <vt:variant>
        <vt:i4>393</vt:i4>
      </vt:variant>
      <vt:variant>
        <vt:i4>0</vt:i4>
      </vt:variant>
      <vt:variant>
        <vt:i4>5</vt:i4>
      </vt:variant>
      <vt:variant>
        <vt:lpwstr>https://pimcoprimerealestate.com/_Resources/Persistent/4a88cfc939bbdf2bacaf415c5cc74389113767eb/Japan multifamily investments.pdf</vt:lpwstr>
      </vt:variant>
      <vt:variant>
        <vt:lpwstr/>
      </vt:variant>
      <vt:variant>
        <vt:i4>5832785</vt:i4>
      </vt:variant>
      <vt:variant>
        <vt:i4>390</vt:i4>
      </vt:variant>
      <vt:variant>
        <vt:i4>0</vt:i4>
      </vt:variant>
      <vt:variant>
        <vt:i4>5</vt:i4>
      </vt:variant>
      <vt:variant>
        <vt:lpwstr>https://www.aihw.gov.au/reports/australias-welfare/home-ownership-and-housing-tenure</vt:lpwstr>
      </vt:variant>
      <vt:variant>
        <vt:lpwstr/>
      </vt:variant>
      <vt:variant>
        <vt:i4>1900551</vt:i4>
      </vt:variant>
      <vt:variant>
        <vt:i4>387</vt:i4>
      </vt:variant>
      <vt:variant>
        <vt:i4>0</vt:i4>
      </vt:variant>
      <vt:variant>
        <vt:i4>5</vt:i4>
      </vt:variant>
      <vt:variant>
        <vt:lpwstr>https://www.aihw.gov.au/reports/housing-assistance/housing-assistance-in-australia/contents/households-and-waiting-lists</vt:lpwstr>
      </vt:variant>
      <vt:variant>
        <vt:lpwstr/>
      </vt:variant>
      <vt:variant>
        <vt:i4>393287</vt:i4>
      </vt:variant>
      <vt:variant>
        <vt:i4>384</vt:i4>
      </vt:variant>
      <vt:variant>
        <vt:i4>0</vt:i4>
      </vt:variant>
      <vt:variant>
        <vt:i4>5</vt:i4>
      </vt:variant>
      <vt:variant>
        <vt:lpwstr>https://www.aihw.gov.au/reports/housing-assistance/housing-assistance-in-australia/contents/social-housing-dwellings</vt:lpwstr>
      </vt:variant>
      <vt:variant>
        <vt:lpwstr/>
      </vt:variant>
      <vt:variant>
        <vt:i4>1638482</vt:i4>
      </vt:variant>
      <vt:variant>
        <vt:i4>381</vt:i4>
      </vt:variant>
      <vt:variant>
        <vt:i4>0</vt:i4>
      </vt:variant>
      <vt:variant>
        <vt:i4>5</vt:i4>
      </vt:variant>
      <vt:variant>
        <vt:lpwstr>https://www.ahuri.edu.au/research/brief/what-difference-between-social-housing-and-affordable-housing-and-why-do-they-matter</vt:lpwstr>
      </vt:variant>
      <vt:variant>
        <vt:lpwstr/>
      </vt:variant>
      <vt:variant>
        <vt:i4>6029398</vt:i4>
      </vt:variant>
      <vt:variant>
        <vt:i4>378</vt:i4>
      </vt:variant>
      <vt:variant>
        <vt:i4>0</vt:i4>
      </vt:variant>
      <vt:variant>
        <vt:i4>5</vt:i4>
      </vt:variant>
      <vt:variant>
        <vt:lpwstr>https://treasury.gov.au/consultation/council-on-federal-financial-relations-affordable-housing-working-group-innovative-financing-models</vt:lpwstr>
      </vt:variant>
      <vt:variant>
        <vt:lpwstr/>
      </vt:variant>
      <vt:variant>
        <vt:i4>1310751</vt:i4>
      </vt:variant>
      <vt:variant>
        <vt:i4>375</vt:i4>
      </vt:variant>
      <vt:variant>
        <vt:i4>0</vt:i4>
      </vt:variant>
      <vt:variant>
        <vt:i4>5</vt:i4>
      </vt:variant>
      <vt:variant>
        <vt:lpwstr>https://www.brookings.edu/articles/france-rental-housing-markets/</vt:lpwstr>
      </vt:variant>
      <vt:variant>
        <vt:lpwstr/>
      </vt:variant>
      <vt:variant>
        <vt:i4>4194392</vt:i4>
      </vt:variant>
      <vt:variant>
        <vt:i4>372</vt:i4>
      </vt:variant>
      <vt:variant>
        <vt:i4>0</vt:i4>
      </vt:variant>
      <vt:variant>
        <vt:i4>5</vt:i4>
      </vt:variant>
      <vt:variant>
        <vt:lpwstr>https://www.abs.gov.au/statistics/economy/finance/managed-funds-australia/latest-release</vt:lpwstr>
      </vt:variant>
      <vt:variant>
        <vt:lpwstr/>
      </vt:variant>
      <vt:variant>
        <vt:i4>3539050</vt:i4>
      </vt:variant>
      <vt:variant>
        <vt:i4>369</vt:i4>
      </vt:variant>
      <vt:variant>
        <vt:i4>0</vt:i4>
      </vt:variant>
      <vt:variant>
        <vt:i4>5</vt:i4>
      </vt:variant>
      <vt:variant>
        <vt:lpwstr>https://www.abs.gov.au/statistics/economy/price-indexes-and-inflation/total-value-dwellings/latest-release</vt:lpwstr>
      </vt:variant>
      <vt:variant>
        <vt:lpwstr>:~:text=The%20preliminary%20estimate%20of%20the,in%20the%20December%20quarter%202022.</vt:lpwstr>
      </vt:variant>
      <vt:variant>
        <vt:i4>4456474</vt:i4>
      </vt:variant>
      <vt:variant>
        <vt:i4>366</vt:i4>
      </vt:variant>
      <vt:variant>
        <vt:i4>0</vt:i4>
      </vt:variant>
      <vt:variant>
        <vt:i4>5</vt:i4>
      </vt:variant>
      <vt:variant>
        <vt:lpwstr>https://www.abs.gov.au/statistics/industry/building-and-construction/building-activity-australia/mar-2022</vt:lpwstr>
      </vt:variant>
      <vt:variant>
        <vt:lpwstr/>
      </vt:variant>
      <vt:variant>
        <vt:i4>7077994</vt:i4>
      </vt:variant>
      <vt:variant>
        <vt:i4>363</vt:i4>
      </vt:variant>
      <vt:variant>
        <vt:i4>0</vt:i4>
      </vt:variant>
      <vt:variant>
        <vt:i4>5</vt:i4>
      </vt:variant>
      <vt:variant>
        <vt:lpwstr>https://www.abs.gov.au/statistics/people/housing/estimating-homelessness-census/latest-release</vt:lpwstr>
      </vt:variant>
      <vt:variant>
        <vt:lpwstr/>
      </vt:variant>
      <vt:variant>
        <vt:i4>3866747</vt:i4>
      </vt:variant>
      <vt:variant>
        <vt:i4>360</vt:i4>
      </vt:variant>
      <vt:variant>
        <vt:i4>0</vt:i4>
      </vt:variant>
      <vt:variant>
        <vt:i4>5</vt:i4>
      </vt:variant>
      <vt:variant>
        <vt:lpwstr>https://www.abs.gov.au/statistics/people/housing/housing-occupancy-and-costs/latest-release</vt:lpwstr>
      </vt:variant>
      <vt:variant>
        <vt:lpwstr/>
      </vt:variant>
      <vt:variant>
        <vt:i4>7340090</vt:i4>
      </vt:variant>
      <vt:variant>
        <vt:i4>357</vt:i4>
      </vt:variant>
      <vt:variant>
        <vt:i4>0</vt:i4>
      </vt:variant>
      <vt:variant>
        <vt:i4>5</vt:i4>
      </vt:variant>
      <vt:variant>
        <vt:lpwstr>https://www.abs.gov.au/census/find-census-data/quickstats/2021/AUS</vt:lpwstr>
      </vt:variant>
      <vt:variant>
        <vt:lpwstr/>
      </vt:variant>
      <vt:variant>
        <vt:i4>7471211</vt:i4>
      </vt:variant>
      <vt:variant>
        <vt:i4>354</vt:i4>
      </vt:variant>
      <vt:variant>
        <vt:i4>0</vt:i4>
      </vt:variant>
      <vt:variant>
        <vt:i4>5</vt:i4>
      </vt:variant>
      <vt:variant>
        <vt:lpwstr>https://www.australianretirementtrust.com.au/newsroom/deliver-social-housing-in-qld</vt:lpwstr>
      </vt:variant>
      <vt:variant>
        <vt:lpwstr/>
      </vt:variant>
      <vt:variant>
        <vt:i4>2949231</vt:i4>
      </vt:variant>
      <vt:variant>
        <vt:i4>351</vt:i4>
      </vt:variant>
      <vt:variant>
        <vt:i4>0</vt:i4>
      </vt:variant>
      <vt:variant>
        <vt:i4>5</vt:i4>
      </vt:variant>
      <vt:variant>
        <vt:lpwstr>https://www.abs.gov.au/statistics/economy/finance/managed-funds-australia/latest-release</vt:lpwstr>
      </vt:variant>
      <vt:variant>
        <vt:lpwstr>data-downloads</vt:lpwstr>
      </vt:variant>
      <vt:variant>
        <vt:i4>2949231</vt:i4>
      </vt:variant>
      <vt:variant>
        <vt:i4>348</vt:i4>
      </vt:variant>
      <vt:variant>
        <vt:i4>0</vt:i4>
      </vt:variant>
      <vt:variant>
        <vt:i4>5</vt:i4>
      </vt:variant>
      <vt:variant>
        <vt:lpwstr>https://www.abs.gov.au/statistics/economy/finance/managed-funds-australia/latest-release</vt:lpwstr>
      </vt:variant>
      <vt:variant>
        <vt:lpwstr>data-downloads</vt:lpwstr>
      </vt:variant>
      <vt:variant>
        <vt:i4>2228268</vt:i4>
      </vt:variant>
      <vt:variant>
        <vt:i4>345</vt:i4>
      </vt:variant>
      <vt:variant>
        <vt:i4>0</vt:i4>
      </vt:variant>
      <vt:variant>
        <vt:i4>5</vt:i4>
      </vt:variant>
      <vt:variant>
        <vt:lpwstr>https://www.ahuri.edu.au/research/final-reports/296</vt:lpwstr>
      </vt:variant>
      <vt:variant>
        <vt:lpwstr/>
      </vt:variant>
      <vt:variant>
        <vt:i4>2228268</vt:i4>
      </vt:variant>
      <vt:variant>
        <vt:i4>342</vt:i4>
      </vt:variant>
      <vt:variant>
        <vt:i4>0</vt:i4>
      </vt:variant>
      <vt:variant>
        <vt:i4>5</vt:i4>
      </vt:variant>
      <vt:variant>
        <vt:lpwstr>https://www.ahuri.edu.au/research/final-reports/296</vt:lpwstr>
      </vt:variant>
      <vt:variant>
        <vt:lpwstr/>
      </vt:variant>
      <vt:variant>
        <vt:i4>1900599</vt:i4>
      </vt:variant>
      <vt:variant>
        <vt:i4>335</vt:i4>
      </vt:variant>
      <vt:variant>
        <vt:i4>0</vt:i4>
      </vt:variant>
      <vt:variant>
        <vt:i4>5</vt:i4>
      </vt:variant>
      <vt:variant>
        <vt:lpwstr/>
      </vt:variant>
      <vt:variant>
        <vt:lpwstr>_Toc141355285</vt:lpwstr>
      </vt:variant>
      <vt:variant>
        <vt:i4>1900599</vt:i4>
      </vt:variant>
      <vt:variant>
        <vt:i4>329</vt:i4>
      </vt:variant>
      <vt:variant>
        <vt:i4>0</vt:i4>
      </vt:variant>
      <vt:variant>
        <vt:i4>5</vt:i4>
      </vt:variant>
      <vt:variant>
        <vt:lpwstr/>
      </vt:variant>
      <vt:variant>
        <vt:lpwstr>_Toc141355284</vt:lpwstr>
      </vt:variant>
      <vt:variant>
        <vt:i4>1900599</vt:i4>
      </vt:variant>
      <vt:variant>
        <vt:i4>323</vt:i4>
      </vt:variant>
      <vt:variant>
        <vt:i4>0</vt:i4>
      </vt:variant>
      <vt:variant>
        <vt:i4>5</vt:i4>
      </vt:variant>
      <vt:variant>
        <vt:lpwstr/>
      </vt:variant>
      <vt:variant>
        <vt:lpwstr>_Toc141355283</vt:lpwstr>
      </vt:variant>
      <vt:variant>
        <vt:i4>1900599</vt:i4>
      </vt:variant>
      <vt:variant>
        <vt:i4>317</vt:i4>
      </vt:variant>
      <vt:variant>
        <vt:i4>0</vt:i4>
      </vt:variant>
      <vt:variant>
        <vt:i4>5</vt:i4>
      </vt:variant>
      <vt:variant>
        <vt:lpwstr/>
      </vt:variant>
      <vt:variant>
        <vt:lpwstr>_Toc141355282</vt:lpwstr>
      </vt:variant>
      <vt:variant>
        <vt:i4>1900599</vt:i4>
      </vt:variant>
      <vt:variant>
        <vt:i4>311</vt:i4>
      </vt:variant>
      <vt:variant>
        <vt:i4>0</vt:i4>
      </vt:variant>
      <vt:variant>
        <vt:i4>5</vt:i4>
      </vt:variant>
      <vt:variant>
        <vt:lpwstr/>
      </vt:variant>
      <vt:variant>
        <vt:lpwstr>_Toc141355281</vt:lpwstr>
      </vt:variant>
      <vt:variant>
        <vt:i4>1900599</vt:i4>
      </vt:variant>
      <vt:variant>
        <vt:i4>305</vt:i4>
      </vt:variant>
      <vt:variant>
        <vt:i4>0</vt:i4>
      </vt:variant>
      <vt:variant>
        <vt:i4>5</vt:i4>
      </vt:variant>
      <vt:variant>
        <vt:lpwstr/>
      </vt:variant>
      <vt:variant>
        <vt:lpwstr>_Toc141355280</vt:lpwstr>
      </vt:variant>
      <vt:variant>
        <vt:i4>1179703</vt:i4>
      </vt:variant>
      <vt:variant>
        <vt:i4>299</vt:i4>
      </vt:variant>
      <vt:variant>
        <vt:i4>0</vt:i4>
      </vt:variant>
      <vt:variant>
        <vt:i4>5</vt:i4>
      </vt:variant>
      <vt:variant>
        <vt:lpwstr/>
      </vt:variant>
      <vt:variant>
        <vt:lpwstr>_Toc141355279</vt:lpwstr>
      </vt:variant>
      <vt:variant>
        <vt:i4>1179703</vt:i4>
      </vt:variant>
      <vt:variant>
        <vt:i4>293</vt:i4>
      </vt:variant>
      <vt:variant>
        <vt:i4>0</vt:i4>
      </vt:variant>
      <vt:variant>
        <vt:i4>5</vt:i4>
      </vt:variant>
      <vt:variant>
        <vt:lpwstr/>
      </vt:variant>
      <vt:variant>
        <vt:lpwstr>_Toc141355278</vt:lpwstr>
      </vt:variant>
      <vt:variant>
        <vt:i4>1179703</vt:i4>
      </vt:variant>
      <vt:variant>
        <vt:i4>287</vt:i4>
      </vt:variant>
      <vt:variant>
        <vt:i4>0</vt:i4>
      </vt:variant>
      <vt:variant>
        <vt:i4>5</vt:i4>
      </vt:variant>
      <vt:variant>
        <vt:lpwstr/>
      </vt:variant>
      <vt:variant>
        <vt:lpwstr>_Toc141355277</vt:lpwstr>
      </vt:variant>
      <vt:variant>
        <vt:i4>1179703</vt:i4>
      </vt:variant>
      <vt:variant>
        <vt:i4>281</vt:i4>
      </vt:variant>
      <vt:variant>
        <vt:i4>0</vt:i4>
      </vt:variant>
      <vt:variant>
        <vt:i4>5</vt:i4>
      </vt:variant>
      <vt:variant>
        <vt:lpwstr/>
      </vt:variant>
      <vt:variant>
        <vt:lpwstr>_Toc141355276</vt:lpwstr>
      </vt:variant>
      <vt:variant>
        <vt:i4>1179703</vt:i4>
      </vt:variant>
      <vt:variant>
        <vt:i4>275</vt:i4>
      </vt:variant>
      <vt:variant>
        <vt:i4>0</vt:i4>
      </vt:variant>
      <vt:variant>
        <vt:i4>5</vt:i4>
      </vt:variant>
      <vt:variant>
        <vt:lpwstr/>
      </vt:variant>
      <vt:variant>
        <vt:lpwstr>_Toc141355275</vt:lpwstr>
      </vt:variant>
      <vt:variant>
        <vt:i4>1179703</vt:i4>
      </vt:variant>
      <vt:variant>
        <vt:i4>269</vt:i4>
      </vt:variant>
      <vt:variant>
        <vt:i4>0</vt:i4>
      </vt:variant>
      <vt:variant>
        <vt:i4>5</vt:i4>
      </vt:variant>
      <vt:variant>
        <vt:lpwstr/>
      </vt:variant>
      <vt:variant>
        <vt:lpwstr>_Toc141355274</vt:lpwstr>
      </vt:variant>
      <vt:variant>
        <vt:i4>1179703</vt:i4>
      </vt:variant>
      <vt:variant>
        <vt:i4>263</vt:i4>
      </vt:variant>
      <vt:variant>
        <vt:i4>0</vt:i4>
      </vt:variant>
      <vt:variant>
        <vt:i4>5</vt:i4>
      </vt:variant>
      <vt:variant>
        <vt:lpwstr/>
      </vt:variant>
      <vt:variant>
        <vt:lpwstr>_Toc141355273</vt:lpwstr>
      </vt:variant>
      <vt:variant>
        <vt:i4>1179703</vt:i4>
      </vt:variant>
      <vt:variant>
        <vt:i4>257</vt:i4>
      </vt:variant>
      <vt:variant>
        <vt:i4>0</vt:i4>
      </vt:variant>
      <vt:variant>
        <vt:i4>5</vt:i4>
      </vt:variant>
      <vt:variant>
        <vt:lpwstr/>
      </vt:variant>
      <vt:variant>
        <vt:lpwstr>_Toc141355272</vt:lpwstr>
      </vt:variant>
      <vt:variant>
        <vt:i4>1179703</vt:i4>
      </vt:variant>
      <vt:variant>
        <vt:i4>251</vt:i4>
      </vt:variant>
      <vt:variant>
        <vt:i4>0</vt:i4>
      </vt:variant>
      <vt:variant>
        <vt:i4>5</vt:i4>
      </vt:variant>
      <vt:variant>
        <vt:lpwstr/>
      </vt:variant>
      <vt:variant>
        <vt:lpwstr>_Toc141355271</vt:lpwstr>
      </vt:variant>
      <vt:variant>
        <vt:i4>1179703</vt:i4>
      </vt:variant>
      <vt:variant>
        <vt:i4>245</vt:i4>
      </vt:variant>
      <vt:variant>
        <vt:i4>0</vt:i4>
      </vt:variant>
      <vt:variant>
        <vt:i4>5</vt:i4>
      </vt:variant>
      <vt:variant>
        <vt:lpwstr/>
      </vt:variant>
      <vt:variant>
        <vt:lpwstr>_Toc141355270</vt:lpwstr>
      </vt:variant>
      <vt:variant>
        <vt:i4>1245239</vt:i4>
      </vt:variant>
      <vt:variant>
        <vt:i4>239</vt:i4>
      </vt:variant>
      <vt:variant>
        <vt:i4>0</vt:i4>
      </vt:variant>
      <vt:variant>
        <vt:i4>5</vt:i4>
      </vt:variant>
      <vt:variant>
        <vt:lpwstr/>
      </vt:variant>
      <vt:variant>
        <vt:lpwstr>_Toc141355269</vt:lpwstr>
      </vt:variant>
      <vt:variant>
        <vt:i4>1245239</vt:i4>
      </vt:variant>
      <vt:variant>
        <vt:i4>233</vt:i4>
      </vt:variant>
      <vt:variant>
        <vt:i4>0</vt:i4>
      </vt:variant>
      <vt:variant>
        <vt:i4>5</vt:i4>
      </vt:variant>
      <vt:variant>
        <vt:lpwstr/>
      </vt:variant>
      <vt:variant>
        <vt:lpwstr>_Toc141355268</vt:lpwstr>
      </vt:variant>
      <vt:variant>
        <vt:i4>1245239</vt:i4>
      </vt:variant>
      <vt:variant>
        <vt:i4>227</vt:i4>
      </vt:variant>
      <vt:variant>
        <vt:i4>0</vt:i4>
      </vt:variant>
      <vt:variant>
        <vt:i4>5</vt:i4>
      </vt:variant>
      <vt:variant>
        <vt:lpwstr/>
      </vt:variant>
      <vt:variant>
        <vt:lpwstr>_Toc141355267</vt:lpwstr>
      </vt:variant>
      <vt:variant>
        <vt:i4>1245239</vt:i4>
      </vt:variant>
      <vt:variant>
        <vt:i4>221</vt:i4>
      </vt:variant>
      <vt:variant>
        <vt:i4>0</vt:i4>
      </vt:variant>
      <vt:variant>
        <vt:i4>5</vt:i4>
      </vt:variant>
      <vt:variant>
        <vt:lpwstr/>
      </vt:variant>
      <vt:variant>
        <vt:lpwstr>_Toc141355266</vt:lpwstr>
      </vt:variant>
      <vt:variant>
        <vt:i4>1245239</vt:i4>
      </vt:variant>
      <vt:variant>
        <vt:i4>215</vt:i4>
      </vt:variant>
      <vt:variant>
        <vt:i4>0</vt:i4>
      </vt:variant>
      <vt:variant>
        <vt:i4>5</vt:i4>
      </vt:variant>
      <vt:variant>
        <vt:lpwstr/>
      </vt:variant>
      <vt:variant>
        <vt:lpwstr>_Toc141355265</vt:lpwstr>
      </vt:variant>
      <vt:variant>
        <vt:i4>1245239</vt:i4>
      </vt:variant>
      <vt:variant>
        <vt:i4>209</vt:i4>
      </vt:variant>
      <vt:variant>
        <vt:i4>0</vt:i4>
      </vt:variant>
      <vt:variant>
        <vt:i4>5</vt:i4>
      </vt:variant>
      <vt:variant>
        <vt:lpwstr/>
      </vt:variant>
      <vt:variant>
        <vt:lpwstr>_Toc141355264</vt:lpwstr>
      </vt:variant>
      <vt:variant>
        <vt:i4>1245239</vt:i4>
      </vt:variant>
      <vt:variant>
        <vt:i4>203</vt:i4>
      </vt:variant>
      <vt:variant>
        <vt:i4>0</vt:i4>
      </vt:variant>
      <vt:variant>
        <vt:i4>5</vt:i4>
      </vt:variant>
      <vt:variant>
        <vt:lpwstr/>
      </vt:variant>
      <vt:variant>
        <vt:lpwstr>_Toc141355263</vt:lpwstr>
      </vt:variant>
      <vt:variant>
        <vt:i4>1245239</vt:i4>
      </vt:variant>
      <vt:variant>
        <vt:i4>197</vt:i4>
      </vt:variant>
      <vt:variant>
        <vt:i4>0</vt:i4>
      </vt:variant>
      <vt:variant>
        <vt:i4>5</vt:i4>
      </vt:variant>
      <vt:variant>
        <vt:lpwstr/>
      </vt:variant>
      <vt:variant>
        <vt:lpwstr>_Toc141355262</vt:lpwstr>
      </vt:variant>
      <vt:variant>
        <vt:i4>1245239</vt:i4>
      </vt:variant>
      <vt:variant>
        <vt:i4>191</vt:i4>
      </vt:variant>
      <vt:variant>
        <vt:i4>0</vt:i4>
      </vt:variant>
      <vt:variant>
        <vt:i4>5</vt:i4>
      </vt:variant>
      <vt:variant>
        <vt:lpwstr/>
      </vt:variant>
      <vt:variant>
        <vt:lpwstr>_Toc141355261</vt:lpwstr>
      </vt:variant>
      <vt:variant>
        <vt:i4>1245239</vt:i4>
      </vt:variant>
      <vt:variant>
        <vt:i4>185</vt:i4>
      </vt:variant>
      <vt:variant>
        <vt:i4>0</vt:i4>
      </vt:variant>
      <vt:variant>
        <vt:i4>5</vt:i4>
      </vt:variant>
      <vt:variant>
        <vt:lpwstr/>
      </vt:variant>
      <vt:variant>
        <vt:lpwstr>_Toc141355260</vt:lpwstr>
      </vt:variant>
      <vt:variant>
        <vt:i4>1048631</vt:i4>
      </vt:variant>
      <vt:variant>
        <vt:i4>179</vt:i4>
      </vt:variant>
      <vt:variant>
        <vt:i4>0</vt:i4>
      </vt:variant>
      <vt:variant>
        <vt:i4>5</vt:i4>
      </vt:variant>
      <vt:variant>
        <vt:lpwstr/>
      </vt:variant>
      <vt:variant>
        <vt:lpwstr>_Toc141355259</vt:lpwstr>
      </vt:variant>
      <vt:variant>
        <vt:i4>1048631</vt:i4>
      </vt:variant>
      <vt:variant>
        <vt:i4>173</vt:i4>
      </vt:variant>
      <vt:variant>
        <vt:i4>0</vt:i4>
      </vt:variant>
      <vt:variant>
        <vt:i4>5</vt:i4>
      </vt:variant>
      <vt:variant>
        <vt:lpwstr/>
      </vt:variant>
      <vt:variant>
        <vt:lpwstr>_Toc141355258</vt:lpwstr>
      </vt:variant>
      <vt:variant>
        <vt:i4>1048631</vt:i4>
      </vt:variant>
      <vt:variant>
        <vt:i4>167</vt:i4>
      </vt:variant>
      <vt:variant>
        <vt:i4>0</vt:i4>
      </vt:variant>
      <vt:variant>
        <vt:i4>5</vt:i4>
      </vt:variant>
      <vt:variant>
        <vt:lpwstr/>
      </vt:variant>
      <vt:variant>
        <vt:lpwstr>_Toc141355257</vt:lpwstr>
      </vt:variant>
      <vt:variant>
        <vt:i4>1048631</vt:i4>
      </vt:variant>
      <vt:variant>
        <vt:i4>161</vt:i4>
      </vt:variant>
      <vt:variant>
        <vt:i4>0</vt:i4>
      </vt:variant>
      <vt:variant>
        <vt:i4>5</vt:i4>
      </vt:variant>
      <vt:variant>
        <vt:lpwstr/>
      </vt:variant>
      <vt:variant>
        <vt:lpwstr>_Toc141355256</vt:lpwstr>
      </vt:variant>
      <vt:variant>
        <vt:i4>1048631</vt:i4>
      </vt:variant>
      <vt:variant>
        <vt:i4>155</vt:i4>
      </vt:variant>
      <vt:variant>
        <vt:i4>0</vt:i4>
      </vt:variant>
      <vt:variant>
        <vt:i4>5</vt:i4>
      </vt:variant>
      <vt:variant>
        <vt:lpwstr/>
      </vt:variant>
      <vt:variant>
        <vt:lpwstr>_Toc141355255</vt:lpwstr>
      </vt:variant>
      <vt:variant>
        <vt:i4>1048631</vt:i4>
      </vt:variant>
      <vt:variant>
        <vt:i4>149</vt:i4>
      </vt:variant>
      <vt:variant>
        <vt:i4>0</vt:i4>
      </vt:variant>
      <vt:variant>
        <vt:i4>5</vt:i4>
      </vt:variant>
      <vt:variant>
        <vt:lpwstr/>
      </vt:variant>
      <vt:variant>
        <vt:lpwstr>_Toc141355254</vt:lpwstr>
      </vt:variant>
      <vt:variant>
        <vt:i4>1048631</vt:i4>
      </vt:variant>
      <vt:variant>
        <vt:i4>143</vt:i4>
      </vt:variant>
      <vt:variant>
        <vt:i4>0</vt:i4>
      </vt:variant>
      <vt:variant>
        <vt:i4>5</vt:i4>
      </vt:variant>
      <vt:variant>
        <vt:lpwstr/>
      </vt:variant>
      <vt:variant>
        <vt:lpwstr>_Toc141355253</vt:lpwstr>
      </vt:variant>
      <vt:variant>
        <vt:i4>1048631</vt:i4>
      </vt:variant>
      <vt:variant>
        <vt:i4>137</vt:i4>
      </vt:variant>
      <vt:variant>
        <vt:i4>0</vt:i4>
      </vt:variant>
      <vt:variant>
        <vt:i4>5</vt:i4>
      </vt:variant>
      <vt:variant>
        <vt:lpwstr/>
      </vt:variant>
      <vt:variant>
        <vt:lpwstr>_Toc141355252</vt:lpwstr>
      </vt:variant>
      <vt:variant>
        <vt:i4>1048631</vt:i4>
      </vt:variant>
      <vt:variant>
        <vt:i4>131</vt:i4>
      </vt:variant>
      <vt:variant>
        <vt:i4>0</vt:i4>
      </vt:variant>
      <vt:variant>
        <vt:i4>5</vt:i4>
      </vt:variant>
      <vt:variant>
        <vt:lpwstr/>
      </vt:variant>
      <vt:variant>
        <vt:lpwstr>_Toc141355251</vt:lpwstr>
      </vt:variant>
      <vt:variant>
        <vt:i4>1048631</vt:i4>
      </vt:variant>
      <vt:variant>
        <vt:i4>125</vt:i4>
      </vt:variant>
      <vt:variant>
        <vt:i4>0</vt:i4>
      </vt:variant>
      <vt:variant>
        <vt:i4>5</vt:i4>
      </vt:variant>
      <vt:variant>
        <vt:lpwstr/>
      </vt:variant>
      <vt:variant>
        <vt:lpwstr>_Toc141355250</vt:lpwstr>
      </vt:variant>
      <vt:variant>
        <vt:i4>1114167</vt:i4>
      </vt:variant>
      <vt:variant>
        <vt:i4>119</vt:i4>
      </vt:variant>
      <vt:variant>
        <vt:i4>0</vt:i4>
      </vt:variant>
      <vt:variant>
        <vt:i4>5</vt:i4>
      </vt:variant>
      <vt:variant>
        <vt:lpwstr/>
      </vt:variant>
      <vt:variant>
        <vt:lpwstr>_Toc141355249</vt:lpwstr>
      </vt:variant>
      <vt:variant>
        <vt:i4>1114167</vt:i4>
      </vt:variant>
      <vt:variant>
        <vt:i4>113</vt:i4>
      </vt:variant>
      <vt:variant>
        <vt:i4>0</vt:i4>
      </vt:variant>
      <vt:variant>
        <vt:i4>5</vt:i4>
      </vt:variant>
      <vt:variant>
        <vt:lpwstr/>
      </vt:variant>
      <vt:variant>
        <vt:lpwstr>_Toc141355248</vt:lpwstr>
      </vt:variant>
      <vt:variant>
        <vt:i4>1114167</vt:i4>
      </vt:variant>
      <vt:variant>
        <vt:i4>107</vt:i4>
      </vt:variant>
      <vt:variant>
        <vt:i4>0</vt:i4>
      </vt:variant>
      <vt:variant>
        <vt:i4>5</vt:i4>
      </vt:variant>
      <vt:variant>
        <vt:lpwstr/>
      </vt:variant>
      <vt:variant>
        <vt:lpwstr>_Toc141355247</vt:lpwstr>
      </vt:variant>
      <vt:variant>
        <vt:i4>1114167</vt:i4>
      </vt:variant>
      <vt:variant>
        <vt:i4>101</vt:i4>
      </vt:variant>
      <vt:variant>
        <vt:i4>0</vt:i4>
      </vt:variant>
      <vt:variant>
        <vt:i4>5</vt:i4>
      </vt:variant>
      <vt:variant>
        <vt:lpwstr/>
      </vt:variant>
      <vt:variant>
        <vt:lpwstr>_Toc141355246</vt:lpwstr>
      </vt:variant>
      <vt:variant>
        <vt:i4>1114167</vt:i4>
      </vt:variant>
      <vt:variant>
        <vt:i4>95</vt:i4>
      </vt:variant>
      <vt:variant>
        <vt:i4>0</vt:i4>
      </vt:variant>
      <vt:variant>
        <vt:i4>5</vt:i4>
      </vt:variant>
      <vt:variant>
        <vt:lpwstr/>
      </vt:variant>
      <vt:variant>
        <vt:lpwstr>_Toc141355245</vt:lpwstr>
      </vt:variant>
      <vt:variant>
        <vt:i4>1114167</vt:i4>
      </vt:variant>
      <vt:variant>
        <vt:i4>89</vt:i4>
      </vt:variant>
      <vt:variant>
        <vt:i4>0</vt:i4>
      </vt:variant>
      <vt:variant>
        <vt:i4>5</vt:i4>
      </vt:variant>
      <vt:variant>
        <vt:lpwstr/>
      </vt:variant>
      <vt:variant>
        <vt:lpwstr>_Toc141355244</vt:lpwstr>
      </vt:variant>
      <vt:variant>
        <vt:i4>1114167</vt:i4>
      </vt:variant>
      <vt:variant>
        <vt:i4>83</vt:i4>
      </vt:variant>
      <vt:variant>
        <vt:i4>0</vt:i4>
      </vt:variant>
      <vt:variant>
        <vt:i4>5</vt:i4>
      </vt:variant>
      <vt:variant>
        <vt:lpwstr/>
      </vt:variant>
      <vt:variant>
        <vt:lpwstr>_Toc141355243</vt:lpwstr>
      </vt:variant>
      <vt:variant>
        <vt:i4>1114167</vt:i4>
      </vt:variant>
      <vt:variant>
        <vt:i4>77</vt:i4>
      </vt:variant>
      <vt:variant>
        <vt:i4>0</vt:i4>
      </vt:variant>
      <vt:variant>
        <vt:i4>5</vt:i4>
      </vt:variant>
      <vt:variant>
        <vt:lpwstr/>
      </vt:variant>
      <vt:variant>
        <vt:lpwstr>_Toc141355242</vt:lpwstr>
      </vt:variant>
      <vt:variant>
        <vt:i4>1114167</vt:i4>
      </vt:variant>
      <vt:variant>
        <vt:i4>71</vt:i4>
      </vt:variant>
      <vt:variant>
        <vt:i4>0</vt:i4>
      </vt:variant>
      <vt:variant>
        <vt:i4>5</vt:i4>
      </vt:variant>
      <vt:variant>
        <vt:lpwstr/>
      </vt:variant>
      <vt:variant>
        <vt:lpwstr>_Toc141355241</vt:lpwstr>
      </vt:variant>
      <vt:variant>
        <vt:i4>1114167</vt:i4>
      </vt:variant>
      <vt:variant>
        <vt:i4>65</vt:i4>
      </vt:variant>
      <vt:variant>
        <vt:i4>0</vt:i4>
      </vt:variant>
      <vt:variant>
        <vt:i4>5</vt:i4>
      </vt:variant>
      <vt:variant>
        <vt:lpwstr/>
      </vt:variant>
      <vt:variant>
        <vt:lpwstr>_Toc141355240</vt:lpwstr>
      </vt:variant>
      <vt:variant>
        <vt:i4>1441847</vt:i4>
      </vt:variant>
      <vt:variant>
        <vt:i4>59</vt:i4>
      </vt:variant>
      <vt:variant>
        <vt:i4>0</vt:i4>
      </vt:variant>
      <vt:variant>
        <vt:i4>5</vt:i4>
      </vt:variant>
      <vt:variant>
        <vt:lpwstr/>
      </vt:variant>
      <vt:variant>
        <vt:lpwstr>_Toc141355239</vt:lpwstr>
      </vt:variant>
      <vt:variant>
        <vt:i4>1441847</vt:i4>
      </vt:variant>
      <vt:variant>
        <vt:i4>53</vt:i4>
      </vt:variant>
      <vt:variant>
        <vt:i4>0</vt:i4>
      </vt:variant>
      <vt:variant>
        <vt:i4>5</vt:i4>
      </vt:variant>
      <vt:variant>
        <vt:lpwstr/>
      </vt:variant>
      <vt:variant>
        <vt:lpwstr>_Toc141355238</vt:lpwstr>
      </vt:variant>
      <vt:variant>
        <vt:i4>1441847</vt:i4>
      </vt:variant>
      <vt:variant>
        <vt:i4>47</vt:i4>
      </vt:variant>
      <vt:variant>
        <vt:i4>0</vt:i4>
      </vt:variant>
      <vt:variant>
        <vt:i4>5</vt:i4>
      </vt:variant>
      <vt:variant>
        <vt:lpwstr/>
      </vt:variant>
      <vt:variant>
        <vt:lpwstr>_Toc141355237</vt:lpwstr>
      </vt:variant>
      <vt:variant>
        <vt:i4>1441847</vt:i4>
      </vt:variant>
      <vt:variant>
        <vt:i4>41</vt:i4>
      </vt:variant>
      <vt:variant>
        <vt:i4>0</vt:i4>
      </vt:variant>
      <vt:variant>
        <vt:i4>5</vt:i4>
      </vt:variant>
      <vt:variant>
        <vt:lpwstr/>
      </vt:variant>
      <vt:variant>
        <vt:lpwstr>_Toc141355236</vt:lpwstr>
      </vt:variant>
      <vt:variant>
        <vt:i4>1441847</vt:i4>
      </vt:variant>
      <vt:variant>
        <vt:i4>35</vt:i4>
      </vt:variant>
      <vt:variant>
        <vt:i4>0</vt:i4>
      </vt:variant>
      <vt:variant>
        <vt:i4>5</vt:i4>
      </vt:variant>
      <vt:variant>
        <vt:lpwstr/>
      </vt:variant>
      <vt:variant>
        <vt:lpwstr>_Toc141355235</vt:lpwstr>
      </vt:variant>
      <vt:variant>
        <vt:i4>1441847</vt:i4>
      </vt:variant>
      <vt:variant>
        <vt:i4>29</vt:i4>
      </vt:variant>
      <vt:variant>
        <vt:i4>0</vt:i4>
      </vt:variant>
      <vt:variant>
        <vt:i4>5</vt:i4>
      </vt:variant>
      <vt:variant>
        <vt:lpwstr/>
      </vt:variant>
      <vt:variant>
        <vt:lpwstr>_Toc141355234</vt:lpwstr>
      </vt:variant>
      <vt:variant>
        <vt:i4>1441847</vt:i4>
      </vt:variant>
      <vt:variant>
        <vt:i4>23</vt:i4>
      </vt:variant>
      <vt:variant>
        <vt:i4>0</vt:i4>
      </vt:variant>
      <vt:variant>
        <vt:i4>5</vt:i4>
      </vt:variant>
      <vt:variant>
        <vt:lpwstr/>
      </vt:variant>
      <vt:variant>
        <vt:lpwstr>_Toc141355233</vt:lpwstr>
      </vt:variant>
      <vt:variant>
        <vt:i4>1441847</vt:i4>
      </vt:variant>
      <vt:variant>
        <vt:i4>17</vt:i4>
      </vt:variant>
      <vt:variant>
        <vt:i4>0</vt:i4>
      </vt:variant>
      <vt:variant>
        <vt:i4>5</vt:i4>
      </vt:variant>
      <vt:variant>
        <vt:lpwstr/>
      </vt:variant>
      <vt:variant>
        <vt:lpwstr>_Toc141355231</vt:lpwstr>
      </vt:variant>
      <vt:variant>
        <vt:i4>720992</vt:i4>
      </vt:variant>
      <vt:variant>
        <vt:i4>12</vt:i4>
      </vt:variant>
      <vt:variant>
        <vt:i4>0</vt:i4>
      </vt:variant>
      <vt:variant>
        <vt:i4>5</vt:i4>
      </vt:variant>
      <vt:variant>
        <vt:lpwstr>mailto:enquiries@nhsac.gov.au</vt:lpwstr>
      </vt:variant>
      <vt:variant>
        <vt:lpwstr/>
      </vt:variant>
      <vt:variant>
        <vt:i4>65560</vt:i4>
      </vt:variant>
      <vt:variant>
        <vt:i4>9</vt:i4>
      </vt:variant>
      <vt:variant>
        <vt:i4>0</vt:i4>
      </vt:variant>
      <vt:variant>
        <vt:i4>5</vt:i4>
      </vt:variant>
      <vt:variant>
        <vt:lpwstr>https://www.pmc.gov.au/honours-and-symbols/commonwealth-coat-arms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2490480</vt:i4>
      </vt:variant>
      <vt:variant>
        <vt:i4>3</vt:i4>
      </vt:variant>
      <vt:variant>
        <vt:i4>0</vt:i4>
      </vt:variant>
      <vt:variant>
        <vt:i4>5</vt:i4>
      </vt:variant>
      <vt:variant>
        <vt:lpwstr>https://cityfutures.ada.unsw.edu.au/documents/81/Next_moves_report.pdf</vt:lpwstr>
      </vt:variant>
      <vt:variant>
        <vt:lpwstr/>
      </vt:variant>
      <vt:variant>
        <vt:i4>2293805</vt:i4>
      </vt:variant>
      <vt:variant>
        <vt:i4>0</vt:i4>
      </vt:variant>
      <vt:variant>
        <vt:i4>0</vt:i4>
      </vt:variant>
      <vt:variant>
        <vt:i4>5</vt:i4>
      </vt:variant>
      <vt:variant>
        <vt:lpwstr>https://www.ahuri.edu.au/research/final-reports/388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Institutional Investment, Finance and Innovation in Housing</dc:title>
  <dc:subject/>
  <dc:creator>Australian Government</dc:creator>
  <cp:keywords/>
  <cp:lastModifiedBy>van der Hoeven, Megan</cp:lastModifiedBy>
  <cp:revision>2</cp:revision>
  <dcterms:created xsi:type="dcterms:W3CDTF">2024-02-08T05:51:00Z</dcterms:created>
  <dcterms:modified xsi:type="dcterms:W3CDTF">2024-02-08T05:51:00Z</dcterms:modified>
</cp:coreProperties>
</file>