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C2BA9" w14:textId="77777777" w:rsidR="00557865" w:rsidRPr="00F30226" w:rsidRDefault="00557865" w:rsidP="00557865">
      <w:pPr>
        <w:pStyle w:val="Title"/>
        <w:spacing w:before="3000"/>
        <w:rPr>
          <w:color w:val="3B455C" w:themeColor="accent1"/>
          <w:szCs w:val="104"/>
        </w:rPr>
      </w:pPr>
      <w:r w:rsidRPr="00F30226">
        <w:rPr>
          <w:color w:val="3B455C" w:themeColor="accent1"/>
          <w:szCs w:val="104"/>
        </w:rPr>
        <w:t>State of the Housing System</w:t>
      </w:r>
    </w:p>
    <w:p w14:paraId="0383D4A1" w14:textId="77777777" w:rsidR="00557865" w:rsidRPr="00F30226" w:rsidRDefault="00557865" w:rsidP="00557865">
      <w:pPr>
        <w:pStyle w:val="Subtitle"/>
        <w:rPr>
          <w:color w:val="616652" w:themeColor="accent2"/>
        </w:rPr>
      </w:pPr>
      <w:r w:rsidRPr="00F30226">
        <w:rPr>
          <w:color w:val="616652" w:themeColor="accent2"/>
        </w:rPr>
        <w:t>2025</w:t>
      </w:r>
    </w:p>
    <w:p w14:paraId="7ED9E771" w14:textId="531A967F" w:rsidR="00557865" w:rsidRPr="00557865" w:rsidRDefault="00D11DE8" w:rsidP="00557865">
      <w:pPr>
        <w:sectPr w:rsidR="00557865" w:rsidRPr="00557865" w:rsidSect="00871372">
          <w:pgSz w:w="11906" w:h="16838" w:code="9"/>
          <w:pgMar w:top="1843" w:right="1418" w:bottom="1418" w:left="2325" w:header="709" w:footer="709" w:gutter="0"/>
          <w:pgNumType w:fmt="lowerRoman" w:start="0"/>
          <w:cols w:space="708"/>
          <w:titlePg/>
          <w:docGrid w:linePitch="360"/>
        </w:sectPr>
      </w:pPr>
      <w:r>
        <w:rPr>
          <w:noProof/>
        </w:rPr>
        <w:drawing>
          <wp:anchor distT="0" distB="0" distL="114300" distR="114300" simplePos="0" relativeHeight="251659264" behindDoc="1" locked="0" layoutInCell="1" allowOverlap="1" wp14:anchorId="3E0C691E" wp14:editId="2A035918">
            <wp:simplePos x="0" y="0"/>
            <wp:positionH relativeFrom="page">
              <wp:posOffset>635</wp:posOffset>
            </wp:positionH>
            <wp:positionV relativeFrom="page">
              <wp:posOffset>-1270</wp:posOffset>
            </wp:positionV>
            <wp:extent cx="7560000" cy="10692000"/>
            <wp:effectExtent l="0" t="0" r="3175" b="0"/>
            <wp:wrapNone/>
            <wp:docPr id="101764545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45459" name="Picture 1">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p w14:paraId="76101DF2" w14:textId="0C79A01F" w:rsidR="00204527" w:rsidRPr="00F30226" w:rsidRDefault="00204527" w:rsidP="007137AD">
      <w:pPr>
        <w:pStyle w:val="Title"/>
        <w:spacing w:before="3240"/>
        <w:rPr>
          <w:color w:val="3B455C" w:themeColor="accent1"/>
          <w:szCs w:val="104"/>
        </w:rPr>
      </w:pPr>
      <w:r w:rsidRPr="00F30226">
        <w:rPr>
          <w:color w:val="3B455C" w:themeColor="accent1"/>
          <w:szCs w:val="104"/>
        </w:rPr>
        <w:lastRenderedPageBreak/>
        <w:t xml:space="preserve">State of the </w:t>
      </w:r>
      <w:r w:rsidR="00D11DE8">
        <w:rPr>
          <w:noProof/>
        </w:rPr>
        <w:drawing>
          <wp:anchor distT="0" distB="0" distL="114300" distR="114300" simplePos="0" relativeHeight="251661312" behindDoc="1" locked="0" layoutInCell="1" allowOverlap="1" wp14:anchorId="310086AD" wp14:editId="49E324B0">
            <wp:simplePos x="0" y="0"/>
            <wp:positionH relativeFrom="page">
              <wp:posOffset>1270</wp:posOffset>
            </wp:positionH>
            <wp:positionV relativeFrom="page">
              <wp:posOffset>0</wp:posOffset>
            </wp:positionV>
            <wp:extent cx="7558768" cy="10692000"/>
            <wp:effectExtent l="0" t="0" r="4445" b="0"/>
            <wp:wrapNone/>
            <wp:docPr id="18145072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07244"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r w:rsidRPr="00F30226">
        <w:rPr>
          <w:color w:val="3B455C" w:themeColor="accent1"/>
          <w:szCs w:val="104"/>
        </w:rPr>
        <w:t>Housing System</w:t>
      </w:r>
    </w:p>
    <w:p w14:paraId="6359CDDD" w14:textId="77777777" w:rsidR="00204527" w:rsidRPr="00F30226" w:rsidRDefault="00204527" w:rsidP="00204527">
      <w:pPr>
        <w:pStyle w:val="Subtitle"/>
        <w:rPr>
          <w:color w:val="616652" w:themeColor="accent2"/>
        </w:rPr>
      </w:pPr>
      <w:r w:rsidRPr="00F30226">
        <w:rPr>
          <w:color w:val="616652" w:themeColor="accent2"/>
        </w:rPr>
        <w:t>2025</w:t>
      </w:r>
    </w:p>
    <w:p w14:paraId="697001A3" w14:textId="487A0083" w:rsidR="0075766D" w:rsidRDefault="0075766D" w:rsidP="0075766D"/>
    <w:p w14:paraId="63A59E62" w14:textId="65D06788" w:rsidR="0075766D" w:rsidRPr="0075766D" w:rsidRDefault="0075766D" w:rsidP="00557865">
      <w:pPr>
        <w:sectPr w:rsidR="0075766D" w:rsidRPr="0075766D" w:rsidSect="000D4484">
          <w:headerReference w:type="first" r:id="rId9"/>
          <w:pgSz w:w="11906" w:h="16838" w:code="9"/>
          <w:pgMar w:top="1843" w:right="1418" w:bottom="1418" w:left="2325" w:header="709" w:footer="709" w:gutter="0"/>
          <w:pgNumType w:fmt="lowerRoman" w:start="0"/>
          <w:cols w:space="708"/>
          <w:titlePg/>
          <w:docGrid w:linePitch="360"/>
        </w:sectPr>
      </w:pPr>
    </w:p>
    <w:p w14:paraId="355E4C50" w14:textId="2411A24A" w:rsidR="000E0B74" w:rsidRDefault="000E0B74" w:rsidP="005877AC">
      <w:pPr>
        <w:spacing w:before="0" w:after="160" w:line="259" w:lineRule="auto"/>
      </w:pPr>
      <w:r w:rsidRPr="00661BF0">
        <w:lastRenderedPageBreak/>
        <w:t xml:space="preserve">© Commonwealth of </w:t>
      </w:r>
      <w:r w:rsidRPr="005139BA">
        <w:t>Australia 20</w:t>
      </w:r>
      <w:r w:rsidR="00191CFE" w:rsidRPr="005139BA">
        <w:t>2</w:t>
      </w:r>
      <w:r w:rsidR="005139BA" w:rsidRPr="005139BA">
        <w:t>5</w:t>
      </w:r>
    </w:p>
    <w:p w14:paraId="7DA27179" w14:textId="7A14F993" w:rsidR="006469CC" w:rsidRDefault="006469CC" w:rsidP="005877AC">
      <w:pPr>
        <w:spacing w:before="0" w:after="160" w:line="259" w:lineRule="auto"/>
        <w:rPr>
          <w:noProof/>
        </w:rPr>
      </w:pPr>
      <w:r>
        <w:t xml:space="preserve">ISBN: </w:t>
      </w:r>
      <w:r w:rsidR="00660684" w:rsidRPr="00660684">
        <w:t>978-1-923278-16-5</w:t>
      </w:r>
    </w:p>
    <w:p w14:paraId="5BE83C0C" w14:textId="1B9A3FC3" w:rsidR="000E0B74" w:rsidRPr="00086F82" w:rsidRDefault="000E0B74" w:rsidP="000E0B74">
      <w:pPr>
        <w:tabs>
          <w:tab w:val="left" w:pos="1650"/>
        </w:tabs>
        <w:rPr>
          <w:rFonts w:cstheme="minorBidi"/>
          <w:sz w:val="24"/>
          <w:szCs w:val="24"/>
        </w:rPr>
      </w:pPr>
      <w:r w:rsidRPr="002F1BC2">
        <w:t>This publication is available for your use under a</w:t>
      </w:r>
      <w:r w:rsidRPr="00476F09">
        <w:rPr>
          <w:rFonts w:cstheme="minorHAnsi"/>
          <w:sz w:val="24"/>
          <w:szCs w:val="24"/>
        </w:rPr>
        <w:t xml:space="preserve"> </w:t>
      </w:r>
      <w:hyperlink r:id="rId10" w:history="1">
        <w:r w:rsidR="0003363E" w:rsidRPr="00CD67BC">
          <w:rPr>
            <w:rStyle w:val="Hyperlink"/>
          </w:rPr>
          <w:t>Creative Commons Attribution 4.0 International</w:t>
        </w:r>
      </w:hyperlink>
      <w:r w:rsidRPr="00476F09">
        <w:rPr>
          <w:rFonts w:cstheme="minorHAnsi"/>
          <w:sz w:val="24"/>
          <w:szCs w:val="24"/>
        </w:rPr>
        <w:t xml:space="preserve"> </w:t>
      </w:r>
      <w:r w:rsidRPr="002F1BC2">
        <w:t xml:space="preserve">licence, with the exception of the Commonwealth Coat of Arms, the </w:t>
      </w:r>
      <w:r w:rsidR="0003363E">
        <w:t>National Housing Supply and Affordability Council</w:t>
      </w:r>
      <w:r w:rsidR="0003363E" w:rsidRPr="002F1BC2">
        <w:t xml:space="preserve"> </w:t>
      </w:r>
      <w:r w:rsidRPr="002F1BC2">
        <w:t>logo</w:t>
      </w:r>
      <w:r>
        <w:t xml:space="preserve">, photographs, images, </w:t>
      </w:r>
      <w:r w:rsidR="0003363E" w:rsidRPr="004F5ACF">
        <w:t>third</w:t>
      </w:r>
      <w:r w:rsidR="00A15C79">
        <w:noBreakHyphen/>
      </w:r>
      <w:r w:rsidR="0003363E" w:rsidRPr="004F5ACF">
        <w:t xml:space="preserve">party materials, materials protected by a trademark, </w:t>
      </w:r>
      <w:r>
        <w:t xml:space="preserve">signatures </w:t>
      </w:r>
      <w:r w:rsidRPr="002F1BC2">
        <w:t>and where otherwise stated</w:t>
      </w:r>
      <w:r w:rsidR="0003363E">
        <w:t xml:space="preserve">. </w:t>
      </w:r>
      <w:r w:rsidRPr="002F1BC2">
        <w:t>The full licence terms are available from</w:t>
      </w:r>
      <w:r w:rsidRPr="00476F09">
        <w:rPr>
          <w:rFonts w:cstheme="minorHAnsi"/>
          <w:sz w:val="24"/>
          <w:szCs w:val="24"/>
        </w:rPr>
        <w:t xml:space="preserve"> </w:t>
      </w:r>
      <w:hyperlink r:id="rId11" w:history="1">
        <w:r w:rsidR="0003363E" w:rsidRPr="00660684">
          <w:rPr>
            <w:rStyle w:val="Hyperlink"/>
          </w:rPr>
          <w:t>creativecommons.org/licenses/by/4.0/</w:t>
        </w:r>
        <w:proofErr w:type="spellStart"/>
        <w:r w:rsidR="0003363E" w:rsidRPr="00660684">
          <w:rPr>
            <w:rStyle w:val="Hyperlink"/>
          </w:rPr>
          <w:t>legalcode</w:t>
        </w:r>
        <w:proofErr w:type="spellEnd"/>
      </w:hyperlink>
      <w:r w:rsidRPr="0003363E">
        <w:t>.</w:t>
      </w:r>
      <w:r w:rsidRPr="00D06A21">
        <w:rPr>
          <w:sz w:val="24"/>
          <w:szCs w:val="24"/>
        </w:rPr>
        <w:t xml:space="preserve"> </w:t>
      </w:r>
    </w:p>
    <w:p w14:paraId="77547365" w14:textId="77777777" w:rsidR="000E0B74" w:rsidRDefault="000E0B74" w:rsidP="000E0B74">
      <w:pPr>
        <w:pStyle w:val="ChartGraphic"/>
        <w:jc w:val="left"/>
      </w:pPr>
      <w:r w:rsidRPr="00E56DFB">
        <w:rPr>
          <w:noProof/>
        </w:rPr>
        <w:drawing>
          <wp:inline distT="0" distB="0" distL="0" distR="0" wp14:anchorId="079BC33E" wp14:editId="07600C54">
            <wp:extent cx="809625" cy="285750"/>
            <wp:effectExtent l="0" t="0" r="9525" b="0"/>
            <wp:docPr id="3" name="Picture 1" descr="Creative Commons icon&#10;&#10;Creative Commons attribution licence 4.0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reative Commons icon&#10;&#10;Creative Commons attribution licence 4.0 ico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7DDBDE20" w14:textId="3B2CBEA1" w:rsidR="000E0B74" w:rsidRPr="006627B4" w:rsidRDefault="000E0B74" w:rsidP="000E0B74">
      <w:pPr>
        <w:tabs>
          <w:tab w:val="left" w:pos="1650"/>
        </w:tabs>
      </w:pPr>
      <w:r w:rsidRPr="006627B4">
        <w:t xml:space="preserve">Use of </w:t>
      </w:r>
      <w:r w:rsidR="0003363E">
        <w:t>National Housing Supply and Affordability Council</w:t>
      </w:r>
      <w:r w:rsidR="0003363E" w:rsidRPr="006627B4">
        <w:t xml:space="preserve"> </w:t>
      </w:r>
      <w:r w:rsidRPr="006627B4">
        <w:t>material under a</w:t>
      </w:r>
      <w:r w:rsidRPr="00476F09">
        <w:rPr>
          <w:rFonts w:cstheme="minorHAnsi"/>
          <w:sz w:val="24"/>
          <w:szCs w:val="24"/>
        </w:rPr>
        <w:t xml:space="preserve"> </w:t>
      </w:r>
      <w:hyperlink r:id="rId13" w:history="1">
        <w:r w:rsidR="0003363E" w:rsidRPr="00660684">
          <w:rPr>
            <w:rStyle w:val="Hyperlink"/>
          </w:rPr>
          <w:t>Creative Commons Attribution 4.0 International</w:t>
        </w:r>
      </w:hyperlink>
      <w:r w:rsidRPr="002F1BC2">
        <w:rPr>
          <w:rStyle w:val="Hyperlink"/>
        </w:rPr>
        <w:t xml:space="preserve"> </w:t>
      </w:r>
      <w:r w:rsidRPr="006627B4">
        <w:t>licence requires you to attribute the work (but not in any way that suggests th</w:t>
      </w:r>
      <w:r w:rsidR="00576A94">
        <w:t>e</w:t>
      </w:r>
      <w:r w:rsidRPr="006627B4">
        <w:t xml:space="preserve"> </w:t>
      </w:r>
      <w:r w:rsidR="0003363E">
        <w:t>National Housing Supply and Affordability Council</w:t>
      </w:r>
      <w:r w:rsidR="0003363E" w:rsidRPr="006627B4">
        <w:t xml:space="preserve"> </w:t>
      </w:r>
      <w:r w:rsidRPr="006627B4">
        <w:t>endorse</w:t>
      </w:r>
      <w:r>
        <w:t>s you or your use of the</w:t>
      </w:r>
      <w:r w:rsidR="0003363E">
        <w:t> </w:t>
      </w:r>
      <w:r>
        <w:t>work).</w:t>
      </w:r>
    </w:p>
    <w:p w14:paraId="76E57C50" w14:textId="46AD42D5" w:rsidR="000E0B74" w:rsidRPr="0003363E" w:rsidRDefault="0003363E" w:rsidP="00E579A0">
      <w:pPr>
        <w:spacing w:after="120"/>
        <w:rPr>
          <w:rStyle w:val="Strong"/>
        </w:rPr>
      </w:pPr>
      <w:r w:rsidRPr="0003363E">
        <w:rPr>
          <w:rStyle w:val="Strong"/>
        </w:rPr>
        <w:t xml:space="preserve">National Housing Supply and Affordability Council </w:t>
      </w:r>
      <w:r w:rsidR="000E0B74" w:rsidRPr="0003363E">
        <w:rPr>
          <w:rStyle w:val="Strong"/>
        </w:rPr>
        <w:t xml:space="preserve">material used </w:t>
      </w:r>
      <w:r w:rsidR="00A15C79">
        <w:rPr>
          <w:rStyle w:val="Strong"/>
        </w:rPr>
        <w:t>‘</w:t>
      </w:r>
      <w:r w:rsidR="000E0B74" w:rsidRPr="0003363E">
        <w:rPr>
          <w:rStyle w:val="Strong"/>
        </w:rPr>
        <w:t>as supplied</w:t>
      </w:r>
      <w:r w:rsidR="00A15C79">
        <w:rPr>
          <w:rStyle w:val="Strong"/>
        </w:rPr>
        <w:t>’</w:t>
      </w:r>
    </w:p>
    <w:p w14:paraId="5CDF11A8" w14:textId="180B93FA" w:rsidR="000E0B74" w:rsidRPr="00476F09" w:rsidRDefault="000E0B74" w:rsidP="00E579A0">
      <w:pPr>
        <w:spacing w:before="120"/>
      </w:pPr>
      <w:r w:rsidRPr="00476F09">
        <w:t xml:space="preserve">Provided you have not modified or transformed </w:t>
      </w:r>
      <w:r w:rsidR="0003363E">
        <w:t>National Housing Supply and Affordability Council</w:t>
      </w:r>
      <w:r w:rsidR="0003363E" w:rsidRPr="00476F09">
        <w:t xml:space="preserve"> </w:t>
      </w:r>
      <w:r w:rsidRPr="00476F09">
        <w:t>material in any way including, for example, by</w:t>
      </w:r>
      <w:r>
        <w:t xml:space="preserve"> </w:t>
      </w:r>
      <w:r w:rsidRPr="0096692D">
        <w:t xml:space="preserve">changing the </w:t>
      </w:r>
      <w:r w:rsidR="0003363E">
        <w:t>National Housing Supply and Affordability Council</w:t>
      </w:r>
      <w:r w:rsidR="0003363E" w:rsidRPr="0096692D">
        <w:t xml:space="preserve"> </w:t>
      </w:r>
      <w:r w:rsidRPr="0096692D">
        <w:t>text; calculating percentage changes; graphing or charting data</w:t>
      </w:r>
      <w:r>
        <w:t>;</w:t>
      </w:r>
      <w:r w:rsidRPr="0096692D">
        <w:t xml:space="preserve"> or deriving new statistics from published </w:t>
      </w:r>
      <w:r w:rsidR="0003363E">
        <w:t>National Housing Supply and Affordability Council</w:t>
      </w:r>
      <w:r w:rsidR="0003363E" w:rsidRPr="0096692D">
        <w:t xml:space="preserve"> </w:t>
      </w:r>
      <w:r w:rsidRPr="0096692D">
        <w:t>statistics</w:t>
      </w:r>
      <w:r>
        <w:t xml:space="preserve"> </w:t>
      </w:r>
      <w:r w:rsidR="0003363E">
        <w:rPr>
          <w:rFonts w:cstheme="minorHAnsi"/>
        </w:rPr>
        <w:t>–</w:t>
      </w:r>
      <w:r>
        <w:t xml:space="preserve"> then </w:t>
      </w:r>
      <w:r w:rsidR="00F112EB">
        <w:t xml:space="preserve">the </w:t>
      </w:r>
      <w:r w:rsidR="0003363E">
        <w:t xml:space="preserve">National Housing Supply and Affordability Council </w:t>
      </w:r>
      <w:r>
        <w:t>prefers t</w:t>
      </w:r>
      <w:r w:rsidRPr="00476F09">
        <w:t xml:space="preserve">he following attribution: </w:t>
      </w:r>
    </w:p>
    <w:p w14:paraId="74B538F6" w14:textId="4C7CD148" w:rsidR="0003363E" w:rsidRPr="00902999" w:rsidRDefault="0003363E" w:rsidP="0041126E">
      <w:pPr>
        <w:spacing w:before="120"/>
        <w:ind w:firstLine="720"/>
        <w:rPr>
          <w:rStyle w:val="Emphasis"/>
          <w:rFonts w:ascii="Calibri" w:eastAsia="Calibri" w:hAnsi="Calibri" w:cs="Calibri"/>
          <w:i w:val="0"/>
          <w:szCs w:val="22"/>
        </w:rPr>
      </w:pPr>
      <w:r w:rsidRPr="00E17231">
        <w:rPr>
          <w:iCs/>
        </w:rPr>
        <w:t>Source:</w:t>
      </w:r>
      <w:r w:rsidR="00A15C79" w:rsidRPr="00A15C79">
        <w:rPr>
          <w:i/>
        </w:rPr>
        <w:t xml:space="preserve"> </w:t>
      </w:r>
      <w:r w:rsidR="00C101E4" w:rsidRPr="00786050">
        <w:rPr>
          <w:rStyle w:val="Emphasis"/>
        </w:rPr>
        <w:t>National Housing Supply and Affordability Council</w:t>
      </w:r>
    </w:p>
    <w:p w14:paraId="67573AE3" w14:textId="77777777" w:rsidR="000E0B74" w:rsidRPr="0003363E" w:rsidRDefault="000E0B74" w:rsidP="00E579A0">
      <w:pPr>
        <w:spacing w:after="120"/>
        <w:rPr>
          <w:rStyle w:val="Strong"/>
        </w:rPr>
      </w:pPr>
      <w:r w:rsidRPr="0003363E">
        <w:rPr>
          <w:rStyle w:val="Strong"/>
        </w:rPr>
        <w:t>Derivative material</w:t>
      </w:r>
    </w:p>
    <w:p w14:paraId="187B0AAE" w14:textId="35CAB824" w:rsidR="000E0B74" w:rsidRPr="006627B4" w:rsidRDefault="000E0B74" w:rsidP="00E579A0">
      <w:pPr>
        <w:spacing w:before="120"/>
      </w:pPr>
      <w:r w:rsidRPr="006627B4">
        <w:t xml:space="preserve">If you have modified or transformed </w:t>
      </w:r>
      <w:r w:rsidR="00C82F15">
        <w:t>National Housing Supply and Affordability Council</w:t>
      </w:r>
      <w:r w:rsidR="00C82F15" w:rsidRPr="006627B4">
        <w:t xml:space="preserve"> </w:t>
      </w:r>
      <w:r w:rsidRPr="006627B4">
        <w:t xml:space="preserve">material, or derived new material from </w:t>
      </w:r>
      <w:r w:rsidR="00576A94">
        <w:t>that</w:t>
      </w:r>
      <w:r w:rsidR="00576A94" w:rsidRPr="006627B4">
        <w:t xml:space="preserve"> </w:t>
      </w:r>
      <w:r w:rsidRPr="006627B4">
        <w:t xml:space="preserve">of the </w:t>
      </w:r>
      <w:r w:rsidR="00C82F15">
        <w:t>National Housing Supply and Affordability Council</w:t>
      </w:r>
      <w:r w:rsidR="00C82F15" w:rsidRPr="006627B4">
        <w:t xml:space="preserve"> </w:t>
      </w:r>
      <w:r w:rsidRPr="006627B4">
        <w:t>in any way, then</w:t>
      </w:r>
      <w:r w:rsidR="00F112EB">
        <w:t xml:space="preserve"> the</w:t>
      </w:r>
      <w:r w:rsidRPr="006627B4">
        <w:t xml:space="preserve"> </w:t>
      </w:r>
      <w:r w:rsidR="00C82F15">
        <w:t>National Housing Supply and Affordability Council</w:t>
      </w:r>
      <w:r w:rsidR="00C82F15" w:rsidRPr="006627B4">
        <w:t xml:space="preserve"> </w:t>
      </w:r>
      <w:r w:rsidRPr="006627B4">
        <w:t xml:space="preserve">prefers the following attribution: </w:t>
      </w:r>
    </w:p>
    <w:p w14:paraId="4355847C" w14:textId="579D5B08" w:rsidR="0003363E" w:rsidRPr="00AC2B70" w:rsidRDefault="0003363E" w:rsidP="0041126E">
      <w:pPr>
        <w:spacing w:before="120"/>
        <w:ind w:firstLine="720"/>
        <w:rPr>
          <w:rStyle w:val="Emphasis"/>
        </w:rPr>
      </w:pPr>
      <w:r w:rsidRPr="00AC2B70">
        <w:rPr>
          <w:rStyle w:val="Emphasis"/>
        </w:rPr>
        <w:t xml:space="preserve">Based on </w:t>
      </w:r>
      <w:r w:rsidR="00C101E4" w:rsidRPr="00786050">
        <w:rPr>
          <w:rStyle w:val="Emphasis"/>
        </w:rPr>
        <w:t xml:space="preserve">National Housing Supply and Affordability Council </w:t>
      </w:r>
      <w:r w:rsidR="00A15C79" w:rsidRPr="00786050">
        <w:rPr>
          <w:rStyle w:val="Emphasis"/>
        </w:rPr>
        <w:t>data.</w:t>
      </w:r>
    </w:p>
    <w:p w14:paraId="42C869A1" w14:textId="77777777" w:rsidR="000E0B74" w:rsidRPr="0003363E" w:rsidRDefault="000E0B74" w:rsidP="00E579A0">
      <w:pPr>
        <w:spacing w:after="120"/>
        <w:rPr>
          <w:rStyle w:val="Strong"/>
        </w:rPr>
      </w:pPr>
      <w:r w:rsidRPr="0003363E">
        <w:rPr>
          <w:rStyle w:val="Strong"/>
        </w:rPr>
        <w:t>Use of the Coat of Arms</w:t>
      </w:r>
    </w:p>
    <w:p w14:paraId="1D892480" w14:textId="602BB141" w:rsidR="005C503A" w:rsidRPr="005C503A" w:rsidRDefault="005C503A" w:rsidP="00E579A0">
      <w:pPr>
        <w:spacing w:before="120"/>
      </w:pPr>
      <w:r w:rsidRPr="005C503A">
        <w:t xml:space="preserve">The terms under which the Coat of Arms can be used are set out on the Department of the Prime Minister and Cabinet website (see </w:t>
      </w:r>
      <w:hyperlink r:id="rId14" w:history="1">
        <w:r w:rsidR="00660684" w:rsidRPr="00660684">
          <w:rPr>
            <w:rStyle w:val="Hyperlink"/>
          </w:rPr>
          <w:t>www.pmc.gov.au/government/commonwealth-coat-arms</w:t>
        </w:r>
      </w:hyperlink>
      <w:r w:rsidRPr="005C503A">
        <w:t>).</w:t>
      </w:r>
    </w:p>
    <w:p w14:paraId="314A0244" w14:textId="3B01566B" w:rsidR="000E0B74" w:rsidRPr="006627B4" w:rsidRDefault="000E0B74" w:rsidP="00E579A0">
      <w:pPr>
        <w:spacing w:after="120"/>
        <w:rPr>
          <w:b/>
        </w:rPr>
      </w:pPr>
      <w:r>
        <w:rPr>
          <w:b/>
        </w:rPr>
        <w:t>Other u</w:t>
      </w:r>
      <w:r w:rsidRPr="006627B4">
        <w:rPr>
          <w:b/>
        </w:rPr>
        <w:t>ses</w:t>
      </w:r>
    </w:p>
    <w:p w14:paraId="6288872C" w14:textId="77777777" w:rsidR="00660684" w:rsidRDefault="00660684" w:rsidP="0041126E">
      <w:pPr>
        <w:spacing w:before="120"/>
      </w:pPr>
      <w:r>
        <w:t>Enquiries regarding this licence and any other use of this document are welcome at:</w:t>
      </w:r>
    </w:p>
    <w:p w14:paraId="26D4F0FA" w14:textId="078CE4D3" w:rsidR="00660684" w:rsidRDefault="00660684" w:rsidP="0041126E">
      <w:pPr>
        <w:spacing w:before="120"/>
        <w:ind w:left="720"/>
      </w:pPr>
      <w:r>
        <w:t>Office of the National Housing Supply and Affordability Council</w:t>
      </w:r>
      <w:r w:rsidR="004B3EDD">
        <w:t xml:space="preserve"> at</w:t>
      </w:r>
      <w:r w:rsidR="001E1795">
        <w:t xml:space="preserve"> </w:t>
      </w:r>
      <w:hyperlink r:id="rId15" w:history="1">
        <w:r w:rsidRPr="00660684">
          <w:rPr>
            <w:rStyle w:val="Hyperlink"/>
          </w:rPr>
          <w:t>enquiries@nhsac.gov.au</w:t>
        </w:r>
      </w:hyperlink>
      <w:r w:rsidR="00564B0F">
        <w:t>.</w:t>
      </w:r>
    </w:p>
    <w:p w14:paraId="5FD71895" w14:textId="28E9A7BE" w:rsidR="00FC1043" w:rsidRPr="00603426" w:rsidRDefault="00FC1043" w:rsidP="00660684">
      <w:pPr>
        <w:spacing w:after="120"/>
        <w:rPr>
          <w:b/>
        </w:rPr>
      </w:pPr>
      <w:r w:rsidRPr="00603426">
        <w:rPr>
          <w:b/>
        </w:rPr>
        <w:t xml:space="preserve">Internet </w:t>
      </w:r>
    </w:p>
    <w:p w14:paraId="117F4CDE" w14:textId="7058722E" w:rsidR="00FC1043" w:rsidRDefault="00FC1043" w:rsidP="0041126E">
      <w:pPr>
        <w:spacing w:before="120"/>
      </w:pPr>
      <w:r w:rsidRPr="00FC1043">
        <w:t xml:space="preserve">A copy of this document is available at </w:t>
      </w:r>
      <w:hyperlink r:id="rId16" w:history="1">
        <w:r w:rsidRPr="00660684">
          <w:rPr>
            <w:rStyle w:val="Hyperlink"/>
          </w:rPr>
          <w:t>www.nhsac.gov.au</w:t>
        </w:r>
      </w:hyperlink>
      <w:r w:rsidRPr="00FC1043">
        <w:t>.</w:t>
      </w:r>
    </w:p>
    <w:p w14:paraId="1061D91B" w14:textId="73BCDCEF" w:rsidR="00354921" w:rsidRPr="0041126E" w:rsidRDefault="00354921" w:rsidP="0041126E">
      <w:pPr>
        <w:spacing w:after="120"/>
        <w:rPr>
          <w:b/>
        </w:rPr>
      </w:pPr>
      <w:r w:rsidRPr="0041126E">
        <w:rPr>
          <w:b/>
        </w:rPr>
        <w:t>Data finalisation</w:t>
      </w:r>
    </w:p>
    <w:p w14:paraId="043D9868" w14:textId="27014608" w:rsidR="00354921" w:rsidRDefault="00354921" w:rsidP="0041126E">
      <w:pPr>
        <w:spacing w:before="120"/>
      </w:pPr>
      <w:r>
        <w:t xml:space="preserve">This report was finalised </w:t>
      </w:r>
      <w:r w:rsidR="005225D6">
        <w:t xml:space="preserve">on 17 April </w:t>
      </w:r>
      <w:r w:rsidR="00C4332A">
        <w:t>2025</w:t>
      </w:r>
      <w:r w:rsidR="005225D6">
        <w:t xml:space="preserve"> </w:t>
      </w:r>
      <w:r w:rsidR="00AE4578">
        <w:t xml:space="preserve">and includes </w:t>
      </w:r>
      <w:r w:rsidR="00561A4F">
        <w:t>data</w:t>
      </w:r>
      <w:r w:rsidR="00AE4578">
        <w:t xml:space="preserve"> released up to and includ</w:t>
      </w:r>
      <w:r w:rsidR="00561A4F">
        <w:t>ing</w:t>
      </w:r>
      <w:r w:rsidR="00AE4578">
        <w:t xml:space="preserve"> 16</w:t>
      </w:r>
      <w:r w:rsidR="001F127B">
        <w:t> </w:t>
      </w:r>
      <w:r w:rsidR="00AE4578">
        <w:t>April</w:t>
      </w:r>
      <w:r w:rsidR="001F127B">
        <w:t> </w:t>
      </w:r>
      <w:r w:rsidR="00AE4578">
        <w:t>2025.</w:t>
      </w:r>
    </w:p>
    <w:tbl>
      <w:tblPr>
        <w:tblW w:w="5000" w:type="pct"/>
        <w:shd w:val="clear" w:color="auto" w:fill="F2E3C7" w:themeFill="background2"/>
        <w:tblCellMar>
          <w:top w:w="284" w:type="dxa"/>
          <w:left w:w="284" w:type="dxa"/>
          <w:bottom w:w="284" w:type="dxa"/>
          <w:right w:w="284" w:type="dxa"/>
        </w:tblCellMar>
        <w:tblLook w:val="0600" w:firstRow="0" w:lastRow="0" w:firstColumn="0" w:lastColumn="0" w:noHBand="1" w:noVBand="1"/>
      </w:tblPr>
      <w:tblGrid>
        <w:gridCol w:w="9070"/>
      </w:tblGrid>
      <w:tr w:rsidR="00350425" w14:paraId="3080FBB4" w14:textId="77777777">
        <w:tc>
          <w:tcPr>
            <w:tcW w:w="5000" w:type="pct"/>
            <w:shd w:val="clear" w:color="auto" w:fill="F2E3C7" w:themeFill="accent6"/>
            <w:hideMark/>
          </w:tcPr>
          <w:p w14:paraId="357A942A" w14:textId="77777777" w:rsidR="00350425" w:rsidRDefault="00350425">
            <w:pPr>
              <w:pStyle w:val="BoxHeading"/>
              <w:rPr>
                <w:sz w:val="28"/>
                <w:szCs w:val="28"/>
                <w:lang w:eastAsia="en-US"/>
              </w:rPr>
            </w:pPr>
            <w:r>
              <w:rPr>
                <w:sz w:val="28"/>
                <w:szCs w:val="28"/>
                <w:lang w:eastAsia="en-US"/>
              </w:rPr>
              <w:lastRenderedPageBreak/>
              <w:t xml:space="preserve">Acknowledgement of Country </w:t>
            </w:r>
          </w:p>
          <w:p w14:paraId="3A92E5A7" w14:textId="4BF818A0" w:rsidR="00350425" w:rsidRDefault="00350425">
            <w:pPr>
              <w:pStyle w:val="BoxText"/>
            </w:pPr>
            <w:r w:rsidRPr="00603426">
              <w:rPr>
                <w:sz w:val="22"/>
              </w:rPr>
              <w:t>The National Housing Supply and Affordability Council acknowledges the Traditional Custodians of country throughout Australia and their connections to land, sea and community. We pay our respects to their Elders past and present and extend that respect to all Aboriginal</w:t>
            </w:r>
            <w:r w:rsidR="00531399">
              <w:rPr>
                <w:sz w:val="22"/>
              </w:rPr>
              <w:t> </w:t>
            </w:r>
            <w:r w:rsidRPr="00603426">
              <w:rPr>
                <w:sz w:val="22"/>
              </w:rPr>
              <w:t xml:space="preserve">and </w:t>
            </w:r>
            <w:r w:rsidR="0099326B">
              <w:rPr>
                <w:sz w:val="22"/>
              </w:rPr>
              <w:t>Torres Strait</w:t>
            </w:r>
            <w:r w:rsidRPr="00603426">
              <w:rPr>
                <w:sz w:val="22"/>
              </w:rPr>
              <w:t xml:space="preserve"> Islander peoples</w:t>
            </w:r>
            <w:r w:rsidR="0046632E" w:rsidRPr="00603426">
              <w:rPr>
                <w:sz w:val="22"/>
              </w:rPr>
              <w:t xml:space="preserve"> today</w:t>
            </w:r>
            <w:r w:rsidRPr="00603426">
              <w:rPr>
                <w:sz w:val="22"/>
              </w:rPr>
              <w:t>.</w:t>
            </w:r>
          </w:p>
        </w:tc>
      </w:tr>
    </w:tbl>
    <w:p w14:paraId="26BBBAD0" w14:textId="77777777" w:rsidR="00EF1C92" w:rsidRPr="0092127D" w:rsidRDefault="00EF1C92" w:rsidP="0092127D">
      <w:pPr>
        <w:sectPr w:rsidR="00EF1C92" w:rsidRPr="0092127D" w:rsidSect="000D4484">
          <w:headerReference w:type="even" r:id="rId17"/>
          <w:headerReference w:type="default" r:id="rId18"/>
          <w:pgSz w:w="11906" w:h="16838" w:code="9"/>
          <w:pgMar w:top="1843" w:right="1418" w:bottom="1418" w:left="1418" w:header="709" w:footer="709" w:gutter="0"/>
          <w:pgNumType w:fmt="lowerRoman" w:start="0"/>
          <w:cols w:space="708"/>
          <w:docGrid w:linePitch="360"/>
        </w:sectPr>
      </w:pPr>
    </w:p>
    <w:p w14:paraId="2E2255BA" w14:textId="6F9E69F9" w:rsidR="00AF568D" w:rsidRPr="00DD3724" w:rsidRDefault="00944F8F" w:rsidP="00DD3724">
      <w:pPr>
        <w:pStyle w:val="Heading1"/>
        <w:spacing w:before="0"/>
        <w:rPr>
          <w:noProof/>
        </w:rPr>
      </w:pPr>
      <w:r>
        <w:lastRenderedPageBreak/>
        <w:t>Contents</w:t>
      </w:r>
      <w:r w:rsidR="00683922">
        <w:rPr>
          <w:b w:val="0"/>
          <w:color w:val="004A7F"/>
        </w:rPr>
        <w:fldChar w:fldCharType="begin"/>
      </w:r>
      <w:r w:rsidR="00683922">
        <w:rPr>
          <w:b w:val="0"/>
          <w:color w:val="004A7F"/>
        </w:rPr>
        <w:instrText xml:space="preserve"> TOC \o "1-2" \h \z \u </w:instrText>
      </w:r>
      <w:r w:rsidR="00683922">
        <w:rPr>
          <w:b w:val="0"/>
          <w:color w:val="004A7F"/>
        </w:rPr>
        <w:fldChar w:fldCharType="separate"/>
      </w:r>
    </w:p>
    <w:p w14:paraId="763F96E2" w14:textId="30D11278" w:rsidR="00AF568D" w:rsidRDefault="00287FB0">
      <w:pPr>
        <w:pStyle w:val="TOC1"/>
        <w:rPr>
          <w:rFonts w:eastAsiaTheme="minorEastAsia" w:cstheme="minorBidi"/>
          <w:b w:val="0"/>
          <w:color w:val="auto"/>
          <w:kern w:val="2"/>
          <w:szCs w:val="24"/>
          <w14:ligatures w14:val="standardContextual"/>
        </w:rPr>
      </w:pPr>
      <w:hyperlink w:anchor="_Toc196395872" w:history="1">
        <w:r w:rsidR="00AF568D" w:rsidRPr="00F11126">
          <w:rPr>
            <w:rStyle w:val="Hyperlink"/>
          </w:rPr>
          <w:t>Foreword</w:t>
        </w:r>
        <w:r w:rsidR="00AF568D">
          <w:rPr>
            <w:webHidden/>
          </w:rPr>
          <w:tab/>
        </w:r>
        <w:r w:rsidR="00AF568D">
          <w:rPr>
            <w:webHidden/>
          </w:rPr>
          <w:fldChar w:fldCharType="begin"/>
        </w:r>
        <w:r w:rsidR="00AF568D">
          <w:rPr>
            <w:webHidden/>
          </w:rPr>
          <w:instrText xml:space="preserve"> PAGEREF _Toc196395872 \h </w:instrText>
        </w:r>
        <w:r w:rsidR="00AF568D">
          <w:rPr>
            <w:webHidden/>
          </w:rPr>
        </w:r>
        <w:r w:rsidR="00AF568D">
          <w:rPr>
            <w:webHidden/>
          </w:rPr>
          <w:fldChar w:fldCharType="separate"/>
        </w:r>
        <w:r w:rsidR="001F121F">
          <w:rPr>
            <w:webHidden/>
          </w:rPr>
          <w:t>vii</w:t>
        </w:r>
        <w:r w:rsidR="00AF568D">
          <w:rPr>
            <w:webHidden/>
          </w:rPr>
          <w:fldChar w:fldCharType="end"/>
        </w:r>
      </w:hyperlink>
    </w:p>
    <w:p w14:paraId="008C65E6" w14:textId="0B093ECC" w:rsidR="00AF568D" w:rsidRDefault="00287FB0">
      <w:pPr>
        <w:pStyle w:val="TOC1"/>
        <w:rPr>
          <w:rFonts w:eastAsiaTheme="minorEastAsia" w:cstheme="minorBidi"/>
          <w:b w:val="0"/>
          <w:color w:val="auto"/>
          <w:kern w:val="2"/>
          <w:szCs w:val="24"/>
          <w14:ligatures w14:val="standardContextual"/>
        </w:rPr>
      </w:pPr>
      <w:hyperlink w:anchor="_Toc196395873" w:history="1">
        <w:r w:rsidR="00AF568D" w:rsidRPr="00F11126">
          <w:rPr>
            <w:rStyle w:val="Hyperlink"/>
          </w:rPr>
          <w:t>Report overview</w:t>
        </w:r>
        <w:r w:rsidR="00AF568D">
          <w:rPr>
            <w:webHidden/>
          </w:rPr>
          <w:tab/>
        </w:r>
        <w:r w:rsidR="00AF568D">
          <w:rPr>
            <w:webHidden/>
          </w:rPr>
          <w:fldChar w:fldCharType="begin"/>
        </w:r>
        <w:r w:rsidR="00AF568D">
          <w:rPr>
            <w:webHidden/>
          </w:rPr>
          <w:instrText xml:space="preserve"> PAGEREF _Toc196395873 \h </w:instrText>
        </w:r>
        <w:r w:rsidR="00AF568D">
          <w:rPr>
            <w:webHidden/>
          </w:rPr>
        </w:r>
        <w:r w:rsidR="00AF568D">
          <w:rPr>
            <w:webHidden/>
          </w:rPr>
          <w:fldChar w:fldCharType="separate"/>
        </w:r>
        <w:r w:rsidR="001F121F">
          <w:rPr>
            <w:webHidden/>
          </w:rPr>
          <w:t>1</w:t>
        </w:r>
        <w:r w:rsidR="00AF568D">
          <w:rPr>
            <w:webHidden/>
          </w:rPr>
          <w:fldChar w:fldCharType="end"/>
        </w:r>
      </w:hyperlink>
    </w:p>
    <w:p w14:paraId="252DDD88" w14:textId="27F28AB4" w:rsidR="00AF568D" w:rsidRDefault="00287FB0">
      <w:pPr>
        <w:pStyle w:val="TOC2"/>
        <w:rPr>
          <w:rFonts w:eastAsiaTheme="minorEastAsia" w:cstheme="minorBidi"/>
          <w:color w:val="auto"/>
          <w:kern w:val="2"/>
          <w:sz w:val="24"/>
          <w:szCs w:val="24"/>
          <w14:ligatures w14:val="standardContextual"/>
        </w:rPr>
      </w:pPr>
      <w:hyperlink w:anchor="_Toc196395874" w:history="1">
        <w:r w:rsidR="00AF568D" w:rsidRPr="00F11126">
          <w:rPr>
            <w:rStyle w:val="Hyperlink"/>
          </w:rPr>
          <w:t>Key findings</w:t>
        </w:r>
        <w:r w:rsidR="00AF568D">
          <w:rPr>
            <w:webHidden/>
          </w:rPr>
          <w:tab/>
        </w:r>
        <w:r w:rsidR="00AF568D">
          <w:rPr>
            <w:webHidden/>
          </w:rPr>
          <w:fldChar w:fldCharType="begin"/>
        </w:r>
        <w:r w:rsidR="00AF568D">
          <w:rPr>
            <w:webHidden/>
          </w:rPr>
          <w:instrText xml:space="preserve"> PAGEREF _Toc196395874 \h </w:instrText>
        </w:r>
        <w:r w:rsidR="00AF568D">
          <w:rPr>
            <w:webHidden/>
          </w:rPr>
        </w:r>
        <w:r w:rsidR="00AF568D">
          <w:rPr>
            <w:webHidden/>
          </w:rPr>
          <w:fldChar w:fldCharType="separate"/>
        </w:r>
        <w:r w:rsidR="001F121F">
          <w:rPr>
            <w:webHidden/>
          </w:rPr>
          <w:t>1</w:t>
        </w:r>
        <w:r w:rsidR="00AF568D">
          <w:rPr>
            <w:webHidden/>
          </w:rPr>
          <w:fldChar w:fldCharType="end"/>
        </w:r>
      </w:hyperlink>
    </w:p>
    <w:p w14:paraId="6B986DFE" w14:textId="4557E84B" w:rsidR="00AF568D" w:rsidRDefault="00287FB0">
      <w:pPr>
        <w:pStyle w:val="TOC2"/>
        <w:rPr>
          <w:rFonts w:eastAsiaTheme="minorEastAsia" w:cstheme="minorBidi"/>
          <w:color w:val="auto"/>
          <w:kern w:val="2"/>
          <w:sz w:val="24"/>
          <w:szCs w:val="24"/>
          <w14:ligatures w14:val="standardContextual"/>
        </w:rPr>
      </w:pPr>
      <w:hyperlink w:anchor="_Toc196395875" w:history="1">
        <w:r w:rsidR="00AF568D" w:rsidRPr="00F11126">
          <w:rPr>
            <w:rStyle w:val="Hyperlink"/>
          </w:rPr>
          <w:t>Executive summary</w:t>
        </w:r>
        <w:r w:rsidR="00AF568D">
          <w:rPr>
            <w:webHidden/>
          </w:rPr>
          <w:tab/>
        </w:r>
        <w:r w:rsidR="00AF568D">
          <w:rPr>
            <w:webHidden/>
          </w:rPr>
          <w:fldChar w:fldCharType="begin"/>
        </w:r>
        <w:r w:rsidR="00AF568D">
          <w:rPr>
            <w:webHidden/>
          </w:rPr>
          <w:instrText xml:space="preserve"> PAGEREF _Toc196395875 \h </w:instrText>
        </w:r>
        <w:r w:rsidR="00AF568D">
          <w:rPr>
            <w:webHidden/>
          </w:rPr>
        </w:r>
        <w:r w:rsidR="00AF568D">
          <w:rPr>
            <w:webHidden/>
          </w:rPr>
          <w:fldChar w:fldCharType="separate"/>
        </w:r>
        <w:r w:rsidR="001F121F">
          <w:rPr>
            <w:webHidden/>
          </w:rPr>
          <w:t>3</w:t>
        </w:r>
        <w:r w:rsidR="00AF568D">
          <w:rPr>
            <w:webHidden/>
          </w:rPr>
          <w:fldChar w:fldCharType="end"/>
        </w:r>
      </w:hyperlink>
    </w:p>
    <w:p w14:paraId="51C08878" w14:textId="79508097" w:rsidR="00AF568D" w:rsidRDefault="00287FB0">
      <w:pPr>
        <w:pStyle w:val="TOC2"/>
        <w:rPr>
          <w:rFonts w:eastAsiaTheme="minorEastAsia" w:cstheme="minorBidi"/>
          <w:color w:val="auto"/>
          <w:kern w:val="2"/>
          <w:sz w:val="24"/>
          <w:szCs w:val="24"/>
          <w14:ligatures w14:val="standardContextual"/>
        </w:rPr>
      </w:pPr>
      <w:hyperlink w:anchor="_Toc196395876" w:history="1">
        <w:r w:rsidR="00AF568D" w:rsidRPr="00F11126">
          <w:rPr>
            <w:rStyle w:val="Hyperlink"/>
          </w:rPr>
          <w:t>Policy recommendations</w:t>
        </w:r>
        <w:r w:rsidR="00AF568D">
          <w:rPr>
            <w:webHidden/>
          </w:rPr>
          <w:tab/>
        </w:r>
        <w:r w:rsidR="00AF568D">
          <w:rPr>
            <w:webHidden/>
          </w:rPr>
          <w:fldChar w:fldCharType="begin"/>
        </w:r>
        <w:r w:rsidR="00AF568D">
          <w:rPr>
            <w:webHidden/>
          </w:rPr>
          <w:instrText xml:space="preserve"> PAGEREF _Toc196395876 \h </w:instrText>
        </w:r>
        <w:r w:rsidR="00AF568D">
          <w:rPr>
            <w:webHidden/>
          </w:rPr>
        </w:r>
        <w:r w:rsidR="00AF568D">
          <w:rPr>
            <w:webHidden/>
          </w:rPr>
          <w:fldChar w:fldCharType="separate"/>
        </w:r>
        <w:r w:rsidR="001F121F">
          <w:rPr>
            <w:webHidden/>
          </w:rPr>
          <w:t>12</w:t>
        </w:r>
        <w:r w:rsidR="00AF568D">
          <w:rPr>
            <w:webHidden/>
          </w:rPr>
          <w:fldChar w:fldCharType="end"/>
        </w:r>
      </w:hyperlink>
    </w:p>
    <w:p w14:paraId="62404812" w14:textId="6BDAF963" w:rsidR="00AF568D" w:rsidRDefault="00287FB0">
      <w:pPr>
        <w:pStyle w:val="TOC2"/>
        <w:rPr>
          <w:rFonts w:eastAsiaTheme="minorEastAsia" w:cstheme="minorBidi"/>
          <w:color w:val="auto"/>
          <w:kern w:val="2"/>
          <w:sz w:val="24"/>
          <w:szCs w:val="24"/>
          <w14:ligatures w14:val="standardContextual"/>
        </w:rPr>
      </w:pPr>
      <w:hyperlink w:anchor="_Toc196395877" w:history="1">
        <w:r w:rsidR="00AF568D" w:rsidRPr="00F11126">
          <w:rPr>
            <w:rStyle w:val="Hyperlink"/>
            <w:rFonts w:eastAsiaTheme="minorHAnsi"/>
          </w:rPr>
          <w:t>Advice on the suitability of the 1.2 million National Housing Accord target</w:t>
        </w:r>
        <w:r w:rsidR="00AF568D">
          <w:rPr>
            <w:webHidden/>
          </w:rPr>
          <w:tab/>
        </w:r>
        <w:r w:rsidR="00AF568D">
          <w:rPr>
            <w:webHidden/>
          </w:rPr>
          <w:fldChar w:fldCharType="begin"/>
        </w:r>
        <w:r w:rsidR="00AF568D">
          <w:rPr>
            <w:webHidden/>
          </w:rPr>
          <w:instrText xml:space="preserve"> PAGEREF _Toc196395877 \h </w:instrText>
        </w:r>
        <w:r w:rsidR="00AF568D">
          <w:rPr>
            <w:webHidden/>
          </w:rPr>
        </w:r>
        <w:r w:rsidR="00AF568D">
          <w:rPr>
            <w:webHidden/>
          </w:rPr>
          <w:fldChar w:fldCharType="separate"/>
        </w:r>
        <w:r w:rsidR="001F121F">
          <w:rPr>
            <w:webHidden/>
          </w:rPr>
          <w:t>14</w:t>
        </w:r>
        <w:r w:rsidR="00AF568D">
          <w:rPr>
            <w:webHidden/>
          </w:rPr>
          <w:fldChar w:fldCharType="end"/>
        </w:r>
      </w:hyperlink>
    </w:p>
    <w:p w14:paraId="5719CAA1" w14:textId="35FE5F10" w:rsidR="00AF568D" w:rsidRDefault="00287FB0">
      <w:pPr>
        <w:pStyle w:val="TOC1"/>
        <w:tabs>
          <w:tab w:val="left" w:pos="1440"/>
        </w:tabs>
        <w:rPr>
          <w:rFonts w:eastAsiaTheme="minorEastAsia" w:cstheme="minorBidi"/>
          <w:b w:val="0"/>
          <w:color w:val="auto"/>
          <w:kern w:val="2"/>
          <w:szCs w:val="24"/>
          <w14:ligatures w14:val="standardContextual"/>
        </w:rPr>
      </w:pPr>
      <w:hyperlink w:anchor="_Toc196395878" w:history="1">
        <w:r w:rsidR="00AF568D" w:rsidRPr="00F11126">
          <w:rPr>
            <w:rStyle w:val="Hyperlink"/>
          </w:rPr>
          <w:t>Chapter 1</w:t>
        </w:r>
        <w:r w:rsidR="00AF568D">
          <w:rPr>
            <w:rFonts w:eastAsiaTheme="minorEastAsia" w:cstheme="minorBidi"/>
            <w:b w:val="0"/>
            <w:color w:val="auto"/>
            <w:kern w:val="2"/>
            <w:szCs w:val="24"/>
            <w14:ligatures w14:val="standardContextual"/>
          </w:rPr>
          <w:tab/>
        </w:r>
        <w:r w:rsidR="00AF568D" w:rsidRPr="00F11126">
          <w:rPr>
            <w:rStyle w:val="Hyperlink"/>
          </w:rPr>
          <w:t>The Council’s vision for the housing system</w:t>
        </w:r>
        <w:r w:rsidR="00AF568D">
          <w:rPr>
            <w:webHidden/>
          </w:rPr>
          <w:tab/>
        </w:r>
        <w:r w:rsidR="00AF568D">
          <w:rPr>
            <w:webHidden/>
          </w:rPr>
          <w:fldChar w:fldCharType="begin"/>
        </w:r>
        <w:r w:rsidR="00AF568D">
          <w:rPr>
            <w:webHidden/>
          </w:rPr>
          <w:instrText xml:space="preserve"> PAGEREF _Toc196395878 \h </w:instrText>
        </w:r>
        <w:r w:rsidR="00AF568D">
          <w:rPr>
            <w:webHidden/>
          </w:rPr>
        </w:r>
        <w:r w:rsidR="00AF568D">
          <w:rPr>
            <w:webHidden/>
          </w:rPr>
          <w:fldChar w:fldCharType="separate"/>
        </w:r>
        <w:r w:rsidR="001F121F">
          <w:rPr>
            <w:webHidden/>
          </w:rPr>
          <w:t>15</w:t>
        </w:r>
        <w:r w:rsidR="00AF568D">
          <w:rPr>
            <w:webHidden/>
          </w:rPr>
          <w:fldChar w:fldCharType="end"/>
        </w:r>
      </w:hyperlink>
    </w:p>
    <w:p w14:paraId="137F7881" w14:textId="40E32082" w:rsidR="00AF568D" w:rsidRDefault="00287FB0">
      <w:pPr>
        <w:pStyle w:val="TOC2"/>
        <w:tabs>
          <w:tab w:val="left" w:pos="720"/>
        </w:tabs>
        <w:rPr>
          <w:rFonts w:eastAsiaTheme="minorEastAsia" w:cstheme="minorBidi"/>
          <w:color w:val="auto"/>
          <w:kern w:val="2"/>
          <w:sz w:val="24"/>
          <w:szCs w:val="24"/>
          <w14:ligatures w14:val="standardContextual"/>
        </w:rPr>
      </w:pPr>
      <w:hyperlink w:anchor="_Toc196395879" w:history="1">
        <w:r w:rsidR="00AF568D" w:rsidRPr="00F11126">
          <w:rPr>
            <w:rStyle w:val="Hyperlink"/>
          </w:rPr>
          <w:t>1.1</w:t>
        </w:r>
        <w:r w:rsidR="00AF568D">
          <w:rPr>
            <w:rFonts w:eastAsiaTheme="minorEastAsia" w:cstheme="minorBidi"/>
            <w:color w:val="auto"/>
            <w:kern w:val="2"/>
            <w:sz w:val="24"/>
            <w:szCs w:val="24"/>
            <w14:ligatures w14:val="standardContextual"/>
          </w:rPr>
          <w:tab/>
        </w:r>
        <w:r w:rsidR="00AF568D" w:rsidRPr="00F11126">
          <w:rPr>
            <w:rStyle w:val="Hyperlink"/>
          </w:rPr>
          <w:t>Goals for the Australian housing system</w:t>
        </w:r>
        <w:r w:rsidR="00AF568D">
          <w:rPr>
            <w:webHidden/>
          </w:rPr>
          <w:tab/>
        </w:r>
        <w:r w:rsidR="00AF568D">
          <w:rPr>
            <w:webHidden/>
          </w:rPr>
          <w:fldChar w:fldCharType="begin"/>
        </w:r>
        <w:r w:rsidR="00AF568D">
          <w:rPr>
            <w:webHidden/>
          </w:rPr>
          <w:instrText xml:space="preserve"> PAGEREF _Toc196395879 \h </w:instrText>
        </w:r>
        <w:r w:rsidR="00AF568D">
          <w:rPr>
            <w:webHidden/>
          </w:rPr>
        </w:r>
        <w:r w:rsidR="00AF568D">
          <w:rPr>
            <w:webHidden/>
          </w:rPr>
          <w:fldChar w:fldCharType="separate"/>
        </w:r>
        <w:r w:rsidR="001F121F">
          <w:rPr>
            <w:webHidden/>
          </w:rPr>
          <w:t>16</w:t>
        </w:r>
        <w:r w:rsidR="00AF568D">
          <w:rPr>
            <w:webHidden/>
          </w:rPr>
          <w:fldChar w:fldCharType="end"/>
        </w:r>
      </w:hyperlink>
    </w:p>
    <w:p w14:paraId="1C3EA390" w14:textId="45548858" w:rsidR="00AF568D" w:rsidRDefault="00287FB0">
      <w:pPr>
        <w:pStyle w:val="TOC1"/>
        <w:tabs>
          <w:tab w:val="left" w:pos="1440"/>
        </w:tabs>
        <w:rPr>
          <w:rFonts w:eastAsiaTheme="minorEastAsia" w:cstheme="minorBidi"/>
          <w:b w:val="0"/>
          <w:color w:val="auto"/>
          <w:kern w:val="2"/>
          <w:szCs w:val="24"/>
          <w14:ligatures w14:val="standardContextual"/>
        </w:rPr>
      </w:pPr>
      <w:hyperlink w:anchor="_Toc196395880" w:history="1">
        <w:r w:rsidR="00AF568D" w:rsidRPr="00F11126">
          <w:rPr>
            <w:rStyle w:val="Hyperlink"/>
            <w:spacing w:val="-2"/>
          </w:rPr>
          <w:t>Chapter 2</w:t>
        </w:r>
        <w:r w:rsidR="00AF568D">
          <w:rPr>
            <w:rFonts w:eastAsiaTheme="minorEastAsia" w:cstheme="minorBidi"/>
            <w:b w:val="0"/>
            <w:color w:val="auto"/>
            <w:kern w:val="2"/>
            <w:szCs w:val="24"/>
            <w14:ligatures w14:val="standardContextual"/>
          </w:rPr>
          <w:tab/>
        </w:r>
        <w:r w:rsidR="00AF568D" w:rsidRPr="00F11126">
          <w:rPr>
            <w:rStyle w:val="Hyperlink"/>
            <w:spacing w:val="-2"/>
          </w:rPr>
          <w:t>Housing market conditions</w:t>
        </w:r>
        <w:r w:rsidR="00AF568D">
          <w:rPr>
            <w:webHidden/>
          </w:rPr>
          <w:tab/>
        </w:r>
        <w:r w:rsidR="00AF568D">
          <w:rPr>
            <w:webHidden/>
          </w:rPr>
          <w:fldChar w:fldCharType="begin"/>
        </w:r>
        <w:r w:rsidR="00AF568D">
          <w:rPr>
            <w:webHidden/>
          </w:rPr>
          <w:instrText xml:space="preserve"> PAGEREF _Toc196395880 \h </w:instrText>
        </w:r>
        <w:r w:rsidR="00AF568D">
          <w:rPr>
            <w:webHidden/>
          </w:rPr>
        </w:r>
        <w:r w:rsidR="00AF568D">
          <w:rPr>
            <w:webHidden/>
          </w:rPr>
          <w:fldChar w:fldCharType="separate"/>
        </w:r>
        <w:r w:rsidR="001F121F">
          <w:rPr>
            <w:webHidden/>
          </w:rPr>
          <w:t>25</w:t>
        </w:r>
        <w:r w:rsidR="00AF568D">
          <w:rPr>
            <w:webHidden/>
          </w:rPr>
          <w:fldChar w:fldCharType="end"/>
        </w:r>
      </w:hyperlink>
    </w:p>
    <w:p w14:paraId="2A1595B8" w14:textId="2272D037" w:rsidR="00AF568D" w:rsidRDefault="00287FB0">
      <w:pPr>
        <w:pStyle w:val="TOC2"/>
        <w:tabs>
          <w:tab w:val="left" w:pos="720"/>
        </w:tabs>
        <w:rPr>
          <w:rFonts w:eastAsiaTheme="minorEastAsia" w:cstheme="minorBidi"/>
          <w:color w:val="auto"/>
          <w:kern w:val="2"/>
          <w:sz w:val="24"/>
          <w:szCs w:val="24"/>
          <w14:ligatures w14:val="standardContextual"/>
        </w:rPr>
      </w:pPr>
      <w:hyperlink w:anchor="_Toc196395881" w:history="1">
        <w:r w:rsidR="00AF568D" w:rsidRPr="00F11126">
          <w:rPr>
            <w:rStyle w:val="Hyperlink"/>
          </w:rPr>
          <w:t>2.1</w:t>
        </w:r>
        <w:r w:rsidR="00AF568D">
          <w:rPr>
            <w:rFonts w:eastAsiaTheme="minorEastAsia" w:cstheme="minorBidi"/>
            <w:color w:val="auto"/>
            <w:kern w:val="2"/>
            <w:sz w:val="24"/>
            <w:szCs w:val="24"/>
            <w14:ligatures w14:val="standardContextual"/>
          </w:rPr>
          <w:tab/>
        </w:r>
        <w:r w:rsidR="00AF568D" w:rsidRPr="00F11126">
          <w:rPr>
            <w:rStyle w:val="Hyperlink"/>
          </w:rPr>
          <w:t>Growth in housing prices and rents eased in 2024, but remains strong in some states</w:t>
        </w:r>
        <w:r w:rsidR="00AF568D">
          <w:rPr>
            <w:webHidden/>
          </w:rPr>
          <w:tab/>
        </w:r>
        <w:r w:rsidR="00AF568D">
          <w:rPr>
            <w:webHidden/>
          </w:rPr>
          <w:fldChar w:fldCharType="begin"/>
        </w:r>
        <w:r w:rsidR="00AF568D">
          <w:rPr>
            <w:webHidden/>
          </w:rPr>
          <w:instrText xml:space="preserve"> PAGEREF _Toc196395881 \h </w:instrText>
        </w:r>
        <w:r w:rsidR="00AF568D">
          <w:rPr>
            <w:webHidden/>
          </w:rPr>
        </w:r>
        <w:r w:rsidR="00AF568D">
          <w:rPr>
            <w:webHidden/>
          </w:rPr>
          <w:fldChar w:fldCharType="separate"/>
        </w:r>
        <w:r w:rsidR="001F121F">
          <w:rPr>
            <w:webHidden/>
          </w:rPr>
          <w:t>25</w:t>
        </w:r>
        <w:r w:rsidR="00AF568D">
          <w:rPr>
            <w:webHidden/>
          </w:rPr>
          <w:fldChar w:fldCharType="end"/>
        </w:r>
      </w:hyperlink>
    </w:p>
    <w:p w14:paraId="191D757C" w14:textId="1100CB77" w:rsidR="00AF568D" w:rsidRDefault="00287FB0">
      <w:pPr>
        <w:pStyle w:val="TOC2"/>
        <w:tabs>
          <w:tab w:val="left" w:pos="720"/>
        </w:tabs>
        <w:rPr>
          <w:rFonts w:eastAsiaTheme="minorEastAsia" w:cstheme="minorBidi"/>
          <w:color w:val="auto"/>
          <w:kern w:val="2"/>
          <w:sz w:val="24"/>
          <w:szCs w:val="24"/>
          <w14:ligatures w14:val="standardContextual"/>
        </w:rPr>
      </w:pPr>
      <w:hyperlink w:anchor="_Toc196395882" w:history="1">
        <w:r w:rsidR="00AF568D" w:rsidRPr="00F11126">
          <w:rPr>
            <w:rStyle w:val="Hyperlink"/>
          </w:rPr>
          <w:t>2.2</w:t>
        </w:r>
        <w:r w:rsidR="00AF568D">
          <w:rPr>
            <w:rFonts w:eastAsiaTheme="minorEastAsia" w:cstheme="minorBidi"/>
            <w:color w:val="auto"/>
            <w:kern w:val="2"/>
            <w:sz w:val="24"/>
            <w:szCs w:val="24"/>
            <w14:ligatures w14:val="standardContextual"/>
          </w:rPr>
          <w:tab/>
        </w:r>
        <w:r w:rsidR="00AF568D" w:rsidRPr="00F11126">
          <w:rPr>
            <w:rStyle w:val="Hyperlink"/>
          </w:rPr>
          <w:t>Dwelling construction activity remains weak</w:t>
        </w:r>
        <w:r w:rsidR="00AF568D">
          <w:rPr>
            <w:webHidden/>
          </w:rPr>
          <w:tab/>
        </w:r>
        <w:r w:rsidR="00AF568D">
          <w:rPr>
            <w:webHidden/>
          </w:rPr>
          <w:fldChar w:fldCharType="begin"/>
        </w:r>
        <w:r w:rsidR="00AF568D">
          <w:rPr>
            <w:webHidden/>
          </w:rPr>
          <w:instrText xml:space="preserve"> PAGEREF _Toc196395882 \h </w:instrText>
        </w:r>
        <w:r w:rsidR="00AF568D">
          <w:rPr>
            <w:webHidden/>
          </w:rPr>
        </w:r>
        <w:r w:rsidR="00AF568D">
          <w:rPr>
            <w:webHidden/>
          </w:rPr>
          <w:fldChar w:fldCharType="separate"/>
        </w:r>
        <w:r w:rsidR="001F121F">
          <w:rPr>
            <w:webHidden/>
          </w:rPr>
          <w:t>32</w:t>
        </w:r>
        <w:r w:rsidR="00AF568D">
          <w:rPr>
            <w:webHidden/>
          </w:rPr>
          <w:fldChar w:fldCharType="end"/>
        </w:r>
      </w:hyperlink>
    </w:p>
    <w:p w14:paraId="1A30CE05" w14:textId="65D60F6B" w:rsidR="00AF568D" w:rsidRDefault="00287FB0">
      <w:pPr>
        <w:pStyle w:val="TOC2"/>
        <w:tabs>
          <w:tab w:val="left" w:pos="720"/>
        </w:tabs>
        <w:rPr>
          <w:rFonts w:eastAsiaTheme="minorEastAsia" w:cstheme="minorBidi"/>
          <w:color w:val="auto"/>
          <w:kern w:val="2"/>
          <w:sz w:val="24"/>
          <w:szCs w:val="24"/>
          <w14:ligatures w14:val="standardContextual"/>
        </w:rPr>
      </w:pPr>
      <w:hyperlink w:anchor="_Toc196395883" w:history="1">
        <w:r w:rsidR="00AF568D" w:rsidRPr="00F11126">
          <w:rPr>
            <w:rStyle w:val="Hyperlink"/>
          </w:rPr>
          <w:t>2.3</w:t>
        </w:r>
        <w:r w:rsidR="00AF568D">
          <w:rPr>
            <w:rFonts w:eastAsiaTheme="minorEastAsia" w:cstheme="minorBidi"/>
            <w:color w:val="auto"/>
            <w:kern w:val="2"/>
            <w:sz w:val="24"/>
            <w:szCs w:val="24"/>
            <w14:ligatures w14:val="standardContextual"/>
          </w:rPr>
          <w:tab/>
        </w:r>
        <w:r w:rsidR="00AF568D" w:rsidRPr="00F11126">
          <w:rPr>
            <w:rStyle w:val="Hyperlink"/>
          </w:rPr>
          <w:t>Adverse supply</w:t>
        </w:r>
        <w:r w:rsidR="00AF568D" w:rsidRPr="00F11126">
          <w:rPr>
            <w:rStyle w:val="Hyperlink"/>
          </w:rPr>
          <w:noBreakHyphen/>
          <w:t>side conditions are limiting housing construction activity</w:t>
        </w:r>
        <w:r w:rsidR="00AF568D">
          <w:rPr>
            <w:webHidden/>
          </w:rPr>
          <w:tab/>
        </w:r>
        <w:r w:rsidR="00AF568D">
          <w:rPr>
            <w:webHidden/>
          </w:rPr>
          <w:fldChar w:fldCharType="begin"/>
        </w:r>
        <w:r w:rsidR="00AF568D">
          <w:rPr>
            <w:webHidden/>
          </w:rPr>
          <w:instrText xml:space="preserve"> PAGEREF _Toc196395883 \h </w:instrText>
        </w:r>
        <w:r w:rsidR="00AF568D">
          <w:rPr>
            <w:webHidden/>
          </w:rPr>
        </w:r>
        <w:r w:rsidR="00AF568D">
          <w:rPr>
            <w:webHidden/>
          </w:rPr>
          <w:fldChar w:fldCharType="separate"/>
        </w:r>
        <w:r w:rsidR="001F121F">
          <w:rPr>
            <w:webHidden/>
          </w:rPr>
          <w:t>35</w:t>
        </w:r>
        <w:r w:rsidR="00AF568D">
          <w:rPr>
            <w:webHidden/>
          </w:rPr>
          <w:fldChar w:fldCharType="end"/>
        </w:r>
      </w:hyperlink>
    </w:p>
    <w:p w14:paraId="5D5C6397" w14:textId="70D210B2" w:rsidR="00AF568D" w:rsidRDefault="00287FB0">
      <w:pPr>
        <w:pStyle w:val="TOC2"/>
        <w:tabs>
          <w:tab w:val="left" w:pos="720"/>
        </w:tabs>
        <w:rPr>
          <w:rFonts w:eastAsiaTheme="minorEastAsia" w:cstheme="minorBidi"/>
          <w:color w:val="auto"/>
          <w:kern w:val="2"/>
          <w:sz w:val="24"/>
          <w:szCs w:val="24"/>
          <w14:ligatures w14:val="standardContextual"/>
        </w:rPr>
      </w:pPr>
      <w:hyperlink w:anchor="_Toc196395884" w:history="1">
        <w:r w:rsidR="00AF568D" w:rsidRPr="00F11126">
          <w:rPr>
            <w:rStyle w:val="Hyperlink"/>
          </w:rPr>
          <w:t>2.4</w:t>
        </w:r>
        <w:r w:rsidR="00AF568D">
          <w:rPr>
            <w:rFonts w:eastAsiaTheme="minorEastAsia" w:cstheme="minorBidi"/>
            <w:color w:val="auto"/>
            <w:kern w:val="2"/>
            <w:sz w:val="24"/>
            <w:szCs w:val="24"/>
            <w14:ligatures w14:val="standardContextual"/>
          </w:rPr>
          <w:tab/>
        </w:r>
        <w:r w:rsidR="00AF568D" w:rsidRPr="00F11126">
          <w:rPr>
            <w:rStyle w:val="Hyperlink"/>
          </w:rPr>
          <w:t>Demand for housing remains elevated, but has eased over the past year</w:t>
        </w:r>
        <w:r w:rsidR="00AF568D">
          <w:rPr>
            <w:webHidden/>
          </w:rPr>
          <w:tab/>
        </w:r>
        <w:r w:rsidR="00AF568D">
          <w:rPr>
            <w:webHidden/>
          </w:rPr>
          <w:fldChar w:fldCharType="begin"/>
        </w:r>
        <w:r w:rsidR="00AF568D">
          <w:rPr>
            <w:webHidden/>
          </w:rPr>
          <w:instrText xml:space="preserve"> PAGEREF _Toc196395884 \h </w:instrText>
        </w:r>
        <w:r w:rsidR="00AF568D">
          <w:rPr>
            <w:webHidden/>
          </w:rPr>
        </w:r>
        <w:r w:rsidR="00AF568D">
          <w:rPr>
            <w:webHidden/>
          </w:rPr>
          <w:fldChar w:fldCharType="separate"/>
        </w:r>
        <w:r w:rsidR="001F121F">
          <w:rPr>
            <w:webHidden/>
          </w:rPr>
          <w:t>46</w:t>
        </w:r>
        <w:r w:rsidR="00AF568D">
          <w:rPr>
            <w:webHidden/>
          </w:rPr>
          <w:fldChar w:fldCharType="end"/>
        </w:r>
      </w:hyperlink>
    </w:p>
    <w:p w14:paraId="3C658686" w14:textId="75123716" w:rsidR="00AF568D" w:rsidRDefault="00287FB0">
      <w:pPr>
        <w:pStyle w:val="TOC1"/>
        <w:tabs>
          <w:tab w:val="left" w:pos="1440"/>
        </w:tabs>
        <w:rPr>
          <w:rFonts w:eastAsiaTheme="minorEastAsia" w:cstheme="minorBidi"/>
          <w:b w:val="0"/>
          <w:color w:val="auto"/>
          <w:kern w:val="2"/>
          <w:szCs w:val="24"/>
          <w14:ligatures w14:val="standardContextual"/>
        </w:rPr>
      </w:pPr>
      <w:hyperlink w:anchor="_Toc196395885" w:history="1">
        <w:r w:rsidR="00AF568D" w:rsidRPr="00F11126">
          <w:rPr>
            <w:rStyle w:val="Hyperlink"/>
          </w:rPr>
          <w:t>Chapter 3</w:t>
        </w:r>
        <w:r w:rsidR="00AF568D">
          <w:rPr>
            <w:rFonts w:eastAsiaTheme="minorEastAsia" w:cstheme="minorBidi"/>
            <w:b w:val="0"/>
            <w:color w:val="auto"/>
            <w:kern w:val="2"/>
            <w:szCs w:val="24"/>
            <w14:ligatures w14:val="standardContextual"/>
          </w:rPr>
          <w:tab/>
        </w:r>
        <w:r w:rsidR="00AF568D" w:rsidRPr="00F11126">
          <w:rPr>
            <w:rStyle w:val="Hyperlink"/>
          </w:rPr>
          <w:t>Conditions in non</w:t>
        </w:r>
        <w:r w:rsidR="00AF568D" w:rsidRPr="00F11126">
          <w:rPr>
            <w:rStyle w:val="Hyperlink"/>
          </w:rPr>
          <w:noBreakHyphen/>
          <w:t>market housing and housing assistance</w:t>
        </w:r>
        <w:r w:rsidR="00AF568D">
          <w:rPr>
            <w:webHidden/>
          </w:rPr>
          <w:tab/>
        </w:r>
        <w:r w:rsidR="00AF568D">
          <w:rPr>
            <w:webHidden/>
          </w:rPr>
          <w:fldChar w:fldCharType="begin"/>
        </w:r>
        <w:r w:rsidR="00AF568D">
          <w:rPr>
            <w:webHidden/>
          </w:rPr>
          <w:instrText xml:space="preserve"> PAGEREF _Toc196395885 \h </w:instrText>
        </w:r>
        <w:r w:rsidR="00AF568D">
          <w:rPr>
            <w:webHidden/>
          </w:rPr>
        </w:r>
        <w:r w:rsidR="00AF568D">
          <w:rPr>
            <w:webHidden/>
          </w:rPr>
          <w:fldChar w:fldCharType="separate"/>
        </w:r>
        <w:r w:rsidR="001F121F">
          <w:rPr>
            <w:webHidden/>
          </w:rPr>
          <w:t>53</w:t>
        </w:r>
        <w:r w:rsidR="00AF568D">
          <w:rPr>
            <w:webHidden/>
          </w:rPr>
          <w:fldChar w:fldCharType="end"/>
        </w:r>
      </w:hyperlink>
    </w:p>
    <w:p w14:paraId="1DE6A763" w14:textId="3E7E6589" w:rsidR="00AF568D" w:rsidRDefault="00287FB0">
      <w:pPr>
        <w:pStyle w:val="TOC2"/>
        <w:tabs>
          <w:tab w:val="left" w:pos="720"/>
        </w:tabs>
        <w:rPr>
          <w:rFonts w:eastAsiaTheme="minorEastAsia" w:cstheme="minorBidi"/>
          <w:color w:val="auto"/>
          <w:kern w:val="2"/>
          <w:sz w:val="24"/>
          <w:szCs w:val="24"/>
          <w14:ligatures w14:val="standardContextual"/>
        </w:rPr>
      </w:pPr>
      <w:hyperlink w:anchor="_Toc196395886" w:history="1">
        <w:r w:rsidR="00AF568D" w:rsidRPr="00F11126">
          <w:rPr>
            <w:rStyle w:val="Hyperlink"/>
          </w:rPr>
          <w:t>3.1</w:t>
        </w:r>
        <w:r w:rsidR="00AF568D">
          <w:rPr>
            <w:rFonts w:eastAsiaTheme="minorEastAsia" w:cstheme="minorBidi"/>
            <w:color w:val="auto"/>
            <w:kern w:val="2"/>
            <w:sz w:val="24"/>
            <w:szCs w:val="24"/>
            <w14:ligatures w14:val="standardContextual"/>
          </w:rPr>
          <w:tab/>
        </w:r>
        <w:r w:rsidR="00AF568D" w:rsidRPr="00F11126">
          <w:rPr>
            <w:rStyle w:val="Hyperlink"/>
          </w:rPr>
          <w:t>Non</w:t>
        </w:r>
        <w:r w:rsidR="00AF568D" w:rsidRPr="00F11126">
          <w:rPr>
            <w:rStyle w:val="Hyperlink"/>
          </w:rPr>
          <w:noBreakHyphen/>
          <w:t>market housing is an essential element of all housing systems</w:t>
        </w:r>
        <w:r w:rsidR="00AF568D">
          <w:rPr>
            <w:webHidden/>
          </w:rPr>
          <w:tab/>
        </w:r>
        <w:r w:rsidR="00AF568D">
          <w:rPr>
            <w:webHidden/>
          </w:rPr>
          <w:fldChar w:fldCharType="begin"/>
        </w:r>
        <w:r w:rsidR="00AF568D">
          <w:rPr>
            <w:webHidden/>
          </w:rPr>
          <w:instrText xml:space="preserve"> PAGEREF _Toc196395886 \h </w:instrText>
        </w:r>
        <w:r w:rsidR="00AF568D">
          <w:rPr>
            <w:webHidden/>
          </w:rPr>
        </w:r>
        <w:r w:rsidR="00AF568D">
          <w:rPr>
            <w:webHidden/>
          </w:rPr>
          <w:fldChar w:fldCharType="separate"/>
        </w:r>
        <w:r w:rsidR="001F121F">
          <w:rPr>
            <w:webHidden/>
          </w:rPr>
          <w:t>53</w:t>
        </w:r>
        <w:r w:rsidR="00AF568D">
          <w:rPr>
            <w:webHidden/>
          </w:rPr>
          <w:fldChar w:fldCharType="end"/>
        </w:r>
      </w:hyperlink>
    </w:p>
    <w:p w14:paraId="34B0393D" w14:textId="25B570A6" w:rsidR="00AF568D" w:rsidRDefault="00287FB0">
      <w:pPr>
        <w:pStyle w:val="TOC2"/>
        <w:tabs>
          <w:tab w:val="left" w:pos="720"/>
        </w:tabs>
        <w:rPr>
          <w:rFonts w:eastAsiaTheme="minorEastAsia" w:cstheme="minorBidi"/>
          <w:color w:val="auto"/>
          <w:kern w:val="2"/>
          <w:sz w:val="24"/>
          <w:szCs w:val="24"/>
          <w14:ligatures w14:val="standardContextual"/>
        </w:rPr>
      </w:pPr>
      <w:hyperlink w:anchor="_Toc196395887" w:history="1">
        <w:r w:rsidR="00AF568D" w:rsidRPr="00F11126">
          <w:rPr>
            <w:rStyle w:val="Hyperlink"/>
          </w:rPr>
          <w:t>3.2</w:t>
        </w:r>
        <w:r w:rsidR="00AF568D">
          <w:rPr>
            <w:rFonts w:eastAsiaTheme="minorEastAsia" w:cstheme="minorBidi"/>
            <w:color w:val="auto"/>
            <w:kern w:val="2"/>
            <w:sz w:val="24"/>
            <w:szCs w:val="24"/>
            <w14:ligatures w14:val="standardContextual"/>
          </w:rPr>
          <w:tab/>
        </w:r>
        <w:r w:rsidR="00AF568D" w:rsidRPr="00F11126">
          <w:rPr>
            <w:rStyle w:val="Hyperlink"/>
          </w:rPr>
          <w:t>Homelessness indicators are elevated, but are also likely to understate true homelessness</w:t>
        </w:r>
        <w:r w:rsidR="00AF568D">
          <w:rPr>
            <w:webHidden/>
          </w:rPr>
          <w:tab/>
        </w:r>
        <w:r w:rsidR="00AF568D">
          <w:rPr>
            <w:webHidden/>
          </w:rPr>
          <w:fldChar w:fldCharType="begin"/>
        </w:r>
        <w:r w:rsidR="00AF568D">
          <w:rPr>
            <w:webHidden/>
          </w:rPr>
          <w:instrText xml:space="preserve"> PAGEREF _Toc196395887 \h </w:instrText>
        </w:r>
        <w:r w:rsidR="00AF568D">
          <w:rPr>
            <w:webHidden/>
          </w:rPr>
        </w:r>
        <w:r w:rsidR="00AF568D">
          <w:rPr>
            <w:webHidden/>
          </w:rPr>
          <w:fldChar w:fldCharType="separate"/>
        </w:r>
        <w:r w:rsidR="001F121F">
          <w:rPr>
            <w:webHidden/>
          </w:rPr>
          <w:t>55</w:t>
        </w:r>
        <w:r w:rsidR="00AF568D">
          <w:rPr>
            <w:webHidden/>
          </w:rPr>
          <w:fldChar w:fldCharType="end"/>
        </w:r>
      </w:hyperlink>
    </w:p>
    <w:p w14:paraId="67909C72" w14:textId="2FB048D0" w:rsidR="00AF568D" w:rsidRDefault="00287FB0">
      <w:pPr>
        <w:pStyle w:val="TOC2"/>
        <w:tabs>
          <w:tab w:val="left" w:pos="720"/>
        </w:tabs>
        <w:rPr>
          <w:rFonts w:eastAsiaTheme="minorEastAsia" w:cstheme="minorBidi"/>
          <w:color w:val="auto"/>
          <w:kern w:val="2"/>
          <w:sz w:val="24"/>
          <w:szCs w:val="24"/>
          <w14:ligatures w14:val="standardContextual"/>
        </w:rPr>
      </w:pPr>
      <w:hyperlink w:anchor="_Toc196395888" w:history="1">
        <w:r w:rsidR="00AF568D" w:rsidRPr="00F11126">
          <w:rPr>
            <w:rStyle w:val="Hyperlink"/>
            <w:rFonts w:cstheme="minorHAnsi"/>
          </w:rPr>
          <w:t>3.3</w:t>
        </w:r>
        <w:r w:rsidR="00AF568D">
          <w:rPr>
            <w:rFonts w:eastAsiaTheme="minorEastAsia" w:cstheme="minorBidi"/>
            <w:color w:val="auto"/>
            <w:kern w:val="2"/>
            <w:sz w:val="24"/>
            <w:szCs w:val="24"/>
            <w14:ligatures w14:val="standardContextual"/>
          </w:rPr>
          <w:tab/>
        </w:r>
        <w:r w:rsidR="00AF568D" w:rsidRPr="00F11126">
          <w:rPr>
            <w:rStyle w:val="Hyperlink"/>
            <w:rFonts w:cstheme="minorHAnsi"/>
          </w:rPr>
          <w:t>The stock of social housing has increased, but has fallen as a share of total dwellings</w:t>
        </w:r>
        <w:r w:rsidR="00AF568D">
          <w:rPr>
            <w:webHidden/>
          </w:rPr>
          <w:tab/>
        </w:r>
        <w:r w:rsidR="00AF568D">
          <w:rPr>
            <w:webHidden/>
          </w:rPr>
          <w:fldChar w:fldCharType="begin"/>
        </w:r>
        <w:r w:rsidR="00AF568D">
          <w:rPr>
            <w:webHidden/>
          </w:rPr>
          <w:instrText xml:space="preserve"> PAGEREF _Toc196395888 \h </w:instrText>
        </w:r>
        <w:r w:rsidR="00AF568D">
          <w:rPr>
            <w:webHidden/>
          </w:rPr>
        </w:r>
        <w:r w:rsidR="00AF568D">
          <w:rPr>
            <w:webHidden/>
          </w:rPr>
          <w:fldChar w:fldCharType="separate"/>
        </w:r>
        <w:r w:rsidR="001F121F">
          <w:rPr>
            <w:webHidden/>
          </w:rPr>
          <w:t>57</w:t>
        </w:r>
        <w:r w:rsidR="00AF568D">
          <w:rPr>
            <w:webHidden/>
          </w:rPr>
          <w:fldChar w:fldCharType="end"/>
        </w:r>
      </w:hyperlink>
    </w:p>
    <w:p w14:paraId="31CE9F9A" w14:textId="51AAB71D" w:rsidR="00AF568D" w:rsidRDefault="00287FB0">
      <w:pPr>
        <w:pStyle w:val="TOC2"/>
        <w:tabs>
          <w:tab w:val="left" w:pos="720"/>
        </w:tabs>
        <w:rPr>
          <w:rFonts w:eastAsiaTheme="minorEastAsia" w:cstheme="minorBidi"/>
          <w:color w:val="auto"/>
          <w:kern w:val="2"/>
          <w:sz w:val="24"/>
          <w:szCs w:val="24"/>
          <w14:ligatures w14:val="standardContextual"/>
        </w:rPr>
      </w:pPr>
      <w:hyperlink w:anchor="_Toc196395889" w:history="1">
        <w:r w:rsidR="00AF568D" w:rsidRPr="00F11126">
          <w:rPr>
            <w:rStyle w:val="Hyperlink"/>
          </w:rPr>
          <w:t>3.4</w:t>
        </w:r>
        <w:r w:rsidR="00AF568D">
          <w:rPr>
            <w:rFonts w:eastAsiaTheme="minorEastAsia" w:cstheme="minorBidi"/>
            <w:color w:val="auto"/>
            <w:kern w:val="2"/>
            <w:sz w:val="24"/>
            <w:szCs w:val="24"/>
            <w14:ligatures w14:val="standardContextual"/>
          </w:rPr>
          <w:tab/>
        </w:r>
        <w:r w:rsidR="00AF568D" w:rsidRPr="00F11126">
          <w:rPr>
            <w:rStyle w:val="Hyperlink"/>
          </w:rPr>
          <w:t>The stock of affordable housing has also grown, but it is hard to measure</w:t>
        </w:r>
        <w:r w:rsidR="00AF568D">
          <w:rPr>
            <w:webHidden/>
          </w:rPr>
          <w:tab/>
        </w:r>
        <w:r w:rsidR="00AF568D">
          <w:rPr>
            <w:webHidden/>
          </w:rPr>
          <w:fldChar w:fldCharType="begin"/>
        </w:r>
        <w:r w:rsidR="00AF568D">
          <w:rPr>
            <w:webHidden/>
          </w:rPr>
          <w:instrText xml:space="preserve"> PAGEREF _Toc196395889 \h </w:instrText>
        </w:r>
        <w:r w:rsidR="00AF568D">
          <w:rPr>
            <w:webHidden/>
          </w:rPr>
        </w:r>
        <w:r w:rsidR="00AF568D">
          <w:rPr>
            <w:webHidden/>
          </w:rPr>
          <w:fldChar w:fldCharType="separate"/>
        </w:r>
        <w:r w:rsidR="001F121F">
          <w:rPr>
            <w:webHidden/>
          </w:rPr>
          <w:t>61</w:t>
        </w:r>
        <w:r w:rsidR="00AF568D">
          <w:rPr>
            <w:webHidden/>
          </w:rPr>
          <w:fldChar w:fldCharType="end"/>
        </w:r>
      </w:hyperlink>
    </w:p>
    <w:p w14:paraId="5ECD96C8" w14:textId="31E4CB47" w:rsidR="00AF568D" w:rsidRDefault="00287FB0">
      <w:pPr>
        <w:pStyle w:val="TOC2"/>
        <w:tabs>
          <w:tab w:val="left" w:pos="720"/>
        </w:tabs>
        <w:rPr>
          <w:rFonts w:eastAsiaTheme="minorEastAsia" w:cstheme="minorBidi"/>
          <w:color w:val="auto"/>
          <w:kern w:val="2"/>
          <w:sz w:val="24"/>
          <w:szCs w:val="24"/>
          <w14:ligatures w14:val="standardContextual"/>
        </w:rPr>
      </w:pPr>
      <w:hyperlink w:anchor="_Toc196395890" w:history="1">
        <w:r w:rsidR="00AF568D" w:rsidRPr="00F11126">
          <w:rPr>
            <w:rStyle w:val="Hyperlink"/>
          </w:rPr>
          <w:t>3.5</w:t>
        </w:r>
        <w:r w:rsidR="00AF568D">
          <w:rPr>
            <w:rFonts w:eastAsiaTheme="minorEastAsia" w:cstheme="minorBidi"/>
            <w:color w:val="auto"/>
            <w:kern w:val="2"/>
            <w:sz w:val="24"/>
            <w:szCs w:val="24"/>
            <w14:ligatures w14:val="standardContextual"/>
          </w:rPr>
          <w:tab/>
        </w:r>
        <w:r w:rsidR="00AF568D" w:rsidRPr="00F11126">
          <w:rPr>
            <w:rStyle w:val="Hyperlink"/>
          </w:rPr>
          <w:t>Housing assistance for renters and home buyers is expanding</w:t>
        </w:r>
        <w:r w:rsidR="00AF568D">
          <w:rPr>
            <w:webHidden/>
          </w:rPr>
          <w:tab/>
        </w:r>
        <w:r w:rsidR="00AF568D">
          <w:rPr>
            <w:webHidden/>
          </w:rPr>
          <w:fldChar w:fldCharType="begin"/>
        </w:r>
        <w:r w:rsidR="00AF568D">
          <w:rPr>
            <w:webHidden/>
          </w:rPr>
          <w:instrText xml:space="preserve"> PAGEREF _Toc196395890 \h </w:instrText>
        </w:r>
        <w:r w:rsidR="00AF568D">
          <w:rPr>
            <w:webHidden/>
          </w:rPr>
        </w:r>
        <w:r w:rsidR="00AF568D">
          <w:rPr>
            <w:webHidden/>
          </w:rPr>
          <w:fldChar w:fldCharType="separate"/>
        </w:r>
        <w:r w:rsidR="001F121F">
          <w:rPr>
            <w:webHidden/>
          </w:rPr>
          <w:t>66</w:t>
        </w:r>
        <w:r w:rsidR="00AF568D">
          <w:rPr>
            <w:webHidden/>
          </w:rPr>
          <w:fldChar w:fldCharType="end"/>
        </w:r>
      </w:hyperlink>
    </w:p>
    <w:p w14:paraId="101E6D92" w14:textId="77FDA435" w:rsidR="00AF568D" w:rsidRDefault="00287FB0">
      <w:pPr>
        <w:pStyle w:val="TOC1"/>
        <w:tabs>
          <w:tab w:val="left" w:pos="1440"/>
        </w:tabs>
        <w:rPr>
          <w:rFonts w:eastAsiaTheme="minorEastAsia" w:cstheme="minorBidi"/>
          <w:b w:val="0"/>
          <w:color w:val="auto"/>
          <w:kern w:val="2"/>
          <w:szCs w:val="24"/>
          <w14:ligatures w14:val="standardContextual"/>
        </w:rPr>
      </w:pPr>
      <w:hyperlink w:anchor="_Toc196395891" w:history="1">
        <w:r w:rsidR="00AF568D" w:rsidRPr="00F11126">
          <w:rPr>
            <w:rStyle w:val="Hyperlink"/>
          </w:rPr>
          <w:t>Chapter 4</w:t>
        </w:r>
        <w:r w:rsidR="00AF568D">
          <w:rPr>
            <w:rFonts w:eastAsiaTheme="minorEastAsia" w:cstheme="minorBidi"/>
            <w:b w:val="0"/>
            <w:color w:val="auto"/>
            <w:kern w:val="2"/>
            <w:szCs w:val="24"/>
            <w14:ligatures w14:val="standardContextual"/>
          </w:rPr>
          <w:tab/>
        </w:r>
        <w:r w:rsidR="00AF568D" w:rsidRPr="00F11126">
          <w:rPr>
            <w:rStyle w:val="Hyperlink"/>
          </w:rPr>
          <w:t>Housing affordability</w:t>
        </w:r>
        <w:r w:rsidR="00AF568D">
          <w:rPr>
            <w:webHidden/>
          </w:rPr>
          <w:tab/>
        </w:r>
        <w:r w:rsidR="00AF568D">
          <w:rPr>
            <w:webHidden/>
          </w:rPr>
          <w:fldChar w:fldCharType="begin"/>
        </w:r>
        <w:r w:rsidR="00AF568D">
          <w:rPr>
            <w:webHidden/>
          </w:rPr>
          <w:instrText xml:space="preserve"> PAGEREF _Toc196395891 \h </w:instrText>
        </w:r>
        <w:r w:rsidR="00AF568D">
          <w:rPr>
            <w:webHidden/>
          </w:rPr>
        </w:r>
        <w:r w:rsidR="00AF568D">
          <w:rPr>
            <w:webHidden/>
          </w:rPr>
          <w:fldChar w:fldCharType="separate"/>
        </w:r>
        <w:r w:rsidR="001F121F">
          <w:rPr>
            <w:webHidden/>
          </w:rPr>
          <w:t>71</w:t>
        </w:r>
        <w:r w:rsidR="00AF568D">
          <w:rPr>
            <w:webHidden/>
          </w:rPr>
          <w:fldChar w:fldCharType="end"/>
        </w:r>
      </w:hyperlink>
    </w:p>
    <w:p w14:paraId="7A5E37A0" w14:textId="5DBD3916" w:rsidR="00AF568D" w:rsidRDefault="00287FB0">
      <w:pPr>
        <w:pStyle w:val="TOC2"/>
        <w:tabs>
          <w:tab w:val="left" w:pos="720"/>
        </w:tabs>
        <w:rPr>
          <w:rFonts w:eastAsiaTheme="minorEastAsia" w:cstheme="minorBidi"/>
          <w:color w:val="auto"/>
          <w:kern w:val="2"/>
          <w:sz w:val="24"/>
          <w:szCs w:val="24"/>
          <w14:ligatures w14:val="standardContextual"/>
        </w:rPr>
      </w:pPr>
      <w:hyperlink w:anchor="_Toc196395892" w:history="1">
        <w:r w:rsidR="00AF568D" w:rsidRPr="00F11126">
          <w:rPr>
            <w:rStyle w:val="Hyperlink"/>
          </w:rPr>
          <w:t>4.1</w:t>
        </w:r>
        <w:r w:rsidR="00AF568D">
          <w:rPr>
            <w:rFonts w:eastAsiaTheme="minorEastAsia" w:cstheme="minorBidi"/>
            <w:color w:val="auto"/>
            <w:kern w:val="2"/>
            <w:sz w:val="24"/>
            <w:szCs w:val="24"/>
            <w14:ligatures w14:val="standardContextual"/>
          </w:rPr>
          <w:tab/>
        </w:r>
        <w:r w:rsidR="00AF568D" w:rsidRPr="00F11126">
          <w:rPr>
            <w:rStyle w:val="Hyperlink"/>
          </w:rPr>
          <w:t>High housing costs continued to erode housing affordability across Australia</w:t>
        </w:r>
        <w:r w:rsidR="00AF568D">
          <w:rPr>
            <w:webHidden/>
          </w:rPr>
          <w:tab/>
        </w:r>
        <w:r w:rsidR="00AF568D">
          <w:rPr>
            <w:webHidden/>
          </w:rPr>
          <w:fldChar w:fldCharType="begin"/>
        </w:r>
        <w:r w:rsidR="00AF568D">
          <w:rPr>
            <w:webHidden/>
          </w:rPr>
          <w:instrText xml:space="preserve"> PAGEREF _Toc196395892 \h </w:instrText>
        </w:r>
        <w:r w:rsidR="00AF568D">
          <w:rPr>
            <w:webHidden/>
          </w:rPr>
        </w:r>
        <w:r w:rsidR="00AF568D">
          <w:rPr>
            <w:webHidden/>
          </w:rPr>
          <w:fldChar w:fldCharType="separate"/>
        </w:r>
        <w:r w:rsidR="001F121F">
          <w:rPr>
            <w:webHidden/>
          </w:rPr>
          <w:t>71</w:t>
        </w:r>
        <w:r w:rsidR="00AF568D">
          <w:rPr>
            <w:webHidden/>
          </w:rPr>
          <w:fldChar w:fldCharType="end"/>
        </w:r>
      </w:hyperlink>
    </w:p>
    <w:p w14:paraId="0B89012B" w14:textId="29E406E8" w:rsidR="00AF568D" w:rsidRDefault="00287FB0">
      <w:pPr>
        <w:pStyle w:val="TOC2"/>
        <w:tabs>
          <w:tab w:val="left" w:pos="720"/>
        </w:tabs>
        <w:rPr>
          <w:rFonts w:eastAsiaTheme="minorEastAsia" w:cstheme="minorBidi"/>
          <w:color w:val="auto"/>
          <w:kern w:val="2"/>
          <w:sz w:val="24"/>
          <w:szCs w:val="24"/>
          <w14:ligatures w14:val="standardContextual"/>
        </w:rPr>
      </w:pPr>
      <w:hyperlink w:anchor="_Toc196395893" w:history="1">
        <w:r w:rsidR="00AF568D" w:rsidRPr="00F11126">
          <w:rPr>
            <w:rStyle w:val="Hyperlink"/>
          </w:rPr>
          <w:t>4.2</w:t>
        </w:r>
        <w:r w:rsidR="00AF568D">
          <w:rPr>
            <w:rFonts w:eastAsiaTheme="minorEastAsia" w:cstheme="minorBidi"/>
            <w:color w:val="auto"/>
            <w:kern w:val="2"/>
            <w:sz w:val="24"/>
            <w:szCs w:val="24"/>
            <w14:ligatures w14:val="standardContextual"/>
          </w:rPr>
          <w:tab/>
        </w:r>
        <w:r w:rsidR="00AF568D" w:rsidRPr="00F11126">
          <w:rPr>
            <w:rStyle w:val="Hyperlink"/>
          </w:rPr>
          <w:t>The increase in housing costs mirrors trends seen in comparable advanced economies</w:t>
        </w:r>
        <w:r w:rsidR="00AF568D">
          <w:rPr>
            <w:webHidden/>
          </w:rPr>
          <w:tab/>
        </w:r>
        <w:r w:rsidR="00AF568D">
          <w:rPr>
            <w:webHidden/>
          </w:rPr>
          <w:fldChar w:fldCharType="begin"/>
        </w:r>
        <w:r w:rsidR="00AF568D">
          <w:rPr>
            <w:webHidden/>
          </w:rPr>
          <w:instrText xml:space="preserve"> PAGEREF _Toc196395893 \h </w:instrText>
        </w:r>
        <w:r w:rsidR="00AF568D">
          <w:rPr>
            <w:webHidden/>
          </w:rPr>
        </w:r>
        <w:r w:rsidR="00AF568D">
          <w:rPr>
            <w:webHidden/>
          </w:rPr>
          <w:fldChar w:fldCharType="separate"/>
        </w:r>
        <w:r w:rsidR="001F121F">
          <w:rPr>
            <w:webHidden/>
          </w:rPr>
          <w:t>73</w:t>
        </w:r>
        <w:r w:rsidR="00AF568D">
          <w:rPr>
            <w:webHidden/>
          </w:rPr>
          <w:fldChar w:fldCharType="end"/>
        </w:r>
      </w:hyperlink>
    </w:p>
    <w:p w14:paraId="21FE94D5" w14:textId="3ECDA689" w:rsidR="00AF568D" w:rsidRDefault="00287FB0">
      <w:pPr>
        <w:pStyle w:val="TOC2"/>
        <w:tabs>
          <w:tab w:val="left" w:pos="720"/>
        </w:tabs>
        <w:rPr>
          <w:rFonts w:eastAsiaTheme="minorEastAsia" w:cstheme="minorBidi"/>
          <w:color w:val="auto"/>
          <w:kern w:val="2"/>
          <w:sz w:val="24"/>
          <w:szCs w:val="24"/>
          <w14:ligatures w14:val="standardContextual"/>
        </w:rPr>
      </w:pPr>
      <w:hyperlink w:anchor="_Toc196395894" w:history="1">
        <w:r w:rsidR="00AF568D" w:rsidRPr="00F11126">
          <w:rPr>
            <w:rStyle w:val="Hyperlink"/>
          </w:rPr>
          <w:t>4.3</w:t>
        </w:r>
        <w:r w:rsidR="00AF568D">
          <w:rPr>
            <w:rFonts w:eastAsiaTheme="minorEastAsia" w:cstheme="minorBidi"/>
            <w:color w:val="auto"/>
            <w:kern w:val="2"/>
            <w:sz w:val="24"/>
            <w:szCs w:val="24"/>
            <w14:ligatures w14:val="standardContextual"/>
          </w:rPr>
          <w:tab/>
        </w:r>
        <w:r w:rsidR="00AF568D" w:rsidRPr="00F11126">
          <w:rPr>
            <w:rStyle w:val="Hyperlink"/>
          </w:rPr>
          <w:t>Housing affordability continued to worsen across Australia for all tenure types</w:t>
        </w:r>
        <w:r w:rsidR="00AF568D">
          <w:rPr>
            <w:webHidden/>
          </w:rPr>
          <w:tab/>
        </w:r>
        <w:r w:rsidR="00AF568D">
          <w:rPr>
            <w:webHidden/>
          </w:rPr>
          <w:fldChar w:fldCharType="begin"/>
        </w:r>
        <w:r w:rsidR="00AF568D">
          <w:rPr>
            <w:webHidden/>
          </w:rPr>
          <w:instrText xml:space="preserve"> PAGEREF _Toc196395894 \h </w:instrText>
        </w:r>
        <w:r w:rsidR="00AF568D">
          <w:rPr>
            <w:webHidden/>
          </w:rPr>
        </w:r>
        <w:r w:rsidR="00AF568D">
          <w:rPr>
            <w:webHidden/>
          </w:rPr>
          <w:fldChar w:fldCharType="separate"/>
        </w:r>
        <w:r w:rsidR="001F121F">
          <w:rPr>
            <w:webHidden/>
          </w:rPr>
          <w:t>75</w:t>
        </w:r>
        <w:r w:rsidR="00AF568D">
          <w:rPr>
            <w:webHidden/>
          </w:rPr>
          <w:fldChar w:fldCharType="end"/>
        </w:r>
      </w:hyperlink>
    </w:p>
    <w:p w14:paraId="3EA06A6C" w14:textId="66D26F4D" w:rsidR="00AF568D" w:rsidRDefault="00287FB0">
      <w:pPr>
        <w:pStyle w:val="TOC2"/>
        <w:tabs>
          <w:tab w:val="left" w:pos="720"/>
        </w:tabs>
        <w:rPr>
          <w:rFonts w:eastAsiaTheme="minorEastAsia" w:cstheme="minorBidi"/>
          <w:color w:val="auto"/>
          <w:kern w:val="2"/>
          <w:sz w:val="24"/>
          <w:szCs w:val="24"/>
          <w14:ligatures w14:val="standardContextual"/>
        </w:rPr>
      </w:pPr>
      <w:hyperlink w:anchor="_Toc196395895" w:history="1">
        <w:r w:rsidR="00AF568D" w:rsidRPr="00F11126">
          <w:rPr>
            <w:rStyle w:val="Hyperlink"/>
          </w:rPr>
          <w:t>4.4</w:t>
        </w:r>
        <w:r w:rsidR="00AF568D">
          <w:rPr>
            <w:rFonts w:eastAsiaTheme="minorEastAsia" w:cstheme="minorBidi"/>
            <w:color w:val="auto"/>
            <w:kern w:val="2"/>
            <w:sz w:val="24"/>
            <w:szCs w:val="24"/>
            <w14:ligatures w14:val="standardContextual"/>
          </w:rPr>
          <w:tab/>
        </w:r>
        <w:r w:rsidR="00AF568D" w:rsidRPr="00F11126">
          <w:rPr>
            <w:rStyle w:val="Hyperlink"/>
          </w:rPr>
          <w:t>Rental stress levels remain high, with those in rental stress reporting lower wellbeing</w:t>
        </w:r>
        <w:r w:rsidR="00AF568D">
          <w:rPr>
            <w:webHidden/>
          </w:rPr>
          <w:tab/>
        </w:r>
        <w:r w:rsidR="00AF568D">
          <w:rPr>
            <w:webHidden/>
          </w:rPr>
          <w:fldChar w:fldCharType="begin"/>
        </w:r>
        <w:r w:rsidR="00AF568D">
          <w:rPr>
            <w:webHidden/>
          </w:rPr>
          <w:instrText xml:space="preserve"> PAGEREF _Toc196395895 \h </w:instrText>
        </w:r>
        <w:r w:rsidR="00AF568D">
          <w:rPr>
            <w:webHidden/>
          </w:rPr>
        </w:r>
        <w:r w:rsidR="00AF568D">
          <w:rPr>
            <w:webHidden/>
          </w:rPr>
          <w:fldChar w:fldCharType="separate"/>
        </w:r>
        <w:r w:rsidR="001F121F">
          <w:rPr>
            <w:webHidden/>
          </w:rPr>
          <w:t>79</w:t>
        </w:r>
        <w:r w:rsidR="00AF568D">
          <w:rPr>
            <w:webHidden/>
          </w:rPr>
          <w:fldChar w:fldCharType="end"/>
        </w:r>
      </w:hyperlink>
    </w:p>
    <w:p w14:paraId="2B1F902C" w14:textId="7B6749E7" w:rsidR="00AF568D" w:rsidRDefault="00287FB0">
      <w:pPr>
        <w:pStyle w:val="TOC1"/>
        <w:tabs>
          <w:tab w:val="left" w:pos="1440"/>
        </w:tabs>
        <w:rPr>
          <w:rFonts w:eastAsiaTheme="minorEastAsia" w:cstheme="minorBidi"/>
          <w:b w:val="0"/>
          <w:color w:val="auto"/>
          <w:kern w:val="2"/>
          <w:szCs w:val="24"/>
          <w14:ligatures w14:val="standardContextual"/>
        </w:rPr>
      </w:pPr>
      <w:hyperlink w:anchor="_Toc196395896" w:history="1">
        <w:r w:rsidR="00AF568D" w:rsidRPr="00F11126">
          <w:rPr>
            <w:rStyle w:val="Hyperlink"/>
          </w:rPr>
          <w:t>Chapter 5</w:t>
        </w:r>
        <w:r w:rsidR="00AF568D">
          <w:rPr>
            <w:rFonts w:eastAsiaTheme="minorEastAsia" w:cstheme="minorBidi"/>
            <w:b w:val="0"/>
            <w:color w:val="auto"/>
            <w:kern w:val="2"/>
            <w:szCs w:val="24"/>
            <w14:ligatures w14:val="standardContextual"/>
          </w:rPr>
          <w:tab/>
        </w:r>
        <w:r w:rsidR="00AF568D" w:rsidRPr="00F11126">
          <w:rPr>
            <w:rStyle w:val="Hyperlink"/>
          </w:rPr>
          <w:t>Housing system outlook</w:t>
        </w:r>
        <w:r w:rsidR="00AF568D">
          <w:rPr>
            <w:webHidden/>
          </w:rPr>
          <w:tab/>
        </w:r>
        <w:r w:rsidR="00AF568D">
          <w:rPr>
            <w:webHidden/>
          </w:rPr>
          <w:fldChar w:fldCharType="begin"/>
        </w:r>
        <w:r w:rsidR="00AF568D">
          <w:rPr>
            <w:webHidden/>
          </w:rPr>
          <w:instrText xml:space="preserve"> PAGEREF _Toc196395896 \h </w:instrText>
        </w:r>
        <w:r w:rsidR="00AF568D">
          <w:rPr>
            <w:webHidden/>
          </w:rPr>
        </w:r>
        <w:r w:rsidR="00AF568D">
          <w:rPr>
            <w:webHidden/>
          </w:rPr>
          <w:fldChar w:fldCharType="separate"/>
        </w:r>
        <w:r w:rsidR="001F121F">
          <w:rPr>
            <w:webHidden/>
          </w:rPr>
          <w:t>85</w:t>
        </w:r>
        <w:r w:rsidR="00AF568D">
          <w:rPr>
            <w:webHidden/>
          </w:rPr>
          <w:fldChar w:fldCharType="end"/>
        </w:r>
      </w:hyperlink>
    </w:p>
    <w:p w14:paraId="74EAA0C7" w14:textId="267948E9" w:rsidR="00AF568D" w:rsidRDefault="00287FB0">
      <w:pPr>
        <w:pStyle w:val="TOC2"/>
        <w:tabs>
          <w:tab w:val="left" w:pos="720"/>
        </w:tabs>
        <w:rPr>
          <w:rFonts w:eastAsiaTheme="minorEastAsia" w:cstheme="minorBidi"/>
          <w:color w:val="auto"/>
          <w:kern w:val="2"/>
          <w:sz w:val="24"/>
          <w:szCs w:val="24"/>
          <w14:ligatures w14:val="standardContextual"/>
        </w:rPr>
      </w:pPr>
      <w:hyperlink w:anchor="_Toc196395897" w:history="1">
        <w:r w:rsidR="00AF568D" w:rsidRPr="00F11126">
          <w:rPr>
            <w:rStyle w:val="Hyperlink"/>
          </w:rPr>
          <w:t>5.1</w:t>
        </w:r>
        <w:r w:rsidR="00AF568D">
          <w:rPr>
            <w:rFonts w:eastAsiaTheme="minorEastAsia" w:cstheme="minorBidi"/>
            <w:color w:val="auto"/>
            <w:kern w:val="2"/>
            <w:sz w:val="24"/>
            <w:szCs w:val="24"/>
            <w14:ligatures w14:val="standardContextual"/>
          </w:rPr>
          <w:tab/>
        </w:r>
        <w:r w:rsidR="00AF568D" w:rsidRPr="00F11126">
          <w:rPr>
            <w:rStyle w:val="Hyperlink"/>
          </w:rPr>
          <w:t>The Council has prepared updated forecasts of new supply and demand and affordability</w:t>
        </w:r>
        <w:r w:rsidR="00AF568D">
          <w:rPr>
            <w:webHidden/>
          </w:rPr>
          <w:tab/>
        </w:r>
        <w:r w:rsidR="00AF568D">
          <w:rPr>
            <w:webHidden/>
          </w:rPr>
          <w:fldChar w:fldCharType="begin"/>
        </w:r>
        <w:r w:rsidR="00AF568D">
          <w:rPr>
            <w:webHidden/>
          </w:rPr>
          <w:instrText xml:space="preserve"> PAGEREF _Toc196395897 \h </w:instrText>
        </w:r>
        <w:r w:rsidR="00AF568D">
          <w:rPr>
            <w:webHidden/>
          </w:rPr>
        </w:r>
        <w:r w:rsidR="00AF568D">
          <w:rPr>
            <w:webHidden/>
          </w:rPr>
          <w:fldChar w:fldCharType="separate"/>
        </w:r>
        <w:r w:rsidR="001F121F">
          <w:rPr>
            <w:webHidden/>
          </w:rPr>
          <w:t>85</w:t>
        </w:r>
        <w:r w:rsidR="00AF568D">
          <w:rPr>
            <w:webHidden/>
          </w:rPr>
          <w:fldChar w:fldCharType="end"/>
        </w:r>
      </w:hyperlink>
    </w:p>
    <w:p w14:paraId="6826E65B" w14:textId="072762ED" w:rsidR="00AF568D" w:rsidRDefault="00287FB0">
      <w:pPr>
        <w:pStyle w:val="TOC2"/>
        <w:tabs>
          <w:tab w:val="left" w:pos="720"/>
        </w:tabs>
        <w:rPr>
          <w:rFonts w:eastAsiaTheme="minorEastAsia" w:cstheme="minorBidi"/>
          <w:color w:val="auto"/>
          <w:kern w:val="2"/>
          <w:sz w:val="24"/>
          <w:szCs w:val="24"/>
          <w14:ligatures w14:val="standardContextual"/>
        </w:rPr>
      </w:pPr>
      <w:hyperlink w:anchor="_Toc196395898" w:history="1">
        <w:r w:rsidR="00AF568D" w:rsidRPr="00F11126">
          <w:rPr>
            <w:rStyle w:val="Hyperlink"/>
          </w:rPr>
          <w:t>5.2</w:t>
        </w:r>
        <w:r w:rsidR="00AF568D">
          <w:rPr>
            <w:rFonts w:eastAsiaTheme="minorEastAsia" w:cstheme="minorBidi"/>
            <w:color w:val="auto"/>
            <w:kern w:val="2"/>
            <w:sz w:val="24"/>
            <w:szCs w:val="24"/>
            <w14:ligatures w14:val="standardContextual"/>
          </w:rPr>
          <w:tab/>
        </w:r>
        <w:r w:rsidR="00AF568D" w:rsidRPr="00F11126">
          <w:rPr>
            <w:rStyle w:val="Hyperlink"/>
          </w:rPr>
          <w:t>The National Accord’s 1.2 million target for gross new supply is highly unlikely to be met</w:t>
        </w:r>
        <w:r w:rsidR="00AF568D">
          <w:rPr>
            <w:webHidden/>
          </w:rPr>
          <w:tab/>
        </w:r>
        <w:r w:rsidR="00AF568D">
          <w:rPr>
            <w:webHidden/>
          </w:rPr>
          <w:fldChar w:fldCharType="begin"/>
        </w:r>
        <w:r w:rsidR="00AF568D">
          <w:rPr>
            <w:webHidden/>
          </w:rPr>
          <w:instrText xml:space="preserve"> PAGEREF _Toc196395898 \h </w:instrText>
        </w:r>
        <w:r w:rsidR="00AF568D">
          <w:rPr>
            <w:webHidden/>
          </w:rPr>
        </w:r>
        <w:r w:rsidR="00AF568D">
          <w:rPr>
            <w:webHidden/>
          </w:rPr>
          <w:fldChar w:fldCharType="separate"/>
        </w:r>
        <w:r w:rsidR="001F121F">
          <w:rPr>
            <w:webHidden/>
          </w:rPr>
          <w:t>86</w:t>
        </w:r>
        <w:r w:rsidR="00AF568D">
          <w:rPr>
            <w:webHidden/>
          </w:rPr>
          <w:fldChar w:fldCharType="end"/>
        </w:r>
      </w:hyperlink>
    </w:p>
    <w:p w14:paraId="376018D6" w14:textId="7192B788" w:rsidR="00AF568D" w:rsidRDefault="00287FB0">
      <w:pPr>
        <w:pStyle w:val="TOC2"/>
        <w:tabs>
          <w:tab w:val="left" w:pos="720"/>
        </w:tabs>
        <w:rPr>
          <w:rFonts w:eastAsiaTheme="minorEastAsia" w:cstheme="minorBidi"/>
          <w:color w:val="auto"/>
          <w:kern w:val="2"/>
          <w:sz w:val="24"/>
          <w:szCs w:val="24"/>
          <w14:ligatures w14:val="standardContextual"/>
        </w:rPr>
      </w:pPr>
      <w:hyperlink w:anchor="_Toc196395899" w:history="1">
        <w:r w:rsidR="00AF568D" w:rsidRPr="00F11126">
          <w:rPr>
            <w:rStyle w:val="Hyperlink"/>
          </w:rPr>
          <w:t>5.3</w:t>
        </w:r>
        <w:r w:rsidR="00AF568D">
          <w:rPr>
            <w:rFonts w:eastAsiaTheme="minorEastAsia" w:cstheme="minorBidi"/>
            <w:color w:val="auto"/>
            <w:kern w:val="2"/>
            <w:sz w:val="24"/>
            <w:szCs w:val="24"/>
            <w14:ligatures w14:val="standardContextual"/>
          </w:rPr>
          <w:tab/>
        </w:r>
        <w:r w:rsidR="00AF568D" w:rsidRPr="00F11126">
          <w:rPr>
            <w:rStyle w:val="Hyperlink"/>
          </w:rPr>
          <w:t>New demand is expected to exceed net new supply in each year of the Accord period</w:t>
        </w:r>
        <w:r w:rsidR="00AF568D">
          <w:rPr>
            <w:webHidden/>
          </w:rPr>
          <w:tab/>
        </w:r>
        <w:r w:rsidR="00AF568D">
          <w:rPr>
            <w:webHidden/>
          </w:rPr>
          <w:fldChar w:fldCharType="begin"/>
        </w:r>
        <w:r w:rsidR="00AF568D">
          <w:rPr>
            <w:webHidden/>
          </w:rPr>
          <w:instrText xml:space="preserve"> PAGEREF _Toc196395899 \h </w:instrText>
        </w:r>
        <w:r w:rsidR="00AF568D">
          <w:rPr>
            <w:webHidden/>
          </w:rPr>
        </w:r>
        <w:r w:rsidR="00AF568D">
          <w:rPr>
            <w:webHidden/>
          </w:rPr>
          <w:fldChar w:fldCharType="separate"/>
        </w:r>
        <w:r w:rsidR="001F121F">
          <w:rPr>
            <w:webHidden/>
          </w:rPr>
          <w:t>92</w:t>
        </w:r>
        <w:r w:rsidR="00AF568D">
          <w:rPr>
            <w:webHidden/>
          </w:rPr>
          <w:fldChar w:fldCharType="end"/>
        </w:r>
      </w:hyperlink>
    </w:p>
    <w:p w14:paraId="7CA5932B" w14:textId="6E08E03F" w:rsidR="00AF568D" w:rsidRDefault="00287FB0">
      <w:pPr>
        <w:pStyle w:val="TOC2"/>
        <w:tabs>
          <w:tab w:val="left" w:pos="720"/>
        </w:tabs>
        <w:rPr>
          <w:rFonts w:eastAsiaTheme="minorEastAsia" w:cstheme="minorBidi"/>
          <w:color w:val="auto"/>
          <w:kern w:val="2"/>
          <w:sz w:val="24"/>
          <w:szCs w:val="24"/>
          <w14:ligatures w14:val="standardContextual"/>
        </w:rPr>
      </w:pPr>
      <w:hyperlink w:anchor="_Toc196395900" w:history="1">
        <w:r w:rsidR="00AF568D" w:rsidRPr="00F11126">
          <w:rPr>
            <w:rStyle w:val="Hyperlink"/>
          </w:rPr>
          <w:t>5.4</w:t>
        </w:r>
        <w:r w:rsidR="00AF568D">
          <w:rPr>
            <w:rFonts w:eastAsiaTheme="minorEastAsia" w:cstheme="minorBidi"/>
            <w:color w:val="auto"/>
            <w:kern w:val="2"/>
            <w:sz w:val="24"/>
            <w:szCs w:val="24"/>
            <w14:ligatures w14:val="standardContextual"/>
          </w:rPr>
          <w:tab/>
        </w:r>
        <w:r w:rsidR="00AF568D" w:rsidRPr="00F11126">
          <w:rPr>
            <w:rStyle w:val="Hyperlink"/>
          </w:rPr>
          <w:t>The supply shortfall will weigh on housing affordability</w:t>
        </w:r>
        <w:r w:rsidR="00AF568D">
          <w:rPr>
            <w:webHidden/>
          </w:rPr>
          <w:tab/>
        </w:r>
        <w:r w:rsidR="00AF568D">
          <w:rPr>
            <w:webHidden/>
          </w:rPr>
          <w:fldChar w:fldCharType="begin"/>
        </w:r>
        <w:r w:rsidR="00AF568D">
          <w:rPr>
            <w:webHidden/>
          </w:rPr>
          <w:instrText xml:space="preserve"> PAGEREF _Toc196395900 \h </w:instrText>
        </w:r>
        <w:r w:rsidR="00AF568D">
          <w:rPr>
            <w:webHidden/>
          </w:rPr>
        </w:r>
        <w:r w:rsidR="00AF568D">
          <w:rPr>
            <w:webHidden/>
          </w:rPr>
          <w:fldChar w:fldCharType="separate"/>
        </w:r>
        <w:r w:rsidR="001F121F">
          <w:rPr>
            <w:webHidden/>
          </w:rPr>
          <w:t>95</w:t>
        </w:r>
        <w:r w:rsidR="00AF568D">
          <w:rPr>
            <w:webHidden/>
          </w:rPr>
          <w:fldChar w:fldCharType="end"/>
        </w:r>
      </w:hyperlink>
    </w:p>
    <w:p w14:paraId="770BD91F" w14:textId="55D179A8" w:rsidR="00AF568D" w:rsidRDefault="00287FB0">
      <w:pPr>
        <w:pStyle w:val="TOC2"/>
        <w:tabs>
          <w:tab w:val="left" w:pos="720"/>
        </w:tabs>
        <w:rPr>
          <w:rFonts w:eastAsiaTheme="minorEastAsia" w:cstheme="minorBidi"/>
          <w:color w:val="auto"/>
          <w:kern w:val="2"/>
          <w:sz w:val="24"/>
          <w:szCs w:val="24"/>
          <w14:ligatures w14:val="standardContextual"/>
        </w:rPr>
      </w:pPr>
      <w:hyperlink w:anchor="_Toc196395901" w:history="1">
        <w:r w:rsidR="00AF568D" w:rsidRPr="00F11126">
          <w:rPr>
            <w:rStyle w:val="Hyperlink"/>
          </w:rPr>
          <w:t>5.5</w:t>
        </w:r>
        <w:r w:rsidR="00AF568D">
          <w:rPr>
            <w:rFonts w:eastAsiaTheme="minorEastAsia" w:cstheme="minorBidi"/>
            <w:color w:val="auto"/>
            <w:kern w:val="2"/>
            <w:sz w:val="24"/>
            <w:szCs w:val="24"/>
            <w14:ligatures w14:val="standardContextual"/>
          </w:rPr>
          <w:tab/>
        </w:r>
        <w:r w:rsidR="00AF568D" w:rsidRPr="00F11126">
          <w:rPr>
            <w:rStyle w:val="Hyperlink"/>
          </w:rPr>
          <w:t>The outlook for housing supply is sensitive to macroeconomic and demographic factors</w:t>
        </w:r>
        <w:r w:rsidR="00AF568D">
          <w:rPr>
            <w:webHidden/>
          </w:rPr>
          <w:tab/>
        </w:r>
        <w:r w:rsidR="00AF568D">
          <w:rPr>
            <w:webHidden/>
          </w:rPr>
          <w:fldChar w:fldCharType="begin"/>
        </w:r>
        <w:r w:rsidR="00AF568D">
          <w:rPr>
            <w:webHidden/>
          </w:rPr>
          <w:instrText xml:space="preserve"> PAGEREF _Toc196395901 \h </w:instrText>
        </w:r>
        <w:r w:rsidR="00AF568D">
          <w:rPr>
            <w:webHidden/>
          </w:rPr>
        </w:r>
        <w:r w:rsidR="00AF568D">
          <w:rPr>
            <w:webHidden/>
          </w:rPr>
          <w:fldChar w:fldCharType="separate"/>
        </w:r>
        <w:r w:rsidR="001F121F">
          <w:rPr>
            <w:webHidden/>
          </w:rPr>
          <w:t>96</w:t>
        </w:r>
        <w:r w:rsidR="00AF568D">
          <w:rPr>
            <w:webHidden/>
          </w:rPr>
          <w:fldChar w:fldCharType="end"/>
        </w:r>
      </w:hyperlink>
    </w:p>
    <w:p w14:paraId="1C9567E2" w14:textId="6B8A0D5D" w:rsidR="00AF568D" w:rsidRDefault="00287FB0">
      <w:pPr>
        <w:pStyle w:val="TOC1"/>
        <w:tabs>
          <w:tab w:val="left" w:pos="1440"/>
        </w:tabs>
        <w:rPr>
          <w:rFonts w:eastAsiaTheme="minorEastAsia" w:cstheme="minorBidi"/>
          <w:b w:val="0"/>
          <w:color w:val="auto"/>
          <w:kern w:val="2"/>
          <w:szCs w:val="24"/>
          <w14:ligatures w14:val="standardContextual"/>
        </w:rPr>
      </w:pPr>
      <w:hyperlink w:anchor="_Toc196395902" w:history="1">
        <w:r w:rsidR="00AF568D" w:rsidRPr="00F11126">
          <w:rPr>
            <w:rStyle w:val="Hyperlink"/>
          </w:rPr>
          <w:t>Chapter 6</w:t>
        </w:r>
        <w:r w:rsidR="00AF568D">
          <w:rPr>
            <w:rFonts w:eastAsiaTheme="minorEastAsia" w:cstheme="minorBidi"/>
            <w:b w:val="0"/>
            <w:color w:val="auto"/>
            <w:kern w:val="2"/>
            <w:szCs w:val="24"/>
            <w14:ligatures w14:val="standardContextual"/>
          </w:rPr>
          <w:tab/>
        </w:r>
        <w:r w:rsidR="00AF568D" w:rsidRPr="00F11126">
          <w:rPr>
            <w:rStyle w:val="Hyperlink"/>
          </w:rPr>
          <w:t>First Nations housing</w:t>
        </w:r>
        <w:r w:rsidR="00AF568D">
          <w:rPr>
            <w:webHidden/>
          </w:rPr>
          <w:tab/>
        </w:r>
        <w:r w:rsidR="00AF568D">
          <w:rPr>
            <w:webHidden/>
          </w:rPr>
          <w:fldChar w:fldCharType="begin"/>
        </w:r>
        <w:r w:rsidR="00AF568D">
          <w:rPr>
            <w:webHidden/>
          </w:rPr>
          <w:instrText xml:space="preserve"> PAGEREF _Toc196395902 \h </w:instrText>
        </w:r>
        <w:r w:rsidR="00AF568D">
          <w:rPr>
            <w:webHidden/>
          </w:rPr>
        </w:r>
        <w:r w:rsidR="00AF568D">
          <w:rPr>
            <w:webHidden/>
          </w:rPr>
          <w:fldChar w:fldCharType="separate"/>
        </w:r>
        <w:r w:rsidR="001F121F">
          <w:rPr>
            <w:webHidden/>
          </w:rPr>
          <w:t>103</w:t>
        </w:r>
        <w:r w:rsidR="00AF568D">
          <w:rPr>
            <w:webHidden/>
          </w:rPr>
          <w:fldChar w:fldCharType="end"/>
        </w:r>
      </w:hyperlink>
    </w:p>
    <w:p w14:paraId="2ABF190D" w14:textId="7DE94C51" w:rsidR="00AF568D" w:rsidRDefault="00287FB0">
      <w:pPr>
        <w:pStyle w:val="TOC2"/>
        <w:tabs>
          <w:tab w:val="left" w:pos="720"/>
        </w:tabs>
        <w:rPr>
          <w:rFonts w:eastAsiaTheme="minorEastAsia" w:cstheme="minorBidi"/>
          <w:color w:val="auto"/>
          <w:kern w:val="2"/>
          <w:sz w:val="24"/>
          <w:szCs w:val="24"/>
          <w14:ligatures w14:val="standardContextual"/>
        </w:rPr>
      </w:pPr>
      <w:hyperlink w:anchor="_Toc196395903" w:history="1">
        <w:r w:rsidR="00AF568D" w:rsidRPr="00F11126">
          <w:rPr>
            <w:rStyle w:val="Hyperlink"/>
          </w:rPr>
          <w:t>6.1</w:t>
        </w:r>
        <w:r w:rsidR="00AF568D">
          <w:rPr>
            <w:rFonts w:eastAsiaTheme="minorEastAsia" w:cstheme="minorBidi"/>
            <w:color w:val="auto"/>
            <w:kern w:val="2"/>
            <w:sz w:val="24"/>
            <w:szCs w:val="24"/>
            <w14:ligatures w14:val="standardContextual"/>
          </w:rPr>
          <w:tab/>
        </w:r>
        <w:r w:rsidR="00AF568D" w:rsidRPr="00F11126">
          <w:rPr>
            <w:rStyle w:val="Hyperlink"/>
          </w:rPr>
          <w:t>A brief history of First Nations housing</w:t>
        </w:r>
        <w:r w:rsidR="00AF568D">
          <w:rPr>
            <w:webHidden/>
          </w:rPr>
          <w:tab/>
        </w:r>
        <w:r w:rsidR="00AF568D">
          <w:rPr>
            <w:webHidden/>
          </w:rPr>
          <w:fldChar w:fldCharType="begin"/>
        </w:r>
        <w:r w:rsidR="00AF568D">
          <w:rPr>
            <w:webHidden/>
          </w:rPr>
          <w:instrText xml:space="preserve"> PAGEREF _Toc196395903 \h </w:instrText>
        </w:r>
        <w:r w:rsidR="00AF568D">
          <w:rPr>
            <w:webHidden/>
          </w:rPr>
        </w:r>
        <w:r w:rsidR="00AF568D">
          <w:rPr>
            <w:webHidden/>
          </w:rPr>
          <w:fldChar w:fldCharType="separate"/>
        </w:r>
        <w:r w:rsidR="001F121F">
          <w:rPr>
            <w:webHidden/>
          </w:rPr>
          <w:t>105</w:t>
        </w:r>
        <w:r w:rsidR="00AF568D">
          <w:rPr>
            <w:webHidden/>
          </w:rPr>
          <w:fldChar w:fldCharType="end"/>
        </w:r>
      </w:hyperlink>
    </w:p>
    <w:p w14:paraId="0030DA4C" w14:textId="7AC180D1" w:rsidR="00AF568D" w:rsidRDefault="00287FB0">
      <w:pPr>
        <w:pStyle w:val="TOC2"/>
        <w:tabs>
          <w:tab w:val="left" w:pos="720"/>
        </w:tabs>
        <w:rPr>
          <w:rFonts w:eastAsiaTheme="minorEastAsia" w:cstheme="minorBidi"/>
          <w:color w:val="auto"/>
          <w:kern w:val="2"/>
          <w:sz w:val="24"/>
          <w:szCs w:val="24"/>
          <w14:ligatures w14:val="standardContextual"/>
        </w:rPr>
      </w:pPr>
      <w:hyperlink w:anchor="_Toc196395904" w:history="1">
        <w:r w:rsidR="00AF568D" w:rsidRPr="00F11126">
          <w:rPr>
            <w:rStyle w:val="Hyperlink"/>
          </w:rPr>
          <w:t>6.2</w:t>
        </w:r>
        <w:r w:rsidR="00AF568D">
          <w:rPr>
            <w:rFonts w:eastAsiaTheme="minorEastAsia" w:cstheme="minorBidi"/>
            <w:color w:val="auto"/>
            <w:kern w:val="2"/>
            <w:sz w:val="24"/>
            <w:szCs w:val="24"/>
            <w14:ligatures w14:val="standardContextual"/>
          </w:rPr>
          <w:tab/>
        </w:r>
        <w:r w:rsidR="00AF568D" w:rsidRPr="00F11126">
          <w:rPr>
            <w:rStyle w:val="Hyperlink"/>
          </w:rPr>
          <w:t>First Nations homelessness and overcrowding</w:t>
        </w:r>
        <w:r w:rsidR="00AF568D">
          <w:rPr>
            <w:webHidden/>
          </w:rPr>
          <w:tab/>
        </w:r>
        <w:r w:rsidR="00AF568D">
          <w:rPr>
            <w:webHidden/>
          </w:rPr>
          <w:fldChar w:fldCharType="begin"/>
        </w:r>
        <w:r w:rsidR="00AF568D">
          <w:rPr>
            <w:webHidden/>
          </w:rPr>
          <w:instrText xml:space="preserve"> PAGEREF _Toc196395904 \h </w:instrText>
        </w:r>
        <w:r w:rsidR="00AF568D">
          <w:rPr>
            <w:webHidden/>
          </w:rPr>
        </w:r>
        <w:r w:rsidR="00AF568D">
          <w:rPr>
            <w:webHidden/>
          </w:rPr>
          <w:fldChar w:fldCharType="separate"/>
        </w:r>
        <w:r w:rsidR="001F121F">
          <w:rPr>
            <w:webHidden/>
          </w:rPr>
          <w:t>107</w:t>
        </w:r>
        <w:r w:rsidR="00AF568D">
          <w:rPr>
            <w:webHidden/>
          </w:rPr>
          <w:fldChar w:fldCharType="end"/>
        </w:r>
      </w:hyperlink>
    </w:p>
    <w:p w14:paraId="6D334F87" w14:textId="4B46936D" w:rsidR="00AF568D" w:rsidRDefault="00287FB0">
      <w:pPr>
        <w:pStyle w:val="TOC2"/>
        <w:tabs>
          <w:tab w:val="left" w:pos="720"/>
        </w:tabs>
        <w:rPr>
          <w:rFonts w:eastAsiaTheme="minorEastAsia" w:cstheme="minorBidi"/>
          <w:color w:val="auto"/>
          <w:kern w:val="2"/>
          <w:sz w:val="24"/>
          <w:szCs w:val="24"/>
          <w14:ligatures w14:val="standardContextual"/>
        </w:rPr>
      </w:pPr>
      <w:hyperlink w:anchor="_Toc196395905" w:history="1">
        <w:r w:rsidR="00AF568D" w:rsidRPr="00F11126">
          <w:rPr>
            <w:rStyle w:val="Hyperlink"/>
          </w:rPr>
          <w:t>6.3</w:t>
        </w:r>
        <w:r w:rsidR="00AF568D">
          <w:rPr>
            <w:rFonts w:eastAsiaTheme="minorEastAsia" w:cstheme="minorBidi"/>
            <w:color w:val="auto"/>
            <w:kern w:val="2"/>
            <w:sz w:val="24"/>
            <w:szCs w:val="24"/>
            <w14:ligatures w14:val="standardContextual"/>
          </w:rPr>
          <w:tab/>
        </w:r>
        <w:r w:rsidR="00AF568D" w:rsidRPr="00F11126">
          <w:rPr>
            <w:rStyle w:val="Hyperlink"/>
          </w:rPr>
          <w:t>First Nations rental housing</w:t>
        </w:r>
        <w:r w:rsidR="00AF568D">
          <w:rPr>
            <w:webHidden/>
          </w:rPr>
          <w:tab/>
        </w:r>
        <w:r w:rsidR="00AF568D">
          <w:rPr>
            <w:webHidden/>
          </w:rPr>
          <w:fldChar w:fldCharType="begin"/>
        </w:r>
        <w:r w:rsidR="00AF568D">
          <w:rPr>
            <w:webHidden/>
          </w:rPr>
          <w:instrText xml:space="preserve"> PAGEREF _Toc196395905 \h </w:instrText>
        </w:r>
        <w:r w:rsidR="00AF568D">
          <w:rPr>
            <w:webHidden/>
          </w:rPr>
        </w:r>
        <w:r w:rsidR="00AF568D">
          <w:rPr>
            <w:webHidden/>
          </w:rPr>
          <w:fldChar w:fldCharType="separate"/>
        </w:r>
        <w:r w:rsidR="001F121F">
          <w:rPr>
            <w:webHidden/>
          </w:rPr>
          <w:t>108</w:t>
        </w:r>
        <w:r w:rsidR="00AF568D">
          <w:rPr>
            <w:webHidden/>
          </w:rPr>
          <w:fldChar w:fldCharType="end"/>
        </w:r>
      </w:hyperlink>
    </w:p>
    <w:p w14:paraId="647ED78B" w14:textId="2B0C9F16" w:rsidR="00AF568D" w:rsidRDefault="00287FB0">
      <w:pPr>
        <w:pStyle w:val="TOC2"/>
        <w:tabs>
          <w:tab w:val="left" w:pos="720"/>
        </w:tabs>
        <w:rPr>
          <w:rFonts w:eastAsiaTheme="minorEastAsia" w:cstheme="minorBidi"/>
          <w:color w:val="auto"/>
          <w:kern w:val="2"/>
          <w:sz w:val="24"/>
          <w:szCs w:val="24"/>
          <w14:ligatures w14:val="standardContextual"/>
        </w:rPr>
      </w:pPr>
      <w:hyperlink w:anchor="_Toc196395906" w:history="1">
        <w:r w:rsidR="00AF568D" w:rsidRPr="00F11126">
          <w:rPr>
            <w:rStyle w:val="Hyperlink"/>
          </w:rPr>
          <w:t>6.4</w:t>
        </w:r>
        <w:r w:rsidR="00AF568D">
          <w:rPr>
            <w:rFonts w:eastAsiaTheme="minorEastAsia" w:cstheme="minorBidi"/>
            <w:color w:val="auto"/>
            <w:kern w:val="2"/>
            <w:sz w:val="24"/>
            <w:szCs w:val="24"/>
            <w14:ligatures w14:val="standardContextual"/>
          </w:rPr>
          <w:tab/>
        </w:r>
        <w:r w:rsidR="00AF568D" w:rsidRPr="00F11126">
          <w:rPr>
            <w:rStyle w:val="Hyperlink"/>
          </w:rPr>
          <w:t>First Nations home ownership</w:t>
        </w:r>
        <w:r w:rsidR="00AF568D">
          <w:rPr>
            <w:webHidden/>
          </w:rPr>
          <w:tab/>
        </w:r>
        <w:r w:rsidR="00AF568D">
          <w:rPr>
            <w:webHidden/>
          </w:rPr>
          <w:fldChar w:fldCharType="begin"/>
        </w:r>
        <w:r w:rsidR="00AF568D">
          <w:rPr>
            <w:webHidden/>
          </w:rPr>
          <w:instrText xml:space="preserve"> PAGEREF _Toc196395906 \h </w:instrText>
        </w:r>
        <w:r w:rsidR="00AF568D">
          <w:rPr>
            <w:webHidden/>
          </w:rPr>
        </w:r>
        <w:r w:rsidR="00AF568D">
          <w:rPr>
            <w:webHidden/>
          </w:rPr>
          <w:fldChar w:fldCharType="separate"/>
        </w:r>
        <w:r w:rsidR="001F121F">
          <w:rPr>
            <w:webHidden/>
          </w:rPr>
          <w:t>111</w:t>
        </w:r>
        <w:r w:rsidR="00AF568D">
          <w:rPr>
            <w:webHidden/>
          </w:rPr>
          <w:fldChar w:fldCharType="end"/>
        </w:r>
      </w:hyperlink>
    </w:p>
    <w:p w14:paraId="711FCE21" w14:textId="126720FD" w:rsidR="00AF568D" w:rsidRDefault="00287FB0">
      <w:pPr>
        <w:pStyle w:val="TOC2"/>
        <w:tabs>
          <w:tab w:val="left" w:pos="720"/>
        </w:tabs>
        <w:rPr>
          <w:rFonts w:eastAsiaTheme="minorEastAsia" w:cstheme="minorBidi"/>
          <w:color w:val="auto"/>
          <w:kern w:val="2"/>
          <w:sz w:val="24"/>
          <w:szCs w:val="24"/>
          <w14:ligatures w14:val="standardContextual"/>
        </w:rPr>
      </w:pPr>
      <w:hyperlink w:anchor="_Toc196395907" w:history="1">
        <w:r w:rsidR="00AF568D" w:rsidRPr="00F11126">
          <w:rPr>
            <w:rStyle w:val="Hyperlink"/>
          </w:rPr>
          <w:t>6.5</w:t>
        </w:r>
        <w:r w:rsidR="00AF568D">
          <w:rPr>
            <w:rFonts w:eastAsiaTheme="minorEastAsia" w:cstheme="minorBidi"/>
            <w:color w:val="auto"/>
            <w:kern w:val="2"/>
            <w:sz w:val="24"/>
            <w:szCs w:val="24"/>
            <w14:ligatures w14:val="standardContextual"/>
          </w:rPr>
          <w:tab/>
        </w:r>
        <w:r w:rsidR="00AF568D" w:rsidRPr="00F11126">
          <w:rPr>
            <w:rStyle w:val="Hyperlink"/>
          </w:rPr>
          <w:t>First Nations housing challenges</w:t>
        </w:r>
        <w:r w:rsidR="00AF568D">
          <w:rPr>
            <w:webHidden/>
          </w:rPr>
          <w:tab/>
        </w:r>
        <w:r w:rsidR="00AF568D">
          <w:rPr>
            <w:webHidden/>
          </w:rPr>
          <w:fldChar w:fldCharType="begin"/>
        </w:r>
        <w:r w:rsidR="00AF568D">
          <w:rPr>
            <w:webHidden/>
          </w:rPr>
          <w:instrText xml:space="preserve"> PAGEREF _Toc196395907 \h </w:instrText>
        </w:r>
        <w:r w:rsidR="00AF568D">
          <w:rPr>
            <w:webHidden/>
          </w:rPr>
        </w:r>
        <w:r w:rsidR="00AF568D">
          <w:rPr>
            <w:webHidden/>
          </w:rPr>
          <w:fldChar w:fldCharType="separate"/>
        </w:r>
        <w:r w:rsidR="001F121F">
          <w:rPr>
            <w:webHidden/>
          </w:rPr>
          <w:t>112</w:t>
        </w:r>
        <w:r w:rsidR="00AF568D">
          <w:rPr>
            <w:webHidden/>
          </w:rPr>
          <w:fldChar w:fldCharType="end"/>
        </w:r>
      </w:hyperlink>
    </w:p>
    <w:p w14:paraId="6C33B1A3" w14:textId="767E83F6" w:rsidR="00AF568D" w:rsidRDefault="00287FB0">
      <w:pPr>
        <w:pStyle w:val="TOC2"/>
        <w:tabs>
          <w:tab w:val="left" w:pos="720"/>
        </w:tabs>
        <w:rPr>
          <w:rFonts w:eastAsiaTheme="minorEastAsia" w:cstheme="minorBidi"/>
          <w:color w:val="auto"/>
          <w:kern w:val="2"/>
          <w:sz w:val="24"/>
          <w:szCs w:val="24"/>
          <w14:ligatures w14:val="standardContextual"/>
        </w:rPr>
      </w:pPr>
      <w:hyperlink w:anchor="_Toc196395908" w:history="1">
        <w:r w:rsidR="00AF568D" w:rsidRPr="00F11126">
          <w:rPr>
            <w:rStyle w:val="Hyperlink"/>
          </w:rPr>
          <w:t>6.6</w:t>
        </w:r>
        <w:r w:rsidR="00AF568D">
          <w:rPr>
            <w:rFonts w:eastAsiaTheme="minorEastAsia" w:cstheme="minorBidi"/>
            <w:color w:val="auto"/>
            <w:kern w:val="2"/>
            <w:sz w:val="24"/>
            <w:szCs w:val="24"/>
            <w14:ligatures w14:val="standardContextual"/>
          </w:rPr>
          <w:tab/>
        </w:r>
        <w:r w:rsidR="00AF568D" w:rsidRPr="00F11126">
          <w:rPr>
            <w:rStyle w:val="Hyperlink"/>
          </w:rPr>
          <w:t>First Nations housing coordination</w:t>
        </w:r>
        <w:r w:rsidR="00AF568D">
          <w:rPr>
            <w:webHidden/>
          </w:rPr>
          <w:tab/>
        </w:r>
        <w:r w:rsidR="00AF568D">
          <w:rPr>
            <w:webHidden/>
          </w:rPr>
          <w:fldChar w:fldCharType="begin"/>
        </w:r>
        <w:r w:rsidR="00AF568D">
          <w:rPr>
            <w:webHidden/>
          </w:rPr>
          <w:instrText xml:space="preserve"> PAGEREF _Toc196395908 \h </w:instrText>
        </w:r>
        <w:r w:rsidR="00AF568D">
          <w:rPr>
            <w:webHidden/>
          </w:rPr>
        </w:r>
        <w:r w:rsidR="00AF568D">
          <w:rPr>
            <w:webHidden/>
          </w:rPr>
          <w:fldChar w:fldCharType="separate"/>
        </w:r>
        <w:r w:rsidR="001F121F">
          <w:rPr>
            <w:webHidden/>
          </w:rPr>
          <w:t>115</w:t>
        </w:r>
        <w:r w:rsidR="00AF568D">
          <w:rPr>
            <w:webHidden/>
          </w:rPr>
          <w:fldChar w:fldCharType="end"/>
        </w:r>
      </w:hyperlink>
    </w:p>
    <w:p w14:paraId="1632988D" w14:textId="0D007A7C" w:rsidR="00AF568D" w:rsidRDefault="00287FB0">
      <w:pPr>
        <w:pStyle w:val="TOC1"/>
        <w:tabs>
          <w:tab w:val="left" w:pos="1440"/>
        </w:tabs>
        <w:rPr>
          <w:rFonts w:eastAsiaTheme="minorEastAsia" w:cstheme="minorBidi"/>
          <w:b w:val="0"/>
          <w:color w:val="auto"/>
          <w:kern w:val="2"/>
          <w:szCs w:val="24"/>
          <w14:ligatures w14:val="standardContextual"/>
        </w:rPr>
      </w:pPr>
      <w:hyperlink w:anchor="_Toc196395909" w:history="1">
        <w:r w:rsidR="00AF568D" w:rsidRPr="00F11126">
          <w:rPr>
            <w:rStyle w:val="Hyperlink"/>
          </w:rPr>
          <w:t>Chapter 7</w:t>
        </w:r>
        <w:r w:rsidR="00AF568D">
          <w:rPr>
            <w:rFonts w:eastAsiaTheme="minorEastAsia" w:cstheme="minorBidi"/>
            <w:b w:val="0"/>
            <w:color w:val="auto"/>
            <w:kern w:val="2"/>
            <w:szCs w:val="24"/>
            <w14:ligatures w14:val="standardContextual"/>
          </w:rPr>
          <w:tab/>
        </w:r>
        <w:r w:rsidR="00AF568D" w:rsidRPr="00F11126">
          <w:rPr>
            <w:rStyle w:val="Hyperlink"/>
          </w:rPr>
          <w:t>Towards a better housing system</w:t>
        </w:r>
        <w:r w:rsidR="00AF568D">
          <w:rPr>
            <w:webHidden/>
          </w:rPr>
          <w:tab/>
        </w:r>
        <w:r w:rsidR="00AF568D">
          <w:rPr>
            <w:webHidden/>
          </w:rPr>
          <w:fldChar w:fldCharType="begin"/>
        </w:r>
        <w:r w:rsidR="00AF568D">
          <w:rPr>
            <w:webHidden/>
          </w:rPr>
          <w:instrText xml:space="preserve"> PAGEREF _Toc196395909 \h </w:instrText>
        </w:r>
        <w:r w:rsidR="00AF568D">
          <w:rPr>
            <w:webHidden/>
          </w:rPr>
        </w:r>
        <w:r w:rsidR="00AF568D">
          <w:rPr>
            <w:webHidden/>
          </w:rPr>
          <w:fldChar w:fldCharType="separate"/>
        </w:r>
        <w:r w:rsidR="001F121F">
          <w:rPr>
            <w:webHidden/>
          </w:rPr>
          <w:t>119</w:t>
        </w:r>
        <w:r w:rsidR="00AF568D">
          <w:rPr>
            <w:webHidden/>
          </w:rPr>
          <w:fldChar w:fldCharType="end"/>
        </w:r>
      </w:hyperlink>
    </w:p>
    <w:p w14:paraId="2E132713" w14:textId="2E976440" w:rsidR="00AF568D" w:rsidRDefault="00287FB0" w:rsidP="00DD3724">
      <w:pPr>
        <w:pStyle w:val="TOC2"/>
        <w:tabs>
          <w:tab w:val="left" w:pos="720"/>
        </w:tabs>
        <w:ind w:left="720" w:hanging="720"/>
        <w:rPr>
          <w:rFonts w:eastAsiaTheme="minorEastAsia" w:cstheme="minorBidi"/>
          <w:color w:val="auto"/>
          <w:kern w:val="2"/>
          <w:sz w:val="24"/>
          <w:szCs w:val="24"/>
          <w14:ligatures w14:val="standardContextual"/>
        </w:rPr>
      </w:pPr>
      <w:hyperlink w:anchor="_Toc196395910" w:history="1">
        <w:r w:rsidR="00AF568D" w:rsidRPr="00F11126">
          <w:rPr>
            <w:rStyle w:val="Hyperlink"/>
          </w:rPr>
          <w:t>7.1</w:t>
        </w:r>
        <w:r w:rsidR="00AF568D">
          <w:rPr>
            <w:rFonts w:eastAsiaTheme="minorEastAsia" w:cstheme="minorBidi"/>
            <w:color w:val="auto"/>
            <w:kern w:val="2"/>
            <w:sz w:val="24"/>
            <w:szCs w:val="24"/>
            <w14:ligatures w14:val="standardContextual"/>
          </w:rPr>
          <w:tab/>
        </w:r>
        <w:r w:rsidR="00AF568D" w:rsidRPr="00F11126">
          <w:rPr>
            <w:rStyle w:val="Hyperlink"/>
          </w:rPr>
          <w:t xml:space="preserve">Increasing investment in social and affordable housing through proven mechanisms, </w:t>
        </w:r>
        <w:r w:rsidR="00DD3724">
          <w:rPr>
            <w:rStyle w:val="Hyperlink"/>
          </w:rPr>
          <w:br/>
        </w:r>
        <w:r w:rsidR="00AF568D" w:rsidRPr="00F11126">
          <w:rPr>
            <w:rStyle w:val="Hyperlink"/>
          </w:rPr>
          <w:t>and reviewing regulatory frameworks for the social and affordable housing sector</w:t>
        </w:r>
        <w:r w:rsidR="00AF568D">
          <w:rPr>
            <w:webHidden/>
          </w:rPr>
          <w:tab/>
        </w:r>
        <w:r w:rsidR="00AF568D">
          <w:rPr>
            <w:webHidden/>
          </w:rPr>
          <w:fldChar w:fldCharType="begin"/>
        </w:r>
        <w:r w:rsidR="00AF568D">
          <w:rPr>
            <w:webHidden/>
          </w:rPr>
          <w:instrText xml:space="preserve"> PAGEREF _Toc196395910 \h </w:instrText>
        </w:r>
        <w:r w:rsidR="00AF568D">
          <w:rPr>
            <w:webHidden/>
          </w:rPr>
        </w:r>
        <w:r w:rsidR="00AF568D">
          <w:rPr>
            <w:webHidden/>
          </w:rPr>
          <w:fldChar w:fldCharType="separate"/>
        </w:r>
        <w:r w:rsidR="001F121F">
          <w:rPr>
            <w:webHidden/>
          </w:rPr>
          <w:t>120</w:t>
        </w:r>
        <w:r w:rsidR="00AF568D">
          <w:rPr>
            <w:webHidden/>
          </w:rPr>
          <w:fldChar w:fldCharType="end"/>
        </w:r>
      </w:hyperlink>
    </w:p>
    <w:p w14:paraId="2FCED32E" w14:textId="3BF11D90" w:rsidR="00AF568D" w:rsidRDefault="00287FB0">
      <w:pPr>
        <w:pStyle w:val="TOC2"/>
        <w:tabs>
          <w:tab w:val="left" w:pos="720"/>
        </w:tabs>
        <w:rPr>
          <w:rFonts w:eastAsiaTheme="minorEastAsia" w:cstheme="minorBidi"/>
          <w:color w:val="auto"/>
          <w:kern w:val="2"/>
          <w:sz w:val="24"/>
          <w:szCs w:val="24"/>
          <w14:ligatures w14:val="standardContextual"/>
        </w:rPr>
      </w:pPr>
      <w:hyperlink w:anchor="_Toc196395911" w:history="1">
        <w:r w:rsidR="00AF568D" w:rsidRPr="00F11126">
          <w:rPr>
            <w:rStyle w:val="Hyperlink"/>
          </w:rPr>
          <w:t>7.2</w:t>
        </w:r>
        <w:r w:rsidR="00AF568D">
          <w:rPr>
            <w:rFonts w:eastAsiaTheme="minorEastAsia" w:cstheme="minorBidi"/>
            <w:color w:val="auto"/>
            <w:kern w:val="2"/>
            <w:sz w:val="24"/>
            <w:szCs w:val="24"/>
            <w14:ligatures w14:val="standardContextual"/>
          </w:rPr>
          <w:tab/>
        </w:r>
        <w:r w:rsidR="00AF568D" w:rsidRPr="00F11126">
          <w:rPr>
            <w:rStyle w:val="Hyperlink"/>
          </w:rPr>
          <w:t>Improving construction sector capacity and productivity</w:t>
        </w:r>
        <w:r w:rsidR="00AF568D">
          <w:rPr>
            <w:webHidden/>
          </w:rPr>
          <w:tab/>
        </w:r>
        <w:r w:rsidR="00AF568D">
          <w:rPr>
            <w:webHidden/>
          </w:rPr>
          <w:fldChar w:fldCharType="begin"/>
        </w:r>
        <w:r w:rsidR="00AF568D">
          <w:rPr>
            <w:webHidden/>
          </w:rPr>
          <w:instrText xml:space="preserve"> PAGEREF _Toc196395911 \h </w:instrText>
        </w:r>
        <w:r w:rsidR="00AF568D">
          <w:rPr>
            <w:webHidden/>
          </w:rPr>
        </w:r>
        <w:r w:rsidR="00AF568D">
          <w:rPr>
            <w:webHidden/>
          </w:rPr>
          <w:fldChar w:fldCharType="separate"/>
        </w:r>
        <w:r w:rsidR="001F121F">
          <w:rPr>
            <w:webHidden/>
          </w:rPr>
          <w:t>124</w:t>
        </w:r>
        <w:r w:rsidR="00AF568D">
          <w:rPr>
            <w:webHidden/>
          </w:rPr>
          <w:fldChar w:fldCharType="end"/>
        </w:r>
      </w:hyperlink>
    </w:p>
    <w:p w14:paraId="2C8845EF" w14:textId="49146B21" w:rsidR="00AF568D" w:rsidRDefault="00287FB0">
      <w:pPr>
        <w:pStyle w:val="TOC2"/>
        <w:tabs>
          <w:tab w:val="left" w:pos="720"/>
        </w:tabs>
        <w:rPr>
          <w:rFonts w:eastAsiaTheme="minorEastAsia" w:cstheme="minorBidi"/>
          <w:color w:val="auto"/>
          <w:kern w:val="2"/>
          <w:sz w:val="24"/>
          <w:szCs w:val="24"/>
          <w14:ligatures w14:val="standardContextual"/>
        </w:rPr>
      </w:pPr>
      <w:hyperlink w:anchor="_Toc196395912" w:history="1">
        <w:r w:rsidR="00AF568D" w:rsidRPr="00F11126">
          <w:rPr>
            <w:rStyle w:val="Hyperlink"/>
          </w:rPr>
          <w:t>7.3</w:t>
        </w:r>
        <w:r w:rsidR="00AF568D">
          <w:rPr>
            <w:rFonts w:eastAsiaTheme="minorEastAsia" w:cstheme="minorBidi"/>
            <w:color w:val="auto"/>
            <w:kern w:val="2"/>
            <w:sz w:val="24"/>
            <w:szCs w:val="24"/>
            <w14:ligatures w14:val="standardContextual"/>
          </w:rPr>
          <w:tab/>
        </w:r>
        <w:r w:rsidR="00AF568D" w:rsidRPr="00F11126">
          <w:rPr>
            <w:rStyle w:val="Hyperlink"/>
          </w:rPr>
          <w:t>Applying best practice principles to planning systems and making more land available</w:t>
        </w:r>
        <w:r w:rsidR="00AF568D">
          <w:rPr>
            <w:webHidden/>
          </w:rPr>
          <w:tab/>
        </w:r>
        <w:r w:rsidR="00AF568D">
          <w:rPr>
            <w:webHidden/>
          </w:rPr>
          <w:fldChar w:fldCharType="begin"/>
        </w:r>
        <w:r w:rsidR="00AF568D">
          <w:rPr>
            <w:webHidden/>
          </w:rPr>
          <w:instrText xml:space="preserve"> PAGEREF _Toc196395912 \h </w:instrText>
        </w:r>
        <w:r w:rsidR="00AF568D">
          <w:rPr>
            <w:webHidden/>
          </w:rPr>
        </w:r>
        <w:r w:rsidR="00AF568D">
          <w:rPr>
            <w:webHidden/>
          </w:rPr>
          <w:fldChar w:fldCharType="separate"/>
        </w:r>
        <w:r w:rsidR="001F121F">
          <w:rPr>
            <w:webHidden/>
          </w:rPr>
          <w:t>127</w:t>
        </w:r>
        <w:r w:rsidR="00AF568D">
          <w:rPr>
            <w:webHidden/>
          </w:rPr>
          <w:fldChar w:fldCharType="end"/>
        </w:r>
      </w:hyperlink>
    </w:p>
    <w:p w14:paraId="02EF9A79" w14:textId="609258BE" w:rsidR="00AF568D" w:rsidRDefault="00287FB0">
      <w:pPr>
        <w:pStyle w:val="TOC2"/>
        <w:tabs>
          <w:tab w:val="left" w:pos="720"/>
        </w:tabs>
        <w:rPr>
          <w:rFonts w:eastAsiaTheme="minorEastAsia" w:cstheme="minorBidi"/>
          <w:color w:val="auto"/>
          <w:kern w:val="2"/>
          <w:sz w:val="24"/>
          <w:szCs w:val="24"/>
          <w14:ligatures w14:val="standardContextual"/>
        </w:rPr>
      </w:pPr>
      <w:hyperlink w:anchor="_Toc196395913" w:history="1">
        <w:r w:rsidR="00AF568D" w:rsidRPr="00F11126">
          <w:rPr>
            <w:rStyle w:val="Hyperlink"/>
          </w:rPr>
          <w:t>7.4</w:t>
        </w:r>
        <w:r w:rsidR="00AF568D">
          <w:rPr>
            <w:rFonts w:eastAsiaTheme="minorEastAsia" w:cstheme="minorBidi"/>
            <w:color w:val="auto"/>
            <w:kern w:val="2"/>
            <w:sz w:val="24"/>
            <w:szCs w:val="24"/>
            <w14:ligatures w14:val="standardContextual"/>
          </w:rPr>
          <w:tab/>
        </w:r>
        <w:r w:rsidR="00AF568D" w:rsidRPr="00F11126">
          <w:rPr>
            <w:rStyle w:val="Hyperlink"/>
          </w:rPr>
          <w:t>Supporting better outcomes for renters</w:t>
        </w:r>
        <w:r w:rsidR="00AF568D">
          <w:rPr>
            <w:webHidden/>
          </w:rPr>
          <w:tab/>
        </w:r>
        <w:r w:rsidR="00AF568D">
          <w:rPr>
            <w:webHidden/>
          </w:rPr>
          <w:fldChar w:fldCharType="begin"/>
        </w:r>
        <w:r w:rsidR="00AF568D">
          <w:rPr>
            <w:webHidden/>
          </w:rPr>
          <w:instrText xml:space="preserve"> PAGEREF _Toc196395913 \h </w:instrText>
        </w:r>
        <w:r w:rsidR="00AF568D">
          <w:rPr>
            <w:webHidden/>
          </w:rPr>
        </w:r>
        <w:r w:rsidR="00AF568D">
          <w:rPr>
            <w:webHidden/>
          </w:rPr>
          <w:fldChar w:fldCharType="separate"/>
        </w:r>
        <w:r w:rsidR="001F121F">
          <w:rPr>
            <w:webHidden/>
          </w:rPr>
          <w:t>129</w:t>
        </w:r>
        <w:r w:rsidR="00AF568D">
          <w:rPr>
            <w:webHidden/>
          </w:rPr>
          <w:fldChar w:fldCharType="end"/>
        </w:r>
      </w:hyperlink>
    </w:p>
    <w:p w14:paraId="3D05D3B9" w14:textId="23D993D3" w:rsidR="00AF568D" w:rsidRDefault="00287FB0">
      <w:pPr>
        <w:pStyle w:val="TOC2"/>
        <w:tabs>
          <w:tab w:val="left" w:pos="720"/>
        </w:tabs>
        <w:rPr>
          <w:rFonts w:eastAsiaTheme="minorEastAsia" w:cstheme="minorBidi"/>
          <w:color w:val="auto"/>
          <w:kern w:val="2"/>
          <w:sz w:val="24"/>
          <w:szCs w:val="24"/>
          <w14:ligatures w14:val="standardContextual"/>
        </w:rPr>
      </w:pPr>
      <w:hyperlink w:anchor="_Toc196395914" w:history="1">
        <w:r w:rsidR="00AF568D" w:rsidRPr="00F11126">
          <w:rPr>
            <w:rStyle w:val="Hyperlink"/>
          </w:rPr>
          <w:t>7.5</w:t>
        </w:r>
        <w:r w:rsidR="00AF568D">
          <w:rPr>
            <w:rFonts w:eastAsiaTheme="minorEastAsia" w:cstheme="minorBidi"/>
            <w:color w:val="auto"/>
            <w:kern w:val="2"/>
            <w:sz w:val="24"/>
            <w:szCs w:val="24"/>
            <w14:ligatures w14:val="standardContextual"/>
          </w:rPr>
          <w:tab/>
        </w:r>
        <w:r w:rsidR="00AF568D" w:rsidRPr="00F11126">
          <w:rPr>
            <w:rStyle w:val="Hyperlink"/>
          </w:rPr>
          <w:t>Ensuring the tax system supports housing supply and affordability</w:t>
        </w:r>
        <w:r w:rsidR="00AF568D">
          <w:rPr>
            <w:webHidden/>
          </w:rPr>
          <w:tab/>
        </w:r>
        <w:r w:rsidR="00AF568D">
          <w:rPr>
            <w:webHidden/>
          </w:rPr>
          <w:fldChar w:fldCharType="begin"/>
        </w:r>
        <w:r w:rsidR="00AF568D">
          <w:rPr>
            <w:webHidden/>
          </w:rPr>
          <w:instrText xml:space="preserve"> PAGEREF _Toc196395914 \h </w:instrText>
        </w:r>
        <w:r w:rsidR="00AF568D">
          <w:rPr>
            <w:webHidden/>
          </w:rPr>
        </w:r>
        <w:r w:rsidR="00AF568D">
          <w:rPr>
            <w:webHidden/>
          </w:rPr>
          <w:fldChar w:fldCharType="separate"/>
        </w:r>
        <w:r w:rsidR="001F121F">
          <w:rPr>
            <w:webHidden/>
          </w:rPr>
          <w:t>131</w:t>
        </w:r>
        <w:r w:rsidR="00AF568D">
          <w:rPr>
            <w:webHidden/>
          </w:rPr>
          <w:fldChar w:fldCharType="end"/>
        </w:r>
      </w:hyperlink>
    </w:p>
    <w:p w14:paraId="239829CB" w14:textId="0836592A" w:rsidR="00AF568D" w:rsidRDefault="00287FB0">
      <w:pPr>
        <w:pStyle w:val="TOC1"/>
        <w:rPr>
          <w:rFonts w:eastAsiaTheme="minorEastAsia" w:cstheme="minorBidi"/>
          <w:b w:val="0"/>
          <w:color w:val="auto"/>
          <w:kern w:val="2"/>
          <w:szCs w:val="24"/>
          <w14:ligatures w14:val="standardContextual"/>
        </w:rPr>
      </w:pPr>
      <w:hyperlink w:anchor="_Toc196395915" w:history="1">
        <w:r w:rsidR="00AF568D" w:rsidRPr="00F11126">
          <w:rPr>
            <w:rStyle w:val="Hyperlink"/>
          </w:rPr>
          <w:t>Appendix A: Glossary</w:t>
        </w:r>
        <w:r w:rsidR="00AF568D">
          <w:rPr>
            <w:webHidden/>
          </w:rPr>
          <w:tab/>
        </w:r>
        <w:r w:rsidR="00AF568D">
          <w:rPr>
            <w:webHidden/>
          </w:rPr>
          <w:fldChar w:fldCharType="begin"/>
        </w:r>
        <w:r w:rsidR="00AF568D">
          <w:rPr>
            <w:webHidden/>
          </w:rPr>
          <w:instrText xml:space="preserve"> PAGEREF _Toc196395915 \h </w:instrText>
        </w:r>
        <w:r w:rsidR="00AF568D">
          <w:rPr>
            <w:webHidden/>
          </w:rPr>
        </w:r>
        <w:r w:rsidR="00AF568D">
          <w:rPr>
            <w:webHidden/>
          </w:rPr>
          <w:fldChar w:fldCharType="separate"/>
        </w:r>
        <w:r w:rsidR="001F121F">
          <w:rPr>
            <w:webHidden/>
          </w:rPr>
          <w:t>134</w:t>
        </w:r>
        <w:r w:rsidR="00AF568D">
          <w:rPr>
            <w:webHidden/>
          </w:rPr>
          <w:fldChar w:fldCharType="end"/>
        </w:r>
      </w:hyperlink>
    </w:p>
    <w:p w14:paraId="1F88031A" w14:textId="3D8E54AD" w:rsidR="00AF568D" w:rsidRDefault="00287FB0">
      <w:pPr>
        <w:pStyle w:val="TOC1"/>
        <w:rPr>
          <w:rFonts w:eastAsiaTheme="minorEastAsia" w:cstheme="minorBidi"/>
          <w:b w:val="0"/>
          <w:color w:val="auto"/>
          <w:kern w:val="2"/>
          <w:szCs w:val="24"/>
          <w14:ligatures w14:val="standardContextual"/>
        </w:rPr>
      </w:pPr>
      <w:hyperlink w:anchor="_Toc196395916" w:history="1">
        <w:r w:rsidR="00AF568D" w:rsidRPr="00F11126">
          <w:rPr>
            <w:rStyle w:val="Hyperlink"/>
          </w:rPr>
          <w:t>Appendix B: The Council’s work over the year</w:t>
        </w:r>
        <w:r w:rsidR="00AF568D">
          <w:rPr>
            <w:webHidden/>
          </w:rPr>
          <w:tab/>
        </w:r>
        <w:r w:rsidR="00AF568D">
          <w:rPr>
            <w:webHidden/>
          </w:rPr>
          <w:fldChar w:fldCharType="begin"/>
        </w:r>
        <w:r w:rsidR="00AF568D">
          <w:rPr>
            <w:webHidden/>
          </w:rPr>
          <w:instrText xml:space="preserve"> PAGEREF _Toc196395916 \h </w:instrText>
        </w:r>
        <w:r w:rsidR="00AF568D">
          <w:rPr>
            <w:webHidden/>
          </w:rPr>
        </w:r>
        <w:r w:rsidR="00AF568D">
          <w:rPr>
            <w:webHidden/>
          </w:rPr>
          <w:fldChar w:fldCharType="separate"/>
        </w:r>
        <w:r w:rsidR="001F121F">
          <w:rPr>
            <w:webHidden/>
          </w:rPr>
          <w:t>137</w:t>
        </w:r>
        <w:r w:rsidR="00AF568D">
          <w:rPr>
            <w:webHidden/>
          </w:rPr>
          <w:fldChar w:fldCharType="end"/>
        </w:r>
      </w:hyperlink>
    </w:p>
    <w:p w14:paraId="3FEBB252" w14:textId="4B4037D2" w:rsidR="00AF568D" w:rsidRDefault="00287FB0">
      <w:pPr>
        <w:pStyle w:val="TOC2"/>
        <w:rPr>
          <w:rFonts w:eastAsiaTheme="minorEastAsia" w:cstheme="minorBidi"/>
          <w:color w:val="auto"/>
          <w:kern w:val="2"/>
          <w:sz w:val="24"/>
          <w:szCs w:val="24"/>
          <w14:ligatures w14:val="standardContextual"/>
        </w:rPr>
      </w:pPr>
      <w:hyperlink w:anchor="_Toc196395917" w:history="1">
        <w:r w:rsidR="00AF568D" w:rsidRPr="00F11126">
          <w:rPr>
            <w:rStyle w:val="Hyperlink"/>
          </w:rPr>
          <w:t>Council activity in 2024–25</w:t>
        </w:r>
        <w:r w:rsidR="00AF568D">
          <w:rPr>
            <w:webHidden/>
          </w:rPr>
          <w:tab/>
        </w:r>
        <w:r w:rsidR="00AF568D">
          <w:rPr>
            <w:webHidden/>
          </w:rPr>
          <w:fldChar w:fldCharType="begin"/>
        </w:r>
        <w:r w:rsidR="00AF568D">
          <w:rPr>
            <w:webHidden/>
          </w:rPr>
          <w:instrText xml:space="preserve"> PAGEREF _Toc196395917 \h </w:instrText>
        </w:r>
        <w:r w:rsidR="00AF568D">
          <w:rPr>
            <w:webHidden/>
          </w:rPr>
        </w:r>
        <w:r w:rsidR="00AF568D">
          <w:rPr>
            <w:webHidden/>
          </w:rPr>
          <w:fldChar w:fldCharType="separate"/>
        </w:r>
        <w:r w:rsidR="001F121F">
          <w:rPr>
            <w:webHidden/>
          </w:rPr>
          <w:t>137</w:t>
        </w:r>
        <w:r w:rsidR="00AF568D">
          <w:rPr>
            <w:webHidden/>
          </w:rPr>
          <w:fldChar w:fldCharType="end"/>
        </w:r>
      </w:hyperlink>
    </w:p>
    <w:p w14:paraId="5024BE44" w14:textId="15BF7844" w:rsidR="00AF568D" w:rsidRDefault="00287FB0">
      <w:pPr>
        <w:pStyle w:val="TOC2"/>
        <w:rPr>
          <w:rFonts w:eastAsiaTheme="minorEastAsia" w:cstheme="minorBidi"/>
          <w:color w:val="auto"/>
          <w:kern w:val="2"/>
          <w:sz w:val="24"/>
          <w:szCs w:val="24"/>
          <w14:ligatures w14:val="standardContextual"/>
        </w:rPr>
      </w:pPr>
      <w:hyperlink w:anchor="_Toc196395918" w:history="1">
        <w:r w:rsidR="00AF568D" w:rsidRPr="00F11126">
          <w:rPr>
            <w:rStyle w:val="Hyperlink"/>
          </w:rPr>
          <w:t>Data and modelling</w:t>
        </w:r>
        <w:r w:rsidR="00AF568D">
          <w:rPr>
            <w:webHidden/>
          </w:rPr>
          <w:tab/>
        </w:r>
        <w:r w:rsidR="00AF568D">
          <w:rPr>
            <w:webHidden/>
          </w:rPr>
          <w:fldChar w:fldCharType="begin"/>
        </w:r>
        <w:r w:rsidR="00AF568D">
          <w:rPr>
            <w:webHidden/>
          </w:rPr>
          <w:instrText xml:space="preserve"> PAGEREF _Toc196395918 \h </w:instrText>
        </w:r>
        <w:r w:rsidR="00AF568D">
          <w:rPr>
            <w:webHidden/>
          </w:rPr>
        </w:r>
        <w:r w:rsidR="00AF568D">
          <w:rPr>
            <w:webHidden/>
          </w:rPr>
          <w:fldChar w:fldCharType="separate"/>
        </w:r>
        <w:r w:rsidR="001F121F">
          <w:rPr>
            <w:webHidden/>
          </w:rPr>
          <w:t>138</w:t>
        </w:r>
        <w:r w:rsidR="00AF568D">
          <w:rPr>
            <w:webHidden/>
          </w:rPr>
          <w:fldChar w:fldCharType="end"/>
        </w:r>
      </w:hyperlink>
    </w:p>
    <w:p w14:paraId="2CA425AC" w14:textId="51182C23" w:rsidR="00AF568D" w:rsidRDefault="00287FB0">
      <w:pPr>
        <w:pStyle w:val="TOC2"/>
        <w:rPr>
          <w:rFonts w:eastAsiaTheme="minorEastAsia" w:cstheme="minorBidi"/>
          <w:color w:val="auto"/>
          <w:kern w:val="2"/>
          <w:sz w:val="24"/>
          <w:szCs w:val="24"/>
          <w14:ligatures w14:val="standardContextual"/>
        </w:rPr>
      </w:pPr>
      <w:hyperlink w:anchor="_Toc196395919" w:history="1">
        <w:r w:rsidR="00AF568D" w:rsidRPr="00F11126">
          <w:rPr>
            <w:rStyle w:val="Hyperlink"/>
          </w:rPr>
          <w:t>Managing declarations of interest</w:t>
        </w:r>
        <w:r w:rsidR="00AF568D">
          <w:rPr>
            <w:webHidden/>
          </w:rPr>
          <w:tab/>
        </w:r>
        <w:r w:rsidR="00AF568D">
          <w:rPr>
            <w:webHidden/>
          </w:rPr>
          <w:fldChar w:fldCharType="begin"/>
        </w:r>
        <w:r w:rsidR="00AF568D">
          <w:rPr>
            <w:webHidden/>
          </w:rPr>
          <w:instrText xml:space="preserve"> PAGEREF _Toc196395919 \h </w:instrText>
        </w:r>
        <w:r w:rsidR="00AF568D">
          <w:rPr>
            <w:webHidden/>
          </w:rPr>
        </w:r>
        <w:r w:rsidR="00AF568D">
          <w:rPr>
            <w:webHidden/>
          </w:rPr>
          <w:fldChar w:fldCharType="separate"/>
        </w:r>
        <w:r w:rsidR="001F121F">
          <w:rPr>
            <w:webHidden/>
          </w:rPr>
          <w:t>139</w:t>
        </w:r>
        <w:r w:rsidR="00AF568D">
          <w:rPr>
            <w:webHidden/>
          </w:rPr>
          <w:fldChar w:fldCharType="end"/>
        </w:r>
      </w:hyperlink>
    </w:p>
    <w:p w14:paraId="304611B3" w14:textId="7BB23B1D" w:rsidR="00AF568D" w:rsidRDefault="00287FB0">
      <w:pPr>
        <w:pStyle w:val="TOC1"/>
        <w:rPr>
          <w:rFonts w:eastAsiaTheme="minorEastAsia" w:cstheme="minorBidi"/>
          <w:b w:val="0"/>
          <w:color w:val="auto"/>
          <w:kern w:val="2"/>
          <w:szCs w:val="24"/>
          <w14:ligatures w14:val="standardContextual"/>
        </w:rPr>
      </w:pPr>
      <w:hyperlink w:anchor="_Toc196395920" w:history="1">
        <w:r w:rsidR="00AF568D" w:rsidRPr="00F11126">
          <w:rPr>
            <w:rStyle w:val="Hyperlink"/>
          </w:rPr>
          <w:t>Appendix C: Report methodology</w:t>
        </w:r>
        <w:r w:rsidR="00AF568D">
          <w:rPr>
            <w:webHidden/>
          </w:rPr>
          <w:tab/>
        </w:r>
        <w:r w:rsidR="00AF568D">
          <w:rPr>
            <w:webHidden/>
          </w:rPr>
          <w:fldChar w:fldCharType="begin"/>
        </w:r>
        <w:r w:rsidR="00AF568D">
          <w:rPr>
            <w:webHidden/>
          </w:rPr>
          <w:instrText xml:space="preserve"> PAGEREF _Toc196395920 \h </w:instrText>
        </w:r>
        <w:r w:rsidR="00AF568D">
          <w:rPr>
            <w:webHidden/>
          </w:rPr>
        </w:r>
        <w:r w:rsidR="00AF568D">
          <w:rPr>
            <w:webHidden/>
          </w:rPr>
          <w:fldChar w:fldCharType="separate"/>
        </w:r>
        <w:r w:rsidR="001F121F">
          <w:rPr>
            <w:webHidden/>
          </w:rPr>
          <w:t>140</w:t>
        </w:r>
        <w:r w:rsidR="00AF568D">
          <w:rPr>
            <w:webHidden/>
          </w:rPr>
          <w:fldChar w:fldCharType="end"/>
        </w:r>
      </w:hyperlink>
    </w:p>
    <w:p w14:paraId="0B21CE2E" w14:textId="3AE347FB" w:rsidR="00AF568D" w:rsidRDefault="00287FB0">
      <w:pPr>
        <w:pStyle w:val="TOC2"/>
        <w:rPr>
          <w:rFonts w:eastAsiaTheme="minorEastAsia" w:cstheme="minorBidi"/>
          <w:color w:val="auto"/>
          <w:kern w:val="2"/>
          <w:sz w:val="24"/>
          <w:szCs w:val="24"/>
          <w14:ligatures w14:val="standardContextual"/>
        </w:rPr>
      </w:pPr>
      <w:hyperlink w:anchor="_Toc196395921" w:history="1">
        <w:r w:rsidR="00AF568D" w:rsidRPr="00F11126">
          <w:rPr>
            <w:rStyle w:val="Hyperlink"/>
          </w:rPr>
          <w:t>Timeline and process</w:t>
        </w:r>
        <w:r w:rsidR="00AF568D">
          <w:rPr>
            <w:webHidden/>
          </w:rPr>
          <w:tab/>
        </w:r>
        <w:r w:rsidR="00AF568D">
          <w:rPr>
            <w:webHidden/>
          </w:rPr>
          <w:fldChar w:fldCharType="begin"/>
        </w:r>
        <w:r w:rsidR="00AF568D">
          <w:rPr>
            <w:webHidden/>
          </w:rPr>
          <w:instrText xml:space="preserve"> PAGEREF _Toc196395921 \h </w:instrText>
        </w:r>
        <w:r w:rsidR="00AF568D">
          <w:rPr>
            <w:webHidden/>
          </w:rPr>
        </w:r>
        <w:r w:rsidR="00AF568D">
          <w:rPr>
            <w:webHidden/>
          </w:rPr>
          <w:fldChar w:fldCharType="separate"/>
        </w:r>
        <w:r w:rsidR="001F121F">
          <w:rPr>
            <w:webHidden/>
          </w:rPr>
          <w:t>140</w:t>
        </w:r>
        <w:r w:rsidR="00AF568D">
          <w:rPr>
            <w:webHidden/>
          </w:rPr>
          <w:fldChar w:fldCharType="end"/>
        </w:r>
      </w:hyperlink>
    </w:p>
    <w:p w14:paraId="2AEF7F7F" w14:textId="78838D86" w:rsidR="00AF568D" w:rsidRDefault="00287FB0">
      <w:pPr>
        <w:pStyle w:val="TOC2"/>
        <w:rPr>
          <w:rFonts w:eastAsiaTheme="minorEastAsia" w:cstheme="minorBidi"/>
          <w:color w:val="auto"/>
          <w:kern w:val="2"/>
          <w:sz w:val="24"/>
          <w:szCs w:val="24"/>
          <w14:ligatures w14:val="standardContextual"/>
        </w:rPr>
      </w:pPr>
      <w:hyperlink w:anchor="_Toc196395922" w:history="1">
        <w:r w:rsidR="00AF568D" w:rsidRPr="00F11126">
          <w:rPr>
            <w:rStyle w:val="Hyperlink"/>
          </w:rPr>
          <w:t>Information sources</w:t>
        </w:r>
        <w:r w:rsidR="00AF568D">
          <w:rPr>
            <w:webHidden/>
          </w:rPr>
          <w:tab/>
        </w:r>
        <w:r w:rsidR="00AF568D">
          <w:rPr>
            <w:webHidden/>
          </w:rPr>
          <w:fldChar w:fldCharType="begin"/>
        </w:r>
        <w:r w:rsidR="00AF568D">
          <w:rPr>
            <w:webHidden/>
          </w:rPr>
          <w:instrText xml:space="preserve"> PAGEREF _Toc196395922 \h </w:instrText>
        </w:r>
        <w:r w:rsidR="00AF568D">
          <w:rPr>
            <w:webHidden/>
          </w:rPr>
        </w:r>
        <w:r w:rsidR="00AF568D">
          <w:rPr>
            <w:webHidden/>
          </w:rPr>
          <w:fldChar w:fldCharType="separate"/>
        </w:r>
        <w:r w:rsidR="001F121F">
          <w:rPr>
            <w:webHidden/>
          </w:rPr>
          <w:t>140</w:t>
        </w:r>
        <w:r w:rsidR="00AF568D">
          <w:rPr>
            <w:webHidden/>
          </w:rPr>
          <w:fldChar w:fldCharType="end"/>
        </w:r>
      </w:hyperlink>
    </w:p>
    <w:p w14:paraId="40FAFB3C" w14:textId="506B2A66" w:rsidR="00AF568D" w:rsidRDefault="00287FB0">
      <w:pPr>
        <w:pStyle w:val="TOC1"/>
        <w:rPr>
          <w:rFonts w:eastAsiaTheme="minorEastAsia" w:cstheme="minorBidi"/>
          <w:b w:val="0"/>
          <w:color w:val="auto"/>
          <w:kern w:val="2"/>
          <w:szCs w:val="24"/>
          <w14:ligatures w14:val="standardContextual"/>
        </w:rPr>
      </w:pPr>
      <w:hyperlink w:anchor="_Toc196395923" w:history="1">
        <w:r w:rsidR="00AF568D" w:rsidRPr="00F11126">
          <w:rPr>
            <w:rStyle w:val="Hyperlink"/>
          </w:rPr>
          <w:t>Appendix D: References</w:t>
        </w:r>
        <w:r w:rsidR="00AF568D">
          <w:rPr>
            <w:webHidden/>
          </w:rPr>
          <w:tab/>
        </w:r>
        <w:r w:rsidR="00AF568D">
          <w:rPr>
            <w:webHidden/>
          </w:rPr>
          <w:fldChar w:fldCharType="begin"/>
        </w:r>
        <w:r w:rsidR="00AF568D">
          <w:rPr>
            <w:webHidden/>
          </w:rPr>
          <w:instrText xml:space="preserve"> PAGEREF _Toc196395923 \h </w:instrText>
        </w:r>
        <w:r w:rsidR="00AF568D">
          <w:rPr>
            <w:webHidden/>
          </w:rPr>
        </w:r>
        <w:r w:rsidR="00AF568D">
          <w:rPr>
            <w:webHidden/>
          </w:rPr>
          <w:fldChar w:fldCharType="separate"/>
        </w:r>
        <w:r w:rsidR="001F121F">
          <w:rPr>
            <w:webHidden/>
          </w:rPr>
          <w:t>144</w:t>
        </w:r>
        <w:r w:rsidR="00AF568D">
          <w:rPr>
            <w:webHidden/>
          </w:rPr>
          <w:fldChar w:fldCharType="end"/>
        </w:r>
      </w:hyperlink>
    </w:p>
    <w:p w14:paraId="77850D4D" w14:textId="3C3CF879" w:rsidR="00AF568D" w:rsidRDefault="00287FB0">
      <w:pPr>
        <w:pStyle w:val="TOC1"/>
        <w:rPr>
          <w:rFonts w:eastAsiaTheme="minorEastAsia" w:cstheme="minorBidi"/>
          <w:b w:val="0"/>
          <w:color w:val="auto"/>
          <w:kern w:val="2"/>
          <w:szCs w:val="24"/>
          <w14:ligatures w14:val="standardContextual"/>
        </w:rPr>
      </w:pPr>
      <w:hyperlink w:anchor="_Toc196395924" w:history="1">
        <w:r w:rsidR="00AF568D" w:rsidRPr="00F11126">
          <w:rPr>
            <w:rStyle w:val="Hyperlink"/>
          </w:rPr>
          <w:t>Appendix E: Selected housing data, financial year, 2018–19 to 2023–24</w:t>
        </w:r>
        <w:r w:rsidR="00AF568D">
          <w:rPr>
            <w:webHidden/>
          </w:rPr>
          <w:tab/>
        </w:r>
        <w:r w:rsidR="00AF568D">
          <w:rPr>
            <w:webHidden/>
          </w:rPr>
          <w:fldChar w:fldCharType="begin"/>
        </w:r>
        <w:r w:rsidR="00AF568D">
          <w:rPr>
            <w:webHidden/>
          </w:rPr>
          <w:instrText xml:space="preserve"> PAGEREF _Toc196395924 \h </w:instrText>
        </w:r>
        <w:r w:rsidR="00AF568D">
          <w:rPr>
            <w:webHidden/>
          </w:rPr>
        </w:r>
        <w:r w:rsidR="00AF568D">
          <w:rPr>
            <w:webHidden/>
          </w:rPr>
          <w:fldChar w:fldCharType="separate"/>
        </w:r>
        <w:r w:rsidR="001F121F">
          <w:rPr>
            <w:webHidden/>
          </w:rPr>
          <w:t>166</w:t>
        </w:r>
        <w:r w:rsidR="00AF568D">
          <w:rPr>
            <w:webHidden/>
          </w:rPr>
          <w:fldChar w:fldCharType="end"/>
        </w:r>
      </w:hyperlink>
    </w:p>
    <w:p w14:paraId="626BE51A" w14:textId="637005E5" w:rsidR="00AF5044" w:rsidRDefault="00683922" w:rsidP="002D209A">
      <w:pPr>
        <w:pStyle w:val="SingleParagraph"/>
        <w:ind w:right="-2"/>
      </w:pPr>
      <w:r>
        <w:rPr>
          <w:b/>
          <w:noProof/>
          <w:color w:val="004A7F"/>
          <w:sz w:val="24"/>
          <w:szCs w:val="22"/>
        </w:rPr>
        <w:fldChar w:fldCharType="end"/>
      </w:r>
      <w:bookmarkStart w:id="0" w:name="_Toc432067103"/>
      <w:bookmarkStart w:id="1" w:name="_Toc452635030"/>
      <w:r w:rsidR="00AE4968">
        <w:br w:type="page"/>
      </w:r>
      <w:bookmarkStart w:id="2" w:name="_Toc196395872"/>
    </w:p>
    <w:p w14:paraId="1C15A7EA" w14:textId="3DFE5E13" w:rsidR="00765E9D" w:rsidRDefault="00765E9D">
      <w:pPr>
        <w:pStyle w:val="Heading1"/>
        <w:spacing w:before="0"/>
      </w:pPr>
      <w:r>
        <w:lastRenderedPageBreak/>
        <w:t>Foreword</w:t>
      </w:r>
      <w:bookmarkEnd w:id="2"/>
    </w:p>
    <w:p w14:paraId="05D78824" w14:textId="62C9BB19" w:rsidR="00765E9D" w:rsidRDefault="00765E9D" w:rsidP="00AF4C27">
      <w:r w:rsidRPr="47CA37E3">
        <w:t>The Australian housing system continu</w:t>
      </w:r>
      <w:r w:rsidR="00BF3B12">
        <w:t xml:space="preserve">es </w:t>
      </w:r>
      <w:r w:rsidRPr="47CA37E3">
        <w:t>to experience immense pressure. For many Australians</w:t>
      </w:r>
      <w:r w:rsidR="00AE35A7">
        <w:t>,</w:t>
      </w:r>
      <w:r w:rsidRPr="47CA37E3">
        <w:t xml:space="preserve"> right across the country, secur</w:t>
      </w:r>
      <w:r w:rsidR="00113B02">
        <w:t>ing</w:t>
      </w:r>
      <w:r w:rsidRPr="47CA37E3">
        <w:t xml:space="preserve"> </w:t>
      </w:r>
      <w:r>
        <w:t xml:space="preserve">a home that is </w:t>
      </w:r>
      <w:r w:rsidRPr="47CA37E3">
        <w:t>affordable,</w:t>
      </w:r>
      <w:r>
        <w:t xml:space="preserve"> </w:t>
      </w:r>
      <w:r w:rsidRPr="00F20F92">
        <w:t>fit for purpose</w:t>
      </w:r>
      <w:r>
        <w:t xml:space="preserve"> and secure</w:t>
      </w:r>
      <w:r w:rsidRPr="47CA37E3">
        <w:t xml:space="preserve"> remains challeng</w:t>
      </w:r>
      <w:r w:rsidR="00113B02">
        <w:t>ing</w:t>
      </w:r>
      <w:r w:rsidRPr="47CA37E3">
        <w:t xml:space="preserve">, if not </w:t>
      </w:r>
      <w:r w:rsidR="00113B02">
        <w:t>impossible</w:t>
      </w:r>
      <w:r w:rsidR="00BF3B12">
        <w:t>. This</w:t>
      </w:r>
      <w:r w:rsidRPr="47CA37E3">
        <w:t xml:space="preserve"> is a source of significant stress</w:t>
      </w:r>
      <w:r>
        <w:t xml:space="preserve"> </w:t>
      </w:r>
      <w:r w:rsidRPr="00B00C3D">
        <w:t>for individuals and households</w:t>
      </w:r>
      <w:r w:rsidRPr="47CA37E3">
        <w:t xml:space="preserve">. </w:t>
      </w:r>
    </w:p>
    <w:p w14:paraId="388E6F2C" w14:textId="0F0DAAFD" w:rsidR="00765E9D" w:rsidRDefault="00F112EB" w:rsidP="00AF4C27">
      <w:r>
        <w:t>A</w:t>
      </w:r>
      <w:r w:rsidR="00765E9D">
        <w:t xml:space="preserve"> healthy housing system matters for the entire nation.</w:t>
      </w:r>
    </w:p>
    <w:p w14:paraId="4B4BB743" w14:textId="5022FD71" w:rsidR="00765E9D" w:rsidRDefault="00765E9D" w:rsidP="00AF4C27">
      <w:r>
        <w:t xml:space="preserve">Access to </w:t>
      </w:r>
      <w:r w:rsidR="00CF5C91" w:rsidRPr="00695390">
        <w:t>fit</w:t>
      </w:r>
      <w:r w:rsidR="00432BD9" w:rsidRPr="0041126E">
        <w:t>-</w:t>
      </w:r>
      <w:r w:rsidR="00CF5C91" w:rsidRPr="00695390">
        <w:t>for</w:t>
      </w:r>
      <w:r w:rsidR="00432BD9" w:rsidRPr="0041126E">
        <w:t>-</w:t>
      </w:r>
      <w:r w:rsidR="00CF5C91" w:rsidRPr="00695390">
        <w:t>purpose</w:t>
      </w:r>
      <w:r w:rsidR="00CF5C91">
        <w:t xml:space="preserve"> and</w:t>
      </w:r>
      <w:r>
        <w:t xml:space="preserve"> secure housing is a human rights issue, and one that is essential for an</w:t>
      </w:r>
      <w:r w:rsidR="0099326B">
        <w:t> </w:t>
      </w:r>
      <w:r>
        <w:t>inclusive and prosperous society. As the Australian Human Rights Commission says</w:t>
      </w:r>
      <w:r w:rsidR="00BF3B12">
        <w:t>,</w:t>
      </w:r>
      <w:r>
        <w:t xml:space="preserve"> </w:t>
      </w:r>
      <w:r w:rsidR="00A15C79">
        <w:t>‘</w:t>
      </w:r>
      <w:r w:rsidR="00BF3B12">
        <w:t>T</w:t>
      </w:r>
      <w:r>
        <w:t>he right to</w:t>
      </w:r>
      <w:r w:rsidR="00531399">
        <w:t> </w:t>
      </w:r>
      <w:r>
        <w:t>housing is more than simply a right to shelter. It is a right to have somewhere to live that is adequate</w:t>
      </w:r>
      <w:r w:rsidR="00A15C79">
        <w:t>’</w:t>
      </w:r>
      <w:r w:rsidR="00BF3B12">
        <w:t>.</w:t>
      </w:r>
    </w:p>
    <w:p w14:paraId="32C25BBC" w14:textId="433FCFBB" w:rsidR="00765E9D" w:rsidRDefault="00765E9D" w:rsidP="00AF4C27">
      <w:r>
        <w:t>Failure to provide access to adequate housing is linked to adverse social, health</w:t>
      </w:r>
      <w:r w:rsidR="00BF3B12">
        <w:t xml:space="preserve"> and wellbeing</w:t>
      </w:r>
      <w:r>
        <w:t>, educational</w:t>
      </w:r>
      <w:r w:rsidR="00BF3B12">
        <w:t xml:space="preserve"> and</w:t>
      </w:r>
      <w:r>
        <w:t xml:space="preserve"> justice outcomes. </w:t>
      </w:r>
    </w:p>
    <w:p w14:paraId="6545FF54" w14:textId="6284419A" w:rsidR="00765E9D" w:rsidRDefault="00765E9D" w:rsidP="00AF4C27">
      <w:r>
        <w:t xml:space="preserve">Alan Kohler, writing in </w:t>
      </w:r>
      <w:r w:rsidR="00BF3B12">
        <w:t>t</w:t>
      </w:r>
      <w:r>
        <w:t xml:space="preserve">he </w:t>
      </w:r>
      <w:r w:rsidRPr="008D77E1">
        <w:rPr>
          <w:rStyle w:val="Emphasis"/>
        </w:rPr>
        <w:t>Quarterly Essay</w:t>
      </w:r>
      <w:r>
        <w:t xml:space="preserve">, contended that Australia is being divided into </w:t>
      </w:r>
      <w:r w:rsidRPr="006C1B9D">
        <w:t xml:space="preserve">those who own a house and </w:t>
      </w:r>
      <w:r w:rsidR="000C21F1" w:rsidRPr="006C1B9D">
        <w:t xml:space="preserve">those </w:t>
      </w:r>
      <w:r w:rsidRPr="006C1B9D">
        <w:t>who do</w:t>
      </w:r>
      <w:r w:rsidR="00150FE5">
        <w:t xml:space="preserve"> not</w:t>
      </w:r>
      <w:r>
        <w:t>,</w:t>
      </w:r>
      <w:r w:rsidR="00F13886">
        <w:t xml:space="preserve"> and</w:t>
      </w:r>
      <w:r>
        <w:t xml:space="preserve"> </w:t>
      </w:r>
      <w:r w:rsidR="001F4DB5">
        <w:t xml:space="preserve">between </w:t>
      </w:r>
      <w:r>
        <w:t>families</w:t>
      </w:r>
      <w:r w:rsidR="000C21F1">
        <w:t xml:space="preserve"> that</w:t>
      </w:r>
      <w:r>
        <w:t xml:space="preserve"> have housing wealth to pass on to their children and those </w:t>
      </w:r>
      <w:r w:rsidR="0038480D">
        <w:t>that</w:t>
      </w:r>
      <w:r>
        <w:t xml:space="preserve"> do</w:t>
      </w:r>
      <w:r w:rsidR="00150FE5">
        <w:t xml:space="preserve"> no</w:t>
      </w:r>
      <w:r>
        <w:t>t. This has profound implications for geographic and generational inequity that is deepening.</w:t>
      </w:r>
    </w:p>
    <w:p w14:paraId="49613705" w14:textId="226DD263" w:rsidR="00765E9D" w:rsidRDefault="00765E9D" w:rsidP="00AF4C27">
      <w:r>
        <w:t xml:space="preserve">In </w:t>
      </w:r>
      <w:r w:rsidRPr="00D57C76">
        <w:rPr>
          <w:rStyle w:val="Emphasis"/>
        </w:rPr>
        <w:t>State of the Housing System 2025</w:t>
      </w:r>
      <w:r w:rsidRPr="00D57C76">
        <w:t>,</w:t>
      </w:r>
      <w:r>
        <w:t xml:space="preserve"> the </w:t>
      </w:r>
      <w:r w:rsidR="0006150F">
        <w:t>National Housing Supply and Afforda</w:t>
      </w:r>
      <w:r w:rsidR="0006150F" w:rsidRPr="0006150F">
        <w:t xml:space="preserve">bility </w:t>
      </w:r>
      <w:r w:rsidRPr="0006150F">
        <w:t>Council</w:t>
      </w:r>
      <w:r>
        <w:t xml:space="preserve"> </w:t>
      </w:r>
      <w:r w:rsidR="0006150F">
        <w:t>(</w:t>
      </w:r>
      <w:r w:rsidR="00311D9E">
        <w:t xml:space="preserve">NHSAC or </w:t>
      </w:r>
      <w:r w:rsidR="00A15C79">
        <w:t>‘</w:t>
      </w:r>
      <w:r w:rsidR="0006150F">
        <w:t>the Council</w:t>
      </w:r>
      <w:r w:rsidR="00A15C79">
        <w:t>’</w:t>
      </w:r>
      <w:r w:rsidR="0006150F">
        <w:t xml:space="preserve">) </w:t>
      </w:r>
      <w:r>
        <w:t>presents a sobering view of Australia</w:t>
      </w:r>
      <w:r w:rsidR="00A15C79">
        <w:t>’</w:t>
      </w:r>
      <w:r>
        <w:t>s housing system. The deterioration of housing affordability and low levels of new housing supply in 2024 are particularly stark reminders that Australia is still very much in a housing crisis</w:t>
      </w:r>
      <w:r w:rsidR="00761B6D">
        <w:t xml:space="preserve"> that</w:t>
      </w:r>
      <w:r>
        <w:t xml:space="preserve"> has been decades in the making. </w:t>
      </w:r>
    </w:p>
    <w:p w14:paraId="709BC56B" w14:textId="40B66377" w:rsidR="000165FA" w:rsidRDefault="00765E9D" w:rsidP="00AF4C27">
      <w:r w:rsidRPr="47CA37E3">
        <w:t xml:space="preserve">However, there are signs of slight improvement in parts of the housing system. Growth in </w:t>
      </w:r>
      <w:r w:rsidRPr="003D2D64">
        <w:t>housing</w:t>
      </w:r>
      <w:r w:rsidRPr="47CA37E3">
        <w:t xml:space="preserve"> prices and advertised rents slowed </w:t>
      </w:r>
      <w:r w:rsidR="00BE04A8">
        <w:t>over</w:t>
      </w:r>
      <w:r w:rsidRPr="47CA37E3">
        <w:t xml:space="preserve"> 2024 and construction costs have stabilised. This is promising news. Additionally, the supply of social and affordable housing is accelerating, reflecting an increase in government investment</w:t>
      </w:r>
      <w:r w:rsidRPr="00DA322C">
        <w:t xml:space="preserve"> and</w:t>
      </w:r>
      <w:r w:rsidRPr="00213286">
        <w:t xml:space="preserve"> </w:t>
      </w:r>
      <w:r w:rsidRPr="00DA322C">
        <w:t>initiatives t</w:t>
      </w:r>
      <w:r w:rsidR="00E92F2A">
        <w:t>hat</w:t>
      </w:r>
      <w:r w:rsidRPr="00DA322C">
        <w:t xml:space="preserve"> encourage private sector investment</w:t>
      </w:r>
      <w:r w:rsidR="00845B9F">
        <w:t>.</w:t>
      </w:r>
      <w:r w:rsidRPr="00DA322C">
        <w:t xml:space="preserve"> </w:t>
      </w:r>
    </w:p>
    <w:p w14:paraId="31889E2C" w14:textId="6D36FB7F" w:rsidR="00765E9D" w:rsidRDefault="00765E9D" w:rsidP="00AF4C27">
      <w:r w:rsidRPr="00DA322C">
        <w:t>These efforts</w:t>
      </w:r>
      <w:r w:rsidRPr="00AE4036">
        <w:t xml:space="preserve"> must continue.</w:t>
      </w:r>
      <w:r w:rsidRPr="47CA37E3">
        <w:t xml:space="preserve"> </w:t>
      </w:r>
      <w:r w:rsidR="008D26E8" w:rsidRPr="0041126E">
        <w:t xml:space="preserve">Even with the recent </w:t>
      </w:r>
      <w:r w:rsidR="00265856">
        <w:t>increas</w:t>
      </w:r>
      <w:r w:rsidR="008D26E8" w:rsidRPr="0041126E">
        <w:t>e in economic uncertainty, housing must remain a priority.</w:t>
      </w:r>
      <w:r w:rsidRPr="47CA37E3">
        <w:t xml:space="preserve"> A significant uplift is needed to support Australians who </w:t>
      </w:r>
      <w:r w:rsidR="000C21F1">
        <w:t>depend on</w:t>
      </w:r>
      <w:r w:rsidRPr="47CA37E3">
        <w:t xml:space="preserve"> social and affordable housing </w:t>
      </w:r>
      <w:r w:rsidR="00246983">
        <w:t>for</w:t>
      </w:r>
      <w:r w:rsidR="00246983" w:rsidRPr="47CA37E3">
        <w:t xml:space="preserve"> </w:t>
      </w:r>
      <w:r w:rsidRPr="47CA37E3">
        <w:t>shelter and a</w:t>
      </w:r>
      <w:r w:rsidR="00246983">
        <w:t>s a</w:t>
      </w:r>
      <w:r w:rsidRPr="47CA37E3">
        <w:t xml:space="preserve"> </w:t>
      </w:r>
      <w:r w:rsidR="000C21F1">
        <w:t>foundation</w:t>
      </w:r>
      <w:r w:rsidR="000C21F1" w:rsidRPr="47CA37E3">
        <w:t xml:space="preserve"> </w:t>
      </w:r>
      <w:r w:rsidR="000C21F1">
        <w:t>for</w:t>
      </w:r>
      <w:r w:rsidRPr="47CA37E3">
        <w:t xml:space="preserve"> build</w:t>
      </w:r>
      <w:r w:rsidR="000C21F1">
        <w:t>ing</w:t>
      </w:r>
      <w:r w:rsidRPr="47CA37E3">
        <w:t xml:space="preserve"> their lives and participa</w:t>
      </w:r>
      <w:r w:rsidRPr="00106899">
        <w:t>t</w:t>
      </w:r>
      <w:r w:rsidR="007A7520" w:rsidRPr="00106899">
        <w:t>ing</w:t>
      </w:r>
      <w:r w:rsidRPr="47CA37E3">
        <w:t xml:space="preserve"> in the</w:t>
      </w:r>
      <w:r w:rsidR="000C21F1">
        <w:t>ir</w:t>
      </w:r>
      <w:r w:rsidRPr="47CA37E3">
        <w:t xml:space="preserve"> communities. </w:t>
      </w:r>
    </w:p>
    <w:p w14:paraId="6128D247" w14:textId="2F91F315" w:rsidR="00765E9D" w:rsidRDefault="00765E9D" w:rsidP="00AF4C27">
      <w:r w:rsidRPr="47CA37E3">
        <w:t xml:space="preserve">The Council acknowledges the work </w:t>
      </w:r>
      <w:r w:rsidR="00246983">
        <w:t xml:space="preserve">that is </w:t>
      </w:r>
      <w:r w:rsidRPr="47CA37E3">
        <w:t xml:space="preserve">underway across the housing spectrum to improve housing outcomes. Navigating the housing crisis was always going to require effort from every part of the housing ecosystem. </w:t>
      </w:r>
      <w:r w:rsidR="00020DB0">
        <w:t>We must maintain our</w:t>
      </w:r>
      <w:r w:rsidR="00020DB0" w:rsidRPr="47CA37E3">
        <w:t xml:space="preserve"> </w:t>
      </w:r>
      <w:r w:rsidRPr="47CA37E3">
        <w:t>collective focus on consistent and coordinated effort.</w:t>
      </w:r>
    </w:p>
    <w:p w14:paraId="7617D4E4" w14:textId="5122307A" w:rsidR="00765E9D" w:rsidRDefault="00765E9D" w:rsidP="00AF4C27">
      <w:r w:rsidRPr="47CA37E3">
        <w:t>The Council</w:t>
      </w:r>
      <w:r w:rsidR="00A15C79">
        <w:t>’</w:t>
      </w:r>
      <w:r w:rsidRPr="47CA37E3">
        <w:t>s vision for Australia</w:t>
      </w:r>
      <w:r w:rsidR="00A15C79">
        <w:t>’</w:t>
      </w:r>
      <w:r w:rsidRPr="47CA37E3">
        <w:t>s housing system is clear.</w:t>
      </w:r>
      <w:r w:rsidRPr="0075413B">
        <w:t xml:space="preserve"> </w:t>
      </w:r>
      <w:r>
        <w:t>Households of all incomes and</w:t>
      </w:r>
      <w:r w:rsidR="00FC1154">
        <w:t xml:space="preserve"> in all </w:t>
      </w:r>
      <w:r>
        <w:t>locations</w:t>
      </w:r>
      <w:r w:rsidRPr="0075413B">
        <w:t xml:space="preserve"> should have access to affordable, </w:t>
      </w:r>
      <w:r>
        <w:t>fit</w:t>
      </w:r>
      <w:r w:rsidR="00A03AF8">
        <w:t>-</w:t>
      </w:r>
      <w:r w:rsidRPr="0075413B">
        <w:t>for</w:t>
      </w:r>
      <w:r w:rsidR="00A03AF8">
        <w:t>-</w:t>
      </w:r>
      <w:r>
        <w:t>purpose</w:t>
      </w:r>
      <w:r w:rsidRPr="47CA37E3" w:rsidDel="0075413B">
        <w:t xml:space="preserve"> and </w:t>
      </w:r>
      <w:r>
        <w:t>secure</w:t>
      </w:r>
      <w:r w:rsidR="00020DB0">
        <w:t xml:space="preserve"> housing</w:t>
      </w:r>
      <w:r w:rsidRPr="47CA37E3" w:rsidDel="0075413B">
        <w:t xml:space="preserve">. </w:t>
      </w:r>
    </w:p>
    <w:p w14:paraId="086D4548" w14:textId="6B6C7EE1" w:rsidR="00F30226" w:rsidRPr="00EB0064" w:rsidRDefault="00765E9D" w:rsidP="1FB719B4">
      <w:pPr>
        <w:rPr>
          <w:rFonts w:eastAsia="Calibri"/>
        </w:rPr>
      </w:pPr>
      <w:r>
        <w:t>Australia needs a better housing system – one that can provide Australians</w:t>
      </w:r>
      <w:r w:rsidR="0016362B">
        <w:t xml:space="preserve"> with the homes they</w:t>
      </w:r>
      <w:r>
        <w:t xml:space="preserve"> need. This means </w:t>
      </w:r>
      <w:r w:rsidRPr="6B19A87C">
        <w:rPr>
          <w:rFonts w:eastAsia="Calibri"/>
        </w:rPr>
        <w:t>a housing system that can provide home ownership and rental options to all households</w:t>
      </w:r>
      <w:r w:rsidR="0016362B">
        <w:rPr>
          <w:rFonts w:eastAsia="Calibri"/>
        </w:rPr>
        <w:t>,</w:t>
      </w:r>
      <w:r w:rsidRPr="6B19A87C">
        <w:rPr>
          <w:rFonts w:eastAsia="Calibri"/>
        </w:rPr>
        <w:t xml:space="preserve"> meet the diverse housing needs of the community</w:t>
      </w:r>
      <w:r w:rsidR="0016362B">
        <w:rPr>
          <w:rFonts w:eastAsia="Calibri"/>
        </w:rPr>
        <w:t>,</w:t>
      </w:r>
      <w:r w:rsidRPr="6B19A87C">
        <w:rPr>
          <w:rFonts w:eastAsia="Calibri"/>
        </w:rPr>
        <w:t xml:space="preserve"> and </w:t>
      </w:r>
      <w:r w:rsidR="00FC5772">
        <w:rPr>
          <w:rFonts w:eastAsia="Calibri"/>
        </w:rPr>
        <w:t xml:space="preserve">ensure </w:t>
      </w:r>
      <w:r w:rsidRPr="6B19A87C">
        <w:rPr>
          <w:rFonts w:eastAsia="Calibri"/>
        </w:rPr>
        <w:t>the safety and wellbeing of all Australians</w:t>
      </w:r>
      <w:r w:rsidR="008E4210">
        <w:rPr>
          <w:rFonts w:eastAsia="Calibri"/>
        </w:rPr>
        <w:t>.</w:t>
      </w:r>
    </w:p>
    <w:p w14:paraId="77701BCA" w14:textId="5E5D815D" w:rsidR="00765E9D" w:rsidRDefault="00765E9D" w:rsidP="00FD327B">
      <w:r>
        <w:lastRenderedPageBreak/>
        <w:t xml:space="preserve">In this report, the Council outlines </w:t>
      </w:r>
      <w:r w:rsidR="00300687">
        <w:t xml:space="preserve">5 </w:t>
      </w:r>
      <w:r>
        <w:t xml:space="preserve">key policy areas to </w:t>
      </w:r>
      <w:r w:rsidR="0016362B">
        <w:t>prioritise</w:t>
      </w:r>
      <w:r w:rsidR="00620157">
        <w:t>,</w:t>
      </w:r>
      <w:r>
        <w:t xml:space="preserve"> along</w:t>
      </w:r>
      <w:r w:rsidR="00620157">
        <w:t xml:space="preserve"> with</w:t>
      </w:r>
      <w:r>
        <w:t xml:space="preserve"> recommendations designed to help move Australia towards a healthier housing system. </w:t>
      </w:r>
      <w:r w:rsidR="0016362B">
        <w:t>These are included</w:t>
      </w:r>
      <w:r>
        <w:t xml:space="preserve"> in </w:t>
      </w:r>
      <w:r w:rsidRPr="00676080">
        <w:rPr>
          <w:iCs/>
        </w:rPr>
        <w:t>Chapter</w:t>
      </w:r>
      <w:r w:rsidR="00F30226">
        <w:rPr>
          <w:iCs/>
        </w:rPr>
        <w:t> </w:t>
      </w:r>
      <w:r w:rsidRPr="00676080">
        <w:rPr>
          <w:iCs/>
        </w:rPr>
        <w:t>7</w:t>
      </w:r>
      <w:r w:rsidR="008A6B38" w:rsidRPr="008150DE">
        <w:rPr>
          <w:iCs/>
        </w:rPr>
        <w:t>,</w:t>
      </w:r>
      <w:r w:rsidRPr="002F0CB2">
        <w:rPr>
          <w:i/>
        </w:rPr>
        <w:t xml:space="preserve"> </w:t>
      </w:r>
      <w:r w:rsidRPr="008E4210">
        <w:rPr>
          <w:rStyle w:val="Emphasis"/>
        </w:rPr>
        <w:t xml:space="preserve">Towards a </w:t>
      </w:r>
      <w:r w:rsidR="00620157" w:rsidRPr="008E4210">
        <w:rPr>
          <w:rStyle w:val="Emphasis"/>
        </w:rPr>
        <w:t>b</w:t>
      </w:r>
      <w:r w:rsidRPr="008E4210">
        <w:rPr>
          <w:rStyle w:val="Emphasis"/>
        </w:rPr>
        <w:t xml:space="preserve">etter </w:t>
      </w:r>
      <w:r w:rsidR="00620157" w:rsidRPr="008E4210">
        <w:rPr>
          <w:rStyle w:val="Emphasis"/>
        </w:rPr>
        <w:t>h</w:t>
      </w:r>
      <w:r w:rsidRPr="008E4210">
        <w:rPr>
          <w:rStyle w:val="Emphasis"/>
        </w:rPr>
        <w:t xml:space="preserve">ousing </w:t>
      </w:r>
      <w:r w:rsidR="00620157" w:rsidRPr="008E4210">
        <w:rPr>
          <w:rStyle w:val="Emphasis"/>
        </w:rPr>
        <w:t>s</w:t>
      </w:r>
      <w:r w:rsidRPr="008E4210">
        <w:rPr>
          <w:rStyle w:val="Emphasis"/>
        </w:rPr>
        <w:t>ystem</w:t>
      </w:r>
      <w:r w:rsidRPr="00620157">
        <w:t>.</w:t>
      </w:r>
    </w:p>
    <w:p w14:paraId="22E70587" w14:textId="6D654885" w:rsidR="00765E9D" w:rsidRPr="00B1308E" w:rsidRDefault="00765E9D" w:rsidP="00FD327B">
      <w:r w:rsidRPr="47CA37E3">
        <w:t xml:space="preserve">On behalf of the Council, I express our thanks </w:t>
      </w:r>
      <w:r w:rsidR="008B6835">
        <w:t xml:space="preserve">to stakeholders </w:t>
      </w:r>
      <w:r w:rsidRPr="47CA37E3">
        <w:t xml:space="preserve">for </w:t>
      </w:r>
      <w:r w:rsidR="008B6835">
        <w:t>their</w:t>
      </w:r>
      <w:r w:rsidRPr="47CA37E3">
        <w:t xml:space="preserve"> input through roundtable discussions and bilateral meetings. Those consulted included the Australian, state and territory governments and their agencies; planning, residential construction and development peak bodies and entities; the community housing sector; stakeholders with expertise and experience in </w:t>
      </w:r>
      <w:r w:rsidR="0099326B">
        <w:t>First Nations</w:t>
      </w:r>
      <w:r w:rsidRPr="47CA37E3">
        <w:t xml:space="preserve"> housing issues; research institutions and the academic community.</w:t>
      </w:r>
    </w:p>
    <w:p w14:paraId="13CBCA50" w14:textId="71723B80" w:rsidR="00765E9D" w:rsidRPr="00B1308E" w:rsidRDefault="00765E9D" w:rsidP="00FD327B">
      <w:r w:rsidRPr="47CA37E3">
        <w:t>I also extend my gratitude to my fellow Council members</w:t>
      </w:r>
      <w:r w:rsidR="00803EE7">
        <w:t>,</w:t>
      </w:r>
      <w:r w:rsidRPr="47CA37E3">
        <w:t xml:space="preserve"> and the Office of the Council </w:t>
      </w:r>
      <w:r w:rsidR="00300687">
        <w:t xml:space="preserve">for providing </w:t>
      </w:r>
      <w:r w:rsidRPr="47CA37E3">
        <w:t>continued support to all members of the Council</w:t>
      </w:r>
      <w:r w:rsidR="00300687">
        <w:t xml:space="preserve"> and for</w:t>
      </w:r>
      <w:r w:rsidRPr="47CA37E3">
        <w:t xml:space="preserve"> </w:t>
      </w:r>
      <w:r w:rsidR="009D5D0E">
        <w:t>their tireless work</w:t>
      </w:r>
      <w:r w:rsidRPr="47CA37E3">
        <w:t xml:space="preserve"> </w:t>
      </w:r>
      <w:r w:rsidR="009D5D0E">
        <w:t>in</w:t>
      </w:r>
      <w:r w:rsidRPr="47CA37E3">
        <w:t xml:space="preserve"> produc</w:t>
      </w:r>
      <w:r w:rsidR="009D5D0E">
        <w:t>ing</w:t>
      </w:r>
      <w:r w:rsidRPr="47CA37E3">
        <w:t xml:space="preserve"> this report. Thank you for your dedication.</w:t>
      </w:r>
    </w:p>
    <w:p w14:paraId="0C1D105E" w14:textId="4AE80B6D" w:rsidR="00765E9D" w:rsidRPr="00B1308E" w:rsidRDefault="00765E9D" w:rsidP="00FD327B">
      <w:r w:rsidRPr="47CA37E3">
        <w:t>On behalf of the Council, I am pleased to submit this report.</w:t>
      </w:r>
    </w:p>
    <w:p w14:paraId="5209AD8E" w14:textId="1F8C9AD2" w:rsidR="00765E9D" w:rsidRPr="00B1308E" w:rsidRDefault="0081674B">
      <w:r>
        <w:rPr>
          <w:noProof/>
        </w:rPr>
        <w:drawing>
          <wp:inline distT="0" distB="0" distL="0" distR="0" wp14:anchorId="626F4960" wp14:editId="747F335E">
            <wp:extent cx="2527300" cy="373380"/>
            <wp:effectExtent l="0" t="0" r="6350" b="7620"/>
            <wp:docPr id="1276325460" name="Picture 1" descr="Signature of Ms Susan Lloyd Hurwit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325460" name="Picture 1" descr="Signature of Ms Susan Lloyd Hurwitz&#10;"/>
                    <pic:cNvPicPr>
                      <a:picLocks noChangeAspect="1"/>
                    </pic:cNvPicPr>
                  </pic:nvPicPr>
                  <pic:blipFill>
                    <a:blip r:embed="rId19"/>
                    <a:stretch>
                      <a:fillRect/>
                    </a:stretch>
                  </pic:blipFill>
                  <pic:spPr>
                    <a:xfrm>
                      <a:off x="0" y="0"/>
                      <a:ext cx="2527300" cy="373380"/>
                    </a:xfrm>
                    <a:prstGeom prst="rect">
                      <a:avLst/>
                    </a:prstGeom>
                  </pic:spPr>
                </pic:pic>
              </a:graphicData>
            </a:graphic>
          </wp:inline>
        </w:drawing>
      </w:r>
      <w:r w:rsidRPr="00803EE7" w:rsidDel="0081674B">
        <w:rPr>
          <w:highlight w:val="yellow"/>
        </w:rPr>
        <w:t xml:space="preserve"> </w:t>
      </w:r>
    </w:p>
    <w:p w14:paraId="5853FE65" w14:textId="701C2122" w:rsidR="00765E9D" w:rsidRPr="00B1308E" w:rsidRDefault="00765E9D" w:rsidP="00F51E50">
      <w:pPr>
        <w:pStyle w:val="SingleParagraph"/>
      </w:pPr>
      <w:r w:rsidRPr="00B1308E">
        <w:t xml:space="preserve">Ms Susan </w:t>
      </w:r>
      <w:r w:rsidRPr="00F76102">
        <w:t>Lloyd</w:t>
      </w:r>
      <w:r w:rsidR="00A15C79" w:rsidRPr="00F76102">
        <w:noBreakHyphen/>
      </w:r>
      <w:r w:rsidRPr="00F76102">
        <w:t>Hurwitz</w:t>
      </w:r>
      <w:r w:rsidRPr="00B1308E">
        <w:t>  </w:t>
      </w:r>
    </w:p>
    <w:p w14:paraId="2953526B" w14:textId="77777777" w:rsidR="00765E9D" w:rsidRDefault="00765E9D" w:rsidP="00F51E50">
      <w:pPr>
        <w:pStyle w:val="SingleParagraph"/>
      </w:pPr>
      <w:r w:rsidRPr="00B1308E">
        <w:t>Chair, National Housing Supply and Affordability Council </w:t>
      </w:r>
    </w:p>
    <w:p w14:paraId="3B16184F" w14:textId="77777777" w:rsidR="00EB0064" w:rsidRDefault="00EB0064">
      <w:pPr>
        <w:spacing w:before="0" w:after="160" w:line="259" w:lineRule="auto"/>
      </w:pPr>
    </w:p>
    <w:p w14:paraId="3D70A23D" w14:textId="77777777" w:rsidR="00EB0064" w:rsidRDefault="00EB0064">
      <w:pPr>
        <w:spacing w:before="0" w:after="160" w:line="259" w:lineRule="auto"/>
        <w:sectPr w:rsidR="00EB0064" w:rsidSect="00EB0064">
          <w:headerReference w:type="even" r:id="rId20"/>
          <w:headerReference w:type="default" r:id="rId21"/>
          <w:footerReference w:type="even" r:id="rId22"/>
          <w:footerReference w:type="default" r:id="rId23"/>
          <w:headerReference w:type="first" r:id="rId24"/>
          <w:footerReference w:type="first" r:id="rId25"/>
          <w:type w:val="oddPage"/>
          <w:pgSz w:w="11906" w:h="16838" w:code="9"/>
          <w:pgMar w:top="1843" w:right="1418" w:bottom="1418" w:left="1418" w:header="709" w:footer="709" w:gutter="0"/>
          <w:pgNumType w:fmt="lowerRoman" w:start="4"/>
          <w:cols w:space="708"/>
          <w:docGrid w:linePitch="360"/>
        </w:sectPr>
      </w:pPr>
    </w:p>
    <w:p w14:paraId="62F166C3" w14:textId="0230140F" w:rsidR="00F30226" w:rsidRDefault="00F30226" w:rsidP="00531399">
      <w:pPr>
        <w:pStyle w:val="Heading1"/>
        <w:spacing w:before="0"/>
      </w:pPr>
      <w:bookmarkStart w:id="3" w:name="_Toc196395873"/>
      <w:r>
        <w:lastRenderedPageBreak/>
        <w:t xml:space="preserve">Report </w:t>
      </w:r>
      <w:r w:rsidR="00211DA6">
        <w:t>o</w:t>
      </w:r>
      <w:r>
        <w:t>verview</w:t>
      </w:r>
      <w:bookmarkEnd w:id="3"/>
    </w:p>
    <w:p w14:paraId="21CF715B" w14:textId="77777777" w:rsidR="00F30226" w:rsidRPr="00BD2E5A" w:rsidRDefault="00F30226" w:rsidP="00531399">
      <w:pPr>
        <w:pStyle w:val="Heading2"/>
        <w:spacing w:before="240" w:after="100"/>
      </w:pPr>
      <w:bookmarkStart w:id="4" w:name="_Toc195026584"/>
      <w:bookmarkStart w:id="5" w:name="_Toc196395874"/>
      <w:r w:rsidRPr="00BD2E5A">
        <w:t>Key findings</w:t>
      </w:r>
      <w:bookmarkEnd w:id="4"/>
      <w:bookmarkEnd w:id="5"/>
    </w:p>
    <w:p w14:paraId="2E3C7153" w14:textId="7455FF71" w:rsidR="00F30226" w:rsidRPr="00531399" w:rsidRDefault="00F30226" w:rsidP="00F30226">
      <w:pPr>
        <w:pStyle w:val="Bullet"/>
        <w:rPr>
          <w:spacing w:val="-2"/>
        </w:rPr>
      </w:pPr>
      <w:r w:rsidRPr="00531399">
        <w:rPr>
          <w:spacing w:val="-2"/>
        </w:rPr>
        <w:t>Dwelling prices and rents rose in 2024, but at a slower rate than in 2023. Nationally, dwelling prices rose by 4.9</w:t>
      </w:r>
      <w:r w:rsidR="0099326B" w:rsidRPr="00531399">
        <w:rPr>
          <w:spacing w:val="-2"/>
        </w:rPr>
        <w:t> per cent</w:t>
      </w:r>
      <w:r w:rsidRPr="00531399">
        <w:rPr>
          <w:spacing w:val="-2"/>
        </w:rPr>
        <w:t xml:space="preserve"> </w:t>
      </w:r>
      <w:r w:rsidR="00446449">
        <w:rPr>
          <w:spacing w:val="-2"/>
        </w:rPr>
        <w:t>over</w:t>
      </w:r>
      <w:r w:rsidRPr="00531399">
        <w:rPr>
          <w:spacing w:val="-2"/>
        </w:rPr>
        <w:t xml:space="preserve"> 2024, and by a further 0.7</w:t>
      </w:r>
      <w:r w:rsidR="0099326B" w:rsidRPr="00531399">
        <w:rPr>
          <w:spacing w:val="-2"/>
        </w:rPr>
        <w:t> per cent</w:t>
      </w:r>
      <w:r w:rsidRPr="00531399">
        <w:rPr>
          <w:spacing w:val="-2"/>
        </w:rPr>
        <w:t xml:space="preserve"> </w:t>
      </w:r>
      <w:r w:rsidR="00B669C4">
        <w:rPr>
          <w:spacing w:val="-2"/>
        </w:rPr>
        <w:t>over</w:t>
      </w:r>
      <w:r w:rsidRPr="00531399">
        <w:rPr>
          <w:spacing w:val="-2"/>
        </w:rPr>
        <w:t xml:space="preserve"> the first 3 months of 2025. Advertised rents rose by 4.8</w:t>
      </w:r>
      <w:r w:rsidR="0099326B" w:rsidRPr="00531399">
        <w:rPr>
          <w:spacing w:val="-2"/>
        </w:rPr>
        <w:t> per cent</w:t>
      </w:r>
      <w:r w:rsidRPr="00531399">
        <w:rPr>
          <w:spacing w:val="-2"/>
        </w:rPr>
        <w:t xml:space="preserve"> </w:t>
      </w:r>
      <w:r w:rsidR="00B669C4">
        <w:rPr>
          <w:spacing w:val="-2"/>
        </w:rPr>
        <w:t>over</w:t>
      </w:r>
      <w:r w:rsidRPr="00531399">
        <w:rPr>
          <w:spacing w:val="-2"/>
        </w:rPr>
        <w:t xml:space="preserve"> 2024, and </w:t>
      </w:r>
      <w:r w:rsidR="003739BD" w:rsidRPr="00C50128">
        <w:rPr>
          <w:spacing w:val="-2"/>
        </w:rPr>
        <w:t>by</w:t>
      </w:r>
      <w:r w:rsidR="003739BD">
        <w:rPr>
          <w:spacing w:val="-2"/>
        </w:rPr>
        <w:t xml:space="preserve"> </w:t>
      </w:r>
      <w:r w:rsidRPr="00531399">
        <w:rPr>
          <w:spacing w:val="-2"/>
        </w:rPr>
        <w:t>a further 1.7</w:t>
      </w:r>
      <w:r w:rsidR="0099326B" w:rsidRPr="00531399">
        <w:rPr>
          <w:spacing w:val="-2"/>
        </w:rPr>
        <w:t> per cent</w:t>
      </w:r>
      <w:r w:rsidRPr="00531399">
        <w:rPr>
          <w:spacing w:val="-2"/>
        </w:rPr>
        <w:t xml:space="preserve"> </w:t>
      </w:r>
      <w:r w:rsidR="00212C95">
        <w:rPr>
          <w:spacing w:val="-2"/>
        </w:rPr>
        <w:t>over</w:t>
      </w:r>
      <w:r w:rsidRPr="00531399">
        <w:rPr>
          <w:spacing w:val="-2"/>
        </w:rPr>
        <w:t xml:space="preserve"> the first </w:t>
      </w:r>
      <w:r w:rsidR="00B83F85">
        <w:rPr>
          <w:spacing w:val="-2"/>
        </w:rPr>
        <w:t>3</w:t>
      </w:r>
      <w:r w:rsidR="00A57134">
        <w:rPr>
          <w:spacing w:val="-2"/>
        </w:rPr>
        <w:t> </w:t>
      </w:r>
      <w:r w:rsidR="00B83F85">
        <w:rPr>
          <w:spacing w:val="-2"/>
        </w:rPr>
        <w:t>months</w:t>
      </w:r>
      <w:r w:rsidR="00B83F85" w:rsidRPr="00531399">
        <w:rPr>
          <w:spacing w:val="-2"/>
        </w:rPr>
        <w:t xml:space="preserve"> </w:t>
      </w:r>
      <w:r w:rsidRPr="00531399">
        <w:rPr>
          <w:spacing w:val="-2"/>
        </w:rPr>
        <w:t>of</w:t>
      </w:r>
      <w:r w:rsidR="00531399" w:rsidRPr="00531399">
        <w:rPr>
          <w:spacing w:val="-2"/>
        </w:rPr>
        <w:t> </w:t>
      </w:r>
      <w:r w:rsidRPr="00531399">
        <w:rPr>
          <w:spacing w:val="-2"/>
        </w:rPr>
        <w:t xml:space="preserve">2025. </w:t>
      </w:r>
    </w:p>
    <w:p w14:paraId="5FD438A5" w14:textId="7BBFDECA" w:rsidR="00F30226" w:rsidRPr="00D76278" w:rsidRDefault="00F30226" w:rsidP="00F30226">
      <w:pPr>
        <w:pStyle w:val="Bullet"/>
      </w:pPr>
      <w:r w:rsidRPr="00D76278">
        <w:t xml:space="preserve">The rise in dwelling prices and rents outpaced the rise in </w:t>
      </w:r>
      <w:r w:rsidR="008026D8" w:rsidRPr="00C50128">
        <w:t>median</w:t>
      </w:r>
      <w:r w:rsidR="008026D8">
        <w:t xml:space="preserve"> </w:t>
      </w:r>
      <w:r w:rsidRPr="00D76278">
        <w:t>household income. Consequently, housing affordability deteriorated, though at a slower rate than in 2023. 50</w:t>
      </w:r>
      <w:r w:rsidR="0099326B">
        <w:t> per cent</w:t>
      </w:r>
      <w:r w:rsidRPr="00D76278">
        <w:t xml:space="preserve"> of median household income was needed to meet repayments for the average new mortgage, while 33</w:t>
      </w:r>
      <w:r w:rsidR="0099326B">
        <w:t> per cent</w:t>
      </w:r>
      <w:r w:rsidRPr="00D76278">
        <w:t xml:space="preserve"> was needed to </w:t>
      </w:r>
      <w:r w:rsidR="00EC6758" w:rsidRPr="00C50128">
        <w:t>meet</w:t>
      </w:r>
      <w:r w:rsidR="00EC6758" w:rsidRPr="00D76278">
        <w:t xml:space="preserve"> </w:t>
      </w:r>
      <w:r w:rsidRPr="00D76278">
        <w:t xml:space="preserve">rental costs for the average new lease. The average time required to save for a home deposit increased to 10.6 years, and the ratio of dwelling prices to </w:t>
      </w:r>
      <w:r w:rsidR="00813639" w:rsidRPr="00C50128">
        <w:t>median household</w:t>
      </w:r>
      <w:r w:rsidR="00813639">
        <w:t xml:space="preserve"> </w:t>
      </w:r>
      <w:r w:rsidRPr="00D76278">
        <w:t>income rose to 8.0.</w:t>
      </w:r>
    </w:p>
    <w:p w14:paraId="6B8DF452" w14:textId="5726B8B2" w:rsidR="00F30226" w:rsidRPr="00D76278" w:rsidRDefault="00F30226" w:rsidP="00F30226">
      <w:pPr>
        <w:pStyle w:val="Bullet"/>
      </w:pPr>
      <w:r w:rsidRPr="00484D72">
        <w:t xml:space="preserve">Affordability is </w:t>
      </w:r>
      <w:r w:rsidR="00144811" w:rsidRPr="00484D72">
        <w:t xml:space="preserve">expected to </w:t>
      </w:r>
      <w:r w:rsidR="00091CD2" w:rsidRPr="0041126E">
        <w:t xml:space="preserve">broadly </w:t>
      </w:r>
      <w:r w:rsidR="00144811" w:rsidRPr="00484D72">
        <w:t xml:space="preserve">stabilise, and in some cases improve a little, over the next </w:t>
      </w:r>
      <w:r w:rsidR="00B7478A">
        <w:t>4</w:t>
      </w:r>
      <w:r w:rsidR="00DD3724">
        <w:t> </w:t>
      </w:r>
      <w:r w:rsidR="00144811" w:rsidRPr="00484D72">
        <w:t>years</w:t>
      </w:r>
      <w:r w:rsidRPr="00484D72">
        <w:t>.</w:t>
      </w:r>
      <w:r w:rsidRPr="00D76278">
        <w:t xml:space="preserve"> </w:t>
      </w:r>
      <w:r w:rsidR="00D12F0C">
        <w:t xml:space="preserve">Growth in </w:t>
      </w:r>
      <w:r w:rsidR="00631BC9">
        <w:t>CPI r</w:t>
      </w:r>
      <w:r w:rsidRPr="00D76278">
        <w:t xml:space="preserve">ents </w:t>
      </w:r>
      <w:r w:rsidR="00D12F0C">
        <w:t>is</w:t>
      </w:r>
      <w:r w:rsidRPr="00D76278">
        <w:t xml:space="preserve"> expected to </w:t>
      </w:r>
      <w:r w:rsidR="00285635">
        <w:t>continue to slow</w:t>
      </w:r>
      <w:r w:rsidR="00E218EF">
        <w:t xml:space="preserve">, falling below 4 per cent </w:t>
      </w:r>
      <w:r w:rsidR="00631BC9">
        <w:t xml:space="preserve">in </w:t>
      </w:r>
      <w:r w:rsidR="009D38C7">
        <w:t>202</w:t>
      </w:r>
      <w:r w:rsidR="00631BC9">
        <w:t>7</w:t>
      </w:r>
      <w:r w:rsidRPr="00D76278">
        <w:t xml:space="preserve">. The vacancy rate is expected to </w:t>
      </w:r>
      <w:r w:rsidR="0086428F">
        <w:t>rise but</w:t>
      </w:r>
      <w:r w:rsidRPr="00D76278">
        <w:t xml:space="preserve"> </w:t>
      </w:r>
      <w:r w:rsidR="00EC1555">
        <w:t xml:space="preserve">to </w:t>
      </w:r>
      <w:r w:rsidRPr="00D76278">
        <w:t xml:space="preserve">remain </w:t>
      </w:r>
      <w:r w:rsidRPr="00C50128">
        <w:t>below</w:t>
      </w:r>
      <w:r w:rsidRPr="00D76278">
        <w:t xml:space="preserve"> 2.5</w:t>
      </w:r>
      <w:r w:rsidR="0099326B">
        <w:t> per cent</w:t>
      </w:r>
      <w:r w:rsidRPr="00D76278">
        <w:t>, implying rental conditions will remain difficult for tenants. The ratio of dwelling prices to income is expected to fall slightly</w:t>
      </w:r>
      <w:r w:rsidRPr="00D76278" w:rsidDel="00550C31">
        <w:t>,</w:t>
      </w:r>
      <w:r w:rsidRPr="00D76278">
        <w:t xml:space="preserve"> to </w:t>
      </w:r>
      <w:r w:rsidRPr="00C50128">
        <w:t>7.</w:t>
      </w:r>
      <w:r w:rsidR="001B463F">
        <w:t>7</w:t>
      </w:r>
      <w:r w:rsidRPr="00D76278">
        <w:t xml:space="preserve">, </w:t>
      </w:r>
      <w:r w:rsidRPr="00D76278" w:rsidDel="00550C31">
        <w:t xml:space="preserve">but </w:t>
      </w:r>
      <w:r w:rsidRPr="00D76278">
        <w:t xml:space="preserve">to remain high. </w:t>
      </w:r>
    </w:p>
    <w:p w14:paraId="3FE2DA96" w14:textId="64799D1F" w:rsidR="00F30226" w:rsidRPr="00D76278" w:rsidRDefault="00F30226" w:rsidP="00F30226">
      <w:pPr>
        <w:pStyle w:val="Bullet"/>
        <w:rPr>
          <w:bCs/>
        </w:rPr>
      </w:pPr>
      <w:r w:rsidRPr="00D76278">
        <w:t>The supply of new housing is</w:t>
      </w:r>
      <w:r w:rsidRPr="00D76278">
        <w:rPr>
          <w:bCs/>
        </w:rPr>
        <w:t xml:space="preserve"> </w:t>
      </w:r>
      <w:r>
        <w:t>near its lowest level in a decade</w:t>
      </w:r>
      <w:r w:rsidRPr="00D76278">
        <w:rPr>
          <w:bCs/>
        </w:rPr>
        <w:t xml:space="preserve">. </w:t>
      </w:r>
      <w:r w:rsidRPr="00C50128">
        <w:t>17</w:t>
      </w:r>
      <w:r w:rsidR="00DB5112" w:rsidRPr="0041126E">
        <w:t>7</w:t>
      </w:r>
      <w:r w:rsidRPr="00C50128">
        <w:t xml:space="preserve">,000 dwellings were completed in </w:t>
      </w:r>
      <w:r w:rsidR="00DB5112" w:rsidRPr="00C50128">
        <w:t>2024</w:t>
      </w:r>
      <w:r w:rsidRPr="00D76278">
        <w:rPr>
          <w:bCs/>
        </w:rPr>
        <w:t xml:space="preserve">, falling significantly short of underlying demand for housing, which was estimated at around </w:t>
      </w:r>
      <w:r w:rsidRPr="00C50128">
        <w:t>223,000</w:t>
      </w:r>
      <w:r w:rsidRPr="00D76278">
        <w:rPr>
          <w:bCs/>
        </w:rPr>
        <w:t xml:space="preserve"> for the same period. This shortfall added to already significant unmet demand in the system.</w:t>
      </w:r>
    </w:p>
    <w:p w14:paraId="7CE87C70" w14:textId="59484A0D" w:rsidR="00F30226" w:rsidRPr="00D76278" w:rsidRDefault="00F30226" w:rsidP="00F30226">
      <w:pPr>
        <w:pStyle w:val="Bullet"/>
        <w:rPr>
          <w:bCs/>
        </w:rPr>
      </w:pPr>
      <w:r w:rsidRPr="00D76278">
        <w:rPr>
          <w:bCs/>
        </w:rPr>
        <w:t xml:space="preserve">New demand for housing is moderating. New underlying demand – which reflects demographic factors such as population growth and the age structure of the population – is expected to slow to </w:t>
      </w:r>
      <w:r w:rsidRPr="00C50128">
        <w:t>205,000</w:t>
      </w:r>
      <w:r w:rsidRPr="00D76278">
        <w:rPr>
          <w:bCs/>
        </w:rPr>
        <w:t xml:space="preserve"> </w:t>
      </w:r>
      <w:r w:rsidR="00A12F10">
        <w:rPr>
          <w:bCs/>
        </w:rPr>
        <w:t>households</w:t>
      </w:r>
      <w:r w:rsidRPr="00D76278">
        <w:rPr>
          <w:bCs/>
        </w:rPr>
        <w:t xml:space="preserve"> in the 2024–25 financial year and to </w:t>
      </w:r>
      <w:r w:rsidR="005E5A76">
        <w:rPr>
          <w:bCs/>
        </w:rPr>
        <w:t>stabilise at</w:t>
      </w:r>
      <w:r w:rsidRPr="00D76278">
        <w:rPr>
          <w:bCs/>
        </w:rPr>
        <w:t xml:space="preserve"> around </w:t>
      </w:r>
      <w:r w:rsidRPr="00C50128">
        <w:t>175,000</w:t>
      </w:r>
      <w:r w:rsidRPr="00D76278">
        <w:rPr>
          <w:bCs/>
        </w:rPr>
        <w:t xml:space="preserve"> </w:t>
      </w:r>
      <w:r w:rsidR="00A12F10">
        <w:rPr>
          <w:bCs/>
        </w:rPr>
        <w:t>households</w:t>
      </w:r>
      <w:r w:rsidRPr="00D76278">
        <w:rPr>
          <w:bCs/>
        </w:rPr>
        <w:t xml:space="preserve"> </w:t>
      </w:r>
      <w:r w:rsidR="005E5A76">
        <w:rPr>
          <w:bCs/>
        </w:rPr>
        <w:t xml:space="preserve">per year </w:t>
      </w:r>
      <w:r w:rsidRPr="00D76278">
        <w:rPr>
          <w:bCs/>
        </w:rPr>
        <w:t xml:space="preserve">from 2025–26. </w:t>
      </w:r>
    </w:p>
    <w:p w14:paraId="7DFACD9E" w14:textId="0BF59CC7" w:rsidR="00F30226" w:rsidRPr="00D76278" w:rsidRDefault="00F30226" w:rsidP="00F30226">
      <w:pPr>
        <w:pStyle w:val="Bullet"/>
      </w:pPr>
      <w:r w:rsidRPr="00D76278">
        <w:rPr>
          <w:bCs/>
        </w:rPr>
        <w:t xml:space="preserve">The supply of social and affordable housing is expected to accelerate, reflecting an increase in government investment. </w:t>
      </w:r>
      <w:r w:rsidR="002F4EE8" w:rsidRPr="0041126E">
        <w:rPr>
          <w:szCs w:val="22"/>
        </w:rPr>
        <w:t>2,600</w:t>
      </w:r>
      <w:r w:rsidRPr="00C50128">
        <w:t xml:space="preserve"> new public dwellings</w:t>
      </w:r>
      <w:r w:rsidRPr="00D76278">
        <w:t xml:space="preserve"> were completed in 2024, and governments are targeting delivery of 55,000 new social and affordable housing dwellings over the Housing Accord period (from July 2024 to June 2029). </w:t>
      </w:r>
    </w:p>
    <w:p w14:paraId="19AF2D32" w14:textId="580EC48C" w:rsidR="00F30226" w:rsidRPr="00D76278" w:rsidRDefault="00F30226" w:rsidP="00F30226">
      <w:pPr>
        <w:pStyle w:val="Bullet"/>
        <w:rPr>
          <w:bCs/>
        </w:rPr>
      </w:pPr>
      <w:r w:rsidRPr="00C50128">
        <w:t>9</w:t>
      </w:r>
      <w:r w:rsidR="001F1E82" w:rsidRPr="0041126E">
        <w:t>3</w:t>
      </w:r>
      <w:r w:rsidRPr="00C50128">
        <w:t>8,000</w:t>
      </w:r>
      <w:r w:rsidRPr="00D76278">
        <w:t xml:space="preserve"> dwellings are forecast to be completed during the Housing Accord</w:t>
      </w:r>
      <w:r w:rsidRPr="00D76278">
        <w:rPr>
          <w:bCs/>
        </w:rPr>
        <w:t xml:space="preserve"> period, which falls short of the 1.2</w:t>
      </w:r>
      <w:r w:rsidR="0099326B">
        <w:rPr>
          <w:bCs/>
        </w:rPr>
        <w:t> million</w:t>
      </w:r>
      <w:r w:rsidRPr="00D76278">
        <w:rPr>
          <w:bCs/>
        </w:rPr>
        <w:t xml:space="preserve"> target. Scenario analysis indicates that even under optimistic economic scenarios, the target will not be achieved. No state or territory is forecast to meet the share of the target implied by its population. When factoring in demolitions, the net new supply is expected to total </w:t>
      </w:r>
      <w:r w:rsidR="001F1E82" w:rsidRPr="00C50128">
        <w:t>8</w:t>
      </w:r>
      <w:r w:rsidR="001F1E82" w:rsidRPr="0041126E">
        <w:t>25</w:t>
      </w:r>
      <w:r w:rsidRPr="00C50128">
        <w:t>,000</w:t>
      </w:r>
      <w:r w:rsidRPr="00D76278">
        <w:rPr>
          <w:bCs/>
        </w:rPr>
        <w:t xml:space="preserve"> over the Housing Accord period, which is </w:t>
      </w:r>
      <w:r w:rsidR="00E47CF9" w:rsidRPr="0041126E">
        <w:t>79</w:t>
      </w:r>
      <w:r w:rsidRPr="00C50128">
        <w:t>,000</w:t>
      </w:r>
      <w:r w:rsidRPr="00D76278">
        <w:rPr>
          <w:bCs/>
        </w:rPr>
        <w:t xml:space="preserve"> dwellings fewer than expected new underlying demand. </w:t>
      </w:r>
    </w:p>
    <w:p w14:paraId="0FC86031" w14:textId="1E2AA606" w:rsidR="00F30226" w:rsidRPr="00531399" w:rsidRDefault="00F30226" w:rsidP="00F30226">
      <w:pPr>
        <w:pStyle w:val="Bullet"/>
        <w:rPr>
          <w:bCs/>
          <w:spacing w:val="-2"/>
        </w:rPr>
      </w:pPr>
      <w:r w:rsidRPr="00531399">
        <w:rPr>
          <w:bCs/>
          <w:spacing w:val="-2"/>
        </w:rPr>
        <w:t xml:space="preserve">The Council assesses that the Housing Accord target remains suitable, as it highlights the magnitude of the challenge facing the community, communicates government policy intentions, provides guidance to system participants, and facilitates accountability and performance assessment. </w:t>
      </w:r>
    </w:p>
    <w:p w14:paraId="06F6D40A" w14:textId="69DA8541" w:rsidR="00F30226" w:rsidRPr="00D76278" w:rsidRDefault="00F30226" w:rsidP="00F30226">
      <w:pPr>
        <w:pStyle w:val="Bullet"/>
        <w:rPr>
          <w:bCs/>
        </w:rPr>
      </w:pPr>
      <w:r w:rsidRPr="00D76278">
        <w:t xml:space="preserve">Detached housing is expected to constitute just under </w:t>
      </w:r>
      <w:r w:rsidRPr="00C50128">
        <w:t>two</w:t>
      </w:r>
      <w:r w:rsidR="00A15C79" w:rsidRPr="00C50128">
        <w:noBreakHyphen/>
      </w:r>
      <w:r w:rsidRPr="00C50128">
        <w:t>thirds</w:t>
      </w:r>
      <w:r w:rsidRPr="00D76278">
        <w:t xml:space="preserve"> of new supply over the Housing</w:t>
      </w:r>
      <w:r w:rsidR="00531399">
        <w:t> </w:t>
      </w:r>
      <w:r w:rsidRPr="00D76278">
        <w:t>Accord period. The supply of medium</w:t>
      </w:r>
      <w:r w:rsidR="00A15C79">
        <w:noBreakHyphen/>
      </w:r>
      <w:r w:rsidRPr="00D76278">
        <w:t xml:space="preserve"> and high</w:t>
      </w:r>
      <w:r w:rsidR="00B83F85">
        <w:t>er</w:t>
      </w:r>
      <w:r w:rsidR="00A15C79">
        <w:noBreakHyphen/>
      </w:r>
      <w:r w:rsidRPr="00D76278">
        <w:t xml:space="preserve">density dwellings is forecast to remain </w:t>
      </w:r>
      <w:r w:rsidRPr="00C50128">
        <w:t>low</w:t>
      </w:r>
      <w:r w:rsidRPr="00D76278">
        <w:t xml:space="preserve"> relative to </w:t>
      </w:r>
      <w:r>
        <w:t>the previous decade</w:t>
      </w:r>
      <w:r w:rsidRPr="00D76278">
        <w:rPr>
          <w:bCs/>
        </w:rPr>
        <w:t>,</w:t>
      </w:r>
      <w:r w:rsidRPr="00D76278">
        <w:t xml:space="preserve"> as poor project feasibility weighs on supply and the low levels of approvals currently in the system interacts with the long lead time for high</w:t>
      </w:r>
      <w:r w:rsidR="00B83F85">
        <w:t>er</w:t>
      </w:r>
      <w:r w:rsidR="00A15C79">
        <w:noBreakHyphen/>
      </w:r>
      <w:r w:rsidRPr="00D76278">
        <w:t>density projects to limit supply over the forecast horizon.</w:t>
      </w:r>
    </w:p>
    <w:p w14:paraId="4631487E" w14:textId="77777777" w:rsidR="00F30226" w:rsidRPr="00D76278" w:rsidRDefault="00F30226" w:rsidP="00F30226">
      <w:pPr>
        <w:pStyle w:val="Bullet"/>
        <w:rPr>
          <w:bCs/>
        </w:rPr>
      </w:pPr>
      <w:r w:rsidRPr="00D76278">
        <w:rPr>
          <w:bCs/>
        </w:rPr>
        <w:lastRenderedPageBreak/>
        <w:t xml:space="preserve">Cyclical constraints to supply – elevated material costs, labour shortages and high financing costs – are easing but remain a headwind to supply. </w:t>
      </w:r>
    </w:p>
    <w:p w14:paraId="6BB6E0D6" w14:textId="77777777" w:rsidR="00F30226" w:rsidRPr="00D76278" w:rsidRDefault="00F30226" w:rsidP="00F30226">
      <w:pPr>
        <w:pStyle w:val="Bullet"/>
        <w:rPr>
          <w:bCs/>
        </w:rPr>
      </w:pPr>
      <w:r w:rsidRPr="00D76278">
        <w:rPr>
          <w:bCs/>
        </w:rPr>
        <w:t xml:space="preserve">Structural constraints are the principal barrier to supply. These include an inadequate pipeline of skilled workers; scarce, fragmented and costly land suitable for development; low rates of productivity and innovation in the construction sector; restrictive and complex land use and planning approval systems in some jurisdictions; market frictions and financial incentives that limit the optimal use of the existing housing stock; and a fragmented housing policy and regulatory ecosystem that adds to costs, timeframes and risks. </w:t>
      </w:r>
    </w:p>
    <w:p w14:paraId="13FFDE1C" w14:textId="1D9BA0EA" w:rsidR="0082532D" w:rsidRDefault="00F30226" w:rsidP="00272C38">
      <w:pPr>
        <w:pStyle w:val="Bullet"/>
      </w:pPr>
      <w:r w:rsidRPr="002D209A">
        <w:rPr>
          <w:bCs/>
        </w:rPr>
        <w:t>Significant systemic reform, government support measures and industry innovation are needed to improve housing supply and affordability outcomes. </w:t>
      </w:r>
      <w:r w:rsidR="0082532D">
        <w:br w:type="page"/>
      </w:r>
    </w:p>
    <w:p w14:paraId="3625D254" w14:textId="7704F38A" w:rsidR="000D720C" w:rsidRPr="00756606" w:rsidRDefault="000D720C" w:rsidP="00F30226">
      <w:pPr>
        <w:pStyle w:val="Heading2"/>
      </w:pPr>
      <w:bookmarkStart w:id="6" w:name="_Toc196395875"/>
      <w:r>
        <w:lastRenderedPageBreak/>
        <w:t>Executive summary</w:t>
      </w:r>
      <w:bookmarkEnd w:id="6"/>
    </w:p>
    <w:p w14:paraId="6402AE37" w14:textId="77777777" w:rsidR="000D720C" w:rsidRPr="004C5F02" w:rsidRDefault="000D720C" w:rsidP="00DD3724">
      <w:pPr>
        <w:pStyle w:val="Heading3"/>
        <w:spacing w:before="240"/>
      </w:pPr>
      <w:bookmarkStart w:id="7" w:name="_Toc195106334"/>
      <w:bookmarkStart w:id="8" w:name="_Toc195173193"/>
      <w:bookmarkStart w:id="9" w:name="_Toc195175536"/>
      <w:r w:rsidRPr="004C5F02">
        <w:t>Housing affordability deteriorated in 2024</w:t>
      </w:r>
      <w:bookmarkEnd w:id="7"/>
      <w:bookmarkEnd w:id="8"/>
      <w:bookmarkEnd w:id="9"/>
    </w:p>
    <w:p w14:paraId="55E25BAE" w14:textId="3DBC3DD7" w:rsidR="000D720C" w:rsidRPr="00F252B9" w:rsidRDefault="000D720C" w:rsidP="00DD3724">
      <w:pPr>
        <w:spacing w:before="200" w:after="200"/>
        <w:rPr>
          <w:bCs/>
        </w:rPr>
      </w:pPr>
      <w:r w:rsidRPr="00BF2284">
        <w:rPr>
          <w:bCs/>
        </w:rPr>
        <w:t>Housing affordability</w:t>
      </w:r>
      <w:r w:rsidR="00374AB7">
        <w:rPr>
          <w:rStyle w:val="FootnoteReference"/>
          <w:bCs/>
        </w:rPr>
        <w:footnoteReference w:id="2"/>
      </w:r>
      <w:r>
        <w:rPr>
          <w:bCs/>
        </w:rPr>
        <w:t xml:space="preserve"> </w:t>
      </w:r>
      <w:r w:rsidR="00807D61">
        <w:rPr>
          <w:bCs/>
        </w:rPr>
        <w:t xml:space="preserve">continued to </w:t>
      </w:r>
      <w:r w:rsidRPr="002E66C5">
        <w:rPr>
          <w:bCs/>
        </w:rPr>
        <w:t>deteriorate</w:t>
      </w:r>
      <w:r w:rsidRPr="00BF2284">
        <w:rPr>
          <w:bCs/>
        </w:rPr>
        <w:t xml:space="preserve"> </w:t>
      </w:r>
      <w:r>
        <w:rPr>
          <w:bCs/>
        </w:rPr>
        <w:t>in 2024</w:t>
      </w:r>
      <w:r w:rsidRPr="002E66C5">
        <w:rPr>
          <w:bCs/>
        </w:rPr>
        <w:t>.</w:t>
      </w:r>
      <w:r w:rsidRPr="00BF2284">
        <w:rPr>
          <w:bCs/>
        </w:rPr>
        <w:t xml:space="preserve"> </w:t>
      </w:r>
      <w:r>
        <w:rPr>
          <w:bCs/>
        </w:rPr>
        <w:t xml:space="preserve">The share of income </w:t>
      </w:r>
      <w:r w:rsidR="00E57252">
        <w:rPr>
          <w:bCs/>
        </w:rPr>
        <w:t>that</w:t>
      </w:r>
      <w:r>
        <w:rPr>
          <w:bCs/>
        </w:rPr>
        <w:t xml:space="preserve"> the median</w:t>
      </w:r>
      <w:r w:rsidR="00923AF3" w:rsidRPr="002E66C5">
        <w:t>-income</w:t>
      </w:r>
      <w:r>
        <w:rPr>
          <w:bCs/>
        </w:rPr>
        <w:t xml:space="preserve"> household needed to service the average new mortgage rose to </w:t>
      </w:r>
      <w:r w:rsidRPr="00BB0BE3">
        <w:t>50</w:t>
      </w:r>
      <w:r w:rsidR="0099326B">
        <w:rPr>
          <w:bCs/>
        </w:rPr>
        <w:t> per cent</w:t>
      </w:r>
      <w:r w:rsidR="00257FB6">
        <w:rPr>
          <w:bCs/>
        </w:rPr>
        <w:t>,</w:t>
      </w:r>
      <w:r>
        <w:rPr>
          <w:bCs/>
        </w:rPr>
        <w:t xml:space="preserve"> while</w:t>
      </w:r>
      <w:r w:rsidR="00E4198C">
        <w:rPr>
          <w:bCs/>
        </w:rPr>
        <w:t xml:space="preserve"> f</w:t>
      </w:r>
      <w:r>
        <w:rPr>
          <w:bCs/>
        </w:rPr>
        <w:t xml:space="preserve">or renters the share of income needed to </w:t>
      </w:r>
      <w:r w:rsidR="0027574A" w:rsidRPr="002E66C5">
        <w:t xml:space="preserve">pay </w:t>
      </w:r>
      <w:r w:rsidR="00152AA2" w:rsidRPr="002E66C5">
        <w:t xml:space="preserve">rent for </w:t>
      </w:r>
      <w:r w:rsidR="00363274">
        <w:rPr>
          <w:bCs/>
        </w:rPr>
        <w:t xml:space="preserve">the median </w:t>
      </w:r>
      <w:r>
        <w:rPr>
          <w:bCs/>
        </w:rPr>
        <w:t xml:space="preserve">new lease rose to </w:t>
      </w:r>
      <w:r w:rsidRPr="00BB0BE3">
        <w:t>33</w:t>
      </w:r>
      <w:r w:rsidR="0099326B">
        <w:rPr>
          <w:bCs/>
        </w:rPr>
        <w:t> per cent</w:t>
      </w:r>
      <w:r>
        <w:rPr>
          <w:bCs/>
        </w:rPr>
        <w:t xml:space="preserve">. </w:t>
      </w:r>
      <w:r w:rsidRPr="00AF612D">
        <w:t>For aspiring home</w:t>
      </w:r>
      <w:r>
        <w:t xml:space="preserve"> </w:t>
      </w:r>
      <w:r w:rsidRPr="00AF612D">
        <w:t>owners, the average number of years required to save for a deposit rose to a near</w:t>
      </w:r>
      <w:r w:rsidR="00A15C79">
        <w:noBreakHyphen/>
      </w:r>
      <w:r w:rsidRPr="00AF612D">
        <w:t xml:space="preserve">record high of </w:t>
      </w:r>
      <w:r w:rsidRPr="00BB0BE3">
        <w:t>10.6</w:t>
      </w:r>
      <w:r w:rsidRPr="00AF612D">
        <w:t xml:space="preserve"> years</w:t>
      </w:r>
      <w:r w:rsidR="00DB4885">
        <w:t>, and</w:t>
      </w:r>
      <w:r w:rsidR="00CC33DF">
        <w:t xml:space="preserve"> the ratio of dwelling prices to income rose to 8.0</w:t>
      </w:r>
      <w:r>
        <w:t>.</w:t>
      </w:r>
      <w:r w:rsidRPr="00AF612D">
        <w:t xml:space="preserve"> </w:t>
      </w:r>
      <w:r>
        <w:t>The share of homes for sale that a median</w:t>
      </w:r>
      <w:r w:rsidR="00A15C79">
        <w:noBreakHyphen/>
      </w:r>
      <w:r>
        <w:t xml:space="preserve">income household could afford declined to </w:t>
      </w:r>
      <w:r w:rsidRPr="00BB0BE3">
        <w:t>14</w:t>
      </w:r>
      <w:r w:rsidR="0099326B">
        <w:t> per cent</w:t>
      </w:r>
      <w:r>
        <w:t xml:space="preserve"> – its lowest level on record.</w:t>
      </w:r>
    </w:p>
    <w:p w14:paraId="67E40B09" w14:textId="31E64172" w:rsidR="000D720C" w:rsidRDefault="000D720C" w:rsidP="00DD3724">
      <w:pPr>
        <w:spacing w:before="200" w:after="200"/>
        <w:rPr>
          <w:bCs/>
        </w:rPr>
      </w:pPr>
      <w:r w:rsidRPr="00524E77">
        <w:t>The decline in</w:t>
      </w:r>
      <w:r w:rsidRPr="009628A8">
        <w:t xml:space="preserve"> </w:t>
      </w:r>
      <w:r w:rsidRPr="00524E77">
        <w:t xml:space="preserve">affordability reflected the fact that </w:t>
      </w:r>
      <w:r w:rsidRPr="009628A8">
        <w:t>housing costs</w:t>
      </w:r>
      <w:r w:rsidRPr="00524E77">
        <w:t xml:space="preserve"> rose </w:t>
      </w:r>
      <w:r>
        <w:t>quicker</w:t>
      </w:r>
      <w:r w:rsidRPr="00524E77">
        <w:t xml:space="preserve"> than household income. Nationally, dwelling prices rose by </w:t>
      </w:r>
      <w:r w:rsidRPr="009628A8">
        <w:t>4.9</w:t>
      </w:r>
      <w:r w:rsidR="0099326B">
        <w:t> per cent</w:t>
      </w:r>
      <w:r w:rsidRPr="00524E77">
        <w:t xml:space="preserve"> </w:t>
      </w:r>
      <w:r w:rsidR="00A1366A">
        <w:t>over</w:t>
      </w:r>
      <w:r w:rsidR="00A1366A" w:rsidRPr="00524E77">
        <w:t xml:space="preserve"> </w:t>
      </w:r>
      <w:r w:rsidRPr="00524E77">
        <w:t xml:space="preserve">2024 and by a further </w:t>
      </w:r>
      <w:r w:rsidRPr="009628A8">
        <w:t>0.7</w:t>
      </w:r>
      <w:r w:rsidR="0099326B">
        <w:t> per cent</w:t>
      </w:r>
      <w:r w:rsidRPr="00524E77">
        <w:t xml:space="preserve"> </w:t>
      </w:r>
      <w:r w:rsidR="00A1366A">
        <w:t>over</w:t>
      </w:r>
      <w:r w:rsidRPr="00524E77">
        <w:t xml:space="preserve"> the first </w:t>
      </w:r>
      <w:r>
        <w:t>3 </w:t>
      </w:r>
      <w:r w:rsidRPr="00524E77">
        <w:t xml:space="preserve">months of 2025. </w:t>
      </w:r>
      <w:r>
        <w:t xml:space="preserve">Advertised rents </w:t>
      </w:r>
      <w:r w:rsidRPr="00524E77">
        <w:t xml:space="preserve">rose by </w:t>
      </w:r>
      <w:r w:rsidRPr="009628A8">
        <w:t>4.8</w:t>
      </w:r>
      <w:r w:rsidR="0099326B">
        <w:t> per cent</w:t>
      </w:r>
      <w:r w:rsidRPr="00524E77">
        <w:t xml:space="preserve"> </w:t>
      </w:r>
      <w:r w:rsidR="00A1366A">
        <w:t>over</w:t>
      </w:r>
      <w:r w:rsidRPr="00524E77">
        <w:t xml:space="preserve"> 2024 and a further </w:t>
      </w:r>
      <w:r w:rsidRPr="009628A8">
        <w:t>1.7</w:t>
      </w:r>
      <w:r w:rsidR="0099326B">
        <w:t> per cent</w:t>
      </w:r>
      <w:r w:rsidRPr="00524E77">
        <w:t xml:space="preserve"> </w:t>
      </w:r>
      <w:r w:rsidR="00A1366A">
        <w:t>over</w:t>
      </w:r>
      <w:r w:rsidRPr="00524E77">
        <w:t xml:space="preserve"> the first</w:t>
      </w:r>
      <w:r w:rsidR="00531399">
        <w:t> </w:t>
      </w:r>
      <w:r w:rsidR="00294BE9">
        <w:t>3 months</w:t>
      </w:r>
      <w:r w:rsidR="00294BE9" w:rsidRPr="00524E77">
        <w:t xml:space="preserve"> </w:t>
      </w:r>
      <w:r w:rsidRPr="00524E77">
        <w:t xml:space="preserve">of 2025. </w:t>
      </w:r>
      <w:r w:rsidR="00A8007B" w:rsidRPr="007E7551">
        <w:t xml:space="preserve">In contrast, </w:t>
      </w:r>
      <w:r w:rsidR="007E7551">
        <w:t xml:space="preserve">mean </w:t>
      </w:r>
      <w:r w:rsidR="00A8007B" w:rsidRPr="007E7551">
        <w:t xml:space="preserve">household income rose by </w:t>
      </w:r>
      <w:r w:rsidR="005942EA" w:rsidRPr="00484D72">
        <w:t>4.3</w:t>
      </w:r>
      <w:r w:rsidR="00BC43C1" w:rsidRPr="0041126E">
        <w:t xml:space="preserve"> per cent</w:t>
      </w:r>
      <w:r w:rsidR="00363274" w:rsidRPr="00484D72">
        <w:t xml:space="preserve"> </w:t>
      </w:r>
      <w:r w:rsidR="00E931A7" w:rsidRPr="0041126E">
        <w:t>over</w:t>
      </w:r>
      <w:r w:rsidR="00363274" w:rsidRPr="00484D72">
        <w:t xml:space="preserve"> </w:t>
      </w:r>
      <w:r w:rsidR="005942EA" w:rsidRPr="00484D72">
        <w:t xml:space="preserve">the year to September </w:t>
      </w:r>
      <w:r w:rsidR="007D7346" w:rsidRPr="0041126E">
        <w:t>q</w:t>
      </w:r>
      <w:r w:rsidR="005942EA" w:rsidRPr="00484D72">
        <w:t>uarter 2024</w:t>
      </w:r>
      <w:r w:rsidR="00363274">
        <w:t xml:space="preserve">. </w:t>
      </w:r>
    </w:p>
    <w:p w14:paraId="32883688" w14:textId="198789DD" w:rsidR="000D720C" w:rsidRPr="00F252B9" w:rsidRDefault="000D720C" w:rsidP="00DD3724">
      <w:pPr>
        <w:spacing w:before="200" w:after="200"/>
        <w:rPr>
          <w:bCs/>
        </w:rPr>
      </w:pPr>
      <w:r>
        <w:rPr>
          <w:bCs/>
        </w:rPr>
        <w:t>The</w:t>
      </w:r>
      <w:r w:rsidRPr="00BF2284">
        <w:rPr>
          <w:bCs/>
        </w:rPr>
        <w:t xml:space="preserve"> deteriorat</w:t>
      </w:r>
      <w:r>
        <w:rPr>
          <w:bCs/>
        </w:rPr>
        <w:t xml:space="preserve">ion in affordability </w:t>
      </w:r>
      <w:r w:rsidR="002C562B">
        <w:rPr>
          <w:bCs/>
        </w:rPr>
        <w:t>occurred</w:t>
      </w:r>
      <w:r w:rsidRPr="00BF2284">
        <w:rPr>
          <w:bCs/>
        </w:rPr>
        <w:t xml:space="preserve"> across </w:t>
      </w:r>
      <w:r w:rsidR="002C562B">
        <w:rPr>
          <w:bCs/>
        </w:rPr>
        <w:t xml:space="preserve">most </w:t>
      </w:r>
      <w:r>
        <w:rPr>
          <w:bCs/>
        </w:rPr>
        <w:t xml:space="preserve">capital </w:t>
      </w:r>
      <w:r w:rsidRPr="00BF2284">
        <w:rPr>
          <w:bCs/>
        </w:rPr>
        <w:t>cities and region</w:t>
      </w:r>
      <w:r>
        <w:rPr>
          <w:bCs/>
        </w:rPr>
        <w:t>al areas</w:t>
      </w:r>
      <w:r w:rsidR="006B4B82">
        <w:rPr>
          <w:bCs/>
        </w:rPr>
        <w:t xml:space="preserve"> over the year</w:t>
      </w:r>
      <w:r w:rsidRPr="00BF2284">
        <w:rPr>
          <w:bCs/>
        </w:rPr>
        <w:t xml:space="preserve">. </w:t>
      </w:r>
      <w:r w:rsidRPr="00B21608">
        <w:t xml:space="preserve">Mortgage affordability </w:t>
      </w:r>
      <w:r>
        <w:t xml:space="preserve">worsened </w:t>
      </w:r>
      <w:r w:rsidRPr="00B21608">
        <w:t>in</w:t>
      </w:r>
      <w:r>
        <w:t xml:space="preserve"> all </w:t>
      </w:r>
      <w:r w:rsidRPr="00B21608">
        <w:t>capital cit</w:t>
      </w:r>
      <w:r>
        <w:t xml:space="preserve">ies </w:t>
      </w:r>
      <w:r w:rsidRPr="00B21608">
        <w:t xml:space="preserve">and </w:t>
      </w:r>
      <w:r>
        <w:t>regions</w:t>
      </w:r>
      <w:r w:rsidRPr="00B21608">
        <w:t xml:space="preserve"> except for </w:t>
      </w:r>
      <w:r>
        <w:t>Victoria, Tasmania</w:t>
      </w:r>
      <w:r w:rsidR="000874F6">
        <w:t>, the Australian Capital Territory</w:t>
      </w:r>
      <w:r>
        <w:t xml:space="preserve"> and the Northern Territory.</w:t>
      </w:r>
      <w:r w:rsidRPr="00F252B9">
        <w:rPr>
          <w:bCs/>
        </w:rPr>
        <w:t xml:space="preserve"> </w:t>
      </w:r>
      <w:r>
        <w:rPr>
          <w:bCs/>
        </w:rPr>
        <w:t xml:space="preserve">Rental affordability for new leases worsened </w:t>
      </w:r>
      <w:r w:rsidR="00F668E3">
        <w:rPr>
          <w:bCs/>
        </w:rPr>
        <w:t xml:space="preserve">in </w:t>
      </w:r>
      <w:r>
        <w:rPr>
          <w:bCs/>
        </w:rPr>
        <w:t>all capital cities and regions except for regional Northern Territory.</w:t>
      </w:r>
    </w:p>
    <w:p w14:paraId="2EA0C637" w14:textId="5A3F8EC2" w:rsidR="000D720C" w:rsidRDefault="000D720C" w:rsidP="00DD3724">
      <w:pPr>
        <w:spacing w:before="200" w:after="200"/>
      </w:pPr>
      <w:r>
        <w:rPr>
          <w:bCs/>
        </w:rPr>
        <w:t>More than</w:t>
      </w:r>
      <w:r w:rsidRPr="00F252B9">
        <w:rPr>
          <w:bCs/>
        </w:rPr>
        <w:t xml:space="preserve"> half of lower</w:t>
      </w:r>
      <w:r w:rsidR="00A15C79">
        <w:rPr>
          <w:bCs/>
        </w:rPr>
        <w:noBreakHyphen/>
      </w:r>
      <w:r w:rsidRPr="00F252B9">
        <w:rPr>
          <w:bCs/>
        </w:rPr>
        <w:t xml:space="preserve">income </w:t>
      </w:r>
      <w:r>
        <w:rPr>
          <w:bCs/>
        </w:rPr>
        <w:t>renter households</w:t>
      </w:r>
      <w:r w:rsidR="00EA300D">
        <w:rPr>
          <w:bCs/>
        </w:rPr>
        <w:t xml:space="preserve"> </w:t>
      </w:r>
      <w:r w:rsidR="00257FB6">
        <w:rPr>
          <w:bCs/>
        </w:rPr>
        <w:t>–</w:t>
      </w:r>
      <w:r>
        <w:rPr>
          <w:bCs/>
        </w:rPr>
        <w:t xml:space="preserve"> defined as households in the 2 lowest quintiles of the income distribution</w:t>
      </w:r>
      <w:r w:rsidR="00AB0CF7">
        <w:rPr>
          <w:bCs/>
        </w:rPr>
        <w:t xml:space="preserve"> </w:t>
      </w:r>
      <w:r w:rsidR="00257FB6">
        <w:rPr>
          <w:bCs/>
        </w:rPr>
        <w:t>–</w:t>
      </w:r>
      <w:r w:rsidRPr="00F252B9">
        <w:rPr>
          <w:bCs/>
        </w:rPr>
        <w:t xml:space="preserve"> </w:t>
      </w:r>
      <w:r>
        <w:rPr>
          <w:bCs/>
        </w:rPr>
        <w:t xml:space="preserve">were </w:t>
      </w:r>
      <w:r w:rsidRPr="00F252B9">
        <w:rPr>
          <w:bCs/>
        </w:rPr>
        <w:t>in rental stress</w:t>
      </w:r>
      <w:r>
        <w:rPr>
          <w:bCs/>
        </w:rPr>
        <w:t xml:space="preserve"> in 2023</w:t>
      </w:r>
      <w:r w:rsidR="0079163E">
        <w:rPr>
          <w:bCs/>
        </w:rPr>
        <w:t>,</w:t>
      </w:r>
      <w:r>
        <w:rPr>
          <w:bCs/>
        </w:rPr>
        <w:t xml:space="preserve"> the latest year for which data is available</w:t>
      </w:r>
      <w:r w:rsidRPr="00F252B9">
        <w:rPr>
          <w:bCs/>
        </w:rPr>
        <w:t xml:space="preserve">. </w:t>
      </w:r>
      <w:r>
        <w:rPr>
          <w:bCs/>
        </w:rPr>
        <w:t>Many renters faced ongoing rental stress, with 60</w:t>
      </w:r>
      <w:r w:rsidR="0099326B">
        <w:rPr>
          <w:bCs/>
        </w:rPr>
        <w:t> per cent</w:t>
      </w:r>
      <w:r>
        <w:rPr>
          <w:bCs/>
        </w:rPr>
        <w:t xml:space="preserve"> </w:t>
      </w:r>
      <w:r w:rsidR="007C6C1B">
        <w:rPr>
          <w:bCs/>
        </w:rPr>
        <w:t xml:space="preserve">of those in rental stress </w:t>
      </w:r>
      <w:r>
        <w:t xml:space="preserve">experiencing 2 or more consecutive years of </w:t>
      </w:r>
      <w:r w:rsidR="00D34636">
        <w:t xml:space="preserve">rental </w:t>
      </w:r>
      <w:r w:rsidDel="001A69BF">
        <w:t>stress</w:t>
      </w:r>
      <w:r>
        <w:t xml:space="preserve">. Rental affordability pressures were also prevalent among </w:t>
      </w:r>
      <w:r w:rsidR="0099326B">
        <w:t>First Nations</w:t>
      </w:r>
      <w:r>
        <w:t xml:space="preserve"> households, with 36</w:t>
      </w:r>
      <w:r w:rsidR="0099326B">
        <w:t> per cent</w:t>
      </w:r>
      <w:r>
        <w:t xml:space="preserve"> of </w:t>
      </w:r>
      <w:r w:rsidR="0099326B">
        <w:t>First Nations</w:t>
      </w:r>
      <w:r>
        <w:t xml:space="preserve"> recipients of Commonwealth Rent Assistance reporting rental stress in June 2024.</w:t>
      </w:r>
    </w:p>
    <w:p w14:paraId="68E0F868" w14:textId="6DAC3A2F" w:rsidR="000D720C" w:rsidRDefault="000D720C" w:rsidP="00DD3724">
      <w:pPr>
        <w:spacing w:before="200" w:after="200"/>
        <w:rPr>
          <w:rFonts w:cstheme="minorHAnsi"/>
        </w:rPr>
      </w:pPr>
      <w:r>
        <w:rPr>
          <w:rFonts w:ascii="Calibri" w:hAnsi="Calibri" w:cs="Calibri"/>
          <w:bCs/>
          <w:color w:val="000000"/>
          <w:szCs w:val="22"/>
        </w:rPr>
        <w:t>The d</w:t>
      </w:r>
      <w:r w:rsidRPr="00052138">
        <w:rPr>
          <w:rFonts w:ascii="Calibri" w:hAnsi="Calibri" w:cs="Calibri"/>
          <w:bCs/>
          <w:color w:val="000000"/>
          <w:szCs w:val="22"/>
        </w:rPr>
        <w:t>emand for non</w:t>
      </w:r>
      <w:r w:rsidR="00A15C79">
        <w:rPr>
          <w:rFonts w:ascii="Calibri" w:hAnsi="Calibri" w:cs="Calibri"/>
          <w:bCs/>
          <w:color w:val="000000"/>
          <w:szCs w:val="22"/>
        </w:rPr>
        <w:noBreakHyphen/>
      </w:r>
      <w:r w:rsidRPr="00052138">
        <w:rPr>
          <w:rFonts w:ascii="Calibri" w:hAnsi="Calibri" w:cs="Calibri"/>
          <w:bCs/>
          <w:color w:val="000000"/>
          <w:szCs w:val="22"/>
        </w:rPr>
        <w:t xml:space="preserve">market housing and housing support payments </w:t>
      </w:r>
      <w:r>
        <w:rPr>
          <w:rFonts w:ascii="Calibri" w:hAnsi="Calibri" w:cs="Calibri"/>
          <w:bCs/>
          <w:color w:val="000000"/>
          <w:szCs w:val="22"/>
        </w:rPr>
        <w:t xml:space="preserve">remained elevated. </w:t>
      </w:r>
      <w:r>
        <w:rPr>
          <w:rFonts w:cstheme="minorHAnsi"/>
        </w:rPr>
        <w:t>W</w:t>
      </w:r>
      <w:r w:rsidRPr="007904CA">
        <w:rPr>
          <w:rFonts w:cstheme="minorHAnsi"/>
        </w:rPr>
        <w:t xml:space="preserve">aitlists for public housing remained </w:t>
      </w:r>
      <w:r>
        <w:rPr>
          <w:rFonts w:cstheme="minorHAnsi"/>
        </w:rPr>
        <w:t xml:space="preserve">close to </w:t>
      </w:r>
      <w:r w:rsidRPr="007904CA">
        <w:rPr>
          <w:rFonts w:cstheme="minorHAnsi"/>
        </w:rPr>
        <w:t>record</w:t>
      </w:r>
      <w:r w:rsidR="00A15C79">
        <w:rPr>
          <w:rFonts w:cstheme="minorHAnsi"/>
        </w:rPr>
        <w:noBreakHyphen/>
      </w:r>
      <w:r w:rsidRPr="007904CA">
        <w:rPr>
          <w:rFonts w:cstheme="minorHAnsi"/>
        </w:rPr>
        <w:t>high levels</w:t>
      </w:r>
      <w:r>
        <w:rPr>
          <w:rFonts w:cstheme="minorHAnsi"/>
        </w:rPr>
        <w:t xml:space="preserve"> at </w:t>
      </w:r>
      <w:r w:rsidRPr="002E66C5">
        <w:rPr>
          <w:rFonts w:cstheme="minorHAnsi"/>
        </w:rPr>
        <w:t>1</w:t>
      </w:r>
      <w:r w:rsidR="00D9528B" w:rsidRPr="002E66C5">
        <w:rPr>
          <w:rFonts w:cstheme="minorHAnsi"/>
        </w:rPr>
        <w:t>69</w:t>
      </w:r>
      <w:r w:rsidRPr="00BB0BE3">
        <w:rPr>
          <w:rFonts w:cstheme="minorHAnsi"/>
        </w:rPr>
        <w:t xml:space="preserve">,000 </w:t>
      </w:r>
      <w:r>
        <w:rPr>
          <w:rFonts w:cstheme="minorHAnsi"/>
        </w:rPr>
        <w:t xml:space="preserve">households. </w:t>
      </w:r>
      <w:r w:rsidR="00A764F1">
        <w:rPr>
          <w:rFonts w:cstheme="minorHAnsi"/>
        </w:rPr>
        <w:t>T</w:t>
      </w:r>
      <w:r w:rsidRPr="002E66C5">
        <w:rPr>
          <w:rFonts w:cstheme="minorHAnsi"/>
        </w:rPr>
        <w:t>he</w:t>
      </w:r>
      <w:r w:rsidRPr="007904CA">
        <w:rPr>
          <w:rFonts w:cstheme="minorHAnsi"/>
        </w:rPr>
        <w:t xml:space="preserve"> number of </w:t>
      </w:r>
      <w:r w:rsidR="000C565F" w:rsidRPr="007904CA">
        <w:rPr>
          <w:rFonts w:cstheme="minorHAnsi"/>
        </w:rPr>
        <w:t>greatest</w:t>
      </w:r>
      <w:r w:rsidR="002C123B">
        <w:rPr>
          <w:rFonts w:cstheme="minorHAnsi"/>
        </w:rPr>
        <w:noBreakHyphen/>
      </w:r>
      <w:r w:rsidRPr="007904CA">
        <w:rPr>
          <w:rFonts w:cstheme="minorHAnsi"/>
        </w:rPr>
        <w:t xml:space="preserve">needs households </w:t>
      </w:r>
      <w:r>
        <w:rPr>
          <w:rFonts w:cstheme="minorHAnsi"/>
        </w:rPr>
        <w:t>on the waitlist</w:t>
      </w:r>
      <w:r w:rsidR="00D13688">
        <w:rPr>
          <w:rFonts w:cstheme="minorHAnsi"/>
        </w:rPr>
        <w:t>s</w:t>
      </w:r>
      <w:r>
        <w:rPr>
          <w:rFonts w:cstheme="minorHAnsi"/>
        </w:rPr>
        <w:t xml:space="preserve"> rose to a new </w:t>
      </w:r>
      <w:r w:rsidRPr="007904CA">
        <w:rPr>
          <w:rFonts w:cstheme="minorHAnsi"/>
        </w:rPr>
        <w:t>record high</w:t>
      </w:r>
      <w:r w:rsidRPr="00052138">
        <w:rPr>
          <w:rFonts w:ascii="Calibri" w:hAnsi="Calibri" w:cs="Calibri"/>
          <w:bCs/>
          <w:color w:val="000000"/>
          <w:szCs w:val="22"/>
        </w:rPr>
        <w:t>.</w:t>
      </w:r>
      <w:r w:rsidR="00A764F1">
        <w:rPr>
          <w:rFonts w:ascii="Calibri" w:hAnsi="Calibri" w:cs="Calibri"/>
          <w:bCs/>
          <w:color w:val="000000"/>
          <w:szCs w:val="22"/>
        </w:rPr>
        <w:t xml:space="preserve"> </w:t>
      </w:r>
      <w:r w:rsidR="00A764F1">
        <w:t>T</w:t>
      </w:r>
      <w:r w:rsidRPr="002E66C5">
        <w:rPr>
          <w:rFonts w:cstheme="minorHAnsi"/>
        </w:rPr>
        <w:t>he</w:t>
      </w:r>
      <w:r>
        <w:rPr>
          <w:rFonts w:cstheme="minorHAnsi"/>
        </w:rPr>
        <w:t xml:space="preserve"> number of clients accessing specialist homelessness services rose to </w:t>
      </w:r>
      <w:r w:rsidRPr="006841C9">
        <w:rPr>
          <w:rFonts w:cstheme="minorHAnsi"/>
        </w:rPr>
        <w:t>280,000 and the number</w:t>
      </w:r>
      <w:r>
        <w:rPr>
          <w:rFonts w:cstheme="minorHAnsi"/>
        </w:rPr>
        <w:t xml:space="preserve"> of people experiencing persistent homelessness rose to almost </w:t>
      </w:r>
      <w:r w:rsidRPr="00BB0BE3">
        <w:rPr>
          <w:rFonts w:cstheme="minorHAnsi"/>
        </w:rPr>
        <w:t>38,000</w:t>
      </w:r>
      <w:r>
        <w:rPr>
          <w:rFonts w:cstheme="minorHAnsi"/>
        </w:rPr>
        <w:t>.</w:t>
      </w:r>
    </w:p>
    <w:p w14:paraId="12AF3BCB" w14:textId="094CFA5A" w:rsidR="00DD3724" w:rsidRDefault="000D720C" w:rsidP="00DD3724">
      <w:pPr>
        <w:spacing w:before="200" w:after="200"/>
      </w:pPr>
      <w:r>
        <w:rPr>
          <w:rFonts w:ascii="Calibri" w:hAnsi="Calibri" w:cs="Calibri"/>
          <w:bCs/>
          <w:color w:val="000000"/>
          <w:szCs w:val="22"/>
        </w:rPr>
        <w:t>The use of g</w:t>
      </w:r>
      <w:r w:rsidRPr="00756606">
        <w:rPr>
          <w:rFonts w:ascii="Calibri" w:hAnsi="Calibri" w:cs="Calibri"/>
          <w:bCs/>
          <w:color w:val="000000"/>
          <w:szCs w:val="22"/>
        </w:rPr>
        <w:t xml:space="preserve">overnment </w:t>
      </w:r>
      <w:r>
        <w:rPr>
          <w:rFonts w:ascii="Calibri" w:hAnsi="Calibri" w:cs="Calibri"/>
          <w:bCs/>
          <w:color w:val="000000"/>
          <w:szCs w:val="22"/>
        </w:rPr>
        <w:t xml:space="preserve">support for housing increased. </w:t>
      </w:r>
      <w:r w:rsidR="006C3AEC">
        <w:rPr>
          <w:rFonts w:ascii="Calibri" w:hAnsi="Calibri" w:cs="Calibri"/>
          <w:bCs/>
          <w:color w:val="000000"/>
          <w:szCs w:val="22"/>
        </w:rPr>
        <w:t>There were more</w:t>
      </w:r>
      <w:r>
        <w:rPr>
          <w:rFonts w:ascii="Calibri" w:hAnsi="Calibri" w:cs="Calibri"/>
          <w:bCs/>
          <w:color w:val="000000"/>
          <w:szCs w:val="22"/>
        </w:rPr>
        <w:t xml:space="preserve"> than</w:t>
      </w:r>
      <w:r w:rsidRPr="2B395964">
        <w:rPr>
          <w:rFonts w:ascii="Calibri" w:hAnsi="Calibri" w:cs="Calibri"/>
        </w:rPr>
        <w:t xml:space="preserve"> 1.3</w:t>
      </w:r>
      <w:r w:rsidR="0099326B">
        <w:rPr>
          <w:rFonts w:ascii="Calibri" w:hAnsi="Calibri" w:cs="Calibri"/>
        </w:rPr>
        <w:t> million</w:t>
      </w:r>
      <w:r w:rsidRPr="2B395964">
        <w:rPr>
          <w:rFonts w:ascii="Calibri" w:hAnsi="Calibri" w:cs="Calibri"/>
        </w:rPr>
        <w:t xml:space="preserve"> </w:t>
      </w:r>
      <w:r w:rsidR="006C3AEC" w:rsidRPr="006C3AEC">
        <w:rPr>
          <w:rFonts w:ascii="Calibri" w:hAnsi="Calibri" w:cs="Calibri"/>
          <w:bCs/>
          <w:color w:val="000000"/>
          <w:szCs w:val="22"/>
        </w:rPr>
        <w:t xml:space="preserve">recipients of </w:t>
      </w:r>
      <w:r w:rsidRPr="004D5BF3">
        <w:rPr>
          <w:rFonts w:ascii="Calibri" w:hAnsi="Calibri" w:cs="Calibri"/>
          <w:bCs/>
          <w:color w:val="000000"/>
          <w:szCs w:val="22"/>
        </w:rPr>
        <w:t xml:space="preserve">Commonwealth Rent Assistance </w:t>
      </w:r>
      <w:r>
        <w:rPr>
          <w:rFonts w:ascii="Calibri" w:hAnsi="Calibri" w:cs="Calibri"/>
          <w:bCs/>
          <w:color w:val="000000"/>
          <w:szCs w:val="22"/>
        </w:rPr>
        <w:t>in 2023</w:t>
      </w:r>
      <w:r w:rsidR="006C3AEC">
        <w:rPr>
          <w:rFonts w:ascii="Calibri" w:hAnsi="Calibri" w:cs="Calibri"/>
          <w:bCs/>
          <w:color w:val="000000"/>
          <w:szCs w:val="22"/>
        </w:rPr>
        <w:t>–</w:t>
      </w:r>
      <w:r>
        <w:rPr>
          <w:rFonts w:ascii="Calibri" w:hAnsi="Calibri" w:cs="Calibri"/>
          <w:bCs/>
          <w:color w:val="000000"/>
          <w:szCs w:val="22"/>
        </w:rPr>
        <w:t xml:space="preserve">24, </w:t>
      </w:r>
      <w:r w:rsidRPr="004D5BF3">
        <w:rPr>
          <w:rFonts w:ascii="Calibri" w:hAnsi="Calibri" w:cs="Calibri"/>
          <w:bCs/>
          <w:color w:val="000000"/>
          <w:szCs w:val="22"/>
        </w:rPr>
        <w:t xml:space="preserve">and </w:t>
      </w:r>
      <w:r w:rsidRPr="004D5BF3">
        <w:rPr>
          <w:rFonts w:ascii="Calibri" w:hAnsi="Calibri" w:cs="Calibri"/>
          <w:color w:val="000000"/>
          <w:szCs w:val="22"/>
        </w:rPr>
        <w:t>4</w:t>
      </w:r>
      <w:r w:rsidR="006C3AEC">
        <w:rPr>
          <w:rFonts w:ascii="Calibri" w:hAnsi="Calibri" w:cs="Calibri"/>
          <w:color w:val="000000"/>
          <w:szCs w:val="22"/>
        </w:rPr>
        <w:t>3</w:t>
      </w:r>
      <w:r w:rsidRPr="004D5BF3">
        <w:rPr>
          <w:rFonts w:ascii="Calibri" w:hAnsi="Calibri" w:cs="Calibri"/>
          <w:color w:val="000000"/>
          <w:szCs w:val="22"/>
        </w:rPr>
        <w:t>,</w:t>
      </w:r>
      <w:r w:rsidR="006C3AEC">
        <w:rPr>
          <w:rFonts w:ascii="Calibri" w:hAnsi="Calibri" w:cs="Calibri"/>
          <w:color w:val="000000"/>
          <w:szCs w:val="22"/>
        </w:rPr>
        <w:t>8</w:t>
      </w:r>
      <w:r w:rsidRPr="004D5BF3">
        <w:rPr>
          <w:rFonts w:ascii="Calibri" w:hAnsi="Calibri" w:cs="Calibri"/>
          <w:color w:val="000000"/>
          <w:szCs w:val="22"/>
        </w:rPr>
        <w:t>00</w:t>
      </w:r>
      <w:r w:rsidRPr="004D5BF3">
        <w:rPr>
          <w:rFonts w:ascii="Calibri" w:hAnsi="Calibri" w:cs="Calibri"/>
          <w:bCs/>
          <w:color w:val="000000"/>
          <w:szCs w:val="22"/>
        </w:rPr>
        <w:t xml:space="preserve"> households</w:t>
      </w:r>
      <w:r w:rsidRPr="004D067D">
        <w:rPr>
          <w:rFonts w:ascii="Calibri" w:hAnsi="Calibri" w:cs="Calibri"/>
          <w:bCs/>
          <w:color w:val="000000"/>
          <w:szCs w:val="22"/>
        </w:rPr>
        <w:t xml:space="preserve"> –</w:t>
      </w:r>
      <w:r w:rsidRPr="004D5BF3">
        <w:rPr>
          <w:rFonts w:ascii="Calibri" w:hAnsi="Calibri" w:cs="Calibri"/>
          <w:bCs/>
          <w:color w:val="000000"/>
          <w:szCs w:val="22"/>
        </w:rPr>
        <w:t xml:space="preserve"> or one</w:t>
      </w:r>
      <w:r w:rsidR="00A15C79">
        <w:rPr>
          <w:rFonts w:ascii="Calibri" w:hAnsi="Calibri" w:cs="Calibri"/>
          <w:bCs/>
          <w:color w:val="000000"/>
          <w:szCs w:val="22"/>
        </w:rPr>
        <w:noBreakHyphen/>
      </w:r>
      <w:r w:rsidRPr="004D5BF3">
        <w:rPr>
          <w:rFonts w:ascii="Calibri" w:hAnsi="Calibri" w:cs="Calibri"/>
          <w:bCs/>
          <w:color w:val="000000"/>
          <w:szCs w:val="22"/>
        </w:rPr>
        <w:t xml:space="preserve">third of all </w:t>
      </w:r>
      <w:r w:rsidRPr="00446620">
        <w:rPr>
          <w:rFonts w:ascii="Calibri" w:hAnsi="Calibri" w:cs="Calibri"/>
          <w:color w:val="000000"/>
          <w:szCs w:val="22"/>
        </w:rPr>
        <w:t>first</w:t>
      </w:r>
      <w:r w:rsidRPr="004D5BF3">
        <w:rPr>
          <w:rFonts w:ascii="Calibri" w:hAnsi="Calibri" w:cs="Calibri"/>
          <w:bCs/>
          <w:color w:val="000000"/>
          <w:szCs w:val="22"/>
        </w:rPr>
        <w:t xml:space="preserve"> home</w:t>
      </w:r>
      <w:r>
        <w:rPr>
          <w:rFonts w:ascii="Calibri" w:hAnsi="Calibri" w:cs="Calibri"/>
          <w:bCs/>
          <w:color w:val="000000"/>
          <w:szCs w:val="22"/>
        </w:rPr>
        <w:t xml:space="preserve"> </w:t>
      </w:r>
      <w:r w:rsidRPr="004D5BF3">
        <w:rPr>
          <w:rFonts w:ascii="Calibri" w:hAnsi="Calibri" w:cs="Calibri"/>
          <w:bCs/>
          <w:color w:val="000000"/>
          <w:szCs w:val="22"/>
        </w:rPr>
        <w:t>buyers</w:t>
      </w:r>
      <w:r w:rsidRPr="004D067D">
        <w:rPr>
          <w:rFonts w:ascii="Calibri" w:hAnsi="Calibri" w:cs="Calibri"/>
          <w:bCs/>
          <w:color w:val="000000"/>
          <w:szCs w:val="22"/>
        </w:rPr>
        <w:t xml:space="preserve"> –</w:t>
      </w:r>
      <w:r w:rsidRPr="004D5BF3">
        <w:rPr>
          <w:rFonts w:ascii="Calibri" w:hAnsi="Calibri" w:cs="Calibri"/>
          <w:bCs/>
          <w:color w:val="000000"/>
          <w:szCs w:val="22"/>
        </w:rPr>
        <w:t xml:space="preserve"> accessed the </w:t>
      </w:r>
      <w:r w:rsidR="0099326B">
        <w:rPr>
          <w:rFonts w:ascii="Calibri" w:hAnsi="Calibri" w:cs="Calibri"/>
          <w:bCs/>
          <w:color w:val="000000"/>
          <w:szCs w:val="22"/>
        </w:rPr>
        <w:t>Australian Government</w:t>
      </w:r>
      <w:r w:rsidR="00A15C79">
        <w:rPr>
          <w:rFonts w:ascii="Calibri" w:hAnsi="Calibri" w:cs="Calibri"/>
          <w:bCs/>
          <w:color w:val="000000"/>
          <w:szCs w:val="22"/>
        </w:rPr>
        <w:t>’</w:t>
      </w:r>
      <w:r w:rsidRPr="004D5BF3">
        <w:rPr>
          <w:rFonts w:ascii="Calibri" w:hAnsi="Calibri" w:cs="Calibri"/>
          <w:bCs/>
          <w:color w:val="000000"/>
          <w:szCs w:val="22"/>
        </w:rPr>
        <w:t>s Home Guarantee Scheme</w:t>
      </w:r>
      <w:r w:rsidRPr="004D5BF3">
        <w:t>.</w:t>
      </w:r>
      <w:bookmarkStart w:id="10" w:name="_Toc194476379"/>
      <w:bookmarkStart w:id="11" w:name="_Toc194478405"/>
      <w:bookmarkStart w:id="12" w:name="_Toc194478947"/>
      <w:bookmarkStart w:id="13" w:name="_Toc194482545"/>
      <w:bookmarkStart w:id="14" w:name="_Toc194873146"/>
      <w:bookmarkStart w:id="15" w:name="_Toc195026321"/>
      <w:bookmarkStart w:id="16" w:name="_Toc195026576"/>
      <w:bookmarkStart w:id="17" w:name="_Toc195106335"/>
      <w:bookmarkStart w:id="18" w:name="_Toc195173194"/>
      <w:bookmarkStart w:id="19" w:name="_Toc195175537"/>
    </w:p>
    <w:p w14:paraId="694A910B" w14:textId="59A46478" w:rsidR="00B65215" w:rsidRPr="00756606" w:rsidRDefault="00B65215" w:rsidP="00DD3724">
      <w:pPr>
        <w:pStyle w:val="Heading3"/>
        <w:spacing w:before="240"/>
      </w:pPr>
      <w:r>
        <w:t xml:space="preserve">New </w:t>
      </w:r>
      <w:r w:rsidRPr="00DD3724">
        <w:t>supply</w:t>
      </w:r>
      <w:r>
        <w:t xml:space="preserve"> was less than demand</w:t>
      </w:r>
      <w:r w:rsidRPr="00570551">
        <w:t xml:space="preserve"> </w:t>
      </w:r>
      <w:r>
        <w:t>in 2024</w:t>
      </w:r>
    </w:p>
    <w:p w14:paraId="6CAB3A3F" w14:textId="1736A521" w:rsidR="00B65215" w:rsidRDefault="00B65215" w:rsidP="00DD3724">
      <w:pPr>
        <w:rPr>
          <w:bCs/>
        </w:rPr>
      </w:pPr>
      <w:r>
        <w:rPr>
          <w:bCs/>
        </w:rPr>
        <w:t xml:space="preserve">The deterioration in affordability in 2024 </w:t>
      </w:r>
      <w:r w:rsidR="00617AD1">
        <w:rPr>
          <w:bCs/>
        </w:rPr>
        <w:t xml:space="preserve">in large part </w:t>
      </w:r>
      <w:r>
        <w:rPr>
          <w:bCs/>
        </w:rPr>
        <w:t xml:space="preserve">reflected the fact that </w:t>
      </w:r>
      <w:r w:rsidR="00E931A7">
        <w:rPr>
          <w:bCs/>
        </w:rPr>
        <w:t xml:space="preserve">housing costs rose as </w:t>
      </w:r>
      <w:r>
        <w:rPr>
          <w:bCs/>
        </w:rPr>
        <w:t>new housing demand exceeded new housing supply. T</w:t>
      </w:r>
      <w:r w:rsidRPr="002E66C5">
        <w:rPr>
          <w:bCs/>
        </w:rPr>
        <w:t>he</w:t>
      </w:r>
      <w:r>
        <w:rPr>
          <w:bCs/>
        </w:rPr>
        <w:t xml:space="preserve"> supply of new homes was around its lowest point in about a decade in 2024, with </w:t>
      </w:r>
      <w:r w:rsidRPr="002E66C5">
        <w:t xml:space="preserve">177,000 </w:t>
      </w:r>
      <w:r w:rsidRPr="00421E2E">
        <w:t>dwellings completed.</w:t>
      </w:r>
      <w:r w:rsidRPr="00756606">
        <w:rPr>
          <w:bCs/>
        </w:rPr>
        <w:t> </w:t>
      </w:r>
      <w:r>
        <w:rPr>
          <w:bCs/>
        </w:rPr>
        <w:t xml:space="preserve">After accounting for demolitions, the Council estimates that </w:t>
      </w:r>
      <w:r w:rsidRPr="002E66C5">
        <w:t>155,000</w:t>
      </w:r>
      <w:r>
        <w:rPr>
          <w:bCs/>
        </w:rPr>
        <w:t xml:space="preserve"> dwellings were added to the housing stock (the net new supply) </w:t>
      </w:r>
      <w:r w:rsidRPr="002E66C5">
        <w:t xml:space="preserve">in the year to </w:t>
      </w:r>
      <w:r w:rsidRPr="000951F3">
        <w:t>December</w:t>
      </w:r>
      <w:r w:rsidRPr="002E66C5">
        <w:t xml:space="preserve"> 2024.</w:t>
      </w:r>
      <w:r>
        <w:rPr>
          <w:bCs/>
        </w:rPr>
        <w:t xml:space="preserve"> </w:t>
      </w:r>
    </w:p>
    <w:p w14:paraId="7FE66843" w14:textId="0CAC33B5" w:rsidR="00B65215" w:rsidRDefault="00B65215" w:rsidP="00DD3724">
      <w:pPr>
        <w:rPr>
          <w:bCs/>
        </w:rPr>
      </w:pPr>
      <w:r>
        <w:rPr>
          <w:bCs/>
        </w:rPr>
        <w:lastRenderedPageBreak/>
        <w:t>The supply of</w:t>
      </w:r>
      <w:r w:rsidRPr="00756606">
        <w:rPr>
          <w:bCs/>
        </w:rPr>
        <w:t xml:space="preserve"> higher</w:t>
      </w:r>
      <w:r>
        <w:rPr>
          <w:bCs/>
        </w:rPr>
        <w:noBreakHyphen/>
      </w:r>
      <w:r w:rsidRPr="00756606">
        <w:rPr>
          <w:bCs/>
        </w:rPr>
        <w:t xml:space="preserve">density housing </w:t>
      </w:r>
      <w:r>
        <w:rPr>
          <w:bCs/>
        </w:rPr>
        <w:t>was particularly weak, with o</w:t>
      </w:r>
      <w:r w:rsidRPr="00756606">
        <w:rPr>
          <w:bCs/>
        </w:rPr>
        <w:t xml:space="preserve">nly </w:t>
      </w:r>
      <w:r w:rsidRPr="002E66C5">
        <w:t xml:space="preserve">65,000 </w:t>
      </w:r>
      <w:r>
        <w:t xml:space="preserve">new </w:t>
      </w:r>
      <w:r w:rsidRPr="00756606">
        <w:rPr>
          <w:bCs/>
        </w:rPr>
        <w:t>higher</w:t>
      </w:r>
      <w:r>
        <w:rPr>
          <w:bCs/>
        </w:rPr>
        <w:noBreakHyphen/>
      </w:r>
      <w:r w:rsidRPr="00756606">
        <w:rPr>
          <w:bCs/>
        </w:rPr>
        <w:t xml:space="preserve">density dwellings built in </w:t>
      </w:r>
      <w:r>
        <w:rPr>
          <w:bCs/>
        </w:rPr>
        <w:t>2024. This figure is</w:t>
      </w:r>
      <w:r w:rsidRPr="00756606">
        <w:rPr>
          <w:bCs/>
        </w:rPr>
        <w:t xml:space="preserve"> well below the peak of </w:t>
      </w:r>
      <w:r w:rsidRPr="00A753D6">
        <w:t>106,000</w:t>
      </w:r>
      <w:r w:rsidRPr="00756606">
        <w:rPr>
          <w:bCs/>
        </w:rPr>
        <w:t xml:space="preserve"> </w:t>
      </w:r>
      <w:r>
        <w:rPr>
          <w:bCs/>
        </w:rPr>
        <w:t xml:space="preserve">completed </w:t>
      </w:r>
      <w:r w:rsidRPr="00756606">
        <w:rPr>
          <w:bCs/>
        </w:rPr>
        <w:t xml:space="preserve">in </w:t>
      </w:r>
      <w:r>
        <w:rPr>
          <w:bCs/>
        </w:rPr>
        <w:t xml:space="preserve">the year to September </w:t>
      </w:r>
      <w:r w:rsidRPr="00756606">
        <w:rPr>
          <w:bCs/>
        </w:rPr>
        <w:t>201</w:t>
      </w:r>
      <w:r>
        <w:rPr>
          <w:bCs/>
        </w:rPr>
        <w:t>7</w:t>
      </w:r>
      <w:r w:rsidRPr="00756606">
        <w:rPr>
          <w:bCs/>
        </w:rPr>
        <w:t>.</w:t>
      </w:r>
      <w:r>
        <w:rPr>
          <w:bCs/>
        </w:rPr>
        <w:t xml:space="preserve"> In contrast, the supply of d</w:t>
      </w:r>
      <w:r w:rsidRPr="00756606">
        <w:rPr>
          <w:bCs/>
        </w:rPr>
        <w:t>etached hous</w:t>
      </w:r>
      <w:r>
        <w:rPr>
          <w:bCs/>
        </w:rPr>
        <w:t>ing</w:t>
      </w:r>
      <w:r w:rsidRPr="00756606">
        <w:rPr>
          <w:bCs/>
        </w:rPr>
        <w:t xml:space="preserve"> </w:t>
      </w:r>
      <w:r>
        <w:rPr>
          <w:bCs/>
        </w:rPr>
        <w:t xml:space="preserve">has shown </w:t>
      </w:r>
      <w:r w:rsidRPr="00756606">
        <w:rPr>
          <w:bCs/>
        </w:rPr>
        <w:t>more resilien</w:t>
      </w:r>
      <w:r>
        <w:rPr>
          <w:bCs/>
        </w:rPr>
        <w:t xml:space="preserve">ce, with </w:t>
      </w:r>
      <w:r>
        <w:t>approximately</w:t>
      </w:r>
      <w:r w:rsidRPr="003941A0">
        <w:t xml:space="preserve"> </w:t>
      </w:r>
      <w:r w:rsidRPr="002E66C5">
        <w:t>111,000 new detached houses completed in 2024</w:t>
      </w:r>
      <w:r>
        <w:t xml:space="preserve">, which is </w:t>
      </w:r>
      <w:r w:rsidRPr="003941A0">
        <w:t xml:space="preserve">similar to </w:t>
      </w:r>
      <w:r>
        <w:t xml:space="preserve">average levels before the </w:t>
      </w:r>
      <w:r w:rsidRPr="002E66C5">
        <w:t>COVID</w:t>
      </w:r>
      <w:r w:rsidRPr="002E66C5">
        <w:noBreakHyphen/>
        <w:t>19 Pandemic (the Pandemic).</w:t>
      </w:r>
    </w:p>
    <w:p w14:paraId="453AC967" w14:textId="77777777" w:rsidR="00B65215" w:rsidRDefault="00B65215" w:rsidP="00DD3724">
      <w:pPr>
        <w:rPr>
          <w:bCs/>
        </w:rPr>
      </w:pPr>
      <w:r>
        <w:rPr>
          <w:bCs/>
        </w:rPr>
        <w:t>Net n</w:t>
      </w:r>
      <w:r w:rsidRPr="002E66C5">
        <w:rPr>
          <w:bCs/>
        </w:rPr>
        <w:t>ew</w:t>
      </w:r>
      <w:r>
        <w:rPr>
          <w:bCs/>
        </w:rPr>
        <w:t xml:space="preserve"> housing s</w:t>
      </w:r>
      <w:r w:rsidRPr="001104E5">
        <w:rPr>
          <w:bCs/>
        </w:rPr>
        <w:t xml:space="preserve">upply </w:t>
      </w:r>
      <w:r>
        <w:rPr>
          <w:bCs/>
        </w:rPr>
        <w:t>fell</w:t>
      </w:r>
      <w:r w:rsidRPr="001104E5">
        <w:rPr>
          <w:bCs/>
        </w:rPr>
        <w:t xml:space="preserve"> </w:t>
      </w:r>
      <w:r>
        <w:rPr>
          <w:bCs/>
        </w:rPr>
        <w:t>significantly</w:t>
      </w:r>
      <w:r w:rsidRPr="001104E5">
        <w:rPr>
          <w:bCs/>
        </w:rPr>
        <w:t xml:space="preserve"> short of </w:t>
      </w:r>
      <w:r>
        <w:rPr>
          <w:bCs/>
        </w:rPr>
        <w:t xml:space="preserve">new underlying </w:t>
      </w:r>
      <w:r w:rsidRPr="001104E5">
        <w:rPr>
          <w:bCs/>
        </w:rPr>
        <w:t>demand.</w:t>
      </w:r>
      <w:r>
        <w:rPr>
          <w:bCs/>
        </w:rPr>
        <w:t xml:space="preserve"> B</w:t>
      </w:r>
      <w:r w:rsidRPr="001104E5">
        <w:rPr>
          <w:bCs/>
        </w:rPr>
        <w:t>ased on population growth</w:t>
      </w:r>
      <w:r w:rsidRPr="002140BA">
        <w:rPr>
          <w:bCs/>
        </w:rPr>
        <w:t xml:space="preserve"> and the demographic profile of the nation, </w:t>
      </w:r>
      <w:r>
        <w:rPr>
          <w:bCs/>
        </w:rPr>
        <w:t>t</w:t>
      </w:r>
      <w:r w:rsidRPr="007145A7">
        <w:rPr>
          <w:bCs/>
        </w:rPr>
        <w:t xml:space="preserve">he Council estimates </w:t>
      </w:r>
      <w:r w:rsidRPr="002140BA">
        <w:rPr>
          <w:bCs/>
        </w:rPr>
        <w:t xml:space="preserve">there was </w:t>
      </w:r>
      <w:r>
        <w:rPr>
          <w:bCs/>
        </w:rPr>
        <w:t xml:space="preserve">new underlying </w:t>
      </w:r>
      <w:r w:rsidRPr="002140BA">
        <w:rPr>
          <w:bCs/>
        </w:rPr>
        <w:t xml:space="preserve">demand for around </w:t>
      </w:r>
      <w:r w:rsidRPr="002E66C5">
        <w:t>223,000 dwellings</w:t>
      </w:r>
      <w:r w:rsidRPr="002140BA">
        <w:rPr>
          <w:bCs/>
        </w:rPr>
        <w:t xml:space="preserve"> in 2024. This figure is </w:t>
      </w:r>
      <w:r w:rsidRPr="002E66C5">
        <w:t>68,000</w:t>
      </w:r>
      <w:r w:rsidRPr="002140BA">
        <w:rPr>
          <w:bCs/>
        </w:rPr>
        <w:t xml:space="preserve"> more than the increase in housing supply after accounting for demolitions. This shortfall </w:t>
      </w:r>
      <w:r>
        <w:rPr>
          <w:bCs/>
        </w:rPr>
        <w:t xml:space="preserve">adds </w:t>
      </w:r>
      <w:r w:rsidRPr="002140BA">
        <w:rPr>
          <w:bCs/>
        </w:rPr>
        <w:t xml:space="preserve">to the </w:t>
      </w:r>
      <w:r w:rsidRPr="008F5F56">
        <w:rPr>
          <w:bCs/>
        </w:rPr>
        <w:t xml:space="preserve">already </w:t>
      </w:r>
      <w:r w:rsidRPr="002140BA">
        <w:rPr>
          <w:bCs/>
        </w:rPr>
        <w:t>significant backlog of unmet demand in the housing system.</w:t>
      </w:r>
    </w:p>
    <w:p w14:paraId="26401E54" w14:textId="7238E50A" w:rsidR="000D720C" w:rsidRPr="00F30226" w:rsidRDefault="000D720C" w:rsidP="00DD3724">
      <w:pPr>
        <w:pStyle w:val="Heading3"/>
      </w:pPr>
      <w:r w:rsidRPr="00DD3724">
        <w:t>Affordability</w:t>
      </w:r>
      <w:r w:rsidRPr="00F30226">
        <w:t xml:space="preserve"> is </w:t>
      </w:r>
      <w:r w:rsidR="00E40AD7">
        <w:t xml:space="preserve">expected to </w:t>
      </w:r>
      <w:r w:rsidR="00DF1FCC">
        <w:t xml:space="preserve">stabilise </w:t>
      </w:r>
      <w:r w:rsidR="00E9583C">
        <w:t>over the next few years</w:t>
      </w:r>
      <w:bookmarkEnd w:id="10"/>
      <w:bookmarkEnd w:id="11"/>
      <w:bookmarkEnd w:id="12"/>
      <w:bookmarkEnd w:id="13"/>
      <w:bookmarkEnd w:id="14"/>
      <w:bookmarkEnd w:id="15"/>
      <w:bookmarkEnd w:id="16"/>
      <w:bookmarkEnd w:id="17"/>
      <w:bookmarkEnd w:id="18"/>
      <w:bookmarkEnd w:id="19"/>
    </w:p>
    <w:p w14:paraId="7A2AF617" w14:textId="2739897B" w:rsidR="000D720C" w:rsidRPr="00B662E5" w:rsidRDefault="00A90C34" w:rsidP="00DD3724">
      <w:r>
        <w:t>A</w:t>
      </w:r>
      <w:r w:rsidR="000D720C">
        <w:t xml:space="preserve">ffordability </w:t>
      </w:r>
      <w:r w:rsidR="00F32832">
        <w:t xml:space="preserve">is expected </w:t>
      </w:r>
      <w:r w:rsidR="008A7C39">
        <w:t xml:space="preserve">to </w:t>
      </w:r>
      <w:r w:rsidR="00AB1025">
        <w:t xml:space="preserve">broadly </w:t>
      </w:r>
      <w:r>
        <w:t>stabilise</w:t>
      </w:r>
      <w:r w:rsidR="00805415">
        <w:t>, and in some cases improve a little,</w:t>
      </w:r>
      <w:r w:rsidR="000D164A">
        <w:t xml:space="preserve"> </w:t>
      </w:r>
      <w:r w:rsidR="004971FA">
        <w:t xml:space="preserve">over the next few years. </w:t>
      </w:r>
      <w:r w:rsidR="0030762B">
        <w:t>CPI r</w:t>
      </w:r>
      <w:r w:rsidR="000D720C">
        <w:t xml:space="preserve">ents are forecast to </w:t>
      </w:r>
      <w:r w:rsidR="00B12948">
        <w:t>continue to slow over</w:t>
      </w:r>
      <w:r w:rsidR="000D720C">
        <w:t xml:space="preserve"> next 4 </w:t>
      </w:r>
      <w:r w:rsidR="006005A7">
        <w:t xml:space="preserve">financial </w:t>
      </w:r>
      <w:r w:rsidR="000D720C">
        <w:t>years</w:t>
      </w:r>
      <w:r w:rsidR="0047373E">
        <w:t xml:space="preserve"> </w:t>
      </w:r>
      <w:r w:rsidR="002F2148">
        <w:t xml:space="preserve">and to be growing at a rate of </w:t>
      </w:r>
      <w:r w:rsidR="00301E98">
        <w:t xml:space="preserve">less than </w:t>
      </w:r>
      <w:r w:rsidR="002F2148">
        <w:t>4</w:t>
      </w:r>
      <w:r w:rsidR="00F17388">
        <w:t xml:space="preserve"> per cent </w:t>
      </w:r>
      <w:r w:rsidR="002F2148">
        <w:t xml:space="preserve">by </w:t>
      </w:r>
      <w:r w:rsidR="00F34655">
        <w:t>2027</w:t>
      </w:r>
      <w:r w:rsidR="0047373E" w:rsidRPr="002E66C5">
        <w:t xml:space="preserve"> (</w:t>
      </w:r>
      <w:r w:rsidR="0080426B" w:rsidRPr="0041126E">
        <w:t xml:space="preserve">see </w:t>
      </w:r>
      <w:r w:rsidR="0047373E" w:rsidRPr="002E66C5">
        <w:t>Chart O.1)</w:t>
      </w:r>
      <w:r w:rsidR="000D720C" w:rsidRPr="002E66C5">
        <w:t>.</w:t>
      </w:r>
      <w:r w:rsidR="000D720C">
        <w:t xml:space="preserve"> </w:t>
      </w:r>
      <w:r w:rsidR="006857DD">
        <w:t>T</w:t>
      </w:r>
      <w:r w:rsidR="000D720C" w:rsidRPr="002E66C5">
        <w:t>he</w:t>
      </w:r>
      <w:r w:rsidR="000D720C">
        <w:t xml:space="preserve"> vacancy rate is expected to </w:t>
      </w:r>
      <w:r w:rsidR="00AB447A">
        <w:t xml:space="preserve">rise but </w:t>
      </w:r>
      <w:r w:rsidR="000D720C">
        <w:t xml:space="preserve">remain </w:t>
      </w:r>
      <w:r w:rsidR="000D720C" w:rsidRPr="002E66C5">
        <w:t>below</w:t>
      </w:r>
      <w:r w:rsidR="000D720C">
        <w:t xml:space="preserve"> 2.5</w:t>
      </w:r>
      <w:r w:rsidR="0099326B">
        <w:t> per cent</w:t>
      </w:r>
      <w:r w:rsidR="000D720C">
        <w:t xml:space="preserve"> –</w:t>
      </w:r>
      <w:r w:rsidR="001F1DB0">
        <w:t xml:space="preserve"> </w:t>
      </w:r>
      <w:r w:rsidR="000D720C">
        <w:t xml:space="preserve">the level consistent with a balanced market – which implies rental conditions will remain tight and unfavourable for tenants. The price of dwellings is forecast to </w:t>
      </w:r>
      <w:r w:rsidR="000D720C" w:rsidRPr="002E66C5">
        <w:t>rise</w:t>
      </w:r>
      <w:r w:rsidR="000D720C">
        <w:t xml:space="preserve"> in nominal terms, </w:t>
      </w:r>
      <w:r w:rsidR="00DF1BD1">
        <w:t>but</w:t>
      </w:r>
      <w:r w:rsidR="00DF1BD1" w:rsidRPr="002E66C5">
        <w:t xml:space="preserve"> </w:t>
      </w:r>
      <w:r w:rsidR="000D720C">
        <w:t>at a slightly lower rate than forecast income growth</w:t>
      </w:r>
      <w:r w:rsidR="00DF1BD1">
        <w:t xml:space="preserve">, which </w:t>
      </w:r>
      <w:r w:rsidR="000D720C">
        <w:t xml:space="preserve">implies </w:t>
      </w:r>
      <w:r w:rsidR="00DF1BD1">
        <w:t xml:space="preserve">that there will be a </w:t>
      </w:r>
      <w:r w:rsidR="000D720C">
        <w:t xml:space="preserve">small decline in the ratio of dwelling prices to household income, from </w:t>
      </w:r>
      <w:r w:rsidR="000D720C" w:rsidRPr="002E66C5">
        <w:t>8.0 to a still high 7.</w:t>
      </w:r>
      <w:r w:rsidR="001B463F">
        <w:t>7</w:t>
      </w:r>
      <w:r w:rsidR="0047373E" w:rsidRPr="0041126E">
        <w:t xml:space="preserve"> (</w:t>
      </w:r>
      <w:r w:rsidR="0080426B" w:rsidRPr="0041126E">
        <w:t xml:space="preserve">see </w:t>
      </w:r>
      <w:r w:rsidR="0047373E" w:rsidRPr="0041126E">
        <w:t>Chart O.2)</w:t>
      </w:r>
      <w:r w:rsidR="000D720C" w:rsidRPr="002E66C5">
        <w:t>.</w:t>
      </w:r>
      <w:r w:rsidR="000D720C">
        <w:t xml:space="preserve"> </w:t>
      </w:r>
    </w:p>
    <w:tbl>
      <w:tblPr>
        <w:tblW w:w="5000" w:type="pct"/>
        <w:tblLayout w:type="fixed"/>
        <w:tblLook w:val="0000" w:firstRow="0" w:lastRow="0" w:firstColumn="0" w:lastColumn="0" w:noHBand="0" w:noVBand="0"/>
      </w:tblPr>
      <w:tblGrid>
        <w:gridCol w:w="4535"/>
        <w:gridCol w:w="4535"/>
      </w:tblGrid>
      <w:tr w:rsidR="006E230B" w:rsidRPr="001B080F" w14:paraId="4A99F69B" w14:textId="77777777" w:rsidTr="00DD3724">
        <w:trPr>
          <w:cantSplit/>
          <w:trHeight w:val="142"/>
        </w:trPr>
        <w:tc>
          <w:tcPr>
            <w:tcW w:w="4535" w:type="dxa"/>
          </w:tcPr>
          <w:p w14:paraId="67372789" w14:textId="50294C15" w:rsidR="006E230B" w:rsidRPr="00531399" w:rsidRDefault="006E230B" w:rsidP="00787D68">
            <w:pPr>
              <w:pStyle w:val="ChartMainHeadingnonumbering"/>
              <w:spacing w:before="0"/>
            </w:pPr>
            <w:r w:rsidRPr="00531399">
              <w:t xml:space="preserve">Chart </w:t>
            </w:r>
            <w:r>
              <w:t>O</w:t>
            </w:r>
            <w:r w:rsidRPr="00531399">
              <w:t xml:space="preserve">.1 </w:t>
            </w:r>
            <w:r w:rsidRPr="00956862">
              <w:t>Forecast</w:t>
            </w:r>
            <w:r w:rsidRPr="00531399">
              <w:t xml:space="preserve"> nominal rent growth</w:t>
            </w:r>
          </w:p>
        </w:tc>
        <w:tc>
          <w:tcPr>
            <w:tcW w:w="4535" w:type="dxa"/>
          </w:tcPr>
          <w:p w14:paraId="49F4ACE7" w14:textId="0BFECB19" w:rsidR="006E230B" w:rsidRPr="00531399" w:rsidRDefault="006E230B" w:rsidP="00787D68">
            <w:pPr>
              <w:pStyle w:val="ChartMainHeadingnonumbering"/>
              <w:spacing w:before="0"/>
            </w:pPr>
            <w:r w:rsidRPr="00531399">
              <w:t xml:space="preserve">Chart </w:t>
            </w:r>
            <w:r>
              <w:t>O</w:t>
            </w:r>
            <w:r w:rsidRPr="00531399">
              <w:t>.2 Forecast dwelling price to income</w:t>
            </w:r>
            <w:r w:rsidR="003237AE">
              <w:t xml:space="preserve"> </w:t>
            </w:r>
            <w:r w:rsidR="003237AE" w:rsidRPr="00484D72">
              <w:t>ratio</w:t>
            </w:r>
          </w:p>
        </w:tc>
      </w:tr>
      <w:tr w:rsidR="006E230B" w:rsidRPr="001B080F" w14:paraId="0FD87619" w14:textId="77777777">
        <w:trPr>
          <w:cantSplit/>
        </w:trPr>
        <w:tc>
          <w:tcPr>
            <w:tcW w:w="4535" w:type="dxa"/>
          </w:tcPr>
          <w:p w14:paraId="0F96663D" w14:textId="7036D7B5" w:rsidR="006E230B" w:rsidRPr="00665192" w:rsidRDefault="00F64CA3">
            <w:pPr>
              <w:pStyle w:val="ChartGraphic"/>
            </w:pPr>
            <w:r w:rsidRPr="00F64CA3">
              <w:rPr>
                <w:noProof/>
              </w:rPr>
              <w:drawing>
                <wp:inline distT="0" distB="0" distL="0" distR="0" wp14:anchorId="3164F5AE" wp14:editId="2514DF21">
                  <wp:extent cx="2742565" cy="2734310"/>
                  <wp:effectExtent l="0" t="0" r="0" b="0"/>
                  <wp:docPr id="1501239784" name="Picture 4" descr="This line chart shows through-the-year rent growth from June quarter 2002 to June quarter 2029, where the period between March quarter 2025 and June quarter 2029 is a forecast.&#10;&#10;In the historic period, rent growth falls from a peak of 8.4% in December 2008 to -1.4% in September 2020. Rent growth then sharply increases, reaching 7.8% in March 2024.&#10;&#10;In the forecast period, rent growth is forecast to fall to 3.6% in March 2028 and remain at this level to June 2029. The decline is consistent, aside from a small jump late 2025 that reflects base effects associated with the increases in Commonwealth Rent Assistance that came into effect in September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239784" name="Picture 4" descr="This line chart shows through-the-year rent growth from June quarter 2002 to June quarter 2029, where the period between March quarter 2025 and June quarter 2029 is a forecast.&#10;&#10;In the historic period, rent growth falls from a peak of 8.4% in December 2008 to -1.4% in September 2020. Rent growth then sharply increases, reaching 7.8% in March 2024.&#10;&#10;In the forecast period, rent growth is forecast to fall to 3.6% in March 2028 and remain at this level to June 2029. The decline is consistent, aside from a small jump late 2025 that reflects base effects associated with the increases in Commonwealth Rent Assistance that came into effect in September 2024.&#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2565" cy="2734310"/>
                          </a:xfrm>
                          <a:prstGeom prst="rect">
                            <a:avLst/>
                          </a:prstGeom>
                          <a:noFill/>
                          <a:ln>
                            <a:noFill/>
                          </a:ln>
                        </pic:spPr>
                      </pic:pic>
                    </a:graphicData>
                  </a:graphic>
                </wp:inline>
              </w:drawing>
            </w:r>
          </w:p>
        </w:tc>
        <w:tc>
          <w:tcPr>
            <w:tcW w:w="4535" w:type="dxa"/>
          </w:tcPr>
          <w:p w14:paraId="17DCE20B" w14:textId="014B8436" w:rsidR="006E230B" w:rsidRPr="00665192" w:rsidRDefault="009343C3">
            <w:pPr>
              <w:pStyle w:val="ChartGraphic"/>
              <w:jc w:val="left"/>
            </w:pPr>
            <w:r w:rsidRPr="000F13BB">
              <w:rPr>
                <w:noProof/>
              </w:rPr>
              <w:drawing>
                <wp:inline distT="0" distB="0" distL="0" distR="0" wp14:anchorId="491BB3B4" wp14:editId="0FD5CD05">
                  <wp:extent cx="2743200" cy="2730497"/>
                  <wp:effectExtent l="0" t="0" r="0" b="0"/>
                  <wp:docPr id="1705997356" name="Picture 1" descr="This line chart shows the dwelling price-to-income ratio from June quarter 2002 to June quarter 2029, where period from March quarter 2025 to June quarter 2029 is a forecast.&#10;&#10;The ratio increases from 5.0 in June quarter 2002 to a peak of 8.0 in March 2022. It dips to 7.4 in December 2022, before returning to 8.0 in December 2024. &#10;&#10;The ratio is forecast to drop from 7.9 to 7.7 over the period from March 2025 to June 20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997356" name="Picture 1" descr="This line chart shows the dwelling price-to-income ratio from June quarter 2002 to June quarter 2029, where period from March quarter 2025 to June quarter 2029 is a forecast.&#10;&#10;The ratio increases from 5.0 in June quarter 2002 to a peak of 8.0 in March 2022. It dips to 7.4 in December 2022, before returning to 8.0 in December 2024. &#10;&#10;The ratio is forecast to drop from 7.9 to 7.7 over the period from March 2025 to June 2029.&#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2730497"/>
                          </a:xfrm>
                          <a:prstGeom prst="rect">
                            <a:avLst/>
                          </a:prstGeom>
                          <a:noFill/>
                          <a:ln>
                            <a:noFill/>
                          </a:ln>
                        </pic:spPr>
                      </pic:pic>
                    </a:graphicData>
                  </a:graphic>
                </wp:inline>
              </w:drawing>
            </w:r>
          </w:p>
        </w:tc>
      </w:tr>
      <w:tr w:rsidR="006E230B" w14:paraId="121DB567" w14:textId="77777777">
        <w:trPr>
          <w:cantSplit/>
          <w:trHeight w:val="656"/>
        </w:trPr>
        <w:tc>
          <w:tcPr>
            <w:tcW w:w="4535" w:type="dxa"/>
          </w:tcPr>
          <w:p w14:paraId="7E375619" w14:textId="1970104E" w:rsidR="006E230B" w:rsidRPr="00531399" w:rsidRDefault="006E230B">
            <w:pPr>
              <w:pStyle w:val="ChartorTableNoteandSource"/>
            </w:pPr>
            <w:r w:rsidRPr="00531399">
              <w:t>Note:</w:t>
            </w:r>
            <w:r w:rsidRPr="00531399">
              <w:tab/>
            </w:r>
            <w:r w:rsidR="00934794" w:rsidRPr="002E66C5">
              <w:t>The numbers shown represent t</w:t>
            </w:r>
            <w:r w:rsidRPr="002E66C5">
              <w:t>hrough</w:t>
            </w:r>
            <w:r w:rsidRPr="002E66C5">
              <w:noBreakHyphen/>
              <w:t>the</w:t>
            </w:r>
            <w:r w:rsidRPr="002E66C5">
              <w:noBreakHyphen/>
              <w:t xml:space="preserve">year </w:t>
            </w:r>
            <w:r w:rsidR="00D5256C" w:rsidRPr="0041126E">
              <w:t>(</w:t>
            </w:r>
            <w:proofErr w:type="spellStart"/>
            <w:r w:rsidR="00D5256C" w:rsidRPr="0041126E">
              <w:t>tty</w:t>
            </w:r>
            <w:proofErr w:type="spellEnd"/>
            <w:r w:rsidR="00D5256C" w:rsidRPr="0041126E">
              <w:t xml:space="preserve">) </w:t>
            </w:r>
            <w:r w:rsidRPr="002E66C5">
              <w:t>growth</w:t>
            </w:r>
            <w:r w:rsidR="00934794" w:rsidRPr="002E66C5">
              <w:t>.</w:t>
            </w:r>
            <w:r w:rsidRPr="00531399">
              <w:t xml:space="preserve"> </w:t>
            </w:r>
            <w:r w:rsidR="00934794">
              <w:t>T</w:t>
            </w:r>
            <w:r w:rsidRPr="00531399">
              <w:t>he forecast acceleration in rents in late 2025 reflects base effects associated with the increases in Commonwealth Rent Assistance that came into effect in September 2024.</w:t>
            </w:r>
          </w:p>
          <w:p w14:paraId="2BEF060D" w14:textId="6FAEFA2F" w:rsidR="006E230B" w:rsidRPr="00531399" w:rsidRDefault="006E230B">
            <w:pPr>
              <w:pStyle w:val="ChartorTableNoteandSource"/>
            </w:pPr>
            <w:r w:rsidRPr="00531399">
              <w:t>Source:</w:t>
            </w:r>
            <w:r w:rsidRPr="00531399">
              <w:tab/>
            </w:r>
            <w:r w:rsidR="002B11B2">
              <w:t xml:space="preserve">ABS </w:t>
            </w:r>
            <w:r w:rsidRPr="00531399">
              <w:t xml:space="preserve">Consumer Price Index </w:t>
            </w:r>
            <w:r w:rsidRPr="00484D72">
              <w:t>202</w:t>
            </w:r>
            <w:r w:rsidR="00CB7376" w:rsidRPr="00484D72">
              <w:t>5</w:t>
            </w:r>
            <w:r w:rsidRPr="00531399">
              <w:t>; NHSAC 2025</w:t>
            </w:r>
          </w:p>
        </w:tc>
        <w:tc>
          <w:tcPr>
            <w:tcW w:w="4535" w:type="dxa"/>
          </w:tcPr>
          <w:p w14:paraId="0BC7FC10" w14:textId="2C3CCB42" w:rsidR="006E230B" w:rsidRPr="00531399" w:rsidRDefault="006E230B">
            <w:pPr>
              <w:pStyle w:val="ChartorTableNoteandSource"/>
            </w:pPr>
            <w:r w:rsidRPr="00531399">
              <w:t>Source:</w:t>
            </w:r>
            <w:r w:rsidRPr="00531399">
              <w:tab/>
              <w:t>CoreLogic and ANU POLIS Centre for Social Policy Research 2025; NHSAC 2025</w:t>
            </w:r>
          </w:p>
        </w:tc>
      </w:tr>
    </w:tbl>
    <w:p w14:paraId="4F1C5420" w14:textId="77777777" w:rsidR="00945BDC" w:rsidRDefault="00945BDC" w:rsidP="000D720C">
      <w:r>
        <w:br w:type="page"/>
      </w:r>
    </w:p>
    <w:p w14:paraId="5D2FC82A" w14:textId="6F4BEEFD" w:rsidR="000D720C" w:rsidRDefault="000D720C" w:rsidP="000D720C">
      <w:r>
        <w:lastRenderedPageBreak/>
        <w:t xml:space="preserve">The supply of social and affordable housing is expected to accelerate in the period ahead, supporting affordability for tenants who can access these tenures. The </w:t>
      </w:r>
      <w:r w:rsidR="0099326B">
        <w:t>Australian Government</w:t>
      </w:r>
      <w:r>
        <w:t xml:space="preserve"> is targeting support for an additional </w:t>
      </w:r>
      <w:r w:rsidRPr="00BB0BE3">
        <w:t>55,000</w:t>
      </w:r>
      <w:r>
        <w:t xml:space="preserve"> social and affordable homes during the Housing Accord period. Public announcements from state and territory governments indicate their commitment to directly fund the provision of at least 25,000 additional social and affordable homes during this period. </w:t>
      </w:r>
    </w:p>
    <w:p w14:paraId="6BD3F9D3" w14:textId="525342EA" w:rsidR="000D720C" w:rsidRPr="00756606" w:rsidRDefault="000D720C" w:rsidP="00F30226">
      <w:pPr>
        <w:pStyle w:val="Heading3"/>
      </w:pPr>
      <w:bookmarkStart w:id="20" w:name="_Toc194476381"/>
      <w:bookmarkStart w:id="21" w:name="_Toc194478407"/>
      <w:bookmarkStart w:id="22" w:name="_Toc194478949"/>
      <w:bookmarkStart w:id="23" w:name="_Toc194482547"/>
      <w:bookmarkStart w:id="24" w:name="_Toc194873148"/>
      <w:bookmarkStart w:id="25" w:name="_Toc195026323"/>
      <w:bookmarkStart w:id="26" w:name="_Toc195026578"/>
      <w:bookmarkStart w:id="27" w:name="_Toc195106337"/>
      <w:bookmarkStart w:id="28" w:name="_Toc195173196"/>
      <w:bookmarkStart w:id="29" w:name="_Toc195175539"/>
      <w:r>
        <w:t xml:space="preserve">Around </w:t>
      </w:r>
      <w:r w:rsidRPr="002E66C5">
        <w:t>9</w:t>
      </w:r>
      <w:r w:rsidR="00E0386F" w:rsidRPr="0041126E">
        <w:t>3</w:t>
      </w:r>
      <w:r w:rsidRPr="002E66C5">
        <w:t>8,000</w:t>
      </w:r>
      <w:r>
        <w:t xml:space="preserve"> dwellings are expected to be completed during the Housing Accord period</w:t>
      </w:r>
      <w:bookmarkEnd w:id="20"/>
      <w:bookmarkEnd w:id="21"/>
      <w:bookmarkEnd w:id="22"/>
      <w:bookmarkEnd w:id="23"/>
      <w:bookmarkEnd w:id="24"/>
      <w:bookmarkEnd w:id="25"/>
      <w:bookmarkEnd w:id="26"/>
      <w:bookmarkEnd w:id="27"/>
      <w:bookmarkEnd w:id="28"/>
      <w:bookmarkEnd w:id="29"/>
    </w:p>
    <w:p w14:paraId="3E240A90" w14:textId="1CAF0A63" w:rsidR="000D720C" w:rsidRDefault="000D720C" w:rsidP="000D720C">
      <w:r>
        <w:t xml:space="preserve">Over the Housing Accord period that commenced on 1 July 2024, the Council forecasts that gross new housing supply will be </w:t>
      </w:r>
      <w:r w:rsidRPr="002E66C5">
        <w:t>9</w:t>
      </w:r>
      <w:r w:rsidR="00BA2672" w:rsidRPr="0041126E">
        <w:t>38</w:t>
      </w:r>
      <w:r w:rsidRPr="002E66C5">
        <w:t>,000</w:t>
      </w:r>
      <w:r>
        <w:t xml:space="preserve"> under baseline macroeconomic conditions and current policy settings</w:t>
      </w:r>
      <w:r w:rsidR="008F462A">
        <w:t xml:space="preserve"> </w:t>
      </w:r>
      <w:r w:rsidR="008F462A" w:rsidRPr="002E66C5">
        <w:t>(</w:t>
      </w:r>
      <w:r w:rsidR="0080426B" w:rsidRPr="0041126E">
        <w:t xml:space="preserve">see </w:t>
      </w:r>
      <w:r w:rsidR="008F462A" w:rsidRPr="002E66C5">
        <w:t xml:space="preserve">Chart </w:t>
      </w:r>
      <w:r w:rsidR="00046F8A" w:rsidRPr="002E66C5">
        <w:t>O</w:t>
      </w:r>
      <w:r w:rsidR="008F462A" w:rsidRPr="002E66C5">
        <w:t>.3)</w:t>
      </w:r>
      <w:r>
        <w:t xml:space="preserve">, or around </w:t>
      </w:r>
      <w:r w:rsidRPr="002E66C5">
        <w:t>18</w:t>
      </w:r>
      <w:r w:rsidR="00A4594D" w:rsidRPr="0041126E">
        <w:t>8</w:t>
      </w:r>
      <w:r w:rsidRPr="002E66C5">
        <w:t>,000</w:t>
      </w:r>
      <w:r>
        <w:t xml:space="preserve"> per year on average.</w:t>
      </w:r>
      <w:r>
        <w:rPr>
          <w:rStyle w:val="FootnoteReference"/>
        </w:rPr>
        <w:footnoteReference w:id="3"/>
      </w:r>
      <w:r>
        <w:t xml:space="preserve"> This implies a shortfall of </w:t>
      </w:r>
      <w:r w:rsidRPr="002E66C5">
        <w:t>2</w:t>
      </w:r>
      <w:r w:rsidR="00A4594D" w:rsidRPr="0041126E">
        <w:t>6</w:t>
      </w:r>
      <w:r w:rsidRPr="002E66C5">
        <w:t>2,000</w:t>
      </w:r>
      <w:r>
        <w:t xml:space="preserve"> relative to the 1.2</w:t>
      </w:r>
      <w:r w:rsidR="0099326B">
        <w:t> million</w:t>
      </w:r>
      <w:r>
        <w:t xml:space="preserve"> Housing Accord target, which is </w:t>
      </w:r>
      <w:r w:rsidR="005023AB">
        <w:t xml:space="preserve">a little </w:t>
      </w:r>
      <w:r>
        <w:t xml:space="preserve">more than the </w:t>
      </w:r>
      <w:r w:rsidRPr="00A753D6">
        <w:t>256,900</w:t>
      </w:r>
      <w:r>
        <w:t xml:space="preserve"> shortfall forecast in </w:t>
      </w:r>
      <w:r w:rsidRPr="002E66C5">
        <w:rPr>
          <w:rStyle w:val="Emphasis"/>
        </w:rPr>
        <w:t>State of the Housing System 2024</w:t>
      </w:r>
      <w:r w:rsidRPr="002E66C5">
        <w:t>.</w:t>
      </w:r>
    </w:p>
    <w:p w14:paraId="07B61A58" w14:textId="7D0D792A" w:rsidR="000D720C" w:rsidRDefault="000D720C" w:rsidP="000D720C">
      <w:r>
        <w:t>The downgrade in the supply forecast reflects a range of factors, including an upward revision to interest rate assumptions and weaker</w:t>
      </w:r>
      <w:r w:rsidR="00A15C79">
        <w:noBreakHyphen/>
      </w:r>
      <w:r>
        <w:t>than</w:t>
      </w:r>
      <w:r w:rsidR="00A15C79">
        <w:noBreakHyphen/>
      </w:r>
      <w:r>
        <w:t>expected dwelling approvals over the past 12 months.</w:t>
      </w:r>
      <w:r w:rsidR="00E557BD">
        <w:t xml:space="preserve"> </w:t>
      </w:r>
    </w:p>
    <w:p w14:paraId="701D6840" w14:textId="08EE2A49" w:rsidR="000D720C" w:rsidRDefault="000D720C" w:rsidP="000D720C">
      <w:r>
        <w:t xml:space="preserve">Detached houses are expected to dominate new housing supply, constituting nearly </w:t>
      </w:r>
      <w:r w:rsidRPr="006E3F9E">
        <w:t>two</w:t>
      </w:r>
      <w:r w:rsidR="00A15C79">
        <w:noBreakHyphen/>
      </w:r>
      <w:r w:rsidRPr="006E3F9E">
        <w:t>thirds</w:t>
      </w:r>
      <w:r>
        <w:t xml:space="preserve"> of new supply</w:t>
      </w:r>
      <w:r w:rsidR="00A05364">
        <w:t xml:space="preserve"> </w:t>
      </w:r>
      <w:r w:rsidR="009D1F77">
        <w:t>over the Housing Accord period</w:t>
      </w:r>
      <w:r w:rsidR="00A05364" w:rsidRPr="002E66C5">
        <w:t xml:space="preserve"> (</w:t>
      </w:r>
      <w:r w:rsidR="0080426B" w:rsidRPr="0041126E">
        <w:t xml:space="preserve">see </w:t>
      </w:r>
      <w:r w:rsidR="00A05364" w:rsidRPr="002E66C5">
        <w:t>Chart O.4)</w:t>
      </w:r>
      <w:r w:rsidRPr="002E66C5">
        <w:t>.</w:t>
      </w:r>
      <w:r>
        <w:t xml:space="preserve"> This supply of detached houses is expected to reach a </w:t>
      </w:r>
      <w:r w:rsidR="00956862">
        <w:t>three</w:t>
      </w:r>
      <w:r w:rsidR="00A15C79">
        <w:noBreakHyphen/>
      </w:r>
      <w:r>
        <w:t>decade high by the end of the 5</w:t>
      </w:r>
      <w:r w:rsidR="00A15C79">
        <w:noBreakHyphen/>
      </w:r>
      <w:r>
        <w:t xml:space="preserve">year forecast horizon, underpinned by the stabilisation of construction costs and an easing of household financing constraints as interest rates decline. </w:t>
      </w:r>
    </w:p>
    <w:p w14:paraId="333547A0" w14:textId="6CF9759F" w:rsidR="000D720C" w:rsidRPr="00756606" w:rsidRDefault="000D720C" w:rsidP="000D720C">
      <w:pPr>
        <w:rPr>
          <w:bCs/>
        </w:rPr>
      </w:pPr>
      <w:r>
        <w:t>In contrast, the Council expects that new supply of higher</w:t>
      </w:r>
      <w:r w:rsidR="00A15C79">
        <w:noBreakHyphen/>
      </w:r>
      <w:r>
        <w:t>density housing will remain low relative to the previous decade throughout the forecast period</w:t>
      </w:r>
      <w:r w:rsidR="00A05364">
        <w:t xml:space="preserve"> </w:t>
      </w:r>
      <w:r w:rsidR="00A05364" w:rsidRPr="002E66C5">
        <w:t>(</w:t>
      </w:r>
      <w:r w:rsidR="0080426B" w:rsidRPr="0041126E">
        <w:t xml:space="preserve">see </w:t>
      </w:r>
      <w:r w:rsidR="00A05364" w:rsidRPr="002E66C5">
        <w:t>Chart O.4)</w:t>
      </w:r>
      <w:r>
        <w:t xml:space="preserve">, as poor project feasibility weighs on </w:t>
      </w:r>
      <w:r w:rsidR="000416F7">
        <w:t xml:space="preserve">new </w:t>
      </w:r>
      <w:r>
        <w:t>supply and the low levels of approvals currently in the system interact with the long lead time for high</w:t>
      </w:r>
      <w:r w:rsidR="000416F7">
        <w:t>er</w:t>
      </w:r>
      <w:r w:rsidR="00A15C79">
        <w:noBreakHyphen/>
      </w:r>
      <w:r>
        <w:t xml:space="preserve">density projects to limit </w:t>
      </w:r>
      <w:r w:rsidR="000416F7">
        <w:t xml:space="preserve">new </w:t>
      </w:r>
      <w:r>
        <w:t>supply over the forecast period.</w:t>
      </w:r>
    </w:p>
    <w:tbl>
      <w:tblPr>
        <w:tblW w:w="5000" w:type="pct"/>
        <w:tblLayout w:type="fixed"/>
        <w:tblLook w:val="0000" w:firstRow="0" w:lastRow="0" w:firstColumn="0" w:lastColumn="0" w:noHBand="0" w:noVBand="0"/>
      </w:tblPr>
      <w:tblGrid>
        <w:gridCol w:w="4535"/>
        <w:gridCol w:w="4535"/>
      </w:tblGrid>
      <w:tr w:rsidR="000D720C" w:rsidRPr="004D1383" w14:paraId="7AE18246" w14:textId="77777777">
        <w:trPr>
          <w:cantSplit/>
        </w:trPr>
        <w:tc>
          <w:tcPr>
            <w:tcW w:w="4535" w:type="dxa"/>
          </w:tcPr>
          <w:p w14:paraId="1E09A004" w14:textId="4CA73B14" w:rsidR="000D720C" w:rsidRPr="00BB7DA4" w:rsidRDefault="000D720C" w:rsidP="00EB0064">
            <w:pPr>
              <w:pStyle w:val="ChartMainHeadingnonumbering"/>
              <w:spacing w:before="100" w:beforeAutospacing="1"/>
            </w:pPr>
            <w:r w:rsidRPr="00BB7DA4">
              <w:lastRenderedPageBreak/>
              <w:t xml:space="preserve">Chart </w:t>
            </w:r>
            <w:r w:rsidR="009E3594" w:rsidRPr="00BB7DA4">
              <w:t>O</w:t>
            </w:r>
            <w:r w:rsidRPr="00BB7DA4">
              <w:t>.3 Gross new housing supply</w:t>
            </w:r>
          </w:p>
        </w:tc>
        <w:tc>
          <w:tcPr>
            <w:tcW w:w="4535" w:type="dxa"/>
          </w:tcPr>
          <w:p w14:paraId="724C7997" w14:textId="64AD6D52" w:rsidR="000D720C" w:rsidRPr="00BB7DA4" w:rsidRDefault="000D720C" w:rsidP="00EB0064">
            <w:pPr>
              <w:pStyle w:val="ChartMainHeadingnonumbering"/>
              <w:spacing w:before="100" w:beforeAutospacing="1"/>
            </w:pPr>
            <w:r w:rsidRPr="00BB7DA4">
              <w:t xml:space="preserve">Chart </w:t>
            </w:r>
            <w:r w:rsidR="009E3594" w:rsidRPr="00BB7DA4">
              <w:t>O</w:t>
            </w:r>
            <w:r w:rsidRPr="00BB7DA4">
              <w:t>.4 Gross new housing supply</w:t>
            </w:r>
            <w:r w:rsidR="008402D9">
              <w:t>,</w:t>
            </w:r>
            <w:r w:rsidRPr="00BB7DA4">
              <w:t xml:space="preserve"> by dwelling type</w:t>
            </w:r>
          </w:p>
        </w:tc>
      </w:tr>
      <w:tr w:rsidR="000D720C" w:rsidRPr="004D1383" w14:paraId="63C4761F" w14:textId="77777777">
        <w:trPr>
          <w:cantSplit/>
        </w:trPr>
        <w:tc>
          <w:tcPr>
            <w:tcW w:w="4535" w:type="dxa"/>
          </w:tcPr>
          <w:p w14:paraId="384FB157" w14:textId="231EB7C2" w:rsidR="000D720C" w:rsidRPr="002E66C5" w:rsidRDefault="00B347B6">
            <w:pPr>
              <w:pStyle w:val="ChartGraphic"/>
            </w:pPr>
            <w:r w:rsidRPr="0041126E">
              <w:rPr>
                <w:noProof/>
              </w:rPr>
              <w:drawing>
                <wp:inline distT="0" distB="0" distL="0" distR="0" wp14:anchorId="14C9C329" wp14:editId="47187CAC">
                  <wp:extent cx="2742565" cy="2718435"/>
                  <wp:effectExtent l="0" t="0" r="635" b="0"/>
                  <wp:docPr id="75021340" name="Picture 5" descr="This line chart shows the rolling annual total of gross new housing supply from June quarter 2011 to June quarter 2029, where the period between March quarter 2025 and June quarter 2029 is a forecast. &#10;&#10;In the historic period, new supply rises from a low of 144,000 in September 2012 to a peak of 224,000 in March 2017. It remains elevated before starting to fall in December 2018, and then sitting around 180,000 from March 2021 until December 2024 when supply is 177,000.&#10;&#10;In the forecast period, new housing supply grows in a gradual and consistent fashion to 197,000 dwellings per year in June quarter 2029, which is well below the implied annual Housing Accord target of 240,000 houses per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21340" name="Picture 5" descr="This line chart shows the rolling annual total of gross new housing supply from June quarter 2011 to June quarter 2029, where the period between March quarter 2025 and June quarter 2029 is a forecast. &#10;&#10;In the historic period, new supply rises from a low of 144,000 in September 2012 to a peak of 224,000 in March 2017. It remains elevated before starting to fall in December 2018, and then sitting around 180,000 from March 2021 until December 2024 when supply is 177,000.&#10;&#10;In the forecast period, new housing supply grows in a gradual and consistent fashion to 197,000 dwellings per year in June quarter 2029, which is well below the implied annual Housing Accord target of 240,000 houses per year.&#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2565" cy="2718435"/>
                          </a:xfrm>
                          <a:prstGeom prst="rect">
                            <a:avLst/>
                          </a:prstGeom>
                          <a:noFill/>
                          <a:ln>
                            <a:noFill/>
                          </a:ln>
                        </pic:spPr>
                      </pic:pic>
                    </a:graphicData>
                  </a:graphic>
                </wp:inline>
              </w:drawing>
            </w:r>
          </w:p>
        </w:tc>
        <w:tc>
          <w:tcPr>
            <w:tcW w:w="4535" w:type="dxa"/>
          </w:tcPr>
          <w:p w14:paraId="64531E76" w14:textId="79D9B403" w:rsidR="000D720C" w:rsidRPr="002E66C5" w:rsidRDefault="0022635C" w:rsidP="0041126E">
            <w:pPr>
              <w:pStyle w:val="ChartSecondHeading"/>
              <w:spacing w:before="0"/>
            </w:pPr>
            <w:r w:rsidRPr="0041126E">
              <w:rPr>
                <w:noProof/>
              </w:rPr>
              <w:drawing>
                <wp:inline distT="0" distB="0" distL="0" distR="0" wp14:anchorId="4AB0FE00" wp14:editId="6A0EA5AD">
                  <wp:extent cx="2742565" cy="2742565"/>
                  <wp:effectExtent l="0" t="0" r="0" b="0"/>
                  <wp:docPr id="1451377385" name="Picture 6" descr="This line chart shows the rolling annual totals of gross new housing supply for detached and higher density housing from June quarter 2011 to June quarter 2029, where the period between March quarter 2025 and June quarter 2029 is a forecast. &#10;&#10;In the historic period, new detached housing supply is relatively stable, ranging from 92,000 dwellings in September 2012 to 123,000 dwellings in March 2019 to 111,000 dwellings in December 2024. Higher density housing has more variation, ranging from 50,000 dwellings in March 2012 to 106,000 dwellings in September 2017 to 65,000 dwellings in December 2024. &#10;&#10;In the forecast period, new housing supply is primarily driven by detached housing, which is forecast to rise to 126,000 dwellings per annum by June quarter 2029. Higher density housing is forecast to rise to 70,000 dwellings in September 2025 remain stable around this level until the end of the forecast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77385" name="Picture 6" descr="This line chart shows the rolling annual totals of gross new housing supply for detached and higher density housing from June quarter 2011 to June quarter 2029, where the period between March quarter 2025 and June quarter 2029 is a forecast. &#10;&#10;In the historic period, new detached housing supply is relatively stable, ranging from 92,000 dwellings in September 2012 to 123,000 dwellings in March 2019 to 111,000 dwellings in December 2024. Higher density housing has more variation, ranging from 50,000 dwellings in March 2012 to 106,000 dwellings in September 2017 to 65,000 dwellings in December 2024. &#10;&#10;In the forecast period, new housing supply is primarily driven by detached housing, which is forecast to rise to 126,000 dwellings per annum by June quarter 2029. Higher density housing is forecast to rise to 70,000 dwellings in September 2025 remain stable around this level until the end of the forecast period.&#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2565" cy="2742565"/>
                          </a:xfrm>
                          <a:prstGeom prst="rect">
                            <a:avLst/>
                          </a:prstGeom>
                          <a:noFill/>
                          <a:ln>
                            <a:noFill/>
                          </a:ln>
                        </pic:spPr>
                      </pic:pic>
                    </a:graphicData>
                  </a:graphic>
                </wp:inline>
              </w:drawing>
            </w:r>
          </w:p>
        </w:tc>
      </w:tr>
      <w:tr w:rsidR="000D720C" w14:paraId="3287B69B" w14:textId="77777777" w:rsidTr="00945BDC">
        <w:trPr>
          <w:cantSplit/>
          <w:trHeight w:val="668"/>
        </w:trPr>
        <w:tc>
          <w:tcPr>
            <w:tcW w:w="4535" w:type="dxa"/>
          </w:tcPr>
          <w:p w14:paraId="67573871" w14:textId="086A9007" w:rsidR="00416F53" w:rsidRPr="0041126E" w:rsidRDefault="00416F53" w:rsidP="00416F53">
            <w:pPr>
              <w:pStyle w:val="ChartorTableNoteandSource"/>
            </w:pPr>
            <w:r w:rsidRPr="0041126E">
              <w:t>Note:</w:t>
            </w:r>
            <w:r w:rsidRPr="0041126E">
              <w:tab/>
              <w:t xml:space="preserve">The numbers shown are rolling annual totals. </w:t>
            </w:r>
            <w:r w:rsidR="004E0FD3" w:rsidRPr="002E66C5">
              <w:t>The implied annual Housing Accord target represents the Housing Accord target of 1.2 million completions distributed evenly over the 5</w:t>
            </w:r>
            <w:r w:rsidR="00BB0C33" w:rsidRPr="0041126E">
              <w:t>-</w:t>
            </w:r>
            <w:r w:rsidR="004E0FD3" w:rsidRPr="002E66C5">
              <w:t>year Housing Accord period.</w:t>
            </w:r>
          </w:p>
          <w:p w14:paraId="78110D29" w14:textId="78245C6C" w:rsidR="000D720C" w:rsidRPr="00BB7DA4" w:rsidRDefault="000D720C" w:rsidP="00945BDC">
            <w:pPr>
              <w:pStyle w:val="ChartorTableNoteandSource"/>
              <w:ind w:left="0" w:firstLine="0"/>
            </w:pPr>
            <w:r w:rsidRPr="00BB7DA4">
              <w:t>Source:</w:t>
            </w:r>
            <w:r w:rsidR="00531399" w:rsidRPr="00BB7DA4">
              <w:tab/>
            </w:r>
            <w:r w:rsidR="000F6804" w:rsidRPr="00484D72">
              <w:t>ABS Building Activity 2025;</w:t>
            </w:r>
            <w:r w:rsidR="000F6804">
              <w:t xml:space="preserve"> </w:t>
            </w:r>
            <w:r w:rsidRPr="00BB7DA4">
              <w:t>NHSAC 2025</w:t>
            </w:r>
          </w:p>
        </w:tc>
        <w:tc>
          <w:tcPr>
            <w:tcW w:w="4535" w:type="dxa"/>
          </w:tcPr>
          <w:p w14:paraId="4132D136" w14:textId="361FDC91" w:rsidR="000D720C" w:rsidRPr="00BB7DA4" w:rsidRDefault="000D720C" w:rsidP="00DB6DE6">
            <w:pPr>
              <w:pStyle w:val="ChartorTableNoteandSource"/>
            </w:pPr>
            <w:r w:rsidRPr="00BB7DA4">
              <w:t>Note:</w:t>
            </w:r>
            <w:r w:rsidR="00531399" w:rsidRPr="00BB7DA4">
              <w:tab/>
            </w:r>
            <w:r w:rsidRPr="00BB7DA4">
              <w:t>The numbers shown are rolling annual totals.</w:t>
            </w:r>
          </w:p>
          <w:p w14:paraId="5590E400" w14:textId="1B18FAEE" w:rsidR="000D720C" w:rsidRPr="00FA0D03" w:rsidRDefault="000D720C" w:rsidP="00DB6DE6">
            <w:pPr>
              <w:pStyle w:val="ChartorTableNoteandSource"/>
            </w:pPr>
            <w:r w:rsidRPr="00BB7DA4">
              <w:t>Source:</w:t>
            </w:r>
            <w:r w:rsidR="00531399" w:rsidRPr="00BB7DA4">
              <w:tab/>
            </w:r>
            <w:r w:rsidR="000F6804" w:rsidRPr="0041126E">
              <w:t>ABS Building Activity 2025;</w:t>
            </w:r>
            <w:r w:rsidR="000F6804">
              <w:t xml:space="preserve"> </w:t>
            </w:r>
            <w:r w:rsidRPr="00BB7DA4">
              <w:t>NHSAC 2025</w:t>
            </w:r>
          </w:p>
        </w:tc>
      </w:tr>
    </w:tbl>
    <w:p w14:paraId="30E80439" w14:textId="58DFF4BD" w:rsidR="00493879" w:rsidRDefault="000D720C" w:rsidP="00AF5044">
      <w:r>
        <w:t>All states and territories are projected to fall short of their implied share of the Housing Accord target</w:t>
      </w:r>
      <w:r w:rsidR="00A77083">
        <w:t xml:space="preserve"> </w:t>
      </w:r>
      <w:r w:rsidR="00A77083" w:rsidRPr="002E66C5">
        <w:t>(</w:t>
      </w:r>
      <w:r w:rsidR="00561B8E" w:rsidRPr="0041126E">
        <w:t xml:space="preserve">see </w:t>
      </w:r>
      <w:r w:rsidR="00A77083" w:rsidRPr="002E66C5">
        <w:t>Table O.1)</w:t>
      </w:r>
      <w:r>
        <w:t xml:space="preserve">. Of the larger states – for which the forecasts are considered more reliable – Victoria is forecast to reach </w:t>
      </w:r>
      <w:r w:rsidRPr="00A753D6">
        <w:t xml:space="preserve">around </w:t>
      </w:r>
      <w:r w:rsidRPr="002E66C5">
        <w:t>9</w:t>
      </w:r>
      <w:r w:rsidR="00806A62" w:rsidRPr="0041126E">
        <w:t>8</w:t>
      </w:r>
      <w:r w:rsidR="0099326B" w:rsidRPr="002E66C5">
        <w:t> per cent</w:t>
      </w:r>
      <w:r>
        <w:t xml:space="preserve">, Queensland </w:t>
      </w:r>
      <w:r w:rsidR="00806A62" w:rsidRPr="0041126E">
        <w:t>79</w:t>
      </w:r>
      <w:r w:rsidR="0099326B" w:rsidRPr="002E66C5">
        <w:t> per cent</w:t>
      </w:r>
      <w:r>
        <w:t xml:space="preserve"> and New South Wales </w:t>
      </w:r>
      <w:r w:rsidR="006E6B31" w:rsidRPr="0041126E">
        <w:t>65</w:t>
      </w:r>
      <w:r w:rsidR="006E6B31" w:rsidRPr="002E66C5">
        <w:t> </w:t>
      </w:r>
      <w:r w:rsidR="0099326B" w:rsidRPr="002E66C5">
        <w:t>per cent</w:t>
      </w:r>
      <w:r>
        <w:t xml:space="preserve"> of their implied targets.</w:t>
      </w:r>
      <w:r w:rsidR="00493879">
        <w:br w:type="page"/>
      </w:r>
    </w:p>
    <w:p w14:paraId="7A4B2AE3" w14:textId="530639E6" w:rsidR="000D720C" w:rsidRPr="00BD2E5A" w:rsidRDefault="000D720C" w:rsidP="00BD2E5A">
      <w:pPr>
        <w:pStyle w:val="TableMainHeadingnonumbering"/>
      </w:pPr>
      <w:r w:rsidRPr="00BD2E5A">
        <w:lastRenderedPageBreak/>
        <w:t xml:space="preserve">Table </w:t>
      </w:r>
      <w:r w:rsidR="009E3594">
        <w:t>O</w:t>
      </w:r>
      <w:r w:rsidRPr="00BD2E5A">
        <w:t>.1 Gross new housing supply by state and territory</w:t>
      </w:r>
    </w:p>
    <w:tbl>
      <w:tblPr>
        <w:tblW w:w="5000" w:type="pct"/>
        <w:tblLayout w:type="fixed"/>
        <w:tblLook w:val="04A0" w:firstRow="1" w:lastRow="0" w:firstColumn="1" w:lastColumn="0" w:noHBand="0" w:noVBand="1"/>
      </w:tblPr>
      <w:tblGrid>
        <w:gridCol w:w="1701"/>
        <w:gridCol w:w="1841"/>
        <w:gridCol w:w="1843"/>
        <w:gridCol w:w="1842"/>
        <w:gridCol w:w="1843"/>
      </w:tblGrid>
      <w:tr w:rsidR="000D720C" w:rsidRPr="009D2B6D" w14:paraId="2E811AE5" w14:textId="77777777" w:rsidTr="00945BDC">
        <w:trPr>
          <w:trHeight w:val="825"/>
        </w:trPr>
        <w:tc>
          <w:tcPr>
            <w:tcW w:w="1701" w:type="dxa"/>
            <w:tcBorders>
              <w:top w:val="nil"/>
              <w:left w:val="nil"/>
              <w:right w:val="nil"/>
            </w:tcBorders>
            <w:shd w:val="clear" w:color="auto" w:fill="F2E3C7" w:themeFill="background2"/>
            <w:noWrap/>
            <w:vAlign w:val="center"/>
            <w:hideMark/>
          </w:tcPr>
          <w:p w14:paraId="30B94086" w14:textId="77777777" w:rsidR="000D720C" w:rsidRPr="009D2B6D" w:rsidRDefault="000D720C" w:rsidP="005F0C83">
            <w:pPr>
              <w:pStyle w:val="TableColumnHeadingLeft"/>
            </w:pPr>
            <w:r w:rsidRPr="009D2B6D">
              <w:t>State</w:t>
            </w:r>
            <w:r>
              <w:t>/</w:t>
            </w:r>
            <w:r w:rsidRPr="005F0C83">
              <w:t>territory</w:t>
            </w:r>
          </w:p>
        </w:tc>
        <w:tc>
          <w:tcPr>
            <w:tcW w:w="1841" w:type="dxa"/>
            <w:tcBorders>
              <w:top w:val="nil"/>
              <w:left w:val="nil"/>
              <w:bottom w:val="nil"/>
              <w:right w:val="nil"/>
            </w:tcBorders>
            <w:shd w:val="clear" w:color="auto" w:fill="F2E3C7" w:themeFill="background2"/>
            <w:vAlign w:val="center"/>
            <w:hideMark/>
          </w:tcPr>
          <w:p w14:paraId="4DED2A79" w14:textId="77777777" w:rsidR="000D720C" w:rsidRDefault="000D720C" w:rsidP="005F0C83">
            <w:pPr>
              <w:pStyle w:val="TableColumnHeadingRight"/>
            </w:pPr>
            <w:r w:rsidRPr="009D2B6D">
              <w:t xml:space="preserve">Gross </w:t>
            </w:r>
            <w:r w:rsidRPr="003C16F9">
              <w:t>new housing supply</w:t>
            </w:r>
            <w:r w:rsidRPr="009D2B6D">
              <w:t>, 201</w:t>
            </w:r>
            <w:r>
              <w:t>9–20</w:t>
            </w:r>
            <w:r w:rsidRPr="009D2B6D">
              <w:t xml:space="preserve"> </w:t>
            </w:r>
          </w:p>
          <w:p w14:paraId="1E833CF9" w14:textId="77777777" w:rsidR="000D720C" w:rsidRPr="009D2B6D" w:rsidRDefault="000D720C" w:rsidP="005F0C83">
            <w:pPr>
              <w:pStyle w:val="TableColumnHeadingRight"/>
            </w:pPr>
            <w:r w:rsidRPr="009D2B6D">
              <w:t>to 2023</w:t>
            </w:r>
            <w:r>
              <w:t>–</w:t>
            </w:r>
            <w:r w:rsidRPr="009D2B6D">
              <w:t>24</w:t>
            </w:r>
          </w:p>
        </w:tc>
        <w:tc>
          <w:tcPr>
            <w:tcW w:w="1843" w:type="dxa"/>
            <w:tcBorders>
              <w:top w:val="nil"/>
              <w:left w:val="nil"/>
              <w:bottom w:val="nil"/>
              <w:right w:val="nil"/>
            </w:tcBorders>
            <w:shd w:val="clear" w:color="auto" w:fill="F2E3C7" w:themeFill="background2"/>
            <w:vAlign w:val="center"/>
            <w:hideMark/>
          </w:tcPr>
          <w:p w14:paraId="2BC6EE35" w14:textId="77777777" w:rsidR="000D720C" w:rsidRDefault="000D720C" w:rsidP="005F0C83">
            <w:pPr>
              <w:pStyle w:val="TableColumnHeadingRight"/>
            </w:pPr>
            <w:r w:rsidRPr="00344524">
              <w:t>Gross new housing supply, 2024</w:t>
            </w:r>
            <w:r>
              <w:t>–</w:t>
            </w:r>
            <w:r w:rsidRPr="00344524">
              <w:t xml:space="preserve">25 </w:t>
            </w:r>
          </w:p>
          <w:p w14:paraId="09AD2141" w14:textId="77777777" w:rsidR="000D720C" w:rsidRPr="00344524" w:rsidRDefault="000D720C" w:rsidP="005F0C83">
            <w:pPr>
              <w:pStyle w:val="TableColumnHeadingRight"/>
            </w:pPr>
            <w:r w:rsidRPr="00344524">
              <w:t>to 2028</w:t>
            </w:r>
            <w:r>
              <w:t>–</w:t>
            </w:r>
            <w:r w:rsidRPr="00344524">
              <w:t>29 (forecast)</w:t>
            </w:r>
          </w:p>
        </w:tc>
        <w:tc>
          <w:tcPr>
            <w:tcW w:w="1842" w:type="dxa"/>
            <w:tcBorders>
              <w:top w:val="nil"/>
              <w:left w:val="nil"/>
              <w:right w:val="nil"/>
            </w:tcBorders>
            <w:shd w:val="clear" w:color="auto" w:fill="F2E3C7" w:themeFill="background2"/>
            <w:vAlign w:val="center"/>
            <w:hideMark/>
          </w:tcPr>
          <w:p w14:paraId="51E15E5A" w14:textId="2D318145" w:rsidR="000D720C" w:rsidRPr="00330BBF" w:rsidRDefault="000D720C" w:rsidP="005F0C83">
            <w:pPr>
              <w:pStyle w:val="TableColumnHeadingRight"/>
            </w:pPr>
            <w:r w:rsidRPr="00330BBF">
              <w:t>Implied share of 1.2</w:t>
            </w:r>
            <w:r w:rsidR="0099326B">
              <w:t> million</w:t>
            </w:r>
            <w:r w:rsidRPr="00330BBF">
              <w:t xml:space="preserve"> Housing Accord target*</w:t>
            </w:r>
          </w:p>
        </w:tc>
        <w:tc>
          <w:tcPr>
            <w:tcW w:w="1843" w:type="dxa"/>
            <w:tcBorders>
              <w:top w:val="nil"/>
              <w:left w:val="nil"/>
              <w:right w:val="nil"/>
            </w:tcBorders>
            <w:shd w:val="clear" w:color="auto" w:fill="F2E3C7" w:themeFill="background2"/>
            <w:vAlign w:val="center"/>
            <w:hideMark/>
          </w:tcPr>
          <w:p w14:paraId="4DED952F" w14:textId="77777777" w:rsidR="000D720C" w:rsidRPr="00330BBF" w:rsidRDefault="000D720C" w:rsidP="005F0C83">
            <w:pPr>
              <w:pStyle w:val="TableColumnHeadingRight"/>
            </w:pPr>
            <w:r w:rsidRPr="00330BBF">
              <w:t>Gross new supply forecast, ratio to share of target* (%)</w:t>
            </w:r>
          </w:p>
        </w:tc>
      </w:tr>
      <w:tr w:rsidR="000D720C" w:rsidRPr="009D2B6D" w14:paraId="3481C738" w14:textId="77777777" w:rsidTr="00945BDC">
        <w:trPr>
          <w:trHeight w:val="311"/>
        </w:trPr>
        <w:tc>
          <w:tcPr>
            <w:tcW w:w="1701" w:type="dxa"/>
            <w:tcBorders>
              <w:top w:val="nil"/>
              <w:left w:val="nil"/>
              <w:bottom w:val="single" w:sz="4" w:space="0" w:color="F2E3C7" w:themeColor="accent6"/>
              <w:right w:val="nil"/>
            </w:tcBorders>
            <w:shd w:val="clear" w:color="auto" w:fill="auto"/>
            <w:noWrap/>
            <w:vAlign w:val="center"/>
            <w:hideMark/>
          </w:tcPr>
          <w:p w14:paraId="29F18F78" w14:textId="77777777" w:rsidR="000D720C" w:rsidRPr="005F0C83" w:rsidRDefault="000D720C" w:rsidP="005F0C83">
            <w:pPr>
              <w:pStyle w:val="TableTextLeft"/>
              <w:rPr>
                <w:rStyle w:val="Strong"/>
              </w:rPr>
            </w:pPr>
            <w:r w:rsidRPr="005F0C83">
              <w:rPr>
                <w:rStyle w:val="Strong"/>
              </w:rPr>
              <w:t>New South Wales</w:t>
            </w:r>
          </w:p>
        </w:tc>
        <w:tc>
          <w:tcPr>
            <w:tcW w:w="1841" w:type="dxa"/>
            <w:tcBorders>
              <w:top w:val="nil"/>
              <w:left w:val="nil"/>
              <w:bottom w:val="single" w:sz="4" w:space="0" w:color="F2E3C7" w:themeColor="accent6"/>
              <w:right w:val="nil"/>
            </w:tcBorders>
            <w:shd w:val="clear" w:color="auto" w:fill="auto"/>
            <w:noWrap/>
            <w:hideMark/>
          </w:tcPr>
          <w:p w14:paraId="3319C4FD" w14:textId="36F8F26D" w:rsidR="000D720C" w:rsidRPr="00945BDC" w:rsidRDefault="00AF1AB2" w:rsidP="00945BDC">
            <w:pPr>
              <w:pStyle w:val="TableTextRight"/>
            </w:pPr>
            <w:r w:rsidRPr="00945BDC">
              <w:t>251,000</w:t>
            </w:r>
          </w:p>
        </w:tc>
        <w:tc>
          <w:tcPr>
            <w:tcW w:w="1843" w:type="dxa"/>
            <w:tcBorders>
              <w:top w:val="nil"/>
              <w:left w:val="nil"/>
              <w:bottom w:val="single" w:sz="4" w:space="0" w:color="F2E3C7" w:themeColor="accent6"/>
              <w:right w:val="nil"/>
            </w:tcBorders>
            <w:shd w:val="clear" w:color="auto" w:fill="auto"/>
            <w:noWrap/>
          </w:tcPr>
          <w:p w14:paraId="7EA6E1F1" w14:textId="07791A90" w:rsidR="000D720C" w:rsidRPr="00945BDC" w:rsidRDefault="00AF1AB2" w:rsidP="00945BDC">
            <w:pPr>
              <w:pStyle w:val="TableTextRight"/>
            </w:pPr>
            <w:r w:rsidRPr="00945BDC">
              <w:t>246,000</w:t>
            </w:r>
          </w:p>
        </w:tc>
        <w:tc>
          <w:tcPr>
            <w:tcW w:w="1842" w:type="dxa"/>
            <w:tcBorders>
              <w:top w:val="nil"/>
              <w:left w:val="nil"/>
              <w:bottom w:val="single" w:sz="4" w:space="0" w:color="F2E3C7" w:themeColor="accent6"/>
              <w:right w:val="nil"/>
            </w:tcBorders>
            <w:shd w:val="clear" w:color="auto" w:fill="auto"/>
          </w:tcPr>
          <w:p w14:paraId="6336D80E" w14:textId="77777777" w:rsidR="000D720C" w:rsidRPr="00945BDC" w:rsidRDefault="000D720C" w:rsidP="00945BDC">
            <w:pPr>
              <w:pStyle w:val="TableTextRight"/>
            </w:pPr>
            <w:r w:rsidRPr="00945BDC">
              <w:t>376,000</w:t>
            </w:r>
          </w:p>
        </w:tc>
        <w:tc>
          <w:tcPr>
            <w:tcW w:w="1843" w:type="dxa"/>
            <w:tcBorders>
              <w:top w:val="nil"/>
              <w:left w:val="nil"/>
              <w:bottom w:val="single" w:sz="4" w:space="0" w:color="F2E3C7" w:themeColor="accent6"/>
              <w:right w:val="nil"/>
            </w:tcBorders>
            <w:shd w:val="clear" w:color="auto" w:fill="auto"/>
          </w:tcPr>
          <w:p w14:paraId="4A0B7484" w14:textId="4BFCCD6B" w:rsidR="000D720C" w:rsidRPr="00945BDC" w:rsidRDefault="00AF1AB2" w:rsidP="00945BDC">
            <w:pPr>
              <w:pStyle w:val="TableTextRight"/>
            </w:pPr>
            <w:r w:rsidRPr="00945BDC">
              <w:t>65</w:t>
            </w:r>
          </w:p>
        </w:tc>
      </w:tr>
      <w:tr w:rsidR="000D720C" w:rsidRPr="009D2B6D" w14:paraId="66358C01" w14:textId="77777777" w:rsidTr="00945BDC">
        <w:trPr>
          <w:trHeight w:val="300"/>
        </w:trPr>
        <w:tc>
          <w:tcPr>
            <w:tcW w:w="1701" w:type="dxa"/>
            <w:tcBorders>
              <w:top w:val="single" w:sz="4" w:space="0" w:color="F2E3C7" w:themeColor="accent6"/>
              <w:left w:val="nil"/>
              <w:bottom w:val="single" w:sz="4" w:space="0" w:color="F2E3C7" w:themeColor="accent6"/>
              <w:right w:val="nil"/>
            </w:tcBorders>
            <w:shd w:val="clear" w:color="auto" w:fill="auto"/>
            <w:noWrap/>
            <w:vAlign w:val="center"/>
            <w:hideMark/>
          </w:tcPr>
          <w:p w14:paraId="71C46BF5" w14:textId="77777777" w:rsidR="000D720C" w:rsidRPr="005F0C83" w:rsidRDefault="000D720C" w:rsidP="005F0C83">
            <w:pPr>
              <w:pStyle w:val="TableTextLeft"/>
              <w:rPr>
                <w:rStyle w:val="Strong"/>
              </w:rPr>
            </w:pPr>
            <w:r w:rsidRPr="005F0C83">
              <w:rPr>
                <w:rStyle w:val="Strong"/>
              </w:rPr>
              <w:t>Victoria</w:t>
            </w:r>
          </w:p>
        </w:tc>
        <w:tc>
          <w:tcPr>
            <w:tcW w:w="1841" w:type="dxa"/>
            <w:tcBorders>
              <w:top w:val="single" w:sz="4" w:space="0" w:color="F2E3C7" w:themeColor="accent6"/>
              <w:left w:val="nil"/>
              <w:bottom w:val="single" w:sz="4" w:space="0" w:color="F2E3C7" w:themeColor="accent6"/>
              <w:right w:val="nil"/>
            </w:tcBorders>
            <w:shd w:val="clear" w:color="auto" w:fill="auto"/>
            <w:noWrap/>
            <w:hideMark/>
          </w:tcPr>
          <w:p w14:paraId="176E9430" w14:textId="3C616A2C" w:rsidR="000D720C" w:rsidRPr="00945BDC" w:rsidRDefault="00AF1AB2" w:rsidP="00945BDC">
            <w:pPr>
              <w:pStyle w:val="TableTextRight"/>
            </w:pPr>
            <w:r w:rsidRPr="00945BDC">
              <w:t>306,000</w:t>
            </w:r>
          </w:p>
        </w:tc>
        <w:tc>
          <w:tcPr>
            <w:tcW w:w="1843" w:type="dxa"/>
            <w:tcBorders>
              <w:top w:val="single" w:sz="4" w:space="0" w:color="F2E3C7" w:themeColor="accent6"/>
              <w:left w:val="nil"/>
              <w:bottom w:val="single" w:sz="4" w:space="0" w:color="F2E3C7" w:themeColor="accent6"/>
              <w:right w:val="nil"/>
            </w:tcBorders>
            <w:shd w:val="clear" w:color="auto" w:fill="auto"/>
            <w:noWrap/>
          </w:tcPr>
          <w:p w14:paraId="0837A46C" w14:textId="0032EDD5" w:rsidR="000D720C" w:rsidRPr="00945BDC" w:rsidRDefault="00AF1AB2" w:rsidP="00945BDC">
            <w:pPr>
              <w:pStyle w:val="TableTextRight"/>
            </w:pPr>
            <w:r w:rsidRPr="00945BDC">
              <w:t>300,000</w:t>
            </w:r>
          </w:p>
        </w:tc>
        <w:tc>
          <w:tcPr>
            <w:tcW w:w="1842" w:type="dxa"/>
            <w:tcBorders>
              <w:top w:val="single" w:sz="4" w:space="0" w:color="F2E3C7" w:themeColor="accent6"/>
              <w:left w:val="nil"/>
              <w:bottom w:val="single" w:sz="4" w:space="0" w:color="F2E3C7" w:themeColor="accent6"/>
              <w:right w:val="nil"/>
            </w:tcBorders>
            <w:shd w:val="clear" w:color="auto" w:fill="auto"/>
            <w:noWrap/>
          </w:tcPr>
          <w:p w14:paraId="59AB7270" w14:textId="77777777" w:rsidR="000D720C" w:rsidRPr="00945BDC" w:rsidRDefault="000D720C" w:rsidP="00945BDC">
            <w:pPr>
              <w:pStyle w:val="TableTextRight"/>
            </w:pPr>
            <w:r w:rsidRPr="00945BDC">
              <w:t>306,000</w:t>
            </w:r>
          </w:p>
        </w:tc>
        <w:tc>
          <w:tcPr>
            <w:tcW w:w="1843" w:type="dxa"/>
            <w:tcBorders>
              <w:top w:val="single" w:sz="4" w:space="0" w:color="F2E3C7" w:themeColor="accent6"/>
              <w:left w:val="nil"/>
              <w:bottom w:val="single" w:sz="4" w:space="0" w:color="F2E3C7" w:themeColor="accent6"/>
              <w:right w:val="nil"/>
            </w:tcBorders>
            <w:shd w:val="clear" w:color="auto" w:fill="auto"/>
            <w:noWrap/>
          </w:tcPr>
          <w:p w14:paraId="21521D2A" w14:textId="3CDAC1AC" w:rsidR="000D720C" w:rsidRPr="00945BDC" w:rsidRDefault="00AF1AB2" w:rsidP="00945BDC">
            <w:pPr>
              <w:pStyle w:val="TableTextRight"/>
            </w:pPr>
            <w:r w:rsidRPr="00945BDC">
              <w:t>98</w:t>
            </w:r>
          </w:p>
        </w:tc>
      </w:tr>
      <w:tr w:rsidR="000D720C" w:rsidRPr="009D2B6D" w14:paraId="61A0D268" w14:textId="77777777" w:rsidTr="00945BDC">
        <w:trPr>
          <w:trHeight w:val="300"/>
        </w:trPr>
        <w:tc>
          <w:tcPr>
            <w:tcW w:w="1701" w:type="dxa"/>
            <w:tcBorders>
              <w:top w:val="single" w:sz="4" w:space="0" w:color="F2E3C7" w:themeColor="accent6"/>
              <w:left w:val="nil"/>
              <w:bottom w:val="single" w:sz="4" w:space="0" w:color="F2E3C7" w:themeColor="accent6"/>
              <w:right w:val="nil"/>
            </w:tcBorders>
            <w:shd w:val="clear" w:color="auto" w:fill="auto"/>
            <w:noWrap/>
            <w:vAlign w:val="center"/>
            <w:hideMark/>
          </w:tcPr>
          <w:p w14:paraId="2F48E199" w14:textId="77777777" w:rsidR="000D720C" w:rsidRPr="005F0C83" w:rsidRDefault="000D720C" w:rsidP="005F0C83">
            <w:pPr>
              <w:pStyle w:val="TableTextLeft"/>
              <w:rPr>
                <w:rStyle w:val="Strong"/>
              </w:rPr>
            </w:pPr>
            <w:r w:rsidRPr="005F0C83">
              <w:rPr>
                <w:rStyle w:val="Strong"/>
              </w:rPr>
              <w:t>Queensland</w:t>
            </w:r>
          </w:p>
        </w:tc>
        <w:tc>
          <w:tcPr>
            <w:tcW w:w="1841" w:type="dxa"/>
            <w:tcBorders>
              <w:top w:val="single" w:sz="4" w:space="0" w:color="F2E3C7" w:themeColor="accent6"/>
              <w:left w:val="nil"/>
              <w:bottom w:val="single" w:sz="4" w:space="0" w:color="F2E3C7" w:themeColor="accent6"/>
              <w:right w:val="nil"/>
            </w:tcBorders>
            <w:shd w:val="clear" w:color="auto" w:fill="auto"/>
            <w:noWrap/>
            <w:hideMark/>
          </w:tcPr>
          <w:p w14:paraId="1A037F41" w14:textId="2F44AD4B" w:rsidR="000D720C" w:rsidRPr="00945BDC" w:rsidRDefault="00AF1AB2" w:rsidP="00945BDC">
            <w:pPr>
              <w:pStyle w:val="TableTextRight"/>
            </w:pPr>
            <w:r w:rsidRPr="00945BDC">
              <w:t>166,000</w:t>
            </w:r>
          </w:p>
        </w:tc>
        <w:tc>
          <w:tcPr>
            <w:tcW w:w="1843" w:type="dxa"/>
            <w:tcBorders>
              <w:top w:val="single" w:sz="4" w:space="0" w:color="F2E3C7" w:themeColor="accent6"/>
              <w:left w:val="nil"/>
              <w:bottom w:val="single" w:sz="4" w:space="0" w:color="F2E3C7" w:themeColor="accent6"/>
              <w:right w:val="nil"/>
            </w:tcBorders>
            <w:shd w:val="clear" w:color="auto" w:fill="auto"/>
            <w:noWrap/>
          </w:tcPr>
          <w:p w14:paraId="13359DD5" w14:textId="78B8D4E2" w:rsidR="000D720C" w:rsidRPr="00945BDC" w:rsidRDefault="00AF1AB2" w:rsidP="00945BDC">
            <w:pPr>
              <w:pStyle w:val="TableTextRight"/>
            </w:pPr>
            <w:r w:rsidRPr="00945BDC">
              <w:t>194,000</w:t>
            </w:r>
          </w:p>
        </w:tc>
        <w:tc>
          <w:tcPr>
            <w:tcW w:w="1842" w:type="dxa"/>
            <w:tcBorders>
              <w:top w:val="single" w:sz="4" w:space="0" w:color="F2E3C7" w:themeColor="accent6"/>
              <w:left w:val="nil"/>
              <w:bottom w:val="single" w:sz="4" w:space="0" w:color="F2E3C7" w:themeColor="accent6"/>
              <w:right w:val="nil"/>
            </w:tcBorders>
            <w:shd w:val="clear" w:color="auto" w:fill="auto"/>
          </w:tcPr>
          <w:p w14:paraId="0AF4B738" w14:textId="77777777" w:rsidR="000D720C" w:rsidRPr="00945BDC" w:rsidRDefault="000D720C" w:rsidP="00945BDC">
            <w:pPr>
              <w:pStyle w:val="TableTextRight"/>
            </w:pPr>
            <w:r w:rsidRPr="00945BDC">
              <w:t>246,000</w:t>
            </w:r>
          </w:p>
        </w:tc>
        <w:tc>
          <w:tcPr>
            <w:tcW w:w="1843" w:type="dxa"/>
            <w:tcBorders>
              <w:top w:val="single" w:sz="4" w:space="0" w:color="F2E3C7" w:themeColor="accent6"/>
              <w:left w:val="nil"/>
              <w:bottom w:val="single" w:sz="4" w:space="0" w:color="F2E3C7" w:themeColor="accent6"/>
              <w:right w:val="nil"/>
            </w:tcBorders>
            <w:shd w:val="clear" w:color="auto" w:fill="auto"/>
          </w:tcPr>
          <w:p w14:paraId="692593B7" w14:textId="65CBDC9B" w:rsidR="000D720C" w:rsidRPr="00945BDC" w:rsidRDefault="00AF1AB2" w:rsidP="00945BDC">
            <w:pPr>
              <w:pStyle w:val="TableTextRight"/>
            </w:pPr>
            <w:r w:rsidRPr="00945BDC">
              <w:t>79</w:t>
            </w:r>
          </w:p>
        </w:tc>
      </w:tr>
      <w:tr w:rsidR="000D720C" w:rsidRPr="009D2B6D" w14:paraId="221021B6" w14:textId="77777777" w:rsidTr="00945BDC">
        <w:trPr>
          <w:trHeight w:val="254"/>
        </w:trPr>
        <w:tc>
          <w:tcPr>
            <w:tcW w:w="1701" w:type="dxa"/>
            <w:tcBorders>
              <w:top w:val="single" w:sz="4" w:space="0" w:color="F2E3C7" w:themeColor="accent6"/>
              <w:left w:val="nil"/>
              <w:bottom w:val="single" w:sz="4" w:space="0" w:color="F2E3C7" w:themeColor="accent6"/>
              <w:right w:val="nil"/>
            </w:tcBorders>
            <w:shd w:val="clear" w:color="auto" w:fill="auto"/>
            <w:noWrap/>
            <w:vAlign w:val="center"/>
            <w:hideMark/>
          </w:tcPr>
          <w:p w14:paraId="71B4D471" w14:textId="77777777" w:rsidR="000D720C" w:rsidRPr="005F0C83" w:rsidRDefault="000D720C" w:rsidP="005F0C83">
            <w:pPr>
              <w:pStyle w:val="TableTextLeft"/>
              <w:rPr>
                <w:rStyle w:val="Strong"/>
              </w:rPr>
            </w:pPr>
            <w:r w:rsidRPr="005F0C83">
              <w:rPr>
                <w:rStyle w:val="Strong"/>
              </w:rPr>
              <w:t>Western Australia</w:t>
            </w:r>
          </w:p>
        </w:tc>
        <w:tc>
          <w:tcPr>
            <w:tcW w:w="1841" w:type="dxa"/>
            <w:tcBorders>
              <w:top w:val="single" w:sz="4" w:space="0" w:color="F2E3C7" w:themeColor="accent6"/>
              <w:left w:val="nil"/>
              <w:bottom w:val="single" w:sz="4" w:space="0" w:color="F2E3C7" w:themeColor="accent6"/>
              <w:right w:val="nil"/>
            </w:tcBorders>
            <w:shd w:val="clear" w:color="auto" w:fill="auto"/>
            <w:noWrap/>
            <w:hideMark/>
          </w:tcPr>
          <w:p w14:paraId="4146EC23" w14:textId="58DB25E9" w:rsidR="000D720C" w:rsidRPr="00945BDC" w:rsidRDefault="000D3D23" w:rsidP="00945BDC">
            <w:pPr>
              <w:pStyle w:val="TableTextRight"/>
            </w:pPr>
            <w:r w:rsidRPr="00945BDC">
              <w:t>75,000</w:t>
            </w:r>
          </w:p>
        </w:tc>
        <w:tc>
          <w:tcPr>
            <w:tcW w:w="1843" w:type="dxa"/>
            <w:tcBorders>
              <w:top w:val="single" w:sz="4" w:space="0" w:color="F2E3C7" w:themeColor="accent6"/>
              <w:left w:val="nil"/>
              <w:bottom w:val="single" w:sz="4" w:space="0" w:color="F2E3C7" w:themeColor="accent6"/>
              <w:right w:val="nil"/>
            </w:tcBorders>
            <w:shd w:val="clear" w:color="auto" w:fill="auto"/>
            <w:noWrap/>
          </w:tcPr>
          <w:p w14:paraId="58DDC292" w14:textId="6A4A424B" w:rsidR="000D720C" w:rsidRPr="00945BDC" w:rsidRDefault="000D3D23" w:rsidP="00945BDC">
            <w:pPr>
              <w:pStyle w:val="TableTextRight"/>
            </w:pPr>
            <w:r w:rsidRPr="00945BDC">
              <w:t>105,000</w:t>
            </w:r>
          </w:p>
        </w:tc>
        <w:tc>
          <w:tcPr>
            <w:tcW w:w="1842" w:type="dxa"/>
            <w:tcBorders>
              <w:top w:val="single" w:sz="4" w:space="0" w:color="F2E3C7" w:themeColor="accent6"/>
              <w:left w:val="nil"/>
              <w:bottom w:val="single" w:sz="4" w:space="0" w:color="F2E3C7" w:themeColor="accent6"/>
              <w:right w:val="nil"/>
            </w:tcBorders>
            <w:shd w:val="clear" w:color="auto" w:fill="auto"/>
            <w:noWrap/>
          </w:tcPr>
          <w:p w14:paraId="4E7E3C4C" w14:textId="77777777" w:rsidR="000D720C" w:rsidRPr="00945BDC" w:rsidRDefault="000D720C" w:rsidP="00945BDC">
            <w:pPr>
              <w:pStyle w:val="TableTextRight"/>
            </w:pPr>
            <w:r w:rsidRPr="00945BDC">
              <w:t>129,000</w:t>
            </w:r>
          </w:p>
        </w:tc>
        <w:tc>
          <w:tcPr>
            <w:tcW w:w="1843" w:type="dxa"/>
            <w:tcBorders>
              <w:top w:val="single" w:sz="4" w:space="0" w:color="F2E3C7" w:themeColor="accent6"/>
              <w:left w:val="nil"/>
              <w:bottom w:val="single" w:sz="4" w:space="0" w:color="F2E3C7" w:themeColor="accent6"/>
              <w:right w:val="nil"/>
            </w:tcBorders>
            <w:shd w:val="clear" w:color="auto" w:fill="auto"/>
            <w:noWrap/>
          </w:tcPr>
          <w:p w14:paraId="5BDC009B" w14:textId="3DDE319B" w:rsidR="000D720C" w:rsidRPr="00945BDC" w:rsidRDefault="000D3D23" w:rsidP="00945BDC">
            <w:pPr>
              <w:pStyle w:val="TableTextRight"/>
            </w:pPr>
            <w:r w:rsidRPr="00945BDC">
              <w:t>81</w:t>
            </w:r>
          </w:p>
        </w:tc>
      </w:tr>
      <w:tr w:rsidR="000D720C" w:rsidRPr="009D2B6D" w14:paraId="552DBBEA" w14:textId="77777777" w:rsidTr="00945BDC">
        <w:trPr>
          <w:trHeight w:val="300"/>
        </w:trPr>
        <w:tc>
          <w:tcPr>
            <w:tcW w:w="1701" w:type="dxa"/>
            <w:tcBorders>
              <w:top w:val="single" w:sz="4" w:space="0" w:color="F2E3C7" w:themeColor="accent6"/>
              <w:left w:val="nil"/>
              <w:bottom w:val="single" w:sz="4" w:space="0" w:color="F2E3C7" w:themeColor="accent6"/>
              <w:right w:val="nil"/>
            </w:tcBorders>
            <w:shd w:val="clear" w:color="auto" w:fill="auto"/>
            <w:noWrap/>
            <w:vAlign w:val="center"/>
            <w:hideMark/>
          </w:tcPr>
          <w:p w14:paraId="5FEA1011" w14:textId="77777777" w:rsidR="000D720C" w:rsidRPr="005F0C83" w:rsidRDefault="000D720C" w:rsidP="005F0C83">
            <w:pPr>
              <w:pStyle w:val="TableTextLeft"/>
              <w:rPr>
                <w:rStyle w:val="Strong"/>
              </w:rPr>
            </w:pPr>
            <w:r w:rsidRPr="005F0C83">
              <w:rPr>
                <w:rStyle w:val="Strong"/>
              </w:rPr>
              <w:t>South Australia</w:t>
            </w:r>
          </w:p>
        </w:tc>
        <w:tc>
          <w:tcPr>
            <w:tcW w:w="1841" w:type="dxa"/>
            <w:tcBorders>
              <w:top w:val="single" w:sz="4" w:space="0" w:color="F2E3C7" w:themeColor="accent6"/>
              <w:left w:val="nil"/>
              <w:bottom w:val="single" w:sz="4" w:space="0" w:color="F2E3C7" w:themeColor="accent6"/>
              <w:right w:val="nil"/>
            </w:tcBorders>
            <w:shd w:val="clear" w:color="auto" w:fill="auto"/>
            <w:noWrap/>
            <w:hideMark/>
          </w:tcPr>
          <w:p w14:paraId="31774AEC" w14:textId="1021D28A" w:rsidR="000D720C" w:rsidRPr="00945BDC" w:rsidRDefault="000D3D23" w:rsidP="00945BDC">
            <w:pPr>
              <w:pStyle w:val="TableTextRight"/>
            </w:pPr>
            <w:r w:rsidRPr="00945BDC">
              <w:t>54,000</w:t>
            </w:r>
          </w:p>
        </w:tc>
        <w:tc>
          <w:tcPr>
            <w:tcW w:w="1843" w:type="dxa"/>
            <w:tcBorders>
              <w:top w:val="single" w:sz="4" w:space="0" w:color="F2E3C7" w:themeColor="accent6"/>
              <w:left w:val="nil"/>
              <w:bottom w:val="single" w:sz="4" w:space="0" w:color="F2E3C7" w:themeColor="accent6"/>
              <w:right w:val="nil"/>
            </w:tcBorders>
            <w:shd w:val="clear" w:color="auto" w:fill="auto"/>
            <w:noWrap/>
          </w:tcPr>
          <w:p w14:paraId="4882050B" w14:textId="7C96B9B1" w:rsidR="000D720C" w:rsidRPr="00945BDC" w:rsidRDefault="000D3D23" w:rsidP="00945BDC">
            <w:pPr>
              <w:pStyle w:val="TableTextRight"/>
            </w:pPr>
            <w:r w:rsidRPr="00945BDC">
              <w:t>59,000</w:t>
            </w:r>
          </w:p>
        </w:tc>
        <w:tc>
          <w:tcPr>
            <w:tcW w:w="1842" w:type="dxa"/>
            <w:tcBorders>
              <w:top w:val="single" w:sz="4" w:space="0" w:color="F2E3C7" w:themeColor="accent6"/>
              <w:left w:val="nil"/>
              <w:bottom w:val="single" w:sz="4" w:space="0" w:color="F2E3C7" w:themeColor="accent6"/>
              <w:right w:val="nil"/>
            </w:tcBorders>
            <w:shd w:val="clear" w:color="auto" w:fill="auto"/>
          </w:tcPr>
          <w:p w14:paraId="3F085183" w14:textId="77777777" w:rsidR="000D720C" w:rsidRPr="00945BDC" w:rsidRDefault="000D720C" w:rsidP="00945BDC">
            <w:pPr>
              <w:pStyle w:val="TableTextRight"/>
            </w:pPr>
            <w:r w:rsidRPr="00945BDC">
              <w:t>84,000</w:t>
            </w:r>
          </w:p>
        </w:tc>
        <w:tc>
          <w:tcPr>
            <w:tcW w:w="1843" w:type="dxa"/>
            <w:tcBorders>
              <w:top w:val="single" w:sz="4" w:space="0" w:color="F2E3C7" w:themeColor="accent6"/>
              <w:left w:val="nil"/>
              <w:bottom w:val="single" w:sz="4" w:space="0" w:color="F2E3C7" w:themeColor="accent6"/>
              <w:right w:val="nil"/>
            </w:tcBorders>
            <w:shd w:val="clear" w:color="auto" w:fill="auto"/>
          </w:tcPr>
          <w:p w14:paraId="3D2BD240" w14:textId="3D5EB908" w:rsidR="000D720C" w:rsidRPr="00945BDC" w:rsidRDefault="000D3D23" w:rsidP="00945BDC">
            <w:pPr>
              <w:pStyle w:val="TableTextRight"/>
            </w:pPr>
            <w:r w:rsidRPr="00945BDC">
              <w:t>71</w:t>
            </w:r>
          </w:p>
        </w:tc>
      </w:tr>
      <w:tr w:rsidR="000D720C" w:rsidRPr="009D2B6D" w14:paraId="76243F43" w14:textId="77777777" w:rsidTr="00945BDC">
        <w:trPr>
          <w:trHeight w:val="300"/>
        </w:trPr>
        <w:tc>
          <w:tcPr>
            <w:tcW w:w="1701" w:type="dxa"/>
            <w:tcBorders>
              <w:top w:val="single" w:sz="4" w:space="0" w:color="F2E3C7" w:themeColor="accent6"/>
              <w:left w:val="nil"/>
              <w:bottom w:val="single" w:sz="4" w:space="0" w:color="F2E3C7" w:themeColor="accent6"/>
              <w:right w:val="nil"/>
            </w:tcBorders>
            <w:shd w:val="clear" w:color="auto" w:fill="auto"/>
            <w:noWrap/>
            <w:vAlign w:val="center"/>
            <w:hideMark/>
          </w:tcPr>
          <w:p w14:paraId="568ED19B" w14:textId="77777777" w:rsidR="000D720C" w:rsidRPr="005F0C83" w:rsidRDefault="000D720C" w:rsidP="005F0C83">
            <w:pPr>
              <w:pStyle w:val="TableTextLeft"/>
              <w:rPr>
                <w:rStyle w:val="Strong"/>
              </w:rPr>
            </w:pPr>
            <w:r w:rsidRPr="005F0C83">
              <w:rPr>
                <w:rStyle w:val="Strong"/>
              </w:rPr>
              <w:t>Tasmania</w:t>
            </w:r>
          </w:p>
        </w:tc>
        <w:tc>
          <w:tcPr>
            <w:tcW w:w="1841" w:type="dxa"/>
            <w:tcBorders>
              <w:top w:val="single" w:sz="4" w:space="0" w:color="F2E3C7" w:themeColor="accent6"/>
              <w:left w:val="nil"/>
              <w:bottom w:val="single" w:sz="4" w:space="0" w:color="F2E3C7" w:themeColor="accent6"/>
              <w:right w:val="nil"/>
            </w:tcBorders>
            <w:shd w:val="clear" w:color="auto" w:fill="auto"/>
            <w:noWrap/>
            <w:hideMark/>
          </w:tcPr>
          <w:p w14:paraId="400BF9BB" w14:textId="75ED39F3" w:rsidR="000D720C" w:rsidRPr="00945BDC" w:rsidRDefault="000D3D23" w:rsidP="00945BDC">
            <w:pPr>
              <w:pStyle w:val="TableTextRight"/>
            </w:pPr>
            <w:r w:rsidRPr="00945BDC">
              <w:t>16,000</w:t>
            </w:r>
          </w:p>
        </w:tc>
        <w:tc>
          <w:tcPr>
            <w:tcW w:w="1843" w:type="dxa"/>
            <w:tcBorders>
              <w:top w:val="single" w:sz="4" w:space="0" w:color="F2E3C7" w:themeColor="accent6"/>
              <w:left w:val="nil"/>
              <w:bottom w:val="single" w:sz="4" w:space="0" w:color="F2E3C7" w:themeColor="accent6"/>
              <w:right w:val="nil"/>
            </w:tcBorders>
            <w:shd w:val="clear" w:color="auto" w:fill="auto"/>
            <w:noWrap/>
          </w:tcPr>
          <w:p w14:paraId="26784D48" w14:textId="28D51B83" w:rsidR="000D720C" w:rsidRPr="00945BDC" w:rsidRDefault="000D3D23" w:rsidP="00945BDC">
            <w:pPr>
              <w:pStyle w:val="TableTextRight"/>
            </w:pPr>
            <w:r w:rsidRPr="00945BDC">
              <w:t>13,000</w:t>
            </w:r>
          </w:p>
        </w:tc>
        <w:tc>
          <w:tcPr>
            <w:tcW w:w="1842" w:type="dxa"/>
            <w:tcBorders>
              <w:top w:val="single" w:sz="4" w:space="0" w:color="F2E3C7" w:themeColor="accent6"/>
              <w:left w:val="nil"/>
              <w:bottom w:val="single" w:sz="4" w:space="0" w:color="F2E3C7" w:themeColor="accent6"/>
              <w:right w:val="nil"/>
            </w:tcBorders>
            <w:shd w:val="clear" w:color="auto" w:fill="auto"/>
            <w:noWrap/>
          </w:tcPr>
          <w:p w14:paraId="70398E88" w14:textId="77777777" w:rsidR="000D720C" w:rsidRPr="00945BDC" w:rsidRDefault="000D720C" w:rsidP="00945BDC">
            <w:pPr>
              <w:pStyle w:val="TableTextRight"/>
            </w:pPr>
            <w:r w:rsidRPr="00945BDC">
              <w:t>26,000</w:t>
            </w:r>
          </w:p>
        </w:tc>
        <w:tc>
          <w:tcPr>
            <w:tcW w:w="1843" w:type="dxa"/>
            <w:tcBorders>
              <w:top w:val="single" w:sz="4" w:space="0" w:color="F2E3C7" w:themeColor="accent6"/>
              <w:left w:val="nil"/>
              <w:bottom w:val="single" w:sz="4" w:space="0" w:color="F2E3C7" w:themeColor="accent6"/>
              <w:right w:val="nil"/>
            </w:tcBorders>
            <w:shd w:val="clear" w:color="auto" w:fill="auto"/>
            <w:noWrap/>
          </w:tcPr>
          <w:p w14:paraId="6B1DED44" w14:textId="128D2A5D" w:rsidR="000D720C" w:rsidRPr="00945BDC" w:rsidRDefault="000D3D23" w:rsidP="00945BDC">
            <w:pPr>
              <w:pStyle w:val="TableTextRight"/>
            </w:pPr>
            <w:r w:rsidRPr="00945BDC">
              <w:t>51</w:t>
            </w:r>
          </w:p>
        </w:tc>
      </w:tr>
      <w:tr w:rsidR="000D720C" w:rsidRPr="009D2B6D" w14:paraId="00774440" w14:textId="77777777" w:rsidTr="00945BDC">
        <w:trPr>
          <w:trHeight w:val="313"/>
        </w:trPr>
        <w:tc>
          <w:tcPr>
            <w:tcW w:w="1701" w:type="dxa"/>
            <w:tcBorders>
              <w:top w:val="single" w:sz="4" w:space="0" w:color="F2E3C7" w:themeColor="accent6"/>
              <w:left w:val="nil"/>
              <w:bottom w:val="single" w:sz="4" w:space="0" w:color="F2E3C7" w:themeColor="accent6"/>
              <w:right w:val="nil"/>
            </w:tcBorders>
            <w:shd w:val="clear" w:color="auto" w:fill="auto"/>
            <w:noWrap/>
            <w:vAlign w:val="center"/>
            <w:hideMark/>
          </w:tcPr>
          <w:p w14:paraId="679BED64" w14:textId="1A8F964F" w:rsidR="000D720C" w:rsidRPr="005F0C83" w:rsidRDefault="0047462D" w:rsidP="005F0C83">
            <w:pPr>
              <w:pStyle w:val="TableTextLeft"/>
              <w:rPr>
                <w:rStyle w:val="Strong"/>
              </w:rPr>
            </w:pPr>
            <w:r>
              <w:rPr>
                <w:rStyle w:val="Strong"/>
              </w:rPr>
              <w:t>ACT</w:t>
            </w:r>
          </w:p>
        </w:tc>
        <w:tc>
          <w:tcPr>
            <w:tcW w:w="1841" w:type="dxa"/>
            <w:tcBorders>
              <w:top w:val="single" w:sz="4" w:space="0" w:color="F2E3C7" w:themeColor="accent6"/>
              <w:left w:val="nil"/>
              <w:bottom w:val="single" w:sz="4" w:space="0" w:color="F2E3C7" w:themeColor="accent6"/>
              <w:right w:val="nil"/>
            </w:tcBorders>
            <w:shd w:val="clear" w:color="auto" w:fill="auto"/>
            <w:noWrap/>
            <w:hideMark/>
          </w:tcPr>
          <w:p w14:paraId="63EEFF80" w14:textId="4C9EE6FC" w:rsidR="000D720C" w:rsidRPr="00945BDC" w:rsidRDefault="000D3D23" w:rsidP="00945BDC">
            <w:pPr>
              <w:pStyle w:val="TableTextRight"/>
            </w:pPr>
            <w:r w:rsidRPr="00945BDC">
              <w:t>24,000</w:t>
            </w:r>
          </w:p>
        </w:tc>
        <w:tc>
          <w:tcPr>
            <w:tcW w:w="1843" w:type="dxa"/>
            <w:tcBorders>
              <w:top w:val="single" w:sz="4" w:space="0" w:color="F2E3C7" w:themeColor="accent6"/>
              <w:left w:val="nil"/>
              <w:bottom w:val="single" w:sz="4" w:space="0" w:color="F2E3C7" w:themeColor="accent6"/>
              <w:right w:val="nil"/>
            </w:tcBorders>
            <w:shd w:val="clear" w:color="auto" w:fill="auto"/>
            <w:noWrap/>
          </w:tcPr>
          <w:p w14:paraId="62CCBA19" w14:textId="07102A0A" w:rsidR="000D720C" w:rsidRPr="00945BDC" w:rsidRDefault="000D3D23" w:rsidP="00945BDC">
            <w:pPr>
              <w:pStyle w:val="TableTextRight"/>
            </w:pPr>
            <w:r w:rsidRPr="00945BDC">
              <w:t>16,000</w:t>
            </w:r>
          </w:p>
        </w:tc>
        <w:tc>
          <w:tcPr>
            <w:tcW w:w="1842" w:type="dxa"/>
            <w:tcBorders>
              <w:top w:val="single" w:sz="4" w:space="0" w:color="F2E3C7" w:themeColor="accent6"/>
              <w:left w:val="nil"/>
              <w:bottom w:val="single" w:sz="4" w:space="0" w:color="F2E3C7" w:themeColor="accent6"/>
              <w:right w:val="nil"/>
            </w:tcBorders>
            <w:shd w:val="clear" w:color="auto" w:fill="auto"/>
          </w:tcPr>
          <w:p w14:paraId="630C40CC" w14:textId="77777777" w:rsidR="000D720C" w:rsidRPr="00945BDC" w:rsidRDefault="000D720C" w:rsidP="00945BDC">
            <w:pPr>
              <w:pStyle w:val="TableTextRight"/>
            </w:pPr>
            <w:r w:rsidRPr="00945BDC">
              <w:t>21,000</w:t>
            </w:r>
          </w:p>
        </w:tc>
        <w:tc>
          <w:tcPr>
            <w:tcW w:w="1843" w:type="dxa"/>
            <w:tcBorders>
              <w:top w:val="single" w:sz="4" w:space="0" w:color="F2E3C7" w:themeColor="accent6"/>
              <w:left w:val="nil"/>
              <w:bottom w:val="single" w:sz="4" w:space="0" w:color="F2E3C7" w:themeColor="accent6"/>
              <w:right w:val="nil"/>
            </w:tcBorders>
            <w:shd w:val="clear" w:color="auto" w:fill="auto"/>
          </w:tcPr>
          <w:p w14:paraId="681ECBA4" w14:textId="122988F8" w:rsidR="000D720C" w:rsidRPr="00945BDC" w:rsidRDefault="000D3D23" w:rsidP="00945BDC">
            <w:pPr>
              <w:pStyle w:val="TableTextRight"/>
            </w:pPr>
            <w:r w:rsidRPr="00945BDC">
              <w:t>78</w:t>
            </w:r>
          </w:p>
        </w:tc>
      </w:tr>
      <w:tr w:rsidR="000D720C" w:rsidRPr="009D2B6D" w14:paraId="461F8F51" w14:textId="77777777" w:rsidTr="00945BDC">
        <w:trPr>
          <w:trHeight w:val="300"/>
        </w:trPr>
        <w:tc>
          <w:tcPr>
            <w:tcW w:w="1701" w:type="dxa"/>
            <w:tcBorders>
              <w:top w:val="single" w:sz="4" w:space="0" w:color="F2E3C7" w:themeColor="accent6"/>
              <w:left w:val="nil"/>
              <w:bottom w:val="single" w:sz="12" w:space="0" w:color="F2E3C7" w:themeColor="accent6"/>
              <w:right w:val="nil"/>
            </w:tcBorders>
            <w:shd w:val="clear" w:color="auto" w:fill="auto"/>
            <w:noWrap/>
            <w:vAlign w:val="center"/>
            <w:hideMark/>
          </w:tcPr>
          <w:p w14:paraId="7A81ED6A" w14:textId="77777777" w:rsidR="000D720C" w:rsidRPr="005F0C83" w:rsidRDefault="000D720C" w:rsidP="005F0C83">
            <w:pPr>
              <w:pStyle w:val="TableTextLeft"/>
              <w:rPr>
                <w:rStyle w:val="Strong"/>
              </w:rPr>
            </w:pPr>
            <w:r w:rsidRPr="005F0C83">
              <w:rPr>
                <w:rStyle w:val="Strong"/>
              </w:rPr>
              <w:t>Northern Territory</w:t>
            </w:r>
          </w:p>
        </w:tc>
        <w:tc>
          <w:tcPr>
            <w:tcW w:w="1841" w:type="dxa"/>
            <w:tcBorders>
              <w:top w:val="single" w:sz="4" w:space="0" w:color="F2E3C7" w:themeColor="accent6"/>
              <w:left w:val="nil"/>
              <w:bottom w:val="single" w:sz="12" w:space="0" w:color="F2E3C7" w:themeColor="accent6"/>
              <w:right w:val="nil"/>
            </w:tcBorders>
            <w:shd w:val="clear" w:color="auto" w:fill="auto"/>
            <w:noWrap/>
            <w:hideMark/>
          </w:tcPr>
          <w:p w14:paraId="657DF51E" w14:textId="5E784292" w:rsidR="000D720C" w:rsidRPr="00945BDC" w:rsidRDefault="000D3D23" w:rsidP="00945BDC">
            <w:pPr>
              <w:pStyle w:val="TableTextRight"/>
            </w:pPr>
            <w:r w:rsidRPr="00945BDC">
              <w:t>3,000</w:t>
            </w:r>
          </w:p>
        </w:tc>
        <w:tc>
          <w:tcPr>
            <w:tcW w:w="1843" w:type="dxa"/>
            <w:tcBorders>
              <w:top w:val="single" w:sz="4" w:space="0" w:color="F2E3C7" w:themeColor="accent6"/>
              <w:left w:val="nil"/>
              <w:bottom w:val="single" w:sz="12" w:space="0" w:color="F2E3C7" w:themeColor="accent6"/>
              <w:right w:val="nil"/>
            </w:tcBorders>
            <w:shd w:val="clear" w:color="auto" w:fill="auto"/>
            <w:noWrap/>
          </w:tcPr>
          <w:p w14:paraId="2C315DC9" w14:textId="469EC8E2" w:rsidR="000D720C" w:rsidRPr="00945BDC" w:rsidRDefault="000D3D23" w:rsidP="00945BDC">
            <w:pPr>
              <w:pStyle w:val="TableTextRight"/>
            </w:pPr>
            <w:r w:rsidRPr="00945BDC">
              <w:t>4,000</w:t>
            </w:r>
          </w:p>
        </w:tc>
        <w:tc>
          <w:tcPr>
            <w:tcW w:w="1842" w:type="dxa"/>
            <w:tcBorders>
              <w:top w:val="single" w:sz="4" w:space="0" w:color="F2E3C7" w:themeColor="accent6"/>
              <w:left w:val="nil"/>
              <w:bottom w:val="single" w:sz="12" w:space="0" w:color="F2E3C7" w:themeColor="accent6"/>
              <w:right w:val="nil"/>
            </w:tcBorders>
            <w:shd w:val="clear" w:color="auto" w:fill="auto"/>
            <w:noWrap/>
          </w:tcPr>
          <w:p w14:paraId="7CE7B258" w14:textId="77777777" w:rsidR="000D720C" w:rsidRPr="00945BDC" w:rsidRDefault="000D720C" w:rsidP="00945BDC">
            <w:pPr>
              <w:pStyle w:val="TableTextRight"/>
            </w:pPr>
            <w:r w:rsidRPr="00945BDC">
              <w:t>11,000</w:t>
            </w:r>
          </w:p>
        </w:tc>
        <w:tc>
          <w:tcPr>
            <w:tcW w:w="1843" w:type="dxa"/>
            <w:tcBorders>
              <w:top w:val="single" w:sz="4" w:space="0" w:color="F2E3C7" w:themeColor="accent6"/>
              <w:left w:val="nil"/>
              <w:bottom w:val="single" w:sz="12" w:space="0" w:color="F2E3C7" w:themeColor="accent6"/>
              <w:right w:val="nil"/>
            </w:tcBorders>
            <w:shd w:val="clear" w:color="auto" w:fill="auto"/>
            <w:noWrap/>
          </w:tcPr>
          <w:p w14:paraId="5FB1E15D" w14:textId="548D6AE1" w:rsidR="000D720C" w:rsidRPr="00945BDC" w:rsidRDefault="000D3D23" w:rsidP="00945BDC">
            <w:pPr>
              <w:pStyle w:val="TableTextRight"/>
            </w:pPr>
            <w:r w:rsidRPr="00945BDC">
              <w:t>31</w:t>
            </w:r>
          </w:p>
        </w:tc>
      </w:tr>
      <w:tr w:rsidR="000D720C" w:rsidRPr="009D2B6D" w14:paraId="58D03FC9" w14:textId="77777777" w:rsidTr="00945BDC">
        <w:trPr>
          <w:trHeight w:val="300"/>
        </w:trPr>
        <w:tc>
          <w:tcPr>
            <w:tcW w:w="1701" w:type="dxa"/>
            <w:tcBorders>
              <w:top w:val="single" w:sz="12" w:space="0" w:color="F2E3C7" w:themeColor="accent6"/>
              <w:left w:val="nil"/>
              <w:bottom w:val="single" w:sz="4" w:space="0" w:color="F2E3C7" w:themeColor="accent6"/>
              <w:right w:val="nil"/>
            </w:tcBorders>
            <w:shd w:val="clear" w:color="auto" w:fill="auto"/>
            <w:noWrap/>
            <w:vAlign w:val="center"/>
            <w:hideMark/>
          </w:tcPr>
          <w:p w14:paraId="43C9EACC" w14:textId="77777777" w:rsidR="000D720C" w:rsidRPr="005F0C83" w:rsidRDefault="000D720C" w:rsidP="005F0C83">
            <w:pPr>
              <w:pStyle w:val="TableTextLeft"/>
              <w:rPr>
                <w:rStyle w:val="Strong"/>
              </w:rPr>
            </w:pPr>
            <w:r w:rsidRPr="005F0C83">
              <w:rPr>
                <w:rStyle w:val="Strong"/>
              </w:rPr>
              <w:t>Australia</w:t>
            </w:r>
          </w:p>
        </w:tc>
        <w:tc>
          <w:tcPr>
            <w:tcW w:w="1841" w:type="dxa"/>
            <w:tcBorders>
              <w:top w:val="single" w:sz="12" w:space="0" w:color="F2E3C7" w:themeColor="accent6"/>
              <w:left w:val="nil"/>
              <w:bottom w:val="single" w:sz="4" w:space="0" w:color="F2E3C7" w:themeColor="accent6"/>
              <w:right w:val="nil"/>
            </w:tcBorders>
            <w:shd w:val="clear" w:color="auto" w:fill="auto"/>
            <w:noWrap/>
            <w:hideMark/>
          </w:tcPr>
          <w:p w14:paraId="34415BD1" w14:textId="504A1F57" w:rsidR="000D720C" w:rsidRPr="00945BDC" w:rsidRDefault="000D3D23" w:rsidP="00945BDC">
            <w:pPr>
              <w:pStyle w:val="TableTextRight"/>
            </w:pPr>
            <w:r w:rsidRPr="00945BDC">
              <w:t>896,000</w:t>
            </w:r>
          </w:p>
        </w:tc>
        <w:tc>
          <w:tcPr>
            <w:tcW w:w="1843" w:type="dxa"/>
            <w:tcBorders>
              <w:top w:val="single" w:sz="12" w:space="0" w:color="F2E3C7" w:themeColor="accent6"/>
              <w:left w:val="nil"/>
              <w:bottom w:val="single" w:sz="4" w:space="0" w:color="F2E3C7" w:themeColor="accent6"/>
              <w:right w:val="nil"/>
            </w:tcBorders>
            <w:shd w:val="clear" w:color="auto" w:fill="auto"/>
            <w:noWrap/>
          </w:tcPr>
          <w:p w14:paraId="4A6C343F" w14:textId="46A13222" w:rsidR="000D720C" w:rsidRPr="00945BDC" w:rsidRDefault="000D3D23" w:rsidP="00945BDC">
            <w:pPr>
              <w:pStyle w:val="TableTextRight"/>
            </w:pPr>
            <w:r w:rsidRPr="00945BDC">
              <w:t>938,000</w:t>
            </w:r>
          </w:p>
        </w:tc>
        <w:tc>
          <w:tcPr>
            <w:tcW w:w="1842" w:type="dxa"/>
            <w:tcBorders>
              <w:top w:val="single" w:sz="12" w:space="0" w:color="F2E3C7" w:themeColor="accent6"/>
              <w:left w:val="nil"/>
              <w:bottom w:val="single" w:sz="4" w:space="0" w:color="F2E3C7" w:themeColor="accent6"/>
              <w:right w:val="nil"/>
            </w:tcBorders>
            <w:shd w:val="clear" w:color="auto" w:fill="auto"/>
            <w:hideMark/>
          </w:tcPr>
          <w:p w14:paraId="341D2E21" w14:textId="77777777" w:rsidR="000D720C" w:rsidRPr="00945BDC" w:rsidRDefault="000D720C" w:rsidP="00945BDC">
            <w:pPr>
              <w:pStyle w:val="TableTextRight"/>
            </w:pPr>
            <w:r w:rsidRPr="00945BDC">
              <w:t>1,200,000</w:t>
            </w:r>
          </w:p>
        </w:tc>
        <w:tc>
          <w:tcPr>
            <w:tcW w:w="1843" w:type="dxa"/>
            <w:tcBorders>
              <w:top w:val="single" w:sz="12" w:space="0" w:color="F2E3C7" w:themeColor="accent6"/>
              <w:left w:val="nil"/>
              <w:bottom w:val="single" w:sz="4" w:space="0" w:color="F2E3C7" w:themeColor="accent6"/>
              <w:right w:val="nil"/>
            </w:tcBorders>
            <w:shd w:val="clear" w:color="auto" w:fill="auto"/>
          </w:tcPr>
          <w:p w14:paraId="5E7F6846" w14:textId="310D20EA" w:rsidR="000D720C" w:rsidRPr="00945BDC" w:rsidRDefault="000D3D23" w:rsidP="00945BDC">
            <w:pPr>
              <w:pStyle w:val="TableTextRight"/>
            </w:pPr>
            <w:r w:rsidRPr="00945BDC">
              <w:t>78</w:t>
            </w:r>
          </w:p>
        </w:tc>
      </w:tr>
    </w:tbl>
    <w:p w14:paraId="7D5C4DED" w14:textId="709D891E" w:rsidR="0099326B" w:rsidRPr="0099326B" w:rsidRDefault="000D720C" w:rsidP="007C3AD9">
      <w:pPr>
        <w:pStyle w:val="ChartorTableNoteandSource"/>
      </w:pPr>
      <w:r w:rsidRPr="0099326B">
        <w:t xml:space="preserve">* </w:t>
      </w:r>
      <w:r w:rsidR="007C3AD9">
        <w:tab/>
      </w:r>
      <w:r w:rsidRPr="0099326B">
        <w:t>The Council has apportioned the Housing Accord target to each state and territory by using their share of the national</w:t>
      </w:r>
      <w:r w:rsidR="008067FB">
        <w:t xml:space="preserve"> </w:t>
      </w:r>
      <w:r w:rsidRPr="0099326B">
        <w:t>population in December 2022 (these were the latest population figures available when the 1.2</w:t>
      </w:r>
      <w:r w:rsidR="0099326B" w:rsidRPr="0099326B">
        <w:t> million</w:t>
      </w:r>
      <w:r w:rsidRPr="0099326B">
        <w:t xml:space="preserve"> Housing Accord target was agreed in August 2023). Of the available options for calculating jurisdictions</w:t>
      </w:r>
      <w:r w:rsidR="00A15C79">
        <w:t>’</w:t>
      </w:r>
      <w:r w:rsidRPr="0099326B">
        <w:t xml:space="preserve"> share of the target, the Council has chosen this method because it is transparent and stable over time. Alternative approaches could be based on projected population growth over the Housing Accord period. The calculated target shares do not reflect formal agreement between the Australian and state and territory governments.</w:t>
      </w:r>
    </w:p>
    <w:p w14:paraId="2AC0239F" w14:textId="18BA8A78" w:rsidR="005C492E" w:rsidRPr="002949B5" w:rsidRDefault="000D720C" w:rsidP="00DB6DE6">
      <w:pPr>
        <w:pStyle w:val="ChartorTableNoteandSource"/>
        <w:rPr>
          <w:rFonts w:eastAsia="Calibri"/>
        </w:rPr>
      </w:pPr>
      <w:r w:rsidRPr="0099326B">
        <w:rPr>
          <w:rFonts w:eastAsia="Calibri"/>
        </w:rPr>
        <w:t>Note:</w:t>
      </w:r>
      <w:r w:rsidR="00061781">
        <w:rPr>
          <w:rFonts w:eastAsia="Calibri"/>
        </w:rPr>
        <w:tab/>
      </w:r>
      <w:r w:rsidRPr="0099326B">
        <w:rPr>
          <w:rFonts w:eastAsia="Calibri"/>
        </w:rPr>
        <w:t xml:space="preserve">The sums of </w:t>
      </w:r>
      <w:r w:rsidRPr="002949B5">
        <w:rPr>
          <w:rFonts w:eastAsia="Calibri"/>
        </w:rPr>
        <w:t>figures across states and territories may not align with national totals due to rounding.</w:t>
      </w:r>
    </w:p>
    <w:p w14:paraId="482BF39C" w14:textId="4E1C7A8A" w:rsidR="000D720C" w:rsidRPr="0099326B" w:rsidRDefault="000D720C" w:rsidP="00DB6DE6">
      <w:pPr>
        <w:pStyle w:val="ChartorTableNoteandSource"/>
        <w:rPr>
          <w:rFonts w:eastAsia="Calibri"/>
        </w:rPr>
      </w:pPr>
      <w:r w:rsidRPr="002949B5">
        <w:rPr>
          <w:rFonts w:eastAsia="Calibri"/>
        </w:rPr>
        <w:t>Source:</w:t>
      </w:r>
      <w:r w:rsidRPr="002949B5">
        <w:tab/>
      </w:r>
      <w:r w:rsidRPr="002949B5">
        <w:rPr>
          <w:rFonts w:eastAsia="Calibri"/>
        </w:rPr>
        <w:t>NHSAC 2025, ABS</w:t>
      </w:r>
      <w:r w:rsidR="002D3F13" w:rsidRPr="002949B5">
        <w:rPr>
          <w:rFonts w:eastAsia="Calibri"/>
        </w:rPr>
        <w:t xml:space="preserve"> National, state and territory population</w:t>
      </w:r>
      <w:r w:rsidRPr="002949B5">
        <w:rPr>
          <w:rFonts w:eastAsia="Calibri"/>
        </w:rPr>
        <w:t xml:space="preserve"> </w:t>
      </w:r>
      <w:r w:rsidR="00BC69F5" w:rsidRPr="0041126E">
        <w:rPr>
          <w:rFonts w:eastAsia="Calibri"/>
        </w:rPr>
        <w:t>202</w:t>
      </w:r>
      <w:r w:rsidR="00CA34BD" w:rsidRPr="0041126E">
        <w:rPr>
          <w:rFonts w:eastAsia="Calibri"/>
        </w:rPr>
        <w:t>3</w:t>
      </w:r>
      <w:r w:rsidRPr="002949B5">
        <w:rPr>
          <w:rFonts w:eastAsia="Calibri"/>
        </w:rPr>
        <w:t xml:space="preserve"> and</w:t>
      </w:r>
      <w:r w:rsidR="00A931BE" w:rsidRPr="002949B5">
        <w:rPr>
          <w:rFonts w:eastAsia="Calibri"/>
        </w:rPr>
        <w:t xml:space="preserve"> ABS Building Activity</w:t>
      </w:r>
      <w:r w:rsidRPr="002949B5">
        <w:rPr>
          <w:rFonts w:eastAsia="Calibri"/>
        </w:rPr>
        <w:t xml:space="preserve"> 2025</w:t>
      </w:r>
    </w:p>
    <w:p w14:paraId="43EAB7F3" w14:textId="77777777" w:rsidR="000D720C" w:rsidRPr="00756606" w:rsidRDefault="000D720C" w:rsidP="00F30226">
      <w:pPr>
        <w:pStyle w:val="Heading3"/>
      </w:pPr>
      <w:bookmarkStart w:id="30" w:name="_Toc194873149"/>
      <w:bookmarkStart w:id="31" w:name="_Toc194476382"/>
      <w:bookmarkStart w:id="32" w:name="_Toc194478408"/>
      <w:bookmarkStart w:id="33" w:name="_Toc194478950"/>
      <w:bookmarkStart w:id="34" w:name="_Toc194482548"/>
      <w:bookmarkStart w:id="35" w:name="_Toc195026324"/>
      <w:bookmarkStart w:id="36" w:name="_Toc195026579"/>
      <w:bookmarkStart w:id="37" w:name="_Toc195106338"/>
      <w:bookmarkStart w:id="38" w:name="_Toc195173197"/>
      <w:bookmarkStart w:id="39" w:name="_Toc195175540"/>
      <w:r>
        <w:t>Housing supply will be insufficient to meet new underlying demand over the Housing Accord period</w:t>
      </w:r>
      <w:bookmarkEnd w:id="30"/>
      <w:bookmarkEnd w:id="31"/>
      <w:bookmarkEnd w:id="32"/>
      <w:bookmarkEnd w:id="33"/>
      <w:bookmarkEnd w:id="34"/>
      <w:bookmarkEnd w:id="35"/>
      <w:bookmarkEnd w:id="36"/>
      <w:bookmarkEnd w:id="37"/>
      <w:bookmarkEnd w:id="38"/>
      <w:bookmarkEnd w:id="39"/>
    </w:p>
    <w:p w14:paraId="1E9FB72D" w14:textId="72C8453F" w:rsidR="000D720C" w:rsidRDefault="000D720C" w:rsidP="000D720C">
      <w:r>
        <w:t xml:space="preserve">After accounting for the expected demolition of around </w:t>
      </w:r>
      <w:r w:rsidRPr="002E66C5">
        <w:t>11</w:t>
      </w:r>
      <w:r w:rsidR="00E9323C" w:rsidRPr="0041126E">
        <w:t>3</w:t>
      </w:r>
      <w:r w:rsidRPr="002E66C5">
        <w:t>,000</w:t>
      </w:r>
      <w:r>
        <w:t xml:space="preserve"> dwellings, net new housing supply is projected to </w:t>
      </w:r>
      <w:r w:rsidRPr="00A753D6">
        <w:t xml:space="preserve">be </w:t>
      </w:r>
      <w:r w:rsidRPr="002E66C5">
        <w:t>8</w:t>
      </w:r>
      <w:r w:rsidR="002F6CDB" w:rsidRPr="0041126E">
        <w:t>25</w:t>
      </w:r>
      <w:r w:rsidRPr="002E66C5">
        <w:t>,000</w:t>
      </w:r>
      <w:r>
        <w:t xml:space="preserve"> over the Housing Accord period, or just over</w:t>
      </w:r>
      <w:r w:rsidRPr="00A753D6">
        <w:t xml:space="preserve"> </w:t>
      </w:r>
      <w:r w:rsidRPr="002E66C5">
        <w:t>16</w:t>
      </w:r>
      <w:r w:rsidR="002F6CDB" w:rsidRPr="0041126E">
        <w:t>5</w:t>
      </w:r>
      <w:r w:rsidRPr="002E66C5">
        <w:t>,000</w:t>
      </w:r>
      <w:r>
        <w:t xml:space="preserve"> dwellings per year on average.</w:t>
      </w:r>
      <w:r>
        <w:rPr>
          <w:rStyle w:val="FootnoteReference"/>
        </w:rPr>
        <w:footnoteReference w:id="4"/>
      </w:r>
      <w:r w:rsidRPr="008F177C">
        <w:rPr>
          <w:rStyle w:val="FootnoteReference"/>
        </w:rPr>
        <w:t xml:space="preserve"> </w:t>
      </w:r>
    </w:p>
    <w:p w14:paraId="700A8397" w14:textId="79A4401B" w:rsidR="00493879" w:rsidRDefault="000D720C" w:rsidP="000D720C">
      <w:r>
        <w:t xml:space="preserve">In comparison, new underlying housing demand is forecast to be </w:t>
      </w:r>
      <w:r w:rsidRPr="002E66C5">
        <w:t>904,000</w:t>
      </w:r>
      <w:r>
        <w:t xml:space="preserve"> households over the Housing Accord period. This reflects the still elevated demand of </w:t>
      </w:r>
      <w:r w:rsidRPr="002E66C5">
        <w:t>205,000</w:t>
      </w:r>
      <w:r>
        <w:t xml:space="preserve"> in the 2024–25 financial year (with </w:t>
      </w:r>
      <w:r w:rsidRPr="00196ADE">
        <w:t xml:space="preserve">the surge </w:t>
      </w:r>
      <w:r w:rsidRPr="001E52A3">
        <w:t xml:space="preserve">in net overseas migration </w:t>
      </w:r>
      <w:r>
        <w:t>after</w:t>
      </w:r>
      <w:r w:rsidRPr="00196ADE">
        <w:t xml:space="preserve"> the </w:t>
      </w:r>
      <w:r w:rsidR="0038342C" w:rsidRPr="002E66C5">
        <w:t>Pandemic</w:t>
      </w:r>
      <w:r w:rsidRPr="00196ADE" w:rsidDel="0036495B">
        <w:t xml:space="preserve"> </w:t>
      </w:r>
      <w:r w:rsidRPr="00196ADE">
        <w:t>still affecting the housing system</w:t>
      </w:r>
      <w:r>
        <w:t xml:space="preserve">), followed by a normalisation of demand to around </w:t>
      </w:r>
      <w:r w:rsidRPr="002E66C5">
        <w:t>175,000</w:t>
      </w:r>
      <w:r>
        <w:t xml:space="preserve"> per year from 2025–26</w:t>
      </w:r>
      <w:r w:rsidR="007864B0">
        <w:t xml:space="preserve"> </w:t>
      </w:r>
      <w:r w:rsidR="007864B0" w:rsidRPr="002E66C5">
        <w:t>(</w:t>
      </w:r>
      <w:r w:rsidR="0080426B" w:rsidRPr="0041126E">
        <w:t xml:space="preserve">see </w:t>
      </w:r>
      <w:r w:rsidR="007864B0" w:rsidRPr="002E66C5">
        <w:t>Chart O.5)</w:t>
      </w:r>
      <w:r w:rsidRPr="006E3F9E">
        <w:rPr>
          <w:rFonts w:ascii="Calibri" w:hAnsi="Calibri" w:cs="Calibri"/>
        </w:rPr>
        <w:t xml:space="preserve">. </w:t>
      </w:r>
      <w:r w:rsidR="00493879">
        <w:br w:type="page"/>
      </w:r>
    </w:p>
    <w:p w14:paraId="5594E904" w14:textId="01B3F6AA" w:rsidR="000D720C" w:rsidRDefault="000D720C" w:rsidP="000D720C">
      <w:r w:rsidRPr="007114E0">
        <w:lastRenderedPageBreak/>
        <w:t xml:space="preserve">These projections of net supply and underlying demand imply a net </w:t>
      </w:r>
      <w:r w:rsidRPr="007114E0" w:rsidDel="00751DCA">
        <w:t xml:space="preserve">shortfall </w:t>
      </w:r>
      <w:r w:rsidRPr="007114E0">
        <w:t xml:space="preserve">of around </w:t>
      </w:r>
      <w:r w:rsidR="007B075D" w:rsidRPr="0041126E">
        <w:t>79</w:t>
      </w:r>
      <w:r w:rsidRPr="002E66C5">
        <w:t>,000</w:t>
      </w:r>
      <w:r w:rsidRPr="007114E0">
        <w:t xml:space="preserve"> dwellings over the Housing Accord period. Most of this shortfall is in the first 2 financial years, with the imbalance narrowing to around </w:t>
      </w:r>
      <w:r w:rsidR="00145959" w:rsidRPr="0041126E">
        <w:t>7</w:t>
      </w:r>
      <w:r w:rsidRPr="002E66C5">
        <w:t>,000</w:t>
      </w:r>
      <w:r w:rsidRPr="007114E0">
        <w:t xml:space="preserve"> in 2026–27 and around </w:t>
      </w:r>
      <w:r w:rsidR="00145959" w:rsidRPr="0041126E">
        <w:t>3</w:t>
      </w:r>
      <w:r w:rsidRPr="002E66C5">
        <w:t>,000</w:t>
      </w:r>
      <w:r w:rsidRPr="007114E0">
        <w:t xml:space="preserve"> </w:t>
      </w:r>
      <w:r w:rsidRPr="007114E0" w:rsidDel="00ED5CA3">
        <w:t>by</w:t>
      </w:r>
      <w:r w:rsidRPr="007114E0">
        <w:t xml:space="preserve"> the end of the 5</w:t>
      </w:r>
      <w:r w:rsidR="00A15C79">
        <w:noBreakHyphen/>
      </w:r>
      <w:r w:rsidRPr="007114E0">
        <w:t>year projection horizon</w:t>
      </w:r>
      <w:r w:rsidR="004F250B">
        <w:t xml:space="preserve"> </w:t>
      </w:r>
      <w:r w:rsidR="004F250B" w:rsidRPr="002E66C5">
        <w:t>(</w:t>
      </w:r>
      <w:r w:rsidR="0080426B" w:rsidRPr="0041126E">
        <w:t xml:space="preserve">see </w:t>
      </w:r>
      <w:r w:rsidR="004F250B" w:rsidRPr="002E66C5">
        <w:t>Chart O.6)</w:t>
      </w:r>
      <w:r w:rsidRPr="002E66C5">
        <w:t>.</w:t>
      </w:r>
      <w:r w:rsidRPr="007114E0">
        <w:t xml:space="preserve"> Some of this unmet demand will be absorbed by a lower vacancy rate</w:t>
      </w:r>
      <w:r>
        <w:t>. Some will</w:t>
      </w:r>
      <w:r w:rsidRPr="00A50AD6">
        <w:t xml:space="preserve"> </w:t>
      </w:r>
      <w:r>
        <w:t xml:space="preserve">result in a </w:t>
      </w:r>
      <w:r w:rsidRPr="007114E0">
        <w:t xml:space="preserve">greater </w:t>
      </w:r>
      <w:r w:rsidRPr="00263196">
        <w:t>reliance</w:t>
      </w:r>
      <w:r w:rsidRPr="007114E0">
        <w:t xml:space="preserve"> o</w:t>
      </w:r>
      <w:r w:rsidRPr="00A50AD6">
        <w:t xml:space="preserve">n </w:t>
      </w:r>
      <w:r w:rsidRPr="007114E0">
        <w:t>suboptimal types of shelter not captured by traditional measures of the housing stock, such as caravan parks, hotels and emergency shelter</w:t>
      </w:r>
      <w:r>
        <w:t>s</w:t>
      </w:r>
      <w:r w:rsidRPr="007114E0">
        <w:t>.</w:t>
      </w:r>
      <w:r>
        <w:t xml:space="preserve"> A</w:t>
      </w:r>
      <w:r w:rsidRPr="007114E0">
        <w:t xml:space="preserve"> portion will contribute</w:t>
      </w:r>
      <w:r>
        <w:t xml:space="preserve"> </w:t>
      </w:r>
      <w:r w:rsidRPr="007114E0">
        <w:t xml:space="preserve">to the growing homeless population. Most </w:t>
      </w:r>
      <w:r w:rsidRPr="009E040B">
        <w:t xml:space="preserve">of the unmet demand </w:t>
      </w:r>
      <w:r w:rsidRPr="007114E0">
        <w:t xml:space="preserve">will be </w:t>
      </w:r>
      <w:r w:rsidRPr="00263196">
        <w:t>absor</w:t>
      </w:r>
      <w:r>
        <w:t>b</w:t>
      </w:r>
      <w:r w:rsidRPr="00263196">
        <w:t xml:space="preserve">ed by </w:t>
      </w:r>
      <w:r w:rsidRPr="007114E0">
        <w:t xml:space="preserve">households not forming </w:t>
      </w:r>
      <w:r w:rsidRPr="00263196">
        <w:t>as they</w:t>
      </w:r>
      <w:r w:rsidRPr="007114E0">
        <w:t xml:space="preserve"> otherwise would</w:t>
      </w:r>
      <w:r w:rsidRPr="009E040B">
        <w:t xml:space="preserve"> have</w:t>
      </w:r>
      <w:r w:rsidRPr="007114E0">
        <w:t>, resulting in larger household</w:t>
      </w:r>
      <w:r w:rsidRPr="009E040B">
        <w:t>s</w:t>
      </w:r>
      <w:r w:rsidRPr="007114E0">
        <w:t xml:space="preserve"> and </w:t>
      </w:r>
      <w:r w:rsidRPr="009E040B">
        <w:t xml:space="preserve">more </w:t>
      </w:r>
      <w:r w:rsidRPr="007114E0">
        <w:t>overcrowding</w:t>
      </w:r>
      <w:r w:rsidRPr="009E040B">
        <w:t xml:space="preserve">. </w:t>
      </w:r>
    </w:p>
    <w:tbl>
      <w:tblPr>
        <w:tblW w:w="5000" w:type="pct"/>
        <w:tblLayout w:type="fixed"/>
        <w:tblLook w:val="0000" w:firstRow="0" w:lastRow="0" w:firstColumn="0" w:lastColumn="0" w:noHBand="0" w:noVBand="0"/>
      </w:tblPr>
      <w:tblGrid>
        <w:gridCol w:w="4535"/>
        <w:gridCol w:w="4535"/>
      </w:tblGrid>
      <w:tr w:rsidR="000D720C" w:rsidRPr="002F53C7" w14:paraId="7FECA195" w14:textId="77777777">
        <w:trPr>
          <w:cantSplit/>
        </w:trPr>
        <w:tc>
          <w:tcPr>
            <w:tcW w:w="4535" w:type="dxa"/>
          </w:tcPr>
          <w:p w14:paraId="4CBC31C4" w14:textId="31531B69" w:rsidR="000D720C" w:rsidRPr="00145959" w:rsidRDefault="000D720C" w:rsidP="00EB0064">
            <w:pPr>
              <w:pStyle w:val="ChartMainHeadingnonumbering"/>
              <w:spacing w:before="0"/>
            </w:pPr>
            <w:r w:rsidRPr="00145959">
              <w:t xml:space="preserve">Chart </w:t>
            </w:r>
            <w:r w:rsidR="009E3594" w:rsidRPr="00145959">
              <w:t>O</w:t>
            </w:r>
            <w:r w:rsidRPr="00145959">
              <w:t>.5 Annual net new housing supply and new housing demand</w:t>
            </w:r>
          </w:p>
        </w:tc>
        <w:tc>
          <w:tcPr>
            <w:tcW w:w="4535" w:type="dxa"/>
          </w:tcPr>
          <w:p w14:paraId="6ACE1AF2" w14:textId="2B712567" w:rsidR="000D720C" w:rsidRPr="00145959" w:rsidRDefault="000D720C" w:rsidP="00EB0064">
            <w:pPr>
              <w:pStyle w:val="ChartMainHeadingnonumbering"/>
              <w:spacing w:before="0"/>
            </w:pPr>
            <w:r w:rsidRPr="00145959">
              <w:t xml:space="preserve">Chart </w:t>
            </w:r>
            <w:r w:rsidR="009E3594" w:rsidRPr="00145959">
              <w:t>O</w:t>
            </w:r>
            <w:r w:rsidRPr="00145959">
              <w:t>.6 Net new housing supply minus new housing demand</w:t>
            </w:r>
          </w:p>
        </w:tc>
      </w:tr>
      <w:tr w:rsidR="000D720C" w:rsidRPr="002F53C7" w14:paraId="2D69AC64" w14:textId="77777777" w:rsidTr="0099326B">
        <w:trPr>
          <w:cantSplit/>
          <w:trHeight w:val="4037"/>
        </w:trPr>
        <w:tc>
          <w:tcPr>
            <w:tcW w:w="4535" w:type="dxa"/>
          </w:tcPr>
          <w:p w14:paraId="33FFD215" w14:textId="7CAD446F" w:rsidR="000D720C" w:rsidRPr="002E66C5" w:rsidRDefault="00295172" w:rsidP="0099326B">
            <w:pPr>
              <w:pStyle w:val="ChartGraphic"/>
            </w:pPr>
            <w:r w:rsidRPr="0041126E">
              <w:rPr>
                <w:noProof/>
              </w:rPr>
              <w:drawing>
                <wp:inline distT="0" distB="0" distL="0" distR="0" wp14:anchorId="239455E4" wp14:editId="7AFFC84D">
                  <wp:extent cx="2742565" cy="2742565"/>
                  <wp:effectExtent l="0" t="0" r="0" b="0"/>
                  <wp:docPr id="268643202" name="Picture 7" descr="This line chart shows new housing demand and net new housing supply for the financial years from 2022-23 to 2028-2029, where the period from 2024-25 to 2028-29 displays forecasts.&#10;&#10;New housing demand is forecast to fall from a high of 249,000 dwellings in 2022-23 to stabilise around 175,000 dwellings per annum from 2025-26 onward.&#10;&#10;Net new housing supply rises from 152,000 new dwellings in 2022-23 to around 173,000 dwellings in 2028-29. It is below new housing demand throughout the period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43202" name="Picture 7" descr="This line chart shows new housing demand and net new housing supply for the financial years from 2022-23 to 2028-2029, where the period from 2024-25 to 2028-29 displays forecasts.&#10;&#10;New housing demand is forecast to fall from a high of 249,000 dwellings in 2022-23 to stabilise around 175,000 dwellings per annum from 2025-26 onward.&#10;&#10;Net new housing supply rises from 152,000 new dwellings in 2022-23 to around 173,000 dwellings in 2028-29. It is below new housing demand throughout the period display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2565" cy="2742565"/>
                          </a:xfrm>
                          <a:prstGeom prst="rect">
                            <a:avLst/>
                          </a:prstGeom>
                          <a:noFill/>
                          <a:ln>
                            <a:noFill/>
                          </a:ln>
                        </pic:spPr>
                      </pic:pic>
                    </a:graphicData>
                  </a:graphic>
                </wp:inline>
              </w:drawing>
            </w:r>
          </w:p>
        </w:tc>
        <w:tc>
          <w:tcPr>
            <w:tcW w:w="4535" w:type="dxa"/>
          </w:tcPr>
          <w:p w14:paraId="782B3A54" w14:textId="1E275E19" w:rsidR="000D720C" w:rsidRPr="002E66C5" w:rsidRDefault="0098159B" w:rsidP="0099326B">
            <w:pPr>
              <w:pStyle w:val="ChartGraphic"/>
            </w:pPr>
            <w:r w:rsidRPr="0041126E">
              <w:rPr>
                <w:noProof/>
              </w:rPr>
              <w:drawing>
                <wp:inline distT="0" distB="0" distL="0" distR="0" wp14:anchorId="22209136" wp14:editId="4F8E1206">
                  <wp:extent cx="2742565" cy="2742565"/>
                  <wp:effectExtent l="0" t="0" r="0" b="0"/>
                  <wp:docPr id="759076023" name="Picture 33" descr="This column chart shows net new housing supply minus new housing demand for the financial years from 2023-2024 to 2028-202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076023" name="Picture 33" descr="This column chart shows net new housing supply minus new housing demand for the financial years from 2023-2024 to 2028-2029.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2565" cy="2742565"/>
                          </a:xfrm>
                          <a:prstGeom prst="rect">
                            <a:avLst/>
                          </a:prstGeom>
                          <a:noFill/>
                          <a:ln>
                            <a:noFill/>
                          </a:ln>
                        </pic:spPr>
                      </pic:pic>
                    </a:graphicData>
                  </a:graphic>
                </wp:inline>
              </w:drawing>
            </w:r>
          </w:p>
        </w:tc>
      </w:tr>
      <w:tr w:rsidR="000D720C" w14:paraId="40B715C4" w14:textId="77777777">
        <w:trPr>
          <w:cantSplit/>
          <w:trHeight w:val="552"/>
        </w:trPr>
        <w:tc>
          <w:tcPr>
            <w:tcW w:w="4535" w:type="dxa"/>
          </w:tcPr>
          <w:p w14:paraId="263D3305" w14:textId="05F353B6" w:rsidR="00416F53" w:rsidRPr="00145959" w:rsidRDefault="00416F53" w:rsidP="00416F53">
            <w:pPr>
              <w:pStyle w:val="ChartorTableNoteandSource"/>
            </w:pPr>
            <w:r w:rsidRPr="00145959">
              <w:t>Note:</w:t>
            </w:r>
            <w:r w:rsidRPr="00145959">
              <w:tab/>
              <w:t xml:space="preserve">Demand is </w:t>
            </w:r>
            <w:r w:rsidRPr="002E66C5">
              <w:t xml:space="preserve">measured </w:t>
            </w:r>
            <w:r w:rsidR="00934794" w:rsidRPr="002E66C5">
              <w:t>as</w:t>
            </w:r>
            <w:r w:rsidRPr="00145959">
              <w:t xml:space="preserve"> the number of new households that demographic trends imply would form. Supply is </w:t>
            </w:r>
            <w:r w:rsidRPr="002E66C5">
              <w:t xml:space="preserve">measured </w:t>
            </w:r>
            <w:r w:rsidR="00934794" w:rsidRPr="002E66C5">
              <w:t>as</w:t>
            </w:r>
            <w:r w:rsidRPr="00145959">
              <w:t xml:space="preserve"> the net number of dwelling completions.</w:t>
            </w:r>
          </w:p>
          <w:p w14:paraId="141C21FD" w14:textId="6D4609CF" w:rsidR="000D720C" w:rsidRPr="00145959" w:rsidRDefault="000D720C" w:rsidP="007C3AD9">
            <w:pPr>
              <w:pStyle w:val="ChartorTableNoteandSource"/>
            </w:pPr>
            <w:r w:rsidRPr="00145959">
              <w:t>Source:</w:t>
            </w:r>
            <w:r w:rsidR="00531399" w:rsidRPr="00145959">
              <w:tab/>
            </w:r>
            <w:r w:rsidRPr="00145959">
              <w:t>NHSAC 2025; Centre for Population 2024</w:t>
            </w:r>
          </w:p>
        </w:tc>
        <w:tc>
          <w:tcPr>
            <w:tcW w:w="4535" w:type="dxa"/>
          </w:tcPr>
          <w:p w14:paraId="4B0D52BC" w14:textId="036CF312" w:rsidR="00416F53" w:rsidRDefault="00191DF2" w:rsidP="00416F53">
            <w:pPr>
              <w:pStyle w:val="ChartorTableNoteandSource"/>
            </w:pPr>
            <w:r w:rsidRPr="0041126E">
              <w:t xml:space="preserve">Note: </w:t>
            </w:r>
            <w:r w:rsidRPr="0041126E">
              <w:tab/>
              <w:t xml:space="preserve">Demand is measured </w:t>
            </w:r>
            <w:r w:rsidR="00934794" w:rsidRPr="002E66C5">
              <w:t>as</w:t>
            </w:r>
            <w:r w:rsidRPr="0041126E">
              <w:t xml:space="preserve"> the number of new households that demographic trends imply would form. Supply is measured </w:t>
            </w:r>
            <w:r w:rsidR="00934794" w:rsidRPr="002E66C5">
              <w:t>as</w:t>
            </w:r>
            <w:r w:rsidRPr="0041126E">
              <w:t xml:space="preserve"> the net number of dwelling completions.</w:t>
            </w:r>
          </w:p>
          <w:p w14:paraId="2E424E00" w14:textId="4E03AE57" w:rsidR="00416F53" w:rsidRPr="00145959" w:rsidRDefault="00416F53" w:rsidP="00416F53">
            <w:pPr>
              <w:pStyle w:val="ChartorTableNoteandSource"/>
            </w:pPr>
            <w:r w:rsidRPr="0041126E">
              <w:t>Source:</w:t>
            </w:r>
            <w:r w:rsidRPr="0041126E">
              <w:tab/>
              <w:t>NHSAC 2025; Centre for Population 2024</w:t>
            </w:r>
          </w:p>
        </w:tc>
      </w:tr>
    </w:tbl>
    <w:p w14:paraId="2D2C06F3" w14:textId="77777777" w:rsidR="00493879" w:rsidRDefault="00493879" w:rsidP="00AF5044">
      <w:bookmarkStart w:id="40" w:name="_Toc194476383"/>
      <w:bookmarkStart w:id="41" w:name="_Toc194478409"/>
      <w:bookmarkStart w:id="42" w:name="_Toc194478951"/>
      <w:bookmarkStart w:id="43" w:name="_Toc194482549"/>
      <w:bookmarkStart w:id="44" w:name="_Toc194873150"/>
      <w:bookmarkStart w:id="45" w:name="_Toc195026325"/>
      <w:bookmarkStart w:id="46" w:name="_Toc195026580"/>
      <w:bookmarkStart w:id="47" w:name="_Toc195106339"/>
      <w:bookmarkStart w:id="48" w:name="_Toc195173198"/>
      <w:bookmarkStart w:id="49" w:name="_Toc195175541"/>
      <w:r>
        <w:br w:type="page"/>
      </w:r>
    </w:p>
    <w:p w14:paraId="4ACAC9C8" w14:textId="273B68B1" w:rsidR="000D720C" w:rsidRPr="00756606" w:rsidRDefault="000D720C" w:rsidP="00F30226">
      <w:pPr>
        <w:pStyle w:val="Heading3"/>
      </w:pPr>
      <w:r>
        <w:lastRenderedPageBreak/>
        <w:t>Weak supply reflects the fact that the cost of supplying new dwellings exceeds expected sale prices</w:t>
      </w:r>
      <w:bookmarkEnd w:id="40"/>
      <w:bookmarkEnd w:id="41"/>
      <w:bookmarkEnd w:id="42"/>
      <w:bookmarkEnd w:id="43"/>
      <w:bookmarkEnd w:id="44"/>
      <w:bookmarkEnd w:id="45"/>
      <w:bookmarkEnd w:id="46"/>
      <w:bookmarkEnd w:id="47"/>
      <w:bookmarkEnd w:id="48"/>
      <w:bookmarkEnd w:id="49"/>
    </w:p>
    <w:p w14:paraId="60ABE5BB" w14:textId="204B5508" w:rsidR="000D720C" w:rsidRDefault="000D720C" w:rsidP="000D720C">
      <w:pPr>
        <w:rPr>
          <w:rFonts w:ascii="Calibri" w:hAnsi="Calibri" w:cs="Calibri"/>
          <w:bCs/>
          <w:color w:val="000000"/>
          <w:szCs w:val="22"/>
          <w:shd w:val="clear" w:color="auto" w:fill="FFFFFF"/>
        </w:rPr>
      </w:pPr>
      <w:r>
        <w:rPr>
          <w:rFonts w:ascii="Calibri" w:hAnsi="Calibri" w:cs="Calibri"/>
          <w:bCs/>
          <w:color w:val="000000"/>
          <w:szCs w:val="22"/>
          <w:shd w:val="clear" w:color="auto" w:fill="FFFFFF"/>
        </w:rPr>
        <w:t>The Council</w:t>
      </w:r>
      <w:r w:rsidR="00A15C79">
        <w:rPr>
          <w:rFonts w:ascii="Calibri" w:hAnsi="Calibri" w:cs="Calibri"/>
          <w:bCs/>
          <w:color w:val="000000"/>
          <w:szCs w:val="22"/>
          <w:shd w:val="clear" w:color="auto" w:fill="FFFFFF"/>
        </w:rPr>
        <w:t>’</w:t>
      </w:r>
      <w:r>
        <w:rPr>
          <w:rFonts w:ascii="Calibri" w:hAnsi="Calibri" w:cs="Calibri"/>
          <w:bCs/>
          <w:color w:val="000000"/>
          <w:szCs w:val="22"/>
          <w:shd w:val="clear" w:color="auto" w:fill="FFFFFF"/>
        </w:rPr>
        <w:t xml:space="preserve">s analysis and industry liaison indicate that the single biggest constraint on supply </w:t>
      </w:r>
      <w:r w:rsidR="0054284A">
        <w:rPr>
          <w:rFonts w:ascii="Calibri" w:hAnsi="Calibri" w:cs="Calibri"/>
          <w:bCs/>
          <w:color w:val="000000"/>
          <w:szCs w:val="22"/>
          <w:shd w:val="clear" w:color="auto" w:fill="FFFFFF"/>
        </w:rPr>
        <w:t xml:space="preserve">currently </w:t>
      </w:r>
      <w:r>
        <w:rPr>
          <w:rFonts w:ascii="Calibri" w:hAnsi="Calibri" w:cs="Calibri"/>
          <w:bCs/>
          <w:color w:val="000000"/>
          <w:szCs w:val="22"/>
          <w:shd w:val="clear" w:color="auto" w:fill="FFFFFF"/>
        </w:rPr>
        <w:t xml:space="preserve">is that many housing projects are not commercially viable given current land, financing and development costs relative to expected sale prices. </w:t>
      </w:r>
    </w:p>
    <w:p w14:paraId="3D991C3D" w14:textId="34A3787C" w:rsidR="000D720C" w:rsidRDefault="000D720C" w:rsidP="000D720C">
      <w:r>
        <w:t>Higher</w:t>
      </w:r>
      <w:r w:rsidR="00A15C79">
        <w:noBreakHyphen/>
      </w:r>
      <w:r>
        <w:t>density housing projects, in particular, face a significant feasibility gap, as price growth for higher</w:t>
      </w:r>
      <w:r w:rsidR="00A15C79">
        <w:noBreakHyphen/>
      </w:r>
      <w:r>
        <w:t>density homes has been more muted than for detached dwellings. Additionally, financing costs have risen by much more for higher</w:t>
      </w:r>
      <w:r w:rsidR="00A15C79">
        <w:noBreakHyphen/>
      </w:r>
      <w:r>
        <w:t xml:space="preserve">density dwellings, as they require larger loans for longer durations than detached houses. </w:t>
      </w:r>
    </w:p>
    <w:p w14:paraId="7E342F9A" w14:textId="1AF68C85" w:rsidR="000D720C" w:rsidRDefault="00A75163" w:rsidP="000D720C">
      <w:pPr>
        <w:rPr>
          <w:rFonts w:ascii="Calibri" w:hAnsi="Calibri" w:cs="Calibri"/>
          <w:bCs/>
          <w:color w:val="000000"/>
          <w:szCs w:val="22"/>
        </w:rPr>
      </w:pPr>
      <w:r>
        <w:rPr>
          <w:rFonts w:ascii="Calibri" w:hAnsi="Calibri" w:cs="Calibri"/>
          <w:bCs/>
          <w:color w:val="000000"/>
          <w:szCs w:val="22"/>
        </w:rPr>
        <w:t>Looking ahead</w:t>
      </w:r>
      <w:r w:rsidR="000D720C">
        <w:rPr>
          <w:rFonts w:ascii="Calibri" w:hAnsi="Calibri" w:cs="Calibri"/>
          <w:bCs/>
          <w:color w:val="000000"/>
          <w:szCs w:val="22"/>
        </w:rPr>
        <w:t>, t</w:t>
      </w:r>
      <w:r w:rsidR="000D720C" w:rsidRPr="00756606">
        <w:rPr>
          <w:rFonts w:ascii="Calibri" w:hAnsi="Calibri" w:cs="Calibri"/>
          <w:bCs/>
          <w:color w:val="000000"/>
          <w:szCs w:val="22"/>
        </w:rPr>
        <w:t xml:space="preserve">here are </w:t>
      </w:r>
      <w:r w:rsidR="000D720C">
        <w:rPr>
          <w:rFonts w:ascii="Calibri" w:hAnsi="Calibri" w:cs="Calibri"/>
          <w:bCs/>
          <w:color w:val="000000"/>
          <w:szCs w:val="22"/>
        </w:rPr>
        <w:t>tentative</w:t>
      </w:r>
      <w:r w:rsidR="000D720C" w:rsidRPr="00756606">
        <w:rPr>
          <w:rFonts w:ascii="Calibri" w:hAnsi="Calibri" w:cs="Calibri"/>
          <w:bCs/>
          <w:color w:val="000000"/>
          <w:szCs w:val="22"/>
        </w:rPr>
        <w:t xml:space="preserve"> signs that conditions for residential construction </w:t>
      </w:r>
      <w:r w:rsidR="000D720C">
        <w:rPr>
          <w:rFonts w:ascii="Calibri" w:hAnsi="Calibri" w:cs="Calibri"/>
          <w:bCs/>
          <w:color w:val="000000"/>
          <w:szCs w:val="22"/>
        </w:rPr>
        <w:t>are</w:t>
      </w:r>
      <w:r w:rsidR="000D720C" w:rsidRPr="00756606">
        <w:rPr>
          <w:rFonts w:ascii="Calibri" w:hAnsi="Calibri" w:cs="Calibri"/>
          <w:bCs/>
          <w:color w:val="000000"/>
          <w:szCs w:val="22"/>
        </w:rPr>
        <w:t xml:space="preserve"> improv</w:t>
      </w:r>
      <w:r w:rsidR="000D720C">
        <w:rPr>
          <w:rFonts w:ascii="Calibri" w:hAnsi="Calibri" w:cs="Calibri"/>
          <w:bCs/>
          <w:color w:val="000000"/>
          <w:szCs w:val="22"/>
        </w:rPr>
        <w:t>ing</w:t>
      </w:r>
      <w:r w:rsidR="00907F3E">
        <w:rPr>
          <w:rFonts w:ascii="Calibri" w:hAnsi="Calibri" w:cs="Calibri"/>
          <w:bCs/>
          <w:color w:val="000000"/>
          <w:szCs w:val="22"/>
        </w:rPr>
        <w:t xml:space="preserve">, which will address feasibility </w:t>
      </w:r>
      <w:r w:rsidR="00290F01">
        <w:rPr>
          <w:rFonts w:ascii="Calibri" w:hAnsi="Calibri" w:cs="Calibri"/>
          <w:bCs/>
          <w:color w:val="000000"/>
          <w:szCs w:val="22"/>
        </w:rPr>
        <w:t>constraints for some projects</w:t>
      </w:r>
      <w:r w:rsidR="000D720C" w:rsidRPr="00756606">
        <w:rPr>
          <w:rFonts w:ascii="Calibri" w:hAnsi="Calibri" w:cs="Calibri"/>
          <w:bCs/>
          <w:color w:val="000000"/>
          <w:szCs w:val="22"/>
        </w:rPr>
        <w:t>.</w:t>
      </w:r>
    </w:p>
    <w:p w14:paraId="075A0D66" w14:textId="7F798236" w:rsidR="0099326B" w:rsidRPr="0099326B" w:rsidRDefault="000D720C" w:rsidP="0099326B">
      <w:pPr>
        <w:rPr>
          <w:rFonts w:ascii="Segoe UI" w:hAnsi="Segoe UI" w:cs="Segoe UI"/>
          <w:bCs/>
          <w:color w:val="3B455C"/>
          <w:sz w:val="18"/>
          <w:szCs w:val="18"/>
        </w:rPr>
      </w:pPr>
      <w:r w:rsidRPr="00756606">
        <w:rPr>
          <w:rFonts w:ascii="Calibri" w:hAnsi="Calibri" w:cs="Calibri"/>
          <w:bCs/>
          <w:color w:val="000000"/>
          <w:szCs w:val="22"/>
        </w:rPr>
        <w:t>Material price</w:t>
      </w:r>
      <w:r>
        <w:rPr>
          <w:rFonts w:ascii="Calibri" w:hAnsi="Calibri" w:cs="Calibri"/>
          <w:bCs/>
          <w:color w:val="000000"/>
          <w:szCs w:val="22"/>
        </w:rPr>
        <w:t xml:space="preserve"> growth</w:t>
      </w:r>
      <w:r w:rsidRPr="00756606">
        <w:rPr>
          <w:rFonts w:ascii="Calibri" w:hAnsi="Calibri" w:cs="Calibri"/>
          <w:bCs/>
          <w:color w:val="000000"/>
          <w:szCs w:val="22"/>
        </w:rPr>
        <w:t xml:space="preserve"> ha</w:t>
      </w:r>
      <w:r>
        <w:rPr>
          <w:rFonts w:ascii="Calibri" w:hAnsi="Calibri" w:cs="Calibri"/>
          <w:bCs/>
          <w:color w:val="000000"/>
          <w:szCs w:val="22"/>
        </w:rPr>
        <w:t>s</w:t>
      </w:r>
      <w:r w:rsidRPr="00756606">
        <w:rPr>
          <w:rFonts w:ascii="Calibri" w:hAnsi="Calibri" w:cs="Calibri"/>
          <w:bCs/>
          <w:color w:val="000000"/>
          <w:szCs w:val="22"/>
        </w:rPr>
        <w:t xml:space="preserve"> normalised, with prices rising by only </w:t>
      </w:r>
      <w:r w:rsidRPr="000545E0">
        <w:rPr>
          <w:rFonts w:ascii="Calibri" w:hAnsi="Calibri" w:cs="Calibri"/>
          <w:color w:val="000000"/>
          <w:szCs w:val="22"/>
        </w:rPr>
        <w:t>1.</w:t>
      </w:r>
      <w:r>
        <w:rPr>
          <w:rFonts w:ascii="Calibri" w:hAnsi="Calibri" w:cs="Calibri"/>
          <w:color w:val="000000"/>
          <w:szCs w:val="22"/>
        </w:rPr>
        <w:t>6</w:t>
      </w:r>
      <w:r w:rsidR="0099326B">
        <w:rPr>
          <w:rFonts w:ascii="Calibri" w:hAnsi="Calibri" w:cs="Calibri"/>
          <w:bCs/>
          <w:color w:val="000000"/>
          <w:szCs w:val="22"/>
        </w:rPr>
        <w:t> per cent</w:t>
      </w:r>
      <w:r w:rsidRPr="00756606">
        <w:rPr>
          <w:rFonts w:ascii="Calibri" w:hAnsi="Calibri" w:cs="Calibri"/>
          <w:bCs/>
          <w:color w:val="000000"/>
          <w:szCs w:val="22"/>
        </w:rPr>
        <w:t xml:space="preserve"> </w:t>
      </w:r>
      <w:r>
        <w:rPr>
          <w:rFonts w:ascii="Calibri" w:hAnsi="Calibri" w:cs="Calibri"/>
          <w:bCs/>
          <w:color w:val="000000"/>
          <w:szCs w:val="22"/>
        </w:rPr>
        <w:t xml:space="preserve">over the year to December </w:t>
      </w:r>
      <w:r w:rsidRPr="00756606">
        <w:rPr>
          <w:rFonts w:ascii="Calibri" w:hAnsi="Calibri" w:cs="Calibri"/>
          <w:bCs/>
          <w:color w:val="000000"/>
          <w:szCs w:val="22"/>
        </w:rPr>
        <w:t>2024</w:t>
      </w:r>
      <w:r>
        <w:rPr>
          <w:rFonts w:ascii="Calibri" w:hAnsi="Calibri" w:cs="Calibri"/>
          <w:bCs/>
          <w:color w:val="000000"/>
          <w:szCs w:val="22"/>
        </w:rPr>
        <w:t>, significantly lower than the 14</w:t>
      </w:r>
      <w:r w:rsidR="0099326B">
        <w:rPr>
          <w:rFonts w:ascii="Calibri" w:hAnsi="Calibri" w:cs="Calibri"/>
          <w:bCs/>
          <w:color w:val="000000"/>
          <w:szCs w:val="22"/>
        </w:rPr>
        <w:t> per cent</w:t>
      </w:r>
      <w:r>
        <w:rPr>
          <w:rFonts w:ascii="Calibri" w:hAnsi="Calibri" w:cs="Calibri"/>
          <w:bCs/>
          <w:color w:val="000000"/>
          <w:szCs w:val="22"/>
        </w:rPr>
        <w:t xml:space="preserve"> rise seen over the year to December 2022, and lower than the annual average growth of 2</w:t>
      </w:r>
      <w:r w:rsidR="0099326B">
        <w:rPr>
          <w:rFonts w:ascii="Calibri" w:hAnsi="Calibri" w:cs="Calibri"/>
          <w:bCs/>
          <w:color w:val="000000"/>
          <w:szCs w:val="22"/>
        </w:rPr>
        <w:t> per cent</w:t>
      </w:r>
      <w:r>
        <w:rPr>
          <w:rFonts w:ascii="Calibri" w:hAnsi="Calibri" w:cs="Calibri"/>
          <w:bCs/>
          <w:color w:val="000000"/>
          <w:szCs w:val="22"/>
        </w:rPr>
        <w:t xml:space="preserve"> between 2010 to 2020. </w:t>
      </w:r>
    </w:p>
    <w:p w14:paraId="3E16C0DE" w14:textId="75CDA3D0" w:rsidR="000D720C" w:rsidRPr="00756606" w:rsidRDefault="00596E00" w:rsidP="000D720C">
      <w:pPr>
        <w:rPr>
          <w:rFonts w:ascii="Segoe UI" w:hAnsi="Segoe UI" w:cs="Segoe UI"/>
          <w:bCs/>
          <w:sz w:val="18"/>
          <w:szCs w:val="18"/>
        </w:rPr>
      </w:pPr>
      <w:r>
        <w:rPr>
          <w:rFonts w:ascii="Calibri" w:hAnsi="Calibri" w:cs="Calibri"/>
          <w:bCs/>
          <w:color w:val="000000"/>
          <w:szCs w:val="22"/>
        </w:rPr>
        <w:t>T</w:t>
      </w:r>
      <w:r w:rsidR="000D720C">
        <w:rPr>
          <w:rFonts w:ascii="Calibri" w:hAnsi="Calibri" w:cs="Calibri"/>
          <w:bCs/>
          <w:color w:val="000000"/>
          <w:szCs w:val="22"/>
        </w:rPr>
        <w:t xml:space="preserve">here are signs </w:t>
      </w:r>
      <w:r w:rsidR="00185814">
        <w:rPr>
          <w:rFonts w:ascii="Calibri" w:hAnsi="Calibri" w:cs="Calibri"/>
          <w:bCs/>
          <w:color w:val="000000"/>
          <w:szCs w:val="22"/>
        </w:rPr>
        <w:t xml:space="preserve">that </w:t>
      </w:r>
      <w:r w:rsidR="000D720C">
        <w:rPr>
          <w:rFonts w:ascii="Calibri" w:hAnsi="Calibri" w:cs="Calibri"/>
          <w:bCs/>
          <w:color w:val="000000"/>
          <w:szCs w:val="22"/>
        </w:rPr>
        <w:t xml:space="preserve">labour </w:t>
      </w:r>
      <w:r w:rsidR="00185814">
        <w:rPr>
          <w:rFonts w:ascii="Calibri" w:hAnsi="Calibri" w:cs="Calibri"/>
          <w:bCs/>
          <w:color w:val="000000"/>
          <w:szCs w:val="22"/>
        </w:rPr>
        <w:t>shortages have eased</w:t>
      </w:r>
      <w:r w:rsidR="000D720C">
        <w:rPr>
          <w:rFonts w:ascii="Calibri" w:hAnsi="Calibri" w:cs="Calibri"/>
          <w:bCs/>
          <w:color w:val="000000"/>
          <w:szCs w:val="22"/>
        </w:rPr>
        <w:t xml:space="preserve">. </w:t>
      </w:r>
      <w:r w:rsidR="00531F93">
        <w:rPr>
          <w:rFonts w:ascii="Calibri" w:hAnsi="Calibri" w:cs="Calibri"/>
          <w:bCs/>
          <w:color w:val="000000"/>
          <w:szCs w:val="22"/>
        </w:rPr>
        <w:t xml:space="preserve">Measures of labour </w:t>
      </w:r>
      <w:r w:rsidR="00185814">
        <w:rPr>
          <w:rFonts w:ascii="Calibri" w:hAnsi="Calibri" w:cs="Calibri"/>
          <w:bCs/>
          <w:color w:val="000000"/>
          <w:szCs w:val="22"/>
        </w:rPr>
        <w:t>availability improved</w:t>
      </w:r>
      <w:r w:rsidR="000D720C">
        <w:rPr>
          <w:rFonts w:ascii="Calibri" w:hAnsi="Calibri" w:cs="Calibri"/>
          <w:bCs/>
          <w:color w:val="000000"/>
          <w:szCs w:val="22"/>
        </w:rPr>
        <w:t>, and i</w:t>
      </w:r>
      <w:r w:rsidR="000D720C" w:rsidRPr="00320057">
        <w:rPr>
          <w:rFonts w:ascii="Calibri" w:hAnsi="Calibri" w:cs="Calibri"/>
          <w:bCs/>
          <w:color w:val="000000"/>
          <w:szCs w:val="22"/>
        </w:rPr>
        <w:t>ndustry liaison suggest</w:t>
      </w:r>
      <w:r w:rsidR="000D720C">
        <w:rPr>
          <w:rFonts w:ascii="Calibri" w:hAnsi="Calibri" w:cs="Calibri"/>
          <w:bCs/>
          <w:color w:val="000000"/>
          <w:szCs w:val="22"/>
        </w:rPr>
        <w:t xml:space="preserve">ed that labour was easier to source. </w:t>
      </w:r>
    </w:p>
    <w:p w14:paraId="09F1CD1C" w14:textId="1750DF65" w:rsidR="000D720C" w:rsidRDefault="000D720C" w:rsidP="000D720C">
      <w:r>
        <w:t xml:space="preserve">Nonetheless, </w:t>
      </w:r>
      <w:r w:rsidR="00F25C1A">
        <w:t>these</w:t>
      </w:r>
      <w:r>
        <w:t xml:space="preserve"> cyclical factors will remain a headwind to supply over the near term. Labour shortages persist for some key trades, and labour availability forecasts indicate an overall deficit of labour supply relative to demand will persist. Although material costs are no longer rising sharply, they are expected to remain high relative </w:t>
      </w:r>
      <w:r w:rsidRPr="00732595">
        <w:t>to pre</w:t>
      </w:r>
      <w:r w:rsidR="00A15C79">
        <w:noBreakHyphen/>
      </w:r>
      <w:r w:rsidRPr="00CC25EE">
        <w:t>P</w:t>
      </w:r>
      <w:r w:rsidRPr="00732595">
        <w:t>andemic levels</w:t>
      </w:r>
      <w:r>
        <w:t xml:space="preserve">. Additionally, </w:t>
      </w:r>
      <w:r w:rsidR="00E91481" w:rsidRPr="002E66C5">
        <w:t>while</w:t>
      </w:r>
      <w:r>
        <w:t xml:space="preserve"> interest rates are forecast to fall, they are expected to remain above the levels of the past 10 years. This means financing costs for builders, developers, households and investors will remain elevated.</w:t>
      </w:r>
      <w:r w:rsidR="007B4D03">
        <w:t xml:space="preserve"> </w:t>
      </w:r>
      <w:r w:rsidR="007B4D03" w:rsidRPr="0041126E">
        <w:t xml:space="preserve">The recent </w:t>
      </w:r>
      <w:r w:rsidR="00DA60F7">
        <w:t>increase</w:t>
      </w:r>
      <w:r w:rsidR="007B4D03" w:rsidRPr="0041126E">
        <w:t xml:space="preserve"> in global economic uncertainty adds further risk around the outlook for both material costs and interest rates, which will be affected by developments in global supply chains, inflation</w:t>
      </w:r>
      <w:r w:rsidR="00F95C55" w:rsidRPr="0041126E">
        <w:t xml:space="preserve">, </w:t>
      </w:r>
      <w:r w:rsidR="007B4D03" w:rsidRPr="0041126E">
        <w:t>capital flows</w:t>
      </w:r>
      <w:r w:rsidR="00F95C55" w:rsidRPr="0041126E">
        <w:t xml:space="preserve"> and exchange rates</w:t>
      </w:r>
      <w:r w:rsidR="007B4D03" w:rsidRPr="0041126E">
        <w:t>.</w:t>
      </w:r>
    </w:p>
    <w:p w14:paraId="1C566817" w14:textId="77777777" w:rsidR="000D720C" w:rsidRPr="00756606" w:rsidRDefault="000D720C" w:rsidP="00F30226">
      <w:pPr>
        <w:pStyle w:val="Heading3"/>
      </w:pPr>
      <w:bookmarkStart w:id="50" w:name="_Toc194476385"/>
      <w:bookmarkStart w:id="51" w:name="_Toc194478411"/>
      <w:bookmarkStart w:id="52" w:name="_Toc194478953"/>
      <w:bookmarkStart w:id="53" w:name="_Toc194482551"/>
      <w:bookmarkStart w:id="54" w:name="_Toc194873152"/>
      <w:bookmarkStart w:id="55" w:name="_Toc195026327"/>
      <w:bookmarkStart w:id="56" w:name="_Toc195026582"/>
      <w:bookmarkStart w:id="57" w:name="_Toc195106341"/>
      <w:bookmarkStart w:id="58" w:name="_Toc195173200"/>
      <w:bookmarkStart w:id="59" w:name="_Toc195175543"/>
      <w:r w:rsidRPr="69079372">
        <w:t>Structural constraints are the principal barrier to more supply</w:t>
      </w:r>
      <w:bookmarkEnd w:id="50"/>
      <w:bookmarkEnd w:id="51"/>
      <w:bookmarkEnd w:id="52"/>
      <w:bookmarkEnd w:id="53"/>
      <w:bookmarkEnd w:id="54"/>
      <w:bookmarkEnd w:id="55"/>
      <w:bookmarkEnd w:id="56"/>
      <w:bookmarkEnd w:id="57"/>
      <w:bookmarkEnd w:id="58"/>
      <w:bookmarkEnd w:id="59"/>
    </w:p>
    <w:p w14:paraId="39E407AF" w14:textId="1496F485" w:rsidR="000D720C" w:rsidRDefault="000D720C" w:rsidP="000D720C">
      <w:r>
        <w:t>Although cyclical factors have exacerbated existing constraints</w:t>
      </w:r>
      <w:r w:rsidDel="000222CB">
        <w:t xml:space="preserve"> </w:t>
      </w:r>
      <w:r w:rsidR="00AD097A" w:rsidRPr="002E66C5">
        <w:t>on</w:t>
      </w:r>
      <w:r>
        <w:t xml:space="preserve"> new housing </w:t>
      </w:r>
      <w:r w:rsidDel="008B30F6">
        <w:t>s</w:t>
      </w:r>
      <w:r>
        <w:t xml:space="preserve">upply in recent years, </w:t>
      </w:r>
      <w:r w:rsidR="00C05327">
        <w:t xml:space="preserve">over the long term </w:t>
      </w:r>
      <w:r>
        <w:t>the main reason for Australia</w:t>
      </w:r>
      <w:r w:rsidR="00A15C79">
        <w:t>’</w:t>
      </w:r>
      <w:r>
        <w:t>s poor housing affordability is the housing system</w:t>
      </w:r>
      <w:r w:rsidR="00A15C79">
        <w:t>’</w:t>
      </w:r>
      <w:r>
        <w:t>s persistent, through</w:t>
      </w:r>
      <w:r w:rsidR="00A15C79">
        <w:noBreakHyphen/>
      </w:r>
      <w:r>
        <w:t>the</w:t>
      </w:r>
      <w:r w:rsidR="00A15C79">
        <w:noBreakHyphen/>
      </w:r>
      <w:r>
        <w:t>cycle inability to supply sufficient housing that meets the population</w:t>
      </w:r>
      <w:r w:rsidR="00A15C79">
        <w:t>’</w:t>
      </w:r>
      <w:r>
        <w:t xml:space="preserve">s needs. </w:t>
      </w:r>
    </w:p>
    <w:p w14:paraId="7C07896E" w14:textId="65A20248" w:rsidR="000D720C" w:rsidRDefault="000D720C" w:rsidP="000D720C">
      <w:r>
        <w:t>Many structural features of the supply system limit the sector</w:t>
      </w:r>
      <w:r w:rsidR="00A15C79">
        <w:t>’</w:t>
      </w:r>
      <w:r>
        <w:t xml:space="preserve">s capacity to produce sufficient dwellings at reasonable prices. </w:t>
      </w:r>
    </w:p>
    <w:p w14:paraId="48303E64" w14:textId="2E15BCFE" w:rsidR="000D720C" w:rsidRDefault="000D720C" w:rsidP="000D720C">
      <w:r>
        <w:t xml:space="preserve">Labour supply consistently falls short of what is required, reflecting persistent competition for labour from other sectors. Factors that limit the labour pool available to the sector are the </w:t>
      </w:r>
      <w:r w:rsidRPr="00230DAB">
        <w:t>training and migration systems</w:t>
      </w:r>
      <w:r w:rsidR="00A15C79">
        <w:t>’</w:t>
      </w:r>
      <w:r>
        <w:t xml:space="preserve"> inability to supply sufficient workers with the right skills, high labour exit rates and low levels of workforce diversity. The fragmented and shallow labour pool means that some cities and regions can suffer acute labour shortages that render </w:t>
      </w:r>
      <w:r w:rsidR="00264AC7" w:rsidRPr="002E66C5">
        <w:t>new housing</w:t>
      </w:r>
      <w:r w:rsidR="00264AC7">
        <w:t xml:space="preserve"> </w:t>
      </w:r>
      <w:r>
        <w:t>supply unfeasible</w:t>
      </w:r>
      <w:r w:rsidRPr="00EC685A">
        <w:t xml:space="preserve"> </w:t>
      </w:r>
      <w:r>
        <w:t xml:space="preserve">at even very high prices. </w:t>
      </w:r>
    </w:p>
    <w:p w14:paraId="5A3A1038" w14:textId="6EB4A53C" w:rsidR="00D541D2" w:rsidRDefault="00E655C0" w:rsidP="000D720C">
      <w:r>
        <w:lastRenderedPageBreak/>
        <w:t>Dwelling c</w:t>
      </w:r>
      <w:r w:rsidRPr="0052683A">
        <w:t xml:space="preserve">onstruction productivity has not improved </w:t>
      </w:r>
      <w:r>
        <w:t>in</w:t>
      </w:r>
      <w:r w:rsidRPr="0052683A">
        <w:t xml:space="preserve"> over </w:t>
      </w:r>
      <w:r>
        <w:t>3</w:t>
      </w:r>
      <w:r w:rsidRPr="0052683A">
        <w:t xml:space="preserve"> decades</w:t>
      </w:r>
      <w:r>
        <w:t xml:space="preserve">. </w:t>
      </w:r>
      <w:r w:rsidR="00E61EAE">
        <w:t xml:space="preserve">The highly fragmented nature of the industry </w:t>
      </w:r>
      <w:r w:rsidR="00E67492">
        <w:t>limits economies of scale. Investment in research and development is low, and</w:t>
      </w:r>
      <w:r w:rsidR="00D541D2">
        <w:t xml:space="preserve"> uptake of digital tools </w:t>
      </w:r>
      <w:r w:rsidR="00D541D2" w:rsidRPr="00D541D2">
        <w:rPr>
          <w:lang w:val="en-US"/>
        </w:rPr>
        <w:t>such as data analytics for forecasting, supply chain management, project planning, and other efficiency enhancing processes is limited. </w:t>
      </w:r>
    </w:p>
    <w:p w14:paraId="24022AA4" w14:textId="18A6D0A6" w:rsidR="000D720C" w:rsidRDefault="000D720C" w:rsidP="000D720C">
      <w:r>
        <w:t xml:space="preserve">Land for housing is limited and costly. </w:t>
      </w:r>
      <w:r w:rsidRPr="009B7AD5">
        <w:t xml:space="preserve">The volume of </w:t>
      </w:r>
      <w:r w:rsidRPr="009628A8">
        <w:t xml:space="preserve">new </w:t>
      </w:r>
      <w:r w:rsidRPr="009B7AD5">
        <w:t xml:space="preserve">residential </w:t>
      </w:r>
      <w:r>
        <w:t xml:space="preserve">land sales is </w:t>
      </w:r>
      <w:r w:rsidR="00420477" w:rsidRPr="002E66C5">
        <w:t>near</w:t>
      </w:r>
      <w:r w:rsidR="00420477" w:rsidRPr="009B7AD5">
        <w:t xml:space="preserve"> </w:t>
      </w:r>
      <w:r w:rsidRPr="009B7AD5">
        <w:t xml:space="preserve">decade lows and prices have risen sharply. The </w:t>
      </w:r>
      <w:r w:rsidR="005577F1" w:rsidRPr="002E66C5">
        <w:t>median price per square met</w:t>
      </w:r>
      <w:r w:rsidR="00E66D81" w:rsidRPr="0041126E">
        <w:t>re</w:t>
      </w:r>
      <w:r w:rsidR="005577F1" w:rsidRPr="002E66C5">
        <w:t xml:space="preserve"> of</w:t>
      </w:r>
      <w:r w:rsidRPr="009B7AD5">
        <w:t xml:space="preserve"> residential land </w:t>
      </w:r>
      <w:r>
        <w:t>rose</w:t>
      </w:r>
      <w:r w:rsidRPr="009B7AD5">
        <w:t xml:space="preserve"> by 9.3</w:t>
      </w:r>
      <w:r w:rsidR="0099326B">
        <w:t> per cent</w:t>
      </w:r>
      <w:r w:rsidRPr="009B7AD5">
        <w:t xml:space="preserve"> </w:t>
      </w:r>
      <w:r>
        <w:t>over the year to September</w:t>
      </w:r>
      <w:r w:rsidRPr="009B7AD5">
        <w:t xml:space="preserve"> 2024</w:t>
      </w:r>
      <w:r>
        <w:t>.</w:t>
      </w:r>
      <w:r w:rsidDel="000156FF">
        <w:t xml:space="preserve"> </w:t>
      </w:r>
      <w:r>
        <w:t>Well</w:t>
      </w:r>
      <w:r w:rsidR="00A15C79">
        <w:noBreakHyphen/>
      </w:r>
      <w:r>
        <w:t xml:space="preserve">located and appropriately zoned infill land is sometimes not suitable for development – for example, due to the fragmentation of holdings or the lack, or high cost, of enabling infrastructure. </w:t>
      </w:r>
    </w:p>
    <w:p w14:paraId="0DCF788B" w14:textId="027CB503" w:rsidR="0099326B" w:rsidRDefault="000D720C" w:rsidP="0099326B">
      <w:r>
        <w:t>Complex land use and planning approval systems</w:t>
      </w:r>
      <w:r w:rsidRPr="006B7852">
        <w:t xml:space="preserve"> </w:t>
      </w:r>
      <w:r>
        <w:t>further constrain supply. Planning processes vary markedly across states and territories and the more than 500 local governments that provide the planning consent authority for development.</w:t>
      </w:r>
      <w:r w:rsidRPr="00964221">
        <w:t xml:space="preserve"> </w:t>
      </w:r>
      <w:r>
        <w:t xml:space="preserve">Capacity, capability and coordination vary significantly across local governments. </w:t>
      </w:r>
    </w:p>
    <w:p w14:paraId="3590A77B" w14:textId="57F7F8CB" w:rsidR="000D720C" w:rsidRDefault="000D720C" w:rsidP="000D720C">
      <w:r>
        <w:t>Market frictions and financial incentives limit the population</w:t>
      </w:r>
      <w:r w:rsidR="00A15C79">
        <w:t>’</w:t>
      </w:r>
      <w:r>
        <w:t xml:space="preserve">s optimal use of housing stock. On the night of the 2021 Census, there were </w:t>
      </w:r>
      <w:r w:rsidR="007A4D34">
        <w:t>almost</w:t>
      </w:r>
      <w:r>
        <w:t xml:space="preserve"> 4</w:t>
      </w:r>
      <w:r w:rsidR="0099326B">
        <w:t> million</w:t>
      </w:r>
      <w:r>
        <w:t xml:space="preserve"> households that had 2 or more spare bedrooms. Much of this unused housing capacity reveals households</w:t>
      </w:r>
      <w:r w:rsidR="00A15C79">
        <w:t>’</w:t>
      </w:r>
      <w:r>
        <w:t xml:space="preserve"> housing consumption preferences, such as for home offices or holiday homes, or unavoidable frictions in the housing market such as households transitioning between properties. It is unlikely that this situation will change under most realistic policy settings. However, it also highlights structural barriers in the housing system, including taxation</w:t>
      </w:r>
      <w:r w:rsidR="00213D3C">
        <w:t xml:space="preserve"> settings</w:t>
      </w:r>
      <w:r>
        <w:t xml:space="preserve">, that limit </w:t>
      </w:r>
      <w:r w:rsidRPr="00386DA5">
        <w:t xml:space="preserve">the </w:t>
      </w:r>
      <w:r w:rsidRPr="00BD4BFD">
        <w:t xml:space="preserve">optimal </w:t>
      </w:r>
      <w:r>
        <w:t xml:space="preserve">distribution of housing across the population as household </w:t>
      </w:r>
      <w:r w:rsidR="009F7C48">
        <w:t>c</w:t>
      </w:r>
      <w:r>
        <w:t xml:space="preserve">ircumstances change. </w:t>
      </w:r>
    </w:p>
    <w:p w14:paraId="0975F7E0" w14:textId="584629FB" w:rsidR="000D720C" w:rsidRDefault="00F5049E" w:rsidP="000D720C">
      <w:r>
        <w:t>S</w:t>
      </w:r>
      <w:r w:rsidR="000D720C" w:rsidDel="00503850">
        <w:t xml:space="preserve">ocial housing </w:t>
      </w:r>
      <w:r w:rsidR="000D720C">
        <w:t xml:space="preserve">as a share of the total dwelling stock has been declining for over 3 decades – falling </w:t>
      </w:r>
      <w:r w:rsidR="000D720C" w:rsidRPr="00A753D6">
        <w:t xml:space="preserve">from </w:t>
      </w:r>
      <w:r w:rsidR="000D720C">
        <w:t>around 6</w:t>
      </w:r>
      <w:r w:rsidR="0099326B">
        <w:t> per cent</w:t>
      </w:r>
      <w:r w:rsidR="000D720C">
        <w:t xml:space="preserve"> in 1991 to around 4</w:t>
      </w:r>
      <w:r w:rsidR="0099326B">
        <w:t> per cent</w:t>
      </w:r>
      <w:r w:rsidR="000D720C">
        <w:t xml:space="preserve"> in 2021</w:t>
      </w:r>
      <w:r w:rsidR="00405376">
        <w:t xml:space="preserve">. </w:t>
      </w:r>
      <w:r w:rsidR="00405376" w:rsidRPr="002E66C5">
        <w:t xml:space="preserve">This </w:t>
      </w:r>
      <w:r w:rsidR="000D720C" w:rsidRPr="002E66C5">
        <w:t>reflect</w:t>
      </w:r>
      <w:r w:rsidR="00405376" w:rsidRPr="002E66C5">
        <w:t>s</w:t>
      </w:r>
      <w:r w:rsidR="000D720C">
        <w:t xml:space="preserve"> low investment rates and the sale and demolition of existing public housing units. Growth in community housing has only partly offset the decline in public housing. </w:t>
      </w:r>
      <w:r w:rsidR="000D720C" w:rsidRPr="00EB1D4E">
        <w:t>Demand for social housing</w:t>
      </w:r>
      <w:r w:rsidR="000D720C">
        <w:t xml:space="preserve"> also</w:t>
      </w:r>
      <w:r w:rsidR="000D720C" w:rsidRPr="00EB1D4E">
        <w:t xml:space="preserve"> continues to </w:t>
      </w:r>
      <w:r w:rsidR="00153143">
        <w:t>exceed</w:t>
      </w:r>
      <w:r w:rsidR="00153143" w:rsidRPr="00EB1D4E">
        <w:t xml:space="preserve"> </w:t>
      </w:r>
      <w:r w:rsidR="000D720C" w:rsidRPr="00EB1D4E">
        <w:t>supply</w:t>
      </w:r>
      <w:r w:rsidR="000D720C">
        <w:t xml:space="preserve">. </w:t>
      </w:r>
    </w:p>
    <w:p w14:paraId="30E7CF49" w14:textId="0C3A5A0A" w:rsidR="00493879" w:rsidRDefault="000D720C" w:rsidP="00AF5044">
      <w:r>
        <w:t xml:space="preserve">Finally, the </w:t>
      </w:r>
      <w:r w:rsidRPr="00F61102">
        <w:t xml:space="preserve">housing </w:t>
      </w:r>
      <w:r>
        <w:t xml:space="preserve">policy </w:t>
      </w:r>
      <w:r w:rsidRPr="00F61102">
        <w:t xml:space="preserve">system </w:t>
      </w:r>
      <w:r>
        <w:t>is fragmented and disjointed, and housing outcomes are often subordinate relative to other policy objectives. The Australian</w:t>
      </w:r>
      <w:r w:rsidRPr="00F61102">
        <w:t>, stat</w:t>
      </w:r>
      <w:r>
        <w:t>e</w:t>
      </w:r>
      <w:r w:rsidRPr="00F61102">
        <w:t xml:space="preserve"> and territor</w:t>
      </w:r>
      <w:r>
        <w:t>y,</w:t>
      </w:r>
      <w:r w:rsidRPr="00F61102">
        <w:t xml:space="preserve"> and local governments</w:t>
      </w:r>
      <w:r>
        <w:t xml:space="preserve"> all play substantial policy roles in the housing system</w:t>
      </w:r>
      <w:r w:rsidRPr="00F61102">
        <w:t xml:space="preserve">. </w:t>
      </w:r>
      <w:r w:rsidDel="00822187">
        <w:t>W</w:t>
      </w:r>
      <w:r w:rsidRPr="00F61102" w:rsidDel="00822187">
        <w:t xml:space="preserve">ithin </w:t>
      </w:r>
      <w:r>
        <w:t>different</w:t>
      </w:r>
      <w:r w:rsidRPr="00F61102" w:rsidDel="00822187">
        <w:t xml:space="preserve"> levels of government, m</w:t>
      </w:r>
      <w:r w:rsidRPr="00F61102">
        <w:t xml:space="preserve">ultiple departments and agencies </w:t>
      </w:r>
      <w:r>
        <w:t>are</w:t>
      </w:r>
      <w:r w:rsidRPr="00F61102">
        <w:t xml:space="preserve"> responsib</w:t>
      </w:r>
      <w:r>
        <w:t>le</w:t>
      </w:r>
      <w:r w:rsidRPr="00F61102">
        <w:t xml:space="preserve"> for different parts of the system</w:t>
      </w:r>
      <w:r>
        <w:t>,</w:t>
      </w:r>
      <w:r w:rsidRPr="00F61102">
        <w:t xml:space="preserve"> including </w:t>
      </w:r>
      <w:r>
        <w:t>p</w:t>
      </w:r>
      <w:r w:rsidRPr="00F61102">
        <w:t xml:space="preserve">lanning, </w:t>
      </w:r>
      <w:r>
        <w:t>t</w:t>
      </w:r>
      <w:r w:rsidRPr="00F61102">
        <w:t xml:space="preserve">ransport, </w:t>
      </w:r>
      <w:r>
        <w:t>s</w:t>
      </w:r>
      <w:r w:rsidRPr="00F61102">
        <w:t xml:space="preserve">ocial </w:t>
      </w:r>
      <w:r>
        <w:t>s</w:t>
      </w:r>
      <w:r w:rsidRPr="00F61102">
        <w:t xml:space="preserve">ervices, </w:t>
      </w:r>
      <w:r>
        <w:t>t</w:t>
      </w:r>
      <w:r w:rsidRPr="00F61102">
        <w:t xml:space="preserve">reasury, </w:t>
      </w:r>
      <w:r>
        <w:t>e</w:t>
      </w:r>
      <w:r w:rsidRPr="00F61102">
        <w:t xml:space="preserve">ducation and </w:t>
      </w:r>
      <w:r>
        <w:t>s</w:t>
      </w:r>
      <w:r w:rsidRPr="00F61102">
        <w:t xml:space="preserve">kills, </w:t>
      </w:r>
      <w:r>
        <w:t>i</w:t>
      </w:r>
      <w:r w:rsidRPr="00F61102">
        <w:t xml:space="preserve">nfrastructure and </w:t>
      </w:r>
      <w:r>
        <w:t>r</w:t>
      </w:r>
      <w:r w:rsidRPr="00F61102">
        <w:t xml:space="preserve">egional </w:t>
      </w:r>
      <w:r>
        <w:t>d</w:t>
      </w:r>
      <w:r w:rsidRPr="00F61102">
        <w:t xml:space="preserve">evelopment. </w:t>
      </w:r>
      <w:bookmarkStart w:id="60" w:name="_Toc194873153"/>
      <w:bookmarkStart w:id="61" w:name="_Toc194476386"/>
      <w:bookmarkStart w:id="62" w:name="_Toc194478412"/>
      <w:bookmarkStart w:id="63" w:name="_Toc194478954"/>
      <w:bookmarkStart w:id="64" w:name="_Toc194482552"/>
      <w:bookmarkStart w:id="65" w:name="_Toc195026328"/>
      <w:bookmarkStart w:id="66" w:name="_Toc195026583"/>
      <w:bookmarkStart w:id="67" w:name="_Toc195106342"/>
      <w:bookmarkStart w:id="68" w:name="_Toc195173201"/>
      <w:bookmarkStart w:id="69" w:name="_Toc195175544"/>
      <w:r w:rsidR="00493879">
        <w:br w:type="page"/>
      </w:r>
    </w:p>
    <w:p w14:paraId="269B250B" w14:textId="47235104" w:rsidR="000D720C" w:rsidRPr="00756606" w:rsidRDefault="000D720C" w:rsidP="00F30226">
      <w:pPr>
        <w:pStyle w:val="Heading3"/>
      </w:pPr>
      <w:r>
        <w:lastRenderedPageBreak/>
        <w:t>Significant systemic reform, g</w:t>
      </w:r>
      <w:r w:rsidRPr="00756606">
        <w:t xml:space="preserve">overnment </w:t>
      </w:r>
      <w:r>
        <w:t xml:space="preserve">support measures and industry innovation are needed to improve </w:t>
      </w:r>
      <w:r w:rsidRPr="00756606">
        <w:t>housing supply and affordability</w:t>
      </w:r>
      <w:bookmarkEnd w:id="60"/>
      <w:bookmarkEnd w:id="61"/>
      <w:bookmarkEnd w:id="62"/>
      <w:bookmarkEnd w:id="63"/>
      <w:bookmarkEnd w:id="64"/>
      <w:bookmarkEnd w:id="65"/>
      <w:bookmarkEnd w:id="66"/>
      <w:bookmarkEnd w:id="67"/>
      <w:bookmarkEnd w:id="68"/>
      <w:bookmarkEnd w:id="69"/>
      <w:r w:rsidRPr="00756606">
        <w:t> </w:t>
      </w:r>
    </w:p>
    <w:p w14:paraId="28E8D56A" w14:textId="2E6D8C93" w:rsidR="000D720C" w:rsidRDefault="000D720C" w:rsidP="000D720C">
      <w:pPr>
        <w:spacing w:before="0" w:after="160" w:line="259" w:lineRule="auto"/>
        <w:rPr>
          <w:bCs/>
        </w:rPr>
      </w:pPr>
      <w:r>
        <w:rPr>
          <w:bCs/>
        </w:rPr>
        <w:t>Australia needs a better housing system. The Council</w:t>
      </w:r>
      <w:r w:rsidR="00A15C79">
        <w:rPr>
          <w:bCs/>
        </w:rPr>
        <w:t>’</w:t>
      </w:r>
      <w:r>
        <w:rPr>
          <w:bCs/>
        </w:rPr>
        <w:t>s vision for the housing system is that housing is affordable, fit</w:t>
      </w:r>
      <w:r w:rsidR="004B7CC1">
        <w:rPr>
          <w:bCs/>
        </w:rPr>
        <w:t xml:space="preserve"> </w:t>
      </w:r>
      <w:r>
        <w:rPr>
          <w:bCs/>
        </w:rPr>
        <w:t>for</w:t>
      </w:r>
      <w:r w:rsidR="004B7CC1">
        <w:rPr>
          <w:bCs/>
        </w:rPr>
        <w:t xml:space="preserve"> </w:t>
      </w:r>
      <w:r>
        <w:rPr>
          <w:bCs/>
        </w:rPr>
        <w:t xml:space="preserve">purpose and secure for households of all incomes and in all locations. However, this is not a straightforward or quick task. Decades of insufficient attention have resulted in the present undersupply of housing and low affordability. Achieving this vision will require significant systemic reform and ongoing investment from government and industry. It will also require leadership and accountability. </w:t>
      </w:r>
    </w:p>
    <w:p w14:paraId="075002C0" w14:textId="070ED5B5" w:rsidR="000D720C" w:rsidRDefault="000D720C" w:rsidP="000D720C">
      <w:pPr>
        <w:spacing w:before="0" w:after="160" w:line="259" w:lineRule="auto"/>
        <w:rPr>
          <w:bCs/>
        </w:rPr>
      </w:pPr>
      <w:r>
        <w:rPr>
          <w:bCs/>
        </w:rPr>
        <w:t>Achieving the Council</w:t>
      </w:r>
      <w:r w:rsidR="00A15C79">
        <w:rPr>
          <w:bCs/>
        </w:rPr>
        <w:t>’</w:t>
      </w:r>
      <w:r>
        <w:rPr>
          <w:bCs/>
        </w:rPr>
        <w:t xml:space="preserve">s vision and goals will require government and industry efforts in 5 key policy areas. </w:t>
      </w:r>
    </w:p>
    <w:p w14:paraId="23863EEB" w14:textId="6A871C37" w:rsidR="000D720C" w:rsidRDefault="000D720C" w:rsidP="0099326B">
      <w:pPr>
        <w:pStyle w:val="OutlineNumbered1"/>
        <w:rPr>
          <w:bCs/>
        </w:rPr>
      </w:pPr>
      <w:r w:rsidRPr="00D979C5">
        <w:rPr>
          <w:rStyle w:val="Strong"/>
        </w:rPr>
        <w:t xml:space="preserve">Increasing investment in social and affordable housing, and reviewing regulatory </w:t>
      </w:r>
      <w:r w:rsidR="00EF061D" w:rsidRPr="00D979C5">
        <w:rPr>
          <w:rStyle w:val="Strong"/>
        </w:rPr>
        <w:t>frameworks for the social and affordable housing sector</w:t>
      </w:r>
      <w:r w:rsidR="00EF061D">
        <w:rPr>
          <w:rStyle w:val="Strong"/>
        </w:rPr>
        <w:t>.</w:t>
      </w:r>
      <w:r>
        <w:rPr>
          <w:bCs/>
        </w:rPr>
        <w:t xml:space="preserve"> Social and affordable housing is essential infrastructure that plays a vital role in reducing homelessness and the incidence of poverty. It boosts social and economic inclusion and fosters diverse and vibrant communities. Significant investment is needed to increase the stock of social and affordable housing and rebuild public trust and confidence in the sector. </w:t>
      </w:r>
    </w:p>
    <w:p w14:paraId="5B331E5B" w14:textId="77777777" w:rsidR="000D720C" w:rsidRDefault="000D720C" w:rsidP="0099326B">
      <w:pPr>
        <w:pStyle w:val="OutlineNumbered1"/>
      </w:pPr>
      <w:r w:rsidRPr="0099326B">
        <w:rPr>
          <w:rStyle w:val="Strong"/>
        </w:rPr>
        <w:t>Improving construction sector capacity and productivity.</w:t>
      </w:r>
      <w:r>
        <w:t xml:space="preserve"> The impact of varying regulations across jurisdictions, along with a fragmented industry structure, low innovation levels and limited economies of scale, have constrained productivity growth in the sector. Chronic labour shortages in the sector must be addressed so that the market can respond more effectively to evolving trends and future shocks.</w:t>
      </w:r>
    </w:p>
    <w:p w14:paraId="1DC6947C" w14:textId="4A32F3B3" w:rsidR="000D720C" w:rsidRDefault="000D720C" w:rsidP="0099326B">
      <w:pPr>
        <w:pStyle w:val="OutlineNumbered1"/>
      </w:pPr>
      <w:r w:rsidRPr="0099326B">
        <w:rPr>
          <w:rStyle w:val="Strong"/>
        </w:rPr>
        <w:t>Applying best practice principles to planning systems and ensuring developable land is made available.</w:t>
      </w:r>
      <w:r>
        <w:t xml:space="preserve"> To meet Australians</w:t>
      </w:r>
      <w:r w:rsidR="00A15C79">
        <w:t>’</w:t>
      </w:r>
      <w:r>
        <w:t xml:space="preserve"> needs now and into the future, it is critical to continue work on reforming planning systems – including via the National Planning Reform Blueprint – and to ensure that adequate land is available for development.</w:t>
      </w:r>
    </w:p>
    <w:p w14:paraId="06A09136" w14:textId="0B365E6A" w:rsidR="000D720C" w:rsidRDefault="000D720C" w:rsidP="0099326B">
      <w:pPr>
        <w:pStyle w:val="OutlineNumbered1"/>
      </w:pPr>
      <w:r w:rsidRPr="0099326B">
        <w:rPr>
          <w:rStyle w:val="Strong"/>
        </w:rPr>
        <w:t>Supporting better outcomes for renters.</w:t>
      </w:r>
      <w:r>
        <w:rPr>
          <w:b/>
        </w:rPr>
        <w:t xml:space="preserve"> </w:t>
      </w:r>
      <w:r>
        <w:t>Renters represent a significant and increasing share of Australia</w:t>
      </w:r>
      <w:r w:rsidR="00A15C79">
        <w:t>’</w:t>
      </w:r>
      <w:r>
        <w:t xml:space="preserve">s households. It is essential that the housing system works for them </w:t>
      </w:r>
      <w:r w:rsidDel="00966D1F">
        <w:t>by providing</w:t>
      </w:r>
      <w:r>
        <w:t xml:space="preserve"> access to affordable and secure rental housing. </w:t>
      </w:r>
    </w:p>
    <w:p w14:paraId="76D63744" w14:textId="6E207F6C" w:rsidR="000D720C" w:rsidRDefault="000D720C" w:rsidP="0099326B">
      <w:pPr>
        <w:pStyle w:val="OutlineNumbered1"/>
      </w:pPr>
      <w:r w:rsidRPr="0099326B">
        <w:rPr>
          <w:rStyle w:val="Strong"/>
        </w:rPr>
        <w:t>Ensuring the tax system supports housing supply and affordability.</w:t>
      </w:r>
      <w:r>
        <w:t xml:space="preserve"> Tax settings have a wide</w:t>
      </w:r>
      <w:r w:rsidR="00A15C79">
        <w:noBreakHyphen/>
      </w:r>
      <w:r>
        <w:t>ranging impact on the housing system, affecting demand, supply and affordability. Tax reform requires strong evidence and political courage, but there is a strong case for reform to ensure fair access to the benefits of home ownership and to support the efficient use and exchange of the housing stock</w:t>
      </w:r>
      <w:r w:rsidR="008E4210">
        <w:t xml:space="preserve">. </w:t>
      </w:r>
    </w:p>
    <w:p w14:paraId="1CE2EB7F" w14:textId="38C94034" w:rsidR="00A71369" w:rsidRDefault="000D720C">
      <w:pPr>
        <w:spacing w:before="0" w:after="160" w:line="259" w:lineRule="auto"/>
        <w:rPr>
          <w:bCs/>
        </w:rPr>
      </w:pPr>
      <w:r>
        <w:rPr>
          <w:bCs/>
        </w:rPr>
        <w:t xml:space="preserve">Progress towards systemic reform has begun. However, a further step change in reform effort and investment is required beyond current policies and programs to truly change the trajectory of housing supply and affordability in Australia on a persistent basis. </w:t>
      </w:r>
      <w:r w:rsidR="00A71369">
        <w:rPr>
          <w:bCs/>
        </w:rPr>
        <w:br w:type="page"/>
      </w:r>
    </w:p>
    <w:p w14:paraId="5B2E3464" w14:textId="0CDDEACE" w:rsidR="001757E7" w:rsidRPr="00150AD3" w:rsidRDefault="00536916" w:rsidP="00F30226">
      <w:pPr>
        <w:pStyle w:val="Heading2"/>
      </w:pPr>
      <w:bookmarkStart w:id="70" w:name="_Toc195026585"/>
      <w:bookmarkStart w:id="71" w:name="_Toc196395876"/>
      <w:r>
        <w:lastRenderedPageBreak/>
        <w:t>P</w:t>
      </w:r>
      <w:r w:rsidR="001757E7">
        <w:t>olicy</w:t>
      </w:r>
      <w:r w:rsidR="001757E7" w:rsidRPr="00150AD3">
        <w:t xml:space="preserve"> </w:t>
      </w:r>
      <w:r w:rsidR="001757E7" w:rsidRPr="0080378D">
        <w:t>recommendations</w:t>
      </w:r>
      <w:bookmarkEnd w:id="70"/>
      <w:bookmarkEnd w:id="71"/>
    </w:p>
    <w:tbl>
      <w:tblPr>
        <w:tblW w:w="5123" w:type="pct"/>
        <w:tblInd w:w="-5" w:type="dxa"/>
        <w:tblLayout w:type="fixed"/>
        <w:tblCellMar>
          <w:left w:w="0" w:type="dxa"/>
          <w:right w:w="0" w:type="dxa"/>
        </w:tblCellMar>
        <w:tblLook w:val="04A0" w:firstRow="1" w:lastRow="0" w:firstColumn="1" w:lastColumn="0" w:noHBand="0" w:noVBand="1"/>
      </w:tblPr>
      <w:tblGrid>
        <w:gridCol w:w="8090"/>
        <w:gridCol w:w="1203"/>
      </w:tblGrid>
      <w:tr w:rsidR="001757E7" w:rsidRPr="00062696" w14:paraId="6F758296" w14:textId="77777777" w:rsidTr="002040BA">
        <w:trPr>
          <w:trHeight w:val="350"/>
        </w:trPr>
        <w:tc>
          <w:tcPr>
            <w:tcW w:w="4353" w:type="pct"/>
            <w:tcBorders>
              <w:bottom w:val="single" w:sz="4" w:space="0" w:color="FFFFFF" w:themeColor="background1"/>
            </w:tcBorders>
            <w:shd w:val="clear" w:color="auto" w:fill="F2E3C7" w:themeFill="background2"/>
            <w:tcMar>
              <w:top w:w="15" w:type="dxa"/>
              <w:left w:w="108" w:type="dxa"/>
              <w:bottom w:w="0" w:type="dxa"/>
              <w:right w:w="108" w:type="dxa"/>
            </w:tcMar>
            <w:vAlign w:val="center"/>
            <w:hideMark/>
          </w:tcPr>
          <w:p w14:paraId="156837C1" w14:textId="741E9B92" w:rsidR="001757E7" w:rsidRPr="00756B68" w:rsidRDefault="001757E7" w:rsidP="00771B91">
            <w:pPr>
              <w:pStyle w:val="TableColumnHeadingLeft"/>
            </w:pPr>
            <w:bookmarkStart w:id="72" w:name="_Hlk195194953"/>
            <w:r w:rsidRPr="00756B68">
              <w:t>Recommendation</w:t>
            </w:r>
            <w:r w:rsidR="00536916">
              <w:t>s</w:t>
            </w:r>
          </w:p>
        </w:tc>
        <w:tc>
          <w:tcPr>
            <w:tcW w:w="647" w:type="pct"/>
            <w:tcBorders>
              <w:bottom w:val="single" w:sz="4" w:space="0" w:color="FFFFFF" w:themeColor="background1"/>
            </w:tcBorders>
            <w:shd w:val="clear" w:color="auto" w:fill="F2E3C7" w:themeFill="background2"/>
            <w:tcMar>
              <w:top w:w="15" w:type="dxa"/>
              <w:left w:w="108" w:type="dxa"/>
              <w:bottom w:w="0" w:type="dxa"/>
              <w:right w:w="108" w:type="dxa"/>
            </w:tcMar>
            <w:vAlign w:val="center"/>
            <w:hideMark/>
          </w:tcPr>
          <w:p w14:paraId="5A2F9BB6" w14:textId="77777777" w:rsidR="001757E7" w:rsidRPr="00756B68" w:rsidRDefault="001757E7" w:rsidP="00771B91">
            <w:pPr>
              <w:pStyle w:val="TableColumnHeadingLeft"/>
            </w:pPr>
            <w:r w:rsidRPr="00756B68">
              <w:t>Horizon</w:t>
            </w:r>
          </w:p>
        </w:tc>
      </w:tr>
      <w:bookmarkEnd w:id="72"/>
      <w:tr w:rsidR="001757E7" w:rsidRPr="00062696" w14:paraId="1230E383" w14:textId="77777777" w:rsidTr="002C5FF6">
        <w:trPr>
          <w:trHeight w:val="559"/>
        </w:trPr>
        <w:tc>
          <w:tcPr>
            <w:tcW w:w="5000" w:type="pct"/>
            <w:gridSpan w:val="2"/>
            <w:tcBorders>
              <w:top w:val="single" w:sz="4" w:space="0" w:color="FFFFFF" w:themeColor="background1"/>
            </w:tcBorders>
            <w:shd w:val="clear" w:color="auto" w:fill="F2E3C7" w:themeFill="background2"/>
            <w:tcMar>
              <w:top w:w="15" w:type="dxa"/>
              <w:left w:w="108" w:type="dxa"/>
              <w:bottom w:w="0" w:type="dxa"/>
              <w:right w:w="108" w:type="dxa"/>
            </w:tcMar>
            <w:vAlign w:val="center"/>
          </w:tcPr>
          <w:p w14:paraId="79CEEB96" w14:textId="460B5F54" w:rsidR="001757E7" w:rsidRPr="00285514" w:rsidRDefault="001757E7" w:rsidP="002E0488">
            <w:pPr>
              <w:pStyle w:val="BoxText"/>
              <w:numPr>
                <w:ilvl w:val="0"/>
                <w:numId w:val="21"/>
              </w:numPr>
              <w:ind w:left="984" w:hanging="984"/>
              <w:rPr>
                <w:rStyle w:val="Strong"/>
              </w:rPr>
            </w:pPr>
            <w:r w:rsidRPr="002949B5">
              <w:rPr>
                <w:rStyle w:val="Strong"/>
              </w:rPr>
              <w:t>Increasing investment in social and affordable housing through proven mechanisms, and</w:t>
            </w:r>
            <w:r w:rsidR="00771B91" w:rsidRPr="002949B5">
              <w:rPr>
                <w:rStyle w:val="Strong"/>
              </w:rPr>
              <w:t> </w:t>
            </w:r>
            <w:r w:rsidRPr="002949B5">
              <w:rPr>
                <w:rStyle w:val="Strong"/>
              </w:rPr>
              <w:t xml:space="preserve">reviewing regulatory </w:t>
            </w:r>
            <w:r w:rsidR="00250E31" w:rsidRPr="002949B5">
              <w:rPr>
                <w:rStyle w:val="Strong"/>
              </w:rPr>
              <w:t>frameworks for the social and affordable housing sector</w:t>
            </w:r>
          </w:p>
        </w:tc>
      </w:tr>
      <w:tr w:rsidR="001757E7" w:rsidRPr="00062696" w14:paraId="33930D10" w14:textId="77777777" w:rsidTr="002040BA">
        <w:trPr>
          <w:trHeight w:val="900"/>
        </w:trPr>
        <w:tc>
          <w:tcPr>
            <w:tcW w:w="4353" w:type="pct"/>
            <w:tcBorders>
              <w:bottom w:val="single" w:sz="4" w:space="0" w:color="F2E3C7" w:themeColor="accent6"/>
            </w:tcBorders>
            <w:shd w:val="clear" w:color="auto" w:fill="auto"/>
            <w:tcMar>
              <w:top w:w="15" w:type="dxa"/>
              <w:left w:w="108" w:type="dxa"/>
              <w:bottom w:w="0" w:type="dxa"/>
              <w:right w:w="108" w:type="dxa"/>
            </w:tcMar>
            <w:vAlign w:val="center"/>
          </w:tcPr>
          <w:p w14:paraId="7894E28A" w14:textId="44D08DB6" w:rsidR="001757E7" w:rsidRPr="002949B5" w:rsidRDefault="001757E7" w:rsidP="00EB0064">
            <w:pPr>
              <w:pStyle w:val="BoxtextNumbered3111"/>
              <w:ind w:left="559" w:hanging="559"/>
              <w:rPr>
                <w:rFonts w:eastAsiaTheme="minorHAnsi"/>
                <w:b/>
                <w:lang w:eastAsia="en-US"/>
              </w:rPr>
            </w:pPr>
            <w:r w:rsidRPr="002949B5">
              <w:rPr>
                <w:rFonts w:eastAsiaTheme="minorHAnsi"/>
                <w:lang w:eastAsia="en-US"/>
              </w:rPr>
              <w:t>Governments</w:t>
            </w:r>
            <w:r w:rsidR="00BD7EA9">
              <w:rPr>
                <w:rFonts w:eastAsiaTheme="minorHAnsi"/>
                <w:lang w:eastAsia="en-US"/>
              </w:rPr>
              <w:t>,</w:t>
            </w:r>
            <w:r w:rsidRPr="002949B5">
              <w:rPr>
                <w:rFonts w:eastAsiaTheme="minorHAnsi"/>
                <w:lang w:eastAsia="en-US"/>
              </w:rPr>
              <w:t xml:space="preserve"> </w:t>
            </w:r>
            <w:r w:rsidR="00BD7EA9" w:rsidRPr="00BD7EA9">
              <w:rPr>
                <w:rFonts w:eastAsiaTheme="minorHAnsi"/>
                <w:lang w:eastAsia="en-US"/>
              </w:rPr>
              <w:t xml:space="preserve">and the private and not-for-profit sectors, </w:t>
            </w:r>
            <w:r w:rsidRPr="002949B5">
              <w:rPr>
                <w:rFonts w:eastAsiaTheme="minorHAnsi"/>
                <w:lang w:eastAsia="en-US"/>
              </w:rPr>
              <w:t>should commit to consistent investment in social and affordable housing to restore the proportion of social housing to 6</w:t>
            </w:r>
            <w:r w:rsidR="0099326B" w:rsidRPr="002949B5">
              <w:rPr>
                <w:rFonts w:eastAsiaTheme="minorHAnsi"/>
                <w:b/>
                <w:lang w:eastAsia="en-US"/>
              </w:rPr>
              <w:t> </w:t>
            </w:r>
            <w:r w:rsidR="0099326B" w:rsidRPr="002949B5">
              <w:rPr>
                <w:rFonts w:eastAsiaTheme="minorHAnsi"/>
                <w:lang w:eastAsia="en-US"/>
              </w:rPr>
              <w:t>per cent</w:t>
            </w:r>
            <w:r w:rsidRPr="002949B5">
              <w:rPr>
                <w:rFonts w:eastAsiaTheme="minorHAnsi"/>
                <w:lang w:eastAsia="en-US"/>
              </w:rPr>
              <w:t xml:space="preserve"> of the housing stock over the medium term. </w:t>
            </w:r>
          </w:p>
          <w:p w14:paraId="2D846A92" w14:textId="2F96CC3F" w:rsidR="001757E7" w:rsidRPr="002949B5" w:rsidRDefault="001757E7" w:rsidP="0041126E">
            <w:pPr>
              <w:pStyle w:val="BoxtextNumbered3111"/>
              <w:ind w:left="569" w:hanging="569"/>
            </w:pPr>
            <w:r w:rsidRPr="002949B5">
              <w:t>Governments should commit to a long</w:t>
            </w:r>
            <w:r w:rsidR="00A15C79" w:rsidRPr="002949B5">
              <w:noBreakHyphen/>
            </w:r>
            <w:r w:rsidRPr="002949B5">
              <w:t xml:space="preserve">term target for social and affordable housing </w:t>
            </w:r>
            <w:r w:rsidR="00E866FC" w:rsidRPr="002949B5">
              <w:t>– to be as high as 10</w:t>
            </w:r>
            <w:r w:rsidR="0099326B" w:rsidRPr="002949B5">
              <w:t> per cent</w:t>
            </w:r>
            <w:r w:rsidR="00E866FC" w:rsidRPr="002949B5">
              <w:t xml:space="preserve"> of the housing stock – </w:t>
            </w:r>
            <w:r w:rsidRPr="002949B5">
              <w:t xml:space="preserve">that </w:t>
            </w:r>
            <w:r w:rsidR="00C70D53" w:rsidRPr="002949B5">
              <w:t xml:space="preserve">minimises </w:t>
            </w:r>
            <w:r w:rsidRPr="002949B5">
              <w:t>housing stress for low</w:t>
            </w:r>
            <w:r w:rsidR="00A15C79" w:rsidRPr="002949B5">
              <w:noBreakHyphen/>
            </w:r>
            <w:r w:rsidRPr="002949B5">
              <w:t xml:space="preserve">income households. </w:t>
            </w:r>
          </w:p>
        </w:tc>
        <w:tc>
          <w:tcPr>
            <w:tcW w:w="647" w:type="pct"/>
            <w:tcBorders>
              <w:bottom w:val="single" w:sz="4" w:space="0" w:color="F2E3C7" w:themeColor="accent6"/>
            </w:tcBorders>
            <w:shd w:val="clear" w:color="auto" w:fill="auto"/>
            <w:tcMar>
              <w:top w:w="15" w:type="dxa"/>
              <w:left w:w="108" w:type="dxa"/>
              <w:bottom w:w="0" w:type="dxa"/>
              <w:right w:w="108" w:type="dxa"/>
            </w:tcMar>
            <w:vAlign w:val="center"/>
          </w:tcPr>
          <w:p w14:paraId="4BF93C81" w14:textId="509BADF6" w:rsidR="001757E7" w:rsidRPr="002949B5" w:rsidRDefault="001757E7" w:rsidP="00771B91">
            <w:pPr>
              <w:pStyle w:val="BoxText"/>
            </w:pPr>
            <w:r w:rsidRPr="002949B5">
              <w:t>Medium to long</w:t>
            </w:r>
            <w:r w:rsidR="00536916" w:rsidRPr="002949B5">
              <w:t xml:space="preserve"> term</w:t>
            </w:r>
          </w:p>
        </w:tc>
      </w:tr>
      <w:tr w:rsidR="001757E7" w:rsidRPr="00062696" w14:paraId="664D82CB" w14:textId="77777777" w:rsidTr="002040BA">
        <w:trPr>
          <w:trHeight w:val="62"/>
        </w:trPr>
        <w:tc>
          <w:tcPr>
            <w:tcW w:w="4353" w:type="pct"/>
            <w:tcBorders>
              <w:top w:val="single" w:sz="4" w:space="0" w:color="F2E3C7" w:themeColor="accent6"/>
              <w:bottom w:val="single" w:sz="4" w:space="0" w:color="F2E3C7" w:themeColor="accent6"/>
            </w:tcBorders>
            <w:shd w:val="clear" w:color="auto" w:fill="auto"/>
            <w:tcMar>
              <w:top w:w="15" w:type="dxa"/>
              <w:left w:w="108" w:type="dxa"/>
              <w:bottom w:w="0" w:type="dxa"/>
              <w:right w:w="108" w:type="dxa"/>
            </w:tcMar>
            <w:vAlign w:val="center"/>
          </w:tcPr>
          <w:p w14:paraId="2B68DD61" w14:textId="25903EC6" w:rsidR="001757E7" w:rsidRPr="002949B5" w:rsidRDefault="001757E7" w:rsidP="00771B91">
            <w:pPr>
              <w:pStyle w:val="BoxtextNumbered211"/>
            </w:pPr>
            <w:r w:rsidRPr="002949B5">
              <w:t xml:space="preserve">The </w:t>
            </w:r>
            <w:r w:rsidR="00536916" w:rsidRPr="002949B5">
              <w:t xml:space="preserve">Australian </w:t>
            </w:r>
            <w:r w:rsidRPr="002949B5">
              <w:t>and state governments should work together to implement a low, uniform inclusionary zoning target across jurisdictions.</w:t>
            </w:r>
          </w:p>
        </w:tc>
        <w:tc>
          <w:tcPr>
            <w:tcW w:w="647" w:type="pct"/>
            <w:tcBorders>
              <w:top w:val="single" w:sz="4" w:space="0" w:color="F2E3C7" w:themeColor="accent6"/>
              <w:bottom w:val="single" w:sz="4" w:space="0" w:color="F2E3C7" w:themeColor="accent6"/>
            </w:tcBorders>
            <w:shd w:val="clear" w:color="auto" w:fill="auto"/>
            <w:tcMar>
              <w:top w:w="15" w:type="dxa"/>
              <w:left w:w="108" w:type="dxa"/>
              <w:bottom w:w="0" w:type="dxa"/>
              <w:right w:w="108" w:type="dxa"/>
            </w:tcMar>
            <w:vAlign w:val="center"/>
          </w:tcPr>
          <w:p w14:paraId="71019F69" w14:textId="4FDFFD55" w:rsidR="001757E7" w:rsidRPr="002949B5" w:rsidRDefault="001757E7" w:rsidP="00771B91">
            <w:pPr>
              <w:pStyle w:val="BoxText"/>
            </w:pPr>
            <w:r w:rsidRPr="002949B5">
              <w:t>Medium</w:t>
            </w:r>
            <w:r w:rsidR="00536916" w:rsidRPr="002949B5">
              <w:t xml:space="preserve"> term</w:t>
            </w:r>
          </w:p>
        </w:tc>
      </w:tr>
      <w:tr w:rsidR="001757E7" w:rsidRPr="00062696" w14:paraId="77A9189B" w14:textId="77777777" w:rsidTr="002040BA">
        <w:trPr>
          <w:trHeight w:val="62"/>
        </w:trPr>
        <w:tc>
          <w:tcPr>
            <w:tcW w:w="4353" w:type="pct"/>
            <w:tcBorders>
              <w:top w:val="single" w:sz="4" w:space="0" w:color="F2E3C7" w:themeColor="accent6"/>
              <w:bottom w:val="single" w:sz="4" w:space="0" w:color="F2E3C7" w:themeColor="accent6"/>
            </w:tcBorders>
            <w:shd w:val="clear" w:color="auto" w:fill="auto"/>
            <w:tcMar>
              <w:top w:w="15" w:type="dxa"/>
              <w:left w:w="108" w:type="dxa"/>
              <w:bottom w:w="0" w:type="dxa"/>
              <w:right w:w="108" w:type="dxa"/>
            </w:tcMar>
            <w:vAlign w:val="center"/>
          </w:tcPr>
          <w:p w14:paraId="70C32597" w14:textId="7F371FEA" w:rsidR="001757E7" w:rsidRPr="002949B5" w:rsidRDefault="001757E7" w:rsidP="00771B91">
            <w:pPr>
              <w:pStyle w:val="BoxtextNumbered211"/>
            </w:pPr>
            <w:r w:rsidRPr="002949B5">
              <w:t xml:space="preserve">Governments should financially support </w:t>
            </w:r>
            <w:r w:rsidR="0099326B" w:rsidRPr="002949B5">
              <w:t>First Nations</w:t>
            </w:r>
            <w:r w:rsidRPr="002949B5">
              <w:t xml:space="preserve"> housing organisations to provide more social and affordable housing for </w:t>
            </w:r>
            <w:r w:rsidR="0099326B" w:rsidRPr="002949B5">
              <w:t>First Nations</w:t>
            </w:r>
            <w:r w:rsidRPr="002949B5">
              <w:t xml:space="preserve"> households.</w:t>
            </w:r>
          </w:p>
        </w:tc>
        <w:tc>
          <w:tcPr>
            <w:tcW w:w="647" w:type="pct"/>
            <w:tcBorders>
              <w:top w:val="single" w:sz="4" w:space="0" w:color="F2E3C7" w:themeColor="accent6"/>
              <w:bottom w:val="single" w:sz="4" w:space="0" w:color="F2E3C7" w:themeColor="accent6"/>
            </w:tcBorders>
            <w:shd w:val="clear" w:color="auto" w:fill="auto"/>
            <w:tcMar>
              <w:top w:w="15" w:type="dxa"/>
              <w:left w:w="108" w:type="dxa"/>
              <w:bottom w:w="0" w:type="dxa"/>
              <w:right w:w="108" w:type="dxa"/>
            </w:tcMar>
            <w:vAlign w:val="center"/>
          </w:tcPr>
          <w:p w14:paraId="0986138F" w14:textId="04F0D83C" w:rsidR="001757E7" w:rsidRPr="002949B5" w:rsidRDefault="001757E7" w:rsidP="00771B91">
            <w:pPr>
              <w:pStyle w:val="BoxText"/>
            </w:pPr>
            <w:r w:rsidRPr="002949B5">
              <w:t>Medium to long</w:t>
            </w:r>
            <w:r w:rsidR="00536916" w:rsidRPr="002949B5">
              <w:t xml:space="preserve"> term</w:t>
            </w:r>
          </w:p>
        </w:tc>
      </w:tr>
      <w:tr w:rsidR="001757E7" w:rsidRPr="00062696" w14:paraId="4AFFE21C" w14:textId="77777777" w:rsidTr="002040BA">
        <w:trPr>
          <w:trHeight w:val="794"/>
        </w:trPr>
        <w:tc>
          <w:tcPr>
            <w:tcW w:w="4353" w:type="pct"/>
            <w:tcBorders>
              <w:top w:val="single" w:sz="4" w:space="0" w:color="F2E3C7" w:themeColor="accent6"/>
            </w:tcBorders>
            <w:shd w:val="clear" w:color="auto" w:fill="auto"/>
            <w:tcMar>
              <w:top w:w="15" w:type="dxa"/>
              <w:left w:w="108" w:type="dxa"/>
              <w:bottom w:w="0" w:type="dxa"/>
              <w:right w:w="108" w:type="dxa"/>
            </w:tcMar>
            <w:vAlign w:val="center"/>
          </w:tcPr>
          <w:p w14:paraId="114FF945" w14:textId="00D03DF6" w:rsidR="001757E7" w:rsidRPr="002949B5" w:rsidRDefault="001757E7" w:rsidP="00771B91">
            <w:pPr>
              <w:pStyle w:val="BoxtextNumbered211"/>
            </w:pPr>
            <w:r w:rsidRPr="002949B5">
              <w:t xml:space="preserve">Governments should review the </w:t>
            </w:r>
            <w:r w:rsidR="00EE5EFE" w:rsidRPr="002949B5">
              <w:t>National Regulatory System for Community Housing (</w:t>
            </w:r>
            <w:r w:rsidRPr="002949B5">
              <w:t>NRSCH</w:t>
            </w:r>
            <w:r w:rsidR="00EE5EFE" w:rsidRPr="002949B5">
              <w:t>)</w:t>
            </w:r>
            <w:r w:rsidR="00111A55" w:rsidRPr="002949B5">
              <w:t>,</w:t>
            </w:r>
            <w:r w:rsidRPr="002949B5">
              <w:t xml:space="preserve"> with the long</w:t>
            </w:r>
            <w:r w:rsidR="003579BC" w:rsidRPr="002949B5">
              <w:t xml:space="preserve"> </w:t>
            </w:r>
            <w:r w:rsidRPr="002949B5">
              <w:t xml:space="preserve">term goal of developing a </w:t>
            </w:r>
            <w:r w:rsidR="00AA791A" w:rsidRPr="002949B5">
              <w:t xml:space="preserve">national </w:t>
            </w:r>
            <w:r w:rsidRPr="002949B5">
              <w:t>best</w:t>
            </w:r>
            <w:r w:rsidR="00111A55" w:rsidRPr="002949B5">
              <w:t xml:space="preserve"> </w:t>
            </w:r>
            <w:r w:rsidRPr="002949B5">
              <w:t xml:space="preserve">practice regulatory framework for providers of social and affordable housing. </w:t>
            </w:r>
          </w:p>
        </w:tc>
        <w:tc>
          <w:tcPr>
            <w:tcW w:w="647" w:type="pct"/>
            <w:tcBorders>
              <w:top w:val="single" w:sz="4" w:space="0" w:color="F2E3C7" w:themeColor="accent6"/>
            </w:tcBorders>
            <w:shd w:val="clear" w:color="auto" w:fill="auto"/>
            <w:tcMar>
              <w:top w:w="15" w:type="dxa"/>
              <w:left w:w="108" w:type="dxa"/>
              <w:bottom w:w="0" w:type="dxa"/>
              <w:right w:w="108" w:type="dxa"/>
            </w:tcMar>
            <w:vAlign w:val="center"/>
          </w:tcPr>
          <w:p w14:paraId="441A962C" w14:textId="560F24C1" w:rsidR="001757E7" w:rsidRPr="002949B5" w:rsidRDefault="001757E7" w:rsidP="00771B91">
            <w:pPr>
              <w:pStyle w:val="BoxText"/>
            </w:pPr>
            <w:r w:rsidRPr="002949B5">
              <w:t>Medium</w:t>
            </w:r>
            <w:r w:rsidR="00536916" w:rsidRPr="002949B5">
              <w:t xml:space="preserve"> term</w:t>
            </w:r>
          </w:p>
        </w:tc>
      </w:tr>
      <w:tr w:rsidR="001757E7" w:rsidRPr="00062696" w14:paraId="73E56D9D" w14:textId="77777777" w:rsidTr="002040BA">
        <w:trPr>
          <w:trHeight w:val="296"/>
        </w:trPr>
        <w:tc>
          <w:tcPr>
            <w:tcW w:w="5000" w:type="pct"/>
            <w:gridSpan w:val="2"/>
            <w:shd w:val="clear" w:color="auto" w:fill="F2E3C7" w:themeFill="background2"/>
            <w:tcMar>
              <w:top w:w="15" w:type="dxa"/>
              <w:left w:w="108" w:type="dxa"/>
              <w:bottom w:w="0" w:type="dxa"/>
              <w:right w:w="108" w:type="dxa"/>
            </w:tcMar>
            <w:vAlign w:val="center"/>
          </w:tcPr>
          <w:p w14:paraId="65EDEE8C" w14:textId="0D281766" w:rsidR="001757E7" w:rsidRPr="00771B91" w:rsidRDefault="001757E7" w:rsidP="002E0488">
            <w:pPr>
              <w:pStyle w:val="BoxText"/>
              <w:numPr>
                <w:ilvl w:val="0"/>
                <w:numId w:val="21"/>
              </w:numPr>
              <w:ind w:left="984" w:hanging="984"/>
              <w:rPr>
                <w:rStyle w:val="Strong"/>
              </w:rPr>
            </w:pPr>
            <w:r w:rsidRPr="00771B91">
              <w:rPr>
                <w:rStyle w:val="Strong"/>
              </w:rPr>
              <w:t>Improving construction sector capacity and productivity</w:t>
            </w:r>
          </w:p>
        </w:tc>
      </w:tr>
      <w:tr w:rsidR="001757E7" w:rsidRPr="00062696" w14:paraId="083C59CA" w14:textId="77777777" w:rsidTr="002040BA">
        <w:trPr>
          <w:trHeight w:val="900"/>
        </w:trPr>
        <w:tc>
          <w:tcPr>
            <w:tcW w:w="4353" w:type="pct"/>
            <w:tcBorders>
              <w:bottom w:val="single" w:sz="4" w:space="0" w:color="F2E3C7" w:themeColor="accent6"/>
            </w:tcBorders>
            <w:shd w:val="clear" w:color="auto" w:fill="auto"/>
            <w:tcMar>
              <w:top w:w="15" w:type="dxa"/>
              <w:left w:w="108" w:type="dxa"/>
              <w:bottom w:w="0" w:type="dxa"/>
              <w:right w:w="108" w:type="dxa"/>
            </w:tcMar>
            <w:vAlign w:val="center"/>
          </w:tcPr>
          <w:p w14:paraId="13BC1B78" w14:textId="333512D4" w:rsidR="001757E7" w:rsidRPr="00756B68" w:rsidRDefault="001757E7" w:rsidP="00956862">
            <w:pPr>
              <w:pStyle w:val="BoxtextNumbered211"/>
              <w:numPr>
                <w:ilvl w:val="1"/>
                <w:numId w:val="32"/>
              </w:numPr>
            </w:pPr>
            <w:r w:rsidRPr="00756B68">
              <w:t xml:space="preserve">Governments should investigate the feasibility of modern methods of construction and address regulatory and other barriers to </w:t>
            </w:r>
            <w:r w:rsidR="00EE5EFE">
              <w:t>their</w:t>
            </w:r>
            <w:r w:rsidR="00EE5EFE" w:rsidRPr="00756B68">
              <w:t xml:space="preserve"> </w:t>
            </w:r>
            <w:r w:rsidRPr="00756B68">
              <w:t xml:space="preserve">uptake. If assessed as appropriate, </w:t>
            </w:r>
            <w:r>
              <w:t xml:space="preserve">governments should </w:t>
            </w:r>
            <w:r w:rsidRPr="00756B68">
              <w:t>underwrite investment in modern methods of construction to unlock cheaper, more efficient construction methods and rectify decades of poor productivity.</w:t>
            </w:r>
          </w:p>
        </w:tc>
        <w:tc>
          <w:tcPr>
            <w:tcW w:w="647" w:type="pct"/>
            <w:tcBorders>
              <w:bottom w:val="single" w:sz="4" w:space="0" w:color="F2E3C7" w:themeColor="accent6"/>
            </w:tcBorders>
            <w:shd w:val="clear" w:color="auto" w:fill="auto"/>
            <w:tcMar>
              <w:top w:w="15" w:type="dxa"/>
              <w:left w:w="108" w:type="dxa"/>
              <w:bottom w:w="0" w:type="dxa"/>
              <w:right w:w="108" w:type="dxa"/>
            </w:tcMar>
            <w:vAlign w:val="center"/>
          </w:tcPr>
          <w:p w14:paraId="32768796" w14:textId="6A56C90A" w:rsidR="001757E7" w:rsidRPr="00756B68" w:rsidRDefault="001757E7" w:rsidP="00771B91">
            <w:pPr>
              <w:pStyle w:val="BoxText"/>
            </w:pPr>
            <w:r w:rsidRPr="00756B68">
              <w:t>Short to long</w:t>
            </w:r>
            <w:r w:rsidR="00536916">
              <w:t xml:space="preserve"> term</w:t>
            </w:r>
          </w:p>
        </w:tc>
      </w:tr>
      <w:tr w:rsidR="001757E7" w:rsidRPr="00062696" w14:paraId="469B14C9" w14:textId="77777777" w:rsidTr="002040BA">
        <w:trPr>
          <w:trHeight w:val="151"/>
        </w:trPr>
        <w:tc>
          <w:tcPr>
            <w:tcW w:w="4353" w:type="pct"/>
            <w:tcBorders>
              <w:top w:val="single" w:sz="4" w:space="0" w:color="F2E3C7" w:themeColor="accent6"/>
              <w:bottom w:val="single" w:sz="4" w:space="0" w:color="F2E3C7" w:themeColor="accent6"/>
            </w:tcBorders>
            <w:shd w:val="clear" w:color="auto" w:fill="auto"/>
            <w:tcMar>
              <w:top w:w="15" w:type="dxa"/>
              <w:left w:w="108" w:type="dxa"/>
              <w:bottom w:w="0" w:type="dxa"/>
              <w:right w:w="108" w:type="dxa"/>
            </w:tcMar>
            <w:vAlign w:val="center"/>
          </w:tcPr>
          <w:p w14:paraId="48AD8BB4" w14:textId="58F6E9A7" w:rsidR="001757E7" w:rsidRPr="00756B68" w:rsidRDefault="001757E7" w:rsidP="00956862">
            <w:pPr>
              <w:pStyle w:val="BoxtextNumbered211"/>
              <w:numPr>
                <w:ilvl w:val="1"/>
                <w:numId w:val="32"/>
              </w:numPr>
            </w:pPr>
            <w:r w:rsidRPr="00756B68">
              <w:t>Governments should address the continued shortfall in construction sector workers by boosting skills training and through skilled migration programs.</w:t>
            </w:r>
          </w:p>
        </w:tc>
        <w:tc>
          <w:tcPr>
            <w:tcW w:w="647" w:type="pct"/>
            <w:tcBorders>
              <w:top w:val="single" w:sz="4" w:space="0" w:color="F2E3C7" w:themeColor="accent6"/>
              <w:bottom w:val="single" w:sz="4" w:space="0" w:color="F2E3C7" w:themeColor="accent6"/>
            </w:tcBorders>
            <w:shd w:val="clear" w:color="auto" w:fill="auto"/>
            <w:tcMar>
              <w:top w:w="15" w:type="dxa"/>
              <w:left w:w="108" w:type="dxa"/>
              <w:bottom w:w="0" w:type="dxa"/>
              <w:right w:w="108" w:type="dxa"/>
            </w:tcMar>
            <w:vAlign w:val="center"/>
          </w:tcPr>
          <w:p w14:paraId="44D55141" w14:textId="7DF9C8E7" w:rsidR="001757E7" w:rsidRPr="00756B68" w:rsidRDefault="001757E7" w:rsidP="00771B91">
            <w:pPr>
              <w:pStyle w:val="BoxText"/>
            </w:pPr>
            <w:r w:rsidRPr="00756B68">
              <w:t>Short to long</w:t>
            </w:r>
            <w:r w:rsidR="00536916">
              <w:t xml:space="preserve"> term</w:t>
            </w:r>
          </w:p>
        </w:tc>
      </w:tr>
      <w:tr w:rsidR="001757E7" w:rsidRPr="00062696" w14:paraId="712503D7" w14:textId="77777777" w:rsidTr="002040BA">
        <w:trPr>
          <w:trHeight w:val="62"/>
        </w:trPr>
        <w:tc>
          <w:tcPr>
            <w:tcW w:w="4353" w:type="pct"/>
            <w:tcBorders>
              <w:top w:val="single" w:sz="4" w:space="0" w:color="F2E3C7" w:themeColor="accent6"/>
            </w:tcBorders>
            <w:shd w:val="clear" w:color="auto" w:fill="auto"/>
            <w:tcMar>
              <w:top w:w="15" w:type="dxa"/>
              <w:left w:w="108" w:type="dxa"/>
              <w:bottom w:w="0" w:type="dxa"/>
              <w:right w:w="108" w:type="dxa"/>
            </w:tcMar>
            <w:vAlign w:val="center"/>
          </w:tcPr>
          <w:p w14:paraId="3656DC1E" w14:textId="714F952D" w:rsidR="001757E7" w:rsidRPr="00756B68" w:rsidRDefault="001757E7" w:rsidP="00956862">
            <w:pPr>
              <w:pStyle w:val="BoxtextNumbered211"/>
              <w:numPr>
                <w:ilvl w:val="1"/>
                <w:numId w:val="32"/>
              </w:numPr>
            </w:pPr>
            <w:r w:rsidRPr="00756B68">
              <w:t>Industry should address labour shortages and low productivity by investing in vocational training and apprenticeships</w:t>
            </w:r>
            <w:r w:rsidR="00F31AE2" w:rsidRPr="00EC4574">
              <w:t>,</w:t>
            </w:r>
            <w:r w:rsidRPr="00756B68">
              <w:t xml:space="preserve"> and diversifying its workforce.</w:t>
            </w:r>
          </w:p>
        </w:tc>
        <w:tc>
          <w:tcPr>
            <w:tcW w:w="647" w:type="pct"/>
            <w:tcBorders>
              <w:top w:val="single" w:sz="4" w:space="0" w:color="F2E3C7" w:themeColor="accent6"/>
            </w:tcBorders>
            <w:shd w:val="clear" w:color="auto" w:fill="auto"/>
            <w:tcMar>
              <w:top w:w="15" w:type="dxa"/>
              <w:left w:w="108" w:type="dxa"/>
              <w:bottom w:w="0" w:type="dxa"/>
              <w:right w:w="108" w:type="dxa"/>
            </w:tcMar>
            <w:vAlign w:val="center"/>
          </w:tcPr>
          <w:p w14:paraId="3D473E12" w14:textId="423BA296" w:rsidR="001757E7" w:rsidRPr="00756B68" w:rsidRDefault="001757E7" w:rsidP="00771B91">
            <w:pPr>
              <w:pStyle w:val="BoxText"/>
            </w:pPr>
            <w:r w:rsidRPr="00756B68">
              <w:t>Short to long</w:t>
            </w:r>
            <w:r w:rsidR="00536916">
              <w:t xml:space="preserve"> term</w:t>
            </w:r>
          </w:p>
        </w:tc>
      </w:tr>
      <w:tr w:rsidR="001757E7" w:rsidRPr="00062696" w14:paraId="34609829" w14:textId="77777777" w:rsidTr="002040BA">
        <w:trPr>
          <w:trHeight w:val="312"/>
        </w:trPr>
        <w:tc>
          <w:tcPr>
            <w:tcW w:w="5000" w:type="pct"/>
            <w:gridSpan w:val="2"/>
            <w:shd w:val="clear" w:color="auto" w:fill="F2E3C7" w:themeFill="background2"/>
            <w:tcMar>
              <w:top w:w="15" w:type="dxa"/>
              <w:left w:w="108" w:type="dxa"/>
              <w:bottom w:w="0" w:type="dxa"/>
              <w:right w:w="108" w:type="dxa"/>
            </w:tcMar>
            <w:vAlign w:val="center"/>
          </w:tcPr>
          <w:p w14:paraId="14845940" w14:textId="6CDA90D3" w:rsidR="001757E7" w:rsidRPr="00771B91" w:rsidRDefault="001757E7" w:rsidP="002E0488">
            <w:pPr>
              <w:pStyle w:val="BoxText"/>
              <w:numPr>
                <w:ilvl w:val="0"/>
                <w:numId w:val="21"/>
              </w:numPr>
              <w:ind w:left="984" w:hanging="984"/>
              <w:rPr>
                <w:rStyle w:val="Strong"/>
              </w:rPr>
            </w:pPr>
            <w:r w:rsidRPr="00771B91">
              <w:rPr>
                <w:rStyle w:val="Strong"/>
              </w:rPr>
              <w:t>Applying best</w:t>
            </w:r>
            <w:r w:rsidR="00192923" w:rsidRPr="00771B91">
              <w:rPr>
                <w:rStyle w:val="Strong"/>
              </w:rPr>
              <w:t xml:space="preserve"> </w:t>
            </w:r>
            <w:r w:rsidRPr="00771B91">
              <w:rPr>
                <w:rStyle w:val="Strong"/>
              </w:rPr>
              <w:t xml:space="preserve">practice principles to planning </w:t>
            </w:r>
            <w:r w:rsidR="00477104" w:rsidRPr="00771B91">
              <w:rPr>
                <w:rStyle w:val="Strong"/>
              </w:rPr>
              <w:t xml:space="preserve">systems </w:t>
            </w:r>
            <w:r w:rsidRPr="00771B91">
              <w:rPr>
                <w:rStyle w:val="Strong"/>
              </w:rPr>
              <w:t>and ensuring developable land</w:t>
            </w:r>
            <w:r w:rsidR="00771B91">
              <w:rPr>
                <w:rStyle w:val="Strong"/>
              </w:rPr>
              <w:t> </w:t>
            </w:r>
            <w:r w:rsidRPr="00771B91">
              <w:rPr>
                <w:rStyle w:val="Strong"/>
              </w:rPr>
              <w:t>is</w:t>
            </w:r>
            <w:r w:rsidR="00771B91">
              <w:rPr>
                <w:rStyle w:val="Strong"/>
              </w:rPr>
              <w:t> </w:t>
            </w:r>
            <w:r w:rsidRPr="00771B91">
              <w:rPr>
                <w:rStyle w:val="Strong"/>
              </w:rPr>
              <w:t>made</w:t>
            </w:r>
            <w:r w:rsidR="00771B91">
              <w:rPr>
                <w:rStyle w:val="Strong"/>
              </w:rPr>
              <w:t> </w:t>
            </w:r>
            <w:r w:rsidRPr="00771B91">
              <w:rPr>
                <w:rStyle w:val="Strong"/>
              </w:rPr>
              <w:t xml:space="preserve">available </w:t>
            </w:r>
          </w:p>
        </w:tc>
      </w:tr>
      <w:tr w:rsidR="001757E7" w:rsidRPr="00062696" w14:paraId="6A0C05C0" w14:textId="77777777" w:rsidTr="002040BA">
        <w:trPr>
          <w:trHeight w:val="62"/>
        </w:trPr>
        <w:tc>
          <w:tcPr>
            <w:tcW w:w="4353" w:type="pct"/>
            <w:tcBorders>
              <w:bottom w:val="single" w:sz="4" w:space="0" w:color="F2E3C7" w:themeColor="accent6"/>
            </w:tcBorders>
            <w:shd w:val="clear" w:color="auto" w:fill="auto"/>
            <w:tcMar>
              <w:top w:w="15" w:type="dxa"/>
              <w:left w:w="108" w:type="dxa"/>
              <w:bottom w:w="0" w:type="dxa"/>
              <w:right w:w="108" w:type="dxa"/>
            </w:tcMar>
            <w:vAlign w:val="center"/>
          </w:tcPr>
          <w:p w14:paraId="78BA214D" w14:textId="28DDC08A" w:rsidR="001757E7" w:rsidRPr="00756B68" w:rsidRDefault="001757E7" w:rsidP="00956862">
            <w:pPr>
              <w:pStyle w:val="BoxtextNumbered211"/>
              <w:numPr>
                <w:ilvl w:val="1"/>
                <w:numId w:val="33"/>
              </w:numPr>
            </w:pPr>
            <w:r w:rsidRPr="00756B68">
              <w:t>Governments should implement best</w:t>
            </w:r>
            <w:r w:rsidR="00C44016">
              <w:t xml:space="preserve"> </w:t>
            </w:r>
            <w:r w:rsidRPr="00756B68">
              <w:t xml:space="preserve">practice planning and zoning principles consistently across the country to reduce costs and boost sector productivity and the </w:t>
            </w:r>
            <w:r w:rsidRPr="00984A99">
              <w:t>responsiveness of new housing supply to demand.</w:t>
            </w:r>
          </w:p>
        </w:tc>
        <w:tc>
          <w:tcPr>
            <w:tcW w:w="647" w:type="pct"/>
            <w:tcBorders>
              <w:bottom w:val="single" w:sz="4" w:space="0" w:color="F2E3C7" w:themeColor="accent6"/>
            </w:tcBorders>
            <w:shd w:val="clear" w:color="auto" w:fill="auto"/>
            <w:tcMar>
              <w:top w:w="15" w:type="dxa"/>
              <w:left w:w="108" w:type="dxa"/>
              <w:bottom w:w="0" w:type="dxa"/>
              <w:right w:w="108" w:type="dxa"/>
            </w:tcMar>
            <w:vAlign w:val="center"/>
          </w:tcPr>
          <w:p w14:paraId="179C80F5" w14:textId="3DA37108" w:rsidR="001757E7" w:rsidRPr="00756B68" w:rsidRDefault="001757E7" w:rsidP="00771B91">
            <w:pPr>
              <w:pStyle w:val="BoxText"/>
            </w:pPr>
            <w:r w:rsidRPr="00756B68">
              <w:t>Medium</w:t>
            </w:r>
            <w:r w:rsidR="00536916">
              <w:t xml:space="preserve"> term</w:t>
            </w:r>
          </w:p>
        </w:tc>
      </w:tr>
      <w:tr w:rsidR="001757E7" w:rsidRPr="00062696" w14:paraId="00F8746F" w14:textId="77777777" w:rsidTr="002040BA">
        <w:trPr>
          <w:trHeight w:val="62"/>
        </w:trPr>
        <w:tc>
          <w:tcPr>
            <w:tcW w:w="4353" w:type="pct"/>
            <w:tcBorders>
              <w:top w:val="single" w:sz="4" w:space="0" w:color="F2E3C7" w:themeColor="accent6"/>
              <w:bottom w:val="single" w:sz="4" w:space="0" w:color="F2E3C7" w:themeColor="accent6"/>
            </w:tcBorders>
            <w:shd w:val="clear" w:color="auto" w:fill="auto"/>
            <w:tcMar>
              <w:top w:w="15" w:type="dxa"/>
              <w:left w:w="108" w:type="dxa"/>
              <w:bottom w:w="0" w:type="dxa"/>
              <w:right w:w="108" w:type="dxa"/>
            </w:tcMar>
            <w:vAlign w:val="center"/>
          </w:tcPr>
          <w:p w14:paraId="0A3006A7" w14:textId="5060E8C1" w:rsidR="001757E7" w:rsidRPr="00756B68" w:rsidRDefault="001757E7" w:rsidP="00956862">
            <w:pPr>
              <w:pStyle w:val="BoxtextNumbered211"/>
              <w:numPr>
                <w:ilvl w:val="1"/>
                <w:numId w:val="33"/>
              </w:numPr>
            </w:pPr>
            <w:r w:rsidRPr="00756B68">
              <w:t>State, territory and local governments should revise their planning regulations to promote greater housing density in well</w:t>
            </w:r>
            <w:r w:rsidR="00A15C79">
              <w:noBreakHyphen/>
            </w:r>
            <w:r w:rsidRPr="00756B68">
              <w:t>located areas with good access to</w:t>
            </w:r>
            <w:r w:rsidR="00940C12">
              <w:t xml:space="preserve"> </w:t>
            </w:r>
            <w:r w:rsidRPr="00756B68" w:rsidDel="007D23D1">
              <w:t>jo</w:t>
            </w:r>
            <w:r w:rsidRPr="00756B68" w:rsidDel="00940C12">
              <w:t>b</w:t>
            </w:r>
            <w:r w:rsidRPr="00756B68">
              <w:t>s, services and transport.</w:t>
            </w:r>
          </w:p>
        </w:tc>
        <w:tc>
          <w:tcPr>
            <w:tcW w:w="647" w:type="pct"/>
            <w:tcBorders>
              <w:top w:val="single" w:sz="4" w:space="0" w:color="F2E3C7" w:themeColor="accent6"/>
              <w:bottom w:val="single" w:sz="4" w:space="0" w:color="F2E3C7" w:themeColor="accent6"/>
            </w:tcBorders>
            <w:shd w:val="clear" w:color="auto" w:fill="auto"/>
            <w:tcMar>
              <w:top w:w="15" w:type="dxa"/>
              <w:left w:w="108" w:type="dxa"/>
              <w:bottom w:w="0" w:type="dxa"/>
              <w:right w:w="108" w:type="dxa"/>
            </w:tcMar>
            <w:vAlign w:val="center"/>
          </w:tcPr>
          <w:p w14:paraId="6F7BF1CF" w14:textId="289D8F01" w:rsidR="001757E7" w:rsidRPr="00756B68" w:rsidRDefault="001757E7" w:rsidP="00771B91">
            <w:pPr>
              <w:pStyle w:val="BoxText"/>
            </w:pPr>
            <w:r w:rsidRPr="00756B68">
              <w:t>Short to medium</w:t>
            </w:r>
            <w:r w:rsidR="002C65D7">
              <w:t xml:space="preserve"> term</w:t>
            </w:r>
          </w:p>
        </w:tc>
      </w:tr>
      <w:tr w:rsidR="001757E7" w:rsidRPr="00062696" w14:paraId="403EDE9B" w14:textId="77777777" w:rsidTr="002040BA">
        <w:trPr>
          <w:trHeight w:val="188"/>
        </w:trPr>
        <w:tc>
          <w:tcPr>
            <w:tcW w:w="4353" w:type="pct"/>
            <w:tcBorders>
              <w:top w:val="single" w:sz="4" w:space="0" w:color="F2E3C7" w:themeColor="accent6"/>
            </w:tcBorders>
            <w:shd w:val="clear" w:color="auto" w:fill="auto"/>
            <w:tcMar>
              <w:top w:w="15" w:type="dxa"/>
              <w:left w:w="108" w:type="dxa"/>
              <w:bottom w:w="0" w:type="dxa"/>
              <w:right w:w="108" w:type="dxa"/>
            </w:tcMar>
            <w:vAlign w:val="center"/>
          </w:tcPr>
          <w:p w14:paraId="0CEBF65B" w14:textId="3F1BC990" w:rsidR="001757E7" w:rsidRPr="00756B68" w:rsidRDefault="001757E7" w:rsidP="00956862">
            <w:pPr>
              <w:pStyle w:val="BoxtextNumbered211"/>
              <w:numPr>
                <w:ilvl w:val="1"/>
                <w:numId w:val="33"/>
              </w:numPr>
            </w:pPr>
            <w:r w:rsidRPr="00756B68">
              <w:t>Governments should boost the capacity of institutions to assemble and remediate land and provide enabling infrastructure.</w:t>
            </w:r>
          </w:p>
        </w:tc>
        <w:tc>
          <w:tcPr>
            <w:tcW w:w="647" w:type="pct"/>
            <w:tcBorders>
              <w:top w:val="single" w:sz="4" w:space="0" w:color="F2E3C7" w:themeColor="accent6"/>
            </w:tcBorders>
            <w:shd w:val="clear" w:color="auto" w:fill="auto"/>
            <w:tcMar>
              <w:top w:w="15" w:type="dxa"/>
              <w:left w:w="108" w:type="dxa"/>
              <w:bottom w:w="0" w:type="dxa"/>
              <w:right w:w="108" w:type="dxa"/>
            </w:tcMar>
            <w:vAlign w:val="center"/>
          </w:tcPr>
          <w:p w14:paraId="5356B3DC" w14:textId="55F251CD" w:rsidR="001757E7" w:rsidRPr="00756B68" w:rsidRDefault="001757E7" w:rsidP="00771B91">
            <w:pPr>
              <w:pStyle w:val="BoxText"/>
            </w:pPr>
            <w:r w:rsidRPr="00756B68">
              <w:t>Medium to long</w:t>
            </w:r>
            <w:r w:rsidR="002C65D7">
              <w:t xml:space="preserve"> term</w:t>
            </w:r>
          </w:p>
        </w:tc>
      </w:tr>
    </w:tbl>
    <w:p w14:paraId="462889C5" w14:textId="77777777" w:rsidR="00BD10AA" w:rsidRDefault="00BD10AA">
      <w:r>
        <w:rPr>
          <w:b/>
        </w:rPr>
        <w:br w:type="page"/>
      </w:r>
    </w:p>
    <w:tbl>
      <w:tblPr>
        <w:tblW w:w="5123" w:type="pct"/>
        <w:tblInd w:w="-5" w:type="dxa"/>
        <w:tblBorders>
          <w:top w:val="single" w:sz="4" w:space="0" w:color="D4B08C" w:themeColor="accent4"/>
          <w:left w:val="single" w:sz="4" w:space="0" w:color="D4B08C" w:themeColor="accent4"/>
          <w:bottom w:val="single" w:sz="4" w:space="0" w:color="D4B08C" w:themeColor="accent4"/>
          <w:right w:val="single" w:sz="4" w:space="0" w:color="D4B08C" w:themeColor="accent4"/>
          <w:insideH w:val="single" w:sz="4" w:space="0" w:color="D4B08C" w:themeColor="accent4"/>
          <w:insideV w:val="single" w:sz="4" w:space="0" w:color="D4B08C" w:themeColor="accent4"/>
        </w:tblBorders>
        <w:tblLayout w:type="fixed"/>
        <w:tblCellMar>
          <w:left w:w="0" w:type="dxa"/>
          <w:right w:w="0" w:type="dxa"/>
        </w:tblCellMar>
        <w:tblLook w:val="04A0" w:firstRow="1" w:lastRow="0" w:firstColumn="1" w:lastColumn="0" w:noHBand="0" w:noVBand="1"/>
      </w:tblPr>
      <w:tblGrid>
        <w:gridCol w:w="8090"/>
        <w:gridCol w:w="1203"/>
      </w:tblGrid>
      <w:tr w:rsidR="005565DF" w:rsidRPr="00756B68" w14:paraId="77EE43B8" w14:textId="77777777" w:rsidTr="002040BA">
        <w:trPr>
          <w:trHeight w:val="350"/>
        </w:trPr>
        <w:tc>
          <w:tcPr>
            <w:tcW w:w="4353" w:type="pct"/>
            <w:tcBorders>
              <w:top w:val="nil"/>
              <w:left w:val="nil"/>
              <w:bottom w:val="single" w:sz="4" w:space="0" w:color="FFFFFF" w:themeColor="background1"/>
              <w:right w:val="nil"/>
            </w:tcBorders>
            <w:shd w:val="clear" w:color="auto" w:fill="F2E3C7" w:themeFill="background2"/>
            <w:tcMar>
              <w:top w:w="15" w:type="dxa"/>
              <w:left w:w="108" w:type="dxa"/>
              <w:bottom w:w="0" w:type="dxa"/>
              <w:right w:w="108" w:type="dxa"/>
            </w:tcMar>
            <w:vAlign w:val="center"/>
            <w:hideMark/>
          </w:tcPr>
          <w:p w14:paraId="7E34B19E" w14:textId="12A45A4A" w:rsidR="005565DF" w:rsidRPr="00756B68" w:rsidRDefault="005565DF">
            <w:pPr>
              <w:pStyle w:val="TableColumnHeadingLeft"/>
            </w:pPr>
            <w:r w:rsidRPr="00756B68">
              <w:lastRenderedPageBreak/>
              <w:t>Recommendation</w:t>
            </w:r>
            <w:r>
              <w:t>s</w:t>
            </w:r>
          </w:p>
        </w:tc>
        <w:tc>
          <w:tcPr>
            <w:tcW w:w="647" w:type="pct"/>
            <w:tcBorders>
              <w:top w:val="nil"/>
              <w:left w:val="nil"/>
              <w:bottom w:val="single" w:sz="4" w:space="0" w:color="FFFFFF" w:themeColor="background1"/>
              <w:right w:val="nil"/>
            </w:tcBorders>
            <w:shd w:val="clear" w:color="auto" w:fill="F2E3C7" w:themeFill="background2"/>
            <w:tcMar>
              <w:top w:w="15" w:type="dxa"/>
              <w:left w:w="108" w:type="dxa"/>
              <w:bottom w:w="0" w:type="dxa"/>
              <w:right w:w="108" w:type="dxa"/>
            </w:tcMar>
            <w:vAlign w:val="center"/>
            <w:hideMark/>
          </w:tcPr>
          <w:p w14:paraId="468F0637" w14:textId="2E3682C4" w:rsidR="005565DF" w:rsidRPr="00756B68" w:rsidRDefault="005565DF">
            <w:pPr>
              <w:pStyle w:val="TableColumnHeadingLeft"/>
            </w:pPr>
            <w:r w:rsidRPr="00756B68">
              <w:t>Horizon</w:t>
            </w:r>
          </w:p>
        </w:tc>
      </w:tr>
      <w:tr w:rsidR="001757E7" w:rsidRPr="00062696" w14:paraId="7EB93F39" w14:textId="77777777" w:rsidTr="002040BA">
        <w:trPr>
          <w:trHeight w:val="328"/>
        </w:trPr>
        <w:tc>
          <w:tcPr>
            <w:tcW w:w="5000" w:type="pct"/>
            <w:gridSpan w:val="2"/>
            <w:tcBorders>
              <w:top w:val="single" w:sz="4" w:space="0" w:color="FFFFFF" w:themeColor="background1"/>
              <w:left w:val="nil"/>
              <w:bottom w:val="nil"/>
              <w:right w:val="nil"/>
            </w:tcBorders>
            <w:shd w:val="clear" w:color="auto" w:fill="F2E3C7" w:themeFill="background2"/>
            <w:tcMar>
              <w:top w:w="15" w:type="dxa"/>
              <w:left w:w="108" w:type="dxa"/>
              <w:bottom w:w="0" w:type="dxa"/>
              <w:right w:w="108" w:type="dxa"/>
            </w:tcMar>
            <w:vAlign w:val="center"/>
          </w:tcPr>
          <w:p w14:paraId="4F25F873" w14:textId="5AE2F14E" w:rsidR="001757E7" w:rsidRPr="00771B91" w:rsidRDefault="001757E7" w:rsidP="002E0488">
            <w:pPr>
              <w:pStyle w:val="BoxText"/>
              <w:numPr>
                <w:ilvl w:val="0"/>
                <w:numId w:val="21"/>
              </w:numPr>
              <w:ind w:left="984" w:hanging="984"/>
              <w:rPr>
                <w:rStyle w:val="Strong"/>
              </w:rPr>
            </w:pPr>
            <w:r w:rsidRPr="00771B91">
              <w:rPr>
                <w:rStyle w:val="Strong"/>
              </w:rPr>
              <w:t>Supporting better outcomes for renters</w:t>
            </w:r>
          </w:p>
        </w:tc>
      </w:tr>
      <w:tr w:rsidR="001757E7" w:rsidRPr="00062696" w14:paraId="6D893C4B" w14:textId="77777777" w:rsidTr="002040BA">
        <w:trPr>
          <w:trHeight w:val="62"/>
        </w:trPr>
        <w:tc>
          <w:tcPr>
            <w:tcW w:w="4353" w:type="pct"/>
            <w:tcBorders>
              <w:top w:val="nil"/>
              <w:left w:val="nil"/>
              <w:bottom w:val="single" w:sz="4" w:space="0" w:color="F2E3C7" w:themeColor="accent6"/>
              <w:right w:val="nil"/>
            </w:tcBorders>
            <w:shd w:val="clear" w:color="auto" w:fill="auto"/>
            <w:tcMar>
              <w:top w:w="15" w:type="dxa"/>
              <w:left w:w="108" w:type="dxa"/>
              <w:bottom w:w="0" w:type="dxa"/>
              <w:right w:w="108" w:type="dxa"/>
            </w:tcMar>
            <w:vAlign w:val="center"/>
          </w:tcPr>
          <w:p w14:paraId="656C384F" w14:textId="1D9F6845" w:rsidR="001757E7" w:rsidRPr="00756B68" w:rsidRDefault="001757E7" w:rsidP="00956862">
            <w:pPr>
              <w:pStyle w:val="BoxtextNumbered211"/>
              <w:numPr>
                <w:ilvl w:val="1"/>
                <w:numId w:val="35"/>
              </w:numPr>
            </w:pPr>
            <w:r w:rsidRPr="00756B68">
              <w:t>Governments should boost rental supply and foster the development of a more diverse rental market by supporting institutional investment.</w:t>
            </w:r>
          </w:p>
        </w:tc>
        <w:tc>
          <w:tcPr>
            <w:tcW w:w="647" w:type="pct"/>
            <w:tcBorders>
              <w:top w:val="nil"/>
              <w:left w:val="nil"/>
              <w:bottom w:val="single" w:sz="4" w:space="0" w:color="F2E3C7" w:themeColor="accent6"/>
              <w:right w:val="nil"/>
            </w:tcBorders>
            <w:shd w:val="clear" w:color="auto" w:fill="auto"/>
            <w:tcMar>
              <w:top w:w="15" w:type="dxa"/>
              <w:left w:w="108" w:type="dxa"/>
              <w:bottom w:w="0" w:type="dxa"/>
              <w:right w:w="108" w:type="dxa"/>
            </w:tcMar>
            <w:vAlign w:val="center"/>
          </w:tcPr>
          <w:p w14:paraId="03B90F36" w14:textId="16D33BC1" w:rsidR="001757E7" w:rsidRPr="00756B68" w:rsidRDefault="001757E7" w:rsidP="00771B91">
            <w:pPr>
              <w:pStyle w:val="BoxText"/>
            </w:pPr>
            <w:r w:rsidRPr="00756B68">
              <w:t>Short to long</w:t>
            </w:r>
            <w:r w:rsidR="002C65D7">
              <w:t xml:space="preserve"> term</w:t>
            </w:r>
          </w:p>
        </w:tc>
      </w:tr>
      <w:tr w:rsidR="001757E7" w:rsidRPr="00062696" w14:paraId="11D44B38" w14:textId="77777777" w:rsidTr="002040BA">
        <w:trPr>
          <w:trHeight w:val="628"/>
        </w:trPr>
        <w:tc>
          <w:tcPr>
            <w:tcW w:w="4353" w:type="pct"/>
            <w:tcBorders>
              <w:top w:val="single" w:sz="4" w:space="0" w:color="F2E3C7" w:themeColor="accent6"/>
              <w:left w:val="nil"/>
              <w:bottom w:val="nil"/>
              <w:right w:val="nil"/>
            </w:tcBorders>
            <w:shd w:val="clear" w:color="auto" w:fill="auto"/>
            <w:tcMar>
              <w:top w:w="15" w:type="dxa"/>
              <w:left w:w="108" w:type="dxa"/>
              <w:bottom w:w="0" w:type="dxa"/>
              <w:right w:w="108" w:type="dxa"/>
            </w:tcMar>
            <w:vAlign w:val="center"/>
          </w:tcPr>
          <w:p w14:paraId="1EBC187E" w14:textId="441C1832" w:rsidR="001757E7" w:rsidRPr="00756B68" w:rsidRDefault="001757E7" w:rsidP="00956862">
            <w:pPr>
              <w:pStyle w:val="BoxtextNumbered211"/>
              <w:numPr>
                <w:ilvl w:val="1"/>
                <w:numId w:val="35"/>
              </w:numPr>
            </w:pPr>
            <w:r w:rsidRPr="00756B68">
              <w:t xml:space="preserve">Governments should fully implement the Better Deal for Renters </w:t>
            </w:r>
            <w:r w:rsidR="00132B53">
              <w:t xml:space="preserve">agreement </w:t>
            </w:r>
            <w:r w:rsidRPr="00756B68">
              <w:t>to support renter tenure security and other rights.</w:t>
            </w:r>
          </w:p>
        </w:tc>
        <w:tc>
          <w:tcPr>
            <w:tcW w:w="647" w:type="pct"/>
            <w:tcBorders>
              <w:top w:val="single" w:sz="4" w:space="0" w:color="F2E3C7" w:themeColor="accent6"/>
              <w:left w:val="nil"/>
              <w:bottom w:val="nil"/>
              <w:right w:val="nil"/>
            </w:tcBorders>
            <w:shd w:val="clear" w:color="auto" w:fill="auto"/>
            <w:tcMar>
              <w:top w:w="15" w:type="dxa"/>
              <w:left w:w="108" w:type="dxa"/>
              <w:bottom w:w="0" w:type="dxa"/>
              <w:right w:w="108" w:type="dxa"/>
            </w:tcMar>
            <w:vAlign w:val="center"/>
          </w:tcPr>
          <w:p w14:paraId="31046CF2" w14:textId="5BEAD27D" w:rsidR="001757E7" w:rsidRPr="00756B68" w:rsidRDefault="001757E7" w:rsidP="00771B91">
            <w:pPr>
              <w:pStyle w:val="BoxText"/>
            </w:pPr>
            <w:r w:rsidRPr="00756B68">
              <w:t>Short</w:t>
            </w:r>
            <w:r w:rsidR="002C65D7">
              <w:t xml:space="preserve"> term</w:t>
            </w:r>
          </w:p>
        </w:tc>
      </w:tr>
      <w:tr w:rsidR="001757E7" w:rsidRPr="00062696" w14:paraId="4675439F" w14:textId="77777777" w:rsidTr="002040BA">
        <w:trPr>
          <w:trHeight w:val="315"/>
        </w:trPr>
        <w:tc>
          <w:tcPr>
            <w:tcW w:w="5000" w:type="pct"/>
            <w:gridSpan w:val="2"/>
            <w:tcBorders>
              <w:top w:val="nil"/>
              <w:left w:val="nil"/>
              <w:bottom w:val="nil"/>
              <w:right w:val="nil"/>
            </w:tcBorders>
            <w:shd w:val="clear" w:color="auto" w:fill="F2E3C7" w:themeFill="background2"/>
            <w:tcMar>
              <w:top w:w="15" w:type="dxa"/>
              <w:left w:w="108" w:type="dxa"/>
              <w:bottom w:w="0" w:type="dxa"/>
              <w:right w:w="108" w:type="dxa"/>
            </w:tcMar>
            <w:vAlign w:val="center"/>
          </w:tcPr>
          <w:p w14:paraId="18566BE1" w14:textId="1C404E84" w:rsidR="001757E7" w:rsidRPr="00771B91" w:rsidRDefault="001757E7" w:rsidP="002E0488">
            <w:pPr>
              <w:pStyle w:val="BoxText"/>
              <w:numPr>
                <w:ilvl w:val="0"/>
                <w:numId w:val="21"/>
              </w:numPr>
              <w:ind w:left="984" w:hanging="984"/>
              <w:rPr>
                <w:rStyle w:val="Strong"/>
              </w:rPr>
            </w:pPr>
            <w:r w:rsidRPr="00771B91">
              <w:rPr>
                <w:rStyle w:val="Strong"/>
              </w:rPr>
              <w:t>Ensuring the tax system supports housing supply and affordability</w:t>
            </w:r>
          </w:p>
        </w:tc>
      </w:tr>
      <w:tr w:rsidR="001757E7" w:rsidRPr="00062696" w14:paraId="1A07FE22" w14:textId="77777777" w:rsidTr="002040BA">
        <w:trPr>
          <w:trHeight w:val="686"/>
        </w:trPr>
        <w:tc>
          <w:tcPr>
            <w:tcW w:w="4353" w:type="pct"/>
            <w:tcBorders>
              <w:top w:val="nil"/>
              <w:left w:val="nil"/>
              <w:bottom w:val="single" w:sz="4" w:space="0" w:color="F2E3C7" w:themeColor="accent6"/>
              <w:right w:val="nil"/>
            </w:tcBorders>
            <w:shd w:val="clear" w:color="auto" w:fill="auto"/>
            <w:tcMar>
              <w:top w:w="15" w:type="dxa"/>
              <w:left w:w="108" w:type="dxa"/>
              <w:bottom w:w="0" w:type="dxa"/>
              <w:right w:w="108" w:type="dxa"/>
            </w:tcMar>
            <w:vAlign w:val="center"/>
          </w:tcPr>
          <w:p w14:paraId="498B06AE" w14:textId="267C5D35" w:rsidR="001757E7" w:rsidRPr="00756B68" w:rsidRDefault="001757E7" w:rsidP="00956862">
            <w:pPr>
              <w:pStyle w:val="BoxtextNumbered211"/>
              <w:numPr>
                <w:ilvl w:val="1"/>
                <w:numId w:val="37"/>
              </w:numPr>
            </w:pPr>
            <w:r w:rsidRPr="00756B68">
              <w:t>All interactions between the tax system and the housing system should be reviewed at the Commonwealth and state and territory level</w:t>
            </w:r>
            <w:r w:rsidR="00B67E63">
              <w:t>s</w:t>
            </w:r>
            <w:r w:rsidRPr="00756B68">
              <w:t xml:space="preserve">, to work towards the goal of fair access to the benefits of home ownership, and to support the efficient use and exchange of the </w:t>
            </w:r>
            <w:r w:rsidR="0046751D">
              <w:t>housing</w:t>
            </w:r>
            <w:r w:rsidRPr="00756B68">
              <w:t xml:space="preserve"> stock.</w:t>
            </w:r>
          </w:p>
        </w:tc>
        <w:tc>
          <w:tcPr>
            <w:tcW w:w="647" w:type="pct"/>
            <w:tcBorders>
              <w:top w:val="nil"/>
              <w:left w:val="nil"/>
              <w:bottom w:val="single" w:sz="4" w:space="0" w:color="F2E3C7" w:themeColor="accent6"/>
              <w:right w:val="nil"/>
            </w:tcBorders>
            <w:shd w:val="clear" w:color="auto" w:fill="auto"/>
            <w:tcMar>
              <w:top w:w="15" w:type="dxa"/>
              <w:left w:w="108" w:type="dxa"/>
              <w:bottom w:w="0" w:type="dxa"/>
              <w:right w:w="108" w:type="dxa"/>
            </w:tcMar>
            <w:vAlign w:val="center"/>
          </w:tcPr>
          <w:p w14:paraId="758C14D4" w14:textId="6867B237" w:rsidR="001757E7" w:rsidRPr="00756B68" w:rsidRDefault="001757E7" w:rsidP="00771B91">
            <w:pPr>
              <w:pStyle w:val="BoxText"/>
            </w:pPr>
            <w:r w:rsidRPr="00756B68">
              <w:t>Medium</w:t>
            </w:r>
            <w:r w:rsidR="002C65D7">
              <w:t xml:space="preserve"> term</w:t>
            </w:r>
          </w:p>
        </w:tc>
      </w:tr>
      <w:tr w:rsidR="001757E7" w:rsidRPr="00062696" w14:paraId="4DE92B15" w14:textId="77777777" w:rsidTr="002040BA">
        <w:trPr>
          <w:trHeight w:val="686"/>
        </w:trPr>
        <w:tc>
          <w:tcPr>
            <w:tcW w:w="4353" w:type="pct"/>
            <w:tcBorders>
              <w:top w:val="single" w:sz="4" w:space="0" w:color="F2E3C7" w:themeColor="accent6"/>
              <w:left w:val="nil"/>
              <w:bottom w:val="single" w:sz="4" w:space="0" w:color="F2E3C7" w:themeColor="accent6"/>
              <w:right w:val="nil"/>
            </w:tcBorders>
            <w:shd w:val="clear" w:color="auto" w:fill="auto"/>
            <w:tcMar>
              <w:top w:w="15" w:type="dxa"/>
              <w:left w:w="108" w:type="dxa"/>
              <w:bottom w:w="0" w:type="dxa"/>
              <w:right w:w="108" w:type="dxa"/>
            </w:tcMar>
            <w:vAlign w:val="center"/>
          </w:tcPr>
          <w:p w14:paraId="6D07C9E5" w14:textId="6B6D41A6" w:rsidR="001757E7" w:rsidRPr="00756B68" w:rsidRDefault="001757E7" w:rsidP="00956862">
            <w:pPr>
              <w:pStyle w:val="BoxtextNumbered211"/>
              <w:numPr>
                <w:ilvl w:val="1"/>
                <w:numId w:val="37"/>
              </w:numPr>
            </w:pPr>
            <w:r w:rsidRPr="00756B68">
              <w:t>Governments should aim to transition from stamp duty to a broad</w:t>
            </w:r>
            <w:r w:rsidR="00A15C79">
              <w:noBreakHyphen/>
            </w:r>
            <w:r w:rsidRPr="00756B68">
              <w:t>based land</w:t>
            </w:r>
            <w:r w:rsidR="000173C5">
              <w:t xml:space="preserve"> </w:t>
            </w:r>
            <w:r w:rsidRPr="00756B68">
              <w:t>tax to improve the efficient use and exchange of the existing housing stock.</w:t>
            </w:r>
          </w:p>
        </w:tc>
        <w:tc>
          <w:tcPr>
            <w:tcW w:w="647" w:type="pct"/>
            <w:tcBorders>
              <w:top w:val="single" w:sz="4" w:space="0" w:color="F2E3C7" w:themeColor="accent6"/>
              <w:left w:val="nil"/>
              <w:bottom w:val="single" w:sz="4" w:space="0" w:color="F2E3C7" w:themeColor="accent6"/>
              <w:right w:val="nil"/>
            </w:tcBorders>
            <w:shd w:val="clear" w:color="auto" w:fill="auto"/>
            <w:tcMar>
              <w:top w:w="15" w:type="dxa"/>
              <w:left w:w="108" w:type="dxa"/>
              <w:bottom w:w="0" w:type="dxa"/>
              <w:right w:w="108" w:type="dxa"/>
            </w:tcMar>
            <w:vAlign w:val="center"/>
          </w:tcPr>
          <w:p w14:paraId="5ED93593" w14:textId="295A69CD" w:rsidR="001757E7" w:rsidRPr="00756B68" w:rsidRDefault="001757E7" w:rsidP="00771B91">
            <w:pPr>
              <w:pStyle w:val="BoxText"/>
            </w:pPr>
            <w:r w:rsidRPr="00756B68">
              <w:t>Long</w:t>
            </w:r>
            <w:r w:rsidR="002C65D7">
              <w:t xml:space="preserve"> term</w:t>
            </w:r>
          </w:p>
        </w:tc>
      </w:tr>
    </w:tbl>
    <w:p w14:paraId="77B9BAF6" w14:textId="77777777" w:rsidR="00756B68" w:rsidRDefault="00756B68">
      <w:pPr>
        <w:spacing w:before="0" w:after="160" w:line="259" w:lineRule="auto"/>
      </w:pPr>
      <w:r>
        <w:br w:type="page"/>
      </w:r>
    </w:p>
    <w:p w14:paraId="7BF6D748" w14:textId="41F25F9D" w:rsidR="00756B68" w:rsidRPr="00870B09" w:rsidRDefault="007C5910" w:rsidP="00F30226">
      <w:pPr>
        <w:pStyle w:val="Heading2"/>
      </w:pPr>
      <w:bookmarkStart w:id="73" w:name="_Toc195026586"/>
      <w:bookmarkStart w:id="74" w:name="_Toc196395877"/>
      <w:r>
        <w:rPr>
          <w:rFonts w:eastAsiaTheme="minorHAnsi"/>
        </w:rPr>
        <w:lastRenderedPageBreak/>
        <w:t>Advice</w:t>
      </w:r>
      <w:r w:rsidRPr="00F279DC">
        <w:rPr>
          <w:rFonts w:eastAsiaTheme="minorHAnsi"/>
        </w:rPr>
        <w:t xml:space="preserve"> </w:t>
      </w:r>
      <w:r w:rsidR="00756B68" w:rsidRPr="00F279DC">
        <w:rPr>
          <w:rFonts w:eastAsiaTheme="minorHAnsi"/>
        </w:rPr>
        <w:t>on the</w:t>
      </w:r>
      <w:r w:rsidR="00295EC5" w:rsidRPr="00312F47">
        <w:rPr>
          <w:rFonts w:eastAsiaTheme="minorHAnsi"/>
        </w:rPr>
        <w:t xml:space="preserve"> </w:t>
      </w:r>
      <w:r w:rsidR="00756B68" w:rsidRPr="00F279DC">
        <w:rPr>
          <w:rFonts w:eastAsiaTheme="minorHAnsi"/>
        </w:rPr>
        <w:t>suitability of the</w:t>
      </w:r>
      <w:r w:rsidR="00BD2E5A">
        <w:rPr>
          <w:rFonts w:eastAsiaTheme="minorHAnsi"/>
        </w:rPr>
        <w:t> </w:t>
      </w:r>
      <w:r w:rsidR="00756B68" w:rsidRPr="00F279DC">
        <w:rPr>
          <w:rFonts w:eastAsiaTheme="minorHAnsi"/>
        </w:rPr>
        <w:t>1.2</w:t>
      </w:r>
      <w:r w:rsidR="0099326B">
        <w:rPr>
          <w:rFonts w:eastAsiaTheme="minorHAnsi"/>
        </w:rPr>
        <w:t> million</w:t>
      </w:r>
      <w:r w:rsidR="00756B68" w:rsidRPr="00F279DC">
        <w:rPr>
          <w:rFonts w:eastAsiaTheme="minorHAnsi"/>
        </w:rPr>
        <w:t xml:space="preserve"> National</w:t>
      </w:r>
      <w:r w:rsidR="0099326B">
        <w:rPr>
          <w:rFonts w:eastAsiaTheme="minorHAnsi"/>
        </w:rPr>
        <w:t> </w:t>
      </w:r>
      <w:r w:rsidR="00756B68" w:rsidRPr="00F279DC">
        <w:rPr>
          <w:rFonts w:eastAsiaTheme="minorHAnsi"/>
        </w:rPr>
        <w:t>Housing Accord</w:t>
      </w:r>
      <w:r w:rsidR="00BD2E5A">
        <w:rPr>
          <w:rFonts w:eastAsiaTheme="minorHAnsi"/>
        </w:rPr>
        <w:t> </w:t>
      </w:r>
      <w:r w:rsidR="00B37B12" w:rsidRPr="00F279DC">
        <w:rPr>
          <w:rFonts w:eastAsiaTheme="minorHAnsi"/>
        </w:rPr>
        <w:t>t</w:t>
      </w:r>
      <w:r w:rsidR="00756B68" w:rsidRPr="00F279DC">
        <w:rPr>
          <w:rFonts w:eastAsiaTheme="minorHAnsi"/>
        </w:rPr>
        <w:t>arget</w:t>
      </w:r>
      <w:bookmarkEnd w:id="73"/>
      <w:bookmarkEnd w:id="74"/>
      <w:r w:rsidR="00756B68" w:rsidRPr="00870B09">
        <w:rPr>
          <w:rFonts w:eastAsiaTheme="minorHAnsi"/>
        </w:rPr>
        <w:t xml:space="preserve"> </w:t>
      </w:r>
    </w:p>
    <w:p w14:paraId="47ADD2DA" w14:textId="158EE3AE" w:rsidR="00756B68" w:rsidRDefault="00756B68">
      <w:pPr>
        <w:rPr>
          <w:rFonts w:ascii="Calibri" w:hAnsi="Calibri"/>
          <w:color w:val="000000"/>
        </w:rPr>
      </w:pPr>
      <w:r w:rsidRPr="00173481">
        <w:rPr>
          <w:rFonts w:ascii="Calibri" w:hAnsi="Calibri"/>
          <w:color w:val="000000"/>
        </w:rPr>
        <w:t xml:space="preserve">Under the National Housing Accord, the Council is required to regularly advise </w:t>
      </w:r>
      <w:r>
        <w:rPr>
          <w:rFonts w:ascii="Calibri" w:hAnsi="Calibri"/>
          <w:color w:val="000000"/>
        </w:rPr>
        <w:t xml:space="preserve">the parties to the Accord </w:t>
      </w:r>
      <w:r w:rsidRPr="00173481">
        <w:rPr>
          <w:rFonts w:ascii="Calibri" w:hAnsi="Calibri"/>
          <w:color w:val="000000"/>
        </w:rPr>
        <w:t xml:space="preserve">on the suitability of </w:t>
      </w:r>
      <w:r w:rsidR="009A5138" w:rsidRPr="009A5138">
        <w:rPr>
          <w:rFonts w:ascii="Calibri" w:hAnsi="Calibri"/>
          <w:color w:val="000000"/>
        </w:rPr>
        <w:t>national target to build 1.2</w:t>
      </w:r>
      <w:r w:rsidR="0099326B">
        <w:rPr>
          <w:rFonts w:ascii="Calibri" w:hAnsi="Calibri"/>
          <w:color w:val="000000"/>
        </w:rPr>
        <w:t> million</w:t>
      </w:r>
      <w:r w:rsidR="009A5138" w:rsidRPr="009A5138">
        <w:rPr>
          <w:rFonts w:ascii="Calibri" w:hAnsi="Calibri"/>
          <w:color w:val="000000"/>
        </w:rPr>
        <w:t xml:space="preserve"> new well</w:t>
      </w:r>
      <w:r w:rsidR="00A15C79">
        <w:rPr>
          <w:rFonts w:ascii="Calibri" w:hAnsi="Calibri"/>
          <w:color w:val="000000"/>
        </w:rPr>
        <w:noBreakHyphen/>
      </w:r>
      <w:r w:rsidR="009A5138" w:rsidRPr="009A5138">
        <w:rPr>
          <w:rFonts w:ascii="Calibri" w:hAnsi="Calibri"/>
          <w:color w:val="000000"/>
        </w:rPr>
        <w:t>located homes over five</w:t>
      </w:r>
      <w:r w:rsidR="0099326B">
        <w:rPr>
          <w:rFonts w:ascii="Calibri" w:hAnsi="Calibri"/>
          <w:color w:val="000000"/>
        </w:rPr>
        <w:t> </w:t>
      </w:r>
      <w:r w:rsidR="009A5138" w:rsidRPr="009A5138">
        <w:rPr>
          <w:rFonts w:ascii="Calibri" w:hAnsi="Calibri"/>
          <w:color w:val="000000"/>
        </w:rPr>
        <w:t xml:space="preserve">years </w:t>
      </w:r>
      <w:r w:rsidRPr="004D5BF3">
        <w:rPr>
          <w:rFonts w:ascii="Calibri" w:hAnsi="Calibri"/>
          <w:color w:val="000000"/>
        </w:rPr>
        <w:t>(</w:t>
      </w:r>
      <w:r w:rsidR="000D4791">
        <w:rPr>
          <w:rFonts w:ascii="Calibri" w:hAnsi="Calibri"/>
        </w:rPr>
        <w:t>The Treasury</w:t>
      </w:r>
      <w:r w:rsidRPr="004D5BF3">
        <w:rPr>
          <w:rFonts w:ascii="Calibri" w:hAnsi="Calibri"/>
          <w:color w:val="000000"/>
        </w:rPr>
        <w:t xml:space="preserve"> 202</w:t>
      </w:r>
      <w:r w:rsidR="00225602">
        <w:rPr>
          <w:rFonts w:ascii="Calibri" w:hAnsi="Calibri"/>
          <w:color w:val="000000"/>
        </w:rPr>
        <w:t>3</w:t>
      </w:r>
      <w:r w:rsidRPr="004D5BF3">
        <w:rPr>
          <w:rFonts w:ascii="Calibri" w:hAnsi="Calibri"/>
          <w:color w:val="000000"/>
        </w:rPr>
        <w:t>).</w:t>
      </w:r>
    </w:p>
    <w:p w14:paraId="727EE31D" w14:textId="47974F66" w:rsidR="00756B68" w:rsidRDefault="00756B68">
      <w:pPr>
        <w:rPr>
          <w:rFonts w:ascii="Calibri" w:hAnsi="Calibri"/>
          <w:color w:val="000000"/>
        </w:rPr>
      </w:pPr>
      <w:r>
        <w:rPr>
          <w:rFonts w:ascii="Calibri" w:hAnsi="Calibri"/>
          <w:color w:val="000000"/>
        </w:rPr>
        <w:t>The Council assesses that the target remains suitable. The target is rightfully ambitious</w:t>
      </w:r>
      <w:r w:rsidR="000173C5">
        <w:rPr>
          <w:rFonts w:ascii="Calibri" w:hAnsi="Calibri"/>
          <w:color w:val="000000"/>
        </w:rPr>
        <w:t xml:space="preserve">, </w:t>
      </w:r>
      <w:r w:rsidRPr="000A2042">
        <w:rPr>
          <w:rFonts w:ascii="Calibri" w:hAnsi="Calibri"/>
          <w:color w:val="000000"/>
        </w:rPr>
        <w:t>highlight</w:t>
      </w:r>
      <w:r w:rsidR="000173C5">
        <w:rPr>
          <w:rFonts w:ascii="Calibri" w:hAnsi="Calibri"/>
          <w:color w:val="000000"/>
        </w:rPr>
        <w:t>ing</w:t>
      </w:r>
      <w:r w:rsidRPr="000A2042">
        <w:rPr>
          <w:rFonts w:ascii="Calibri" w:hAnsi="Calibri"/>
          <w:color w:val="000000"/>
        </w:rPr>
        <w:t xml:space="preserve"> the magnitude of the</w:t>
      </w:r>
      <w:r w:rsidR="00B37B12">
        <w:rPr>
          <w:rFonts w:ascii="Calibri" w:hAnsi="Calibri"/>
          <w:color w:val="000000"/>
        </w:rPr>
        <w:t xml:space="preserve"> community</w:t>
      </w:r>
      <w:r w:rsidR="00A15C79">
        <w:rPr>
          <w:rFonts w:ascii="Calibri" w:hAnsi="Calibri"/>
          <w:color w:val="000000"/>
        </w:rPr>
        <w:t>’</w:t>
      </w:r>
      <w:r w:rsidR="00B37B12">
        <w:rPr>
          <w:rFonts w:ascii="Calibri" w:hAnsi="Calibri"/>
          <w:color w:val="000000"/>
        </w:rPr>
        <w:t>s</w:t>
      </w:r>
      <w:r w:rsidRPr="000A2042">
        <w:rPr>
          <w:rFonts w:ascii="Calibri" w:hAnsi="Calibri"/>
          <w:color w:val="000000"/>
        </w:rPr>
        <w:t xml:space="preserve"> challenge</w:t>
      </w:r>
      <w:r>
        <w:rPr>
          <w:rFonts w:ascii="Calibri" w:hAnsi="Calibri"/>
          <w:color w:val="000000"/>
        </w:rPr>
        <w:t>s;</w:t>
      </w:r>
      <w:r w:rsidRPr="000A2042">
        <w:rPr>
          <w:rFonts w:ascii="Calibri" w:hAnsi="Calibri"/>
          <w:color w:val="000000"/>
        </w:rPr>
        <w:t xml:space="preserve"> </w:t>
      </w:r>
      <w:r w:rsidRPr="00DA7922">
        <w:rPr>
          <w:rFonts w:ascii="Calibri" w:hAnsi="Calibri"/>
          <w:color w:val="000000"/>
        </w:rPr>
        <w:t>communicat</w:t>
      </w:r>
      <w:r w:rsidR="008306ED">
        <w:rPr>
          <w:rFonts w:ascii="Calibri" w:hAnsi="Calibri"/>
          <w:color w:val="000000"/>
        </w:rPr>
        <w:t>ing</w:t>
      </w:r>
      <w:r w:rsidRPr="00DA7922">
        <w:rPr>
          <w:rFonts w:ascii="Calibri" w:hAnsi="Calibri"/>
          <w:color w:val="000000"/>
        </w:rPr>
        <w:t xml:space="preserve"> government policy intentions</w:t>
      </w:r>
      <w:r>
        <w:rPr>
          <w:rFonts w:ascii="Calibri" w:hAnsi="Calibri"/>
          <w:color w:val="000000"/>
        </w:rPr>
        <w:t>;</w:t>
      </w:r>
      <w:r w:rsidRPr="00DA7922">
        <w:rPr>
          <w:rFonts w:ascii="Calibri" w:hAnsi="Calibri"/>
          <w:color w:val="000000"/>
        </w:rPr>
        <w:t xml:space="preserve"> </w:t>
      </w:r>
      <w:r>
        <w:rPr>
          <w:rFonts w:ascii="Calibri" w:hAnsi="Calibri"/>
          <w:color w:val="000000"/>
        </w:rPr>
        <w:t>galvanis</w:t>
      </w:r>
      <w:r w:rsidR="008306ED">
        <w:rPr>
          <w:rFonts w:ascii="Calibri" w:hAnsi="Calibri"/>
          <w:color w:val="000000"/>
        </w:rPr>
        <w:t>ing</w:t>
      </w:r>
      <w:r>
        <w:rPr>
          <w:rFonts w:ascii="Calibri" w:hAnsi="Calibri"/>
          <w:color w:val="000000"/>
        </w:rPr>
        <w:t xml:space="preserve"> and focus</w:t>
      </w:r>
      <w:r w:rsidR="008306ED">
        <w:rPr>
          <w:rFonts w:ascii="Calibri" w:hAnsi="Calibri"/>
          <w:color w:val="000000"/>
        </w:rPr>
        <w:t>ing</w:t>
      </w:r>
      <w:r>
        <w:rPr>
          <w:rFonts w:ascii="Calibri" w:hAnsi="Calibri"/>
          <w:color w:val="000000"/>
        </w:rPr>
        <w:t xml:space="preserve"> effort across governments, industry and </w:t>
      </w:r>
      <w:r w:rsidRPr="00974D7D">
        <w:rPr>
          <w:rFonts w:ascii="Calibri" w:hAnsi="Calibri"/>
          <w:color w:val="000000"/>
        </w:rPr>
        <w:t>the community sector</w:t>
      </w:r>
      <w:r>
        <w:rPr>
          <w:rFonts w:ascii="Calibri" w:hAnsi="Calibri"/>
          <w:color w:val="000000"/>
        </w:rPr>
        <w:t xml:space="preserve">; </w:t>
      </w:r>
      <w:r w:rsidRPr="000A2042">
        <w:rPr>
          <w:rFonts w:ascii="Calibri" w:hAnsi="Calibri"/>
          <w:color w:val="000000"/>
        </w:rPr>
        <w:t>and facilitat</w:t>
      </w:r>
      <w:r w:rsidR="008306ED">
        <w:rPr>
          <w:rFonts w:ascii="Calibri" w:hAnsi="Calibri"/>
          <w:color w:val="000000"/>
        </w:rPr>
        <w:t>ing</w:t>
      </w:r>
      <w:r w:rsidRPr="000A2042">
        <w:rPr>
          <w:rFonts w:ascii="Calibri" w:hAnsi="Calibri"/>
          <w:color w:val="000000"/>
        </w:rPr>
        <w:t xml:space="preserve"> </w:t>
      </w:r>
      <w:r>
        <w:rPr>
          <w:rFonts w:ascii="Calibri" w:hAnsi="Calibri"/>
          <w:color w:val="000000"/>
        </w:rPr>
        <w:t xml:space="preserve">transparency, </w:t>
      </w:r>
      <w:r w:rsidRPr="000A2042">
        <w:rPr>
          <w:rFonts w:ascii="Calibri" w:hAnsi="Calibri"/>
          <w:color w:val="000000"/>
        </w:rPr>
        <w:t>accountability and performance assessment.</w:t>
      </w:r>
      <w:r w:rsidRPr="00267F88">
        <w:rPr>
          <w:rFonts w:ascii="Calibri" w:hAnsi="Calibri"/>
          <w:color w:val="000000"/>
        </w:rPr>
        <w:t xml:space="preserve"> </w:t>
      </w:r>
      <w:r w:rsidR="00EA1579">
        <w:rPr>
          <w:rFonts w:ascii="Calibri" w:hAnsi="Calibri"/>
          <w:color w:val="000000"/>
        </w:rPr>
        <w:t>The target has sparked broader discussions within the industry and community about housing supply</w:t>
      </w:r>
      <w:r w:rsidR="003F6374">
        <w:rPr>
          <w:rFonts w:ascii="Calibri" w:hAnsi="Calibri"/>
          <w:color w:val="000000"/>
        </w:rPr>
        <w:t xml:space="preserve"> and been</w:t>
      </w:r>
      <w:r w:rsidR="00EA1579">
        <w:rPr>
          <w:rFonts w:ascii="Calibri" w:hAnsi="Calibri"/>
          <w:color w:val="000000"/>
        </w:rPr>
        <w:t xml:space="preserve"> the catalyst </w:t>
      </w:r>
      <w:r w:rsidR="005668C1">
        <w:rPr>
          <w:rFonts w:ascii="Calibri" w:hAnsi="Calibri"/>
          <w:color w:val="000000"/>
        </w:rPr>
        <w:t xml:space="preserve">for </w:t>
      </w:r>
      <w:r w:rsidR="00EA1579">
        <w:rPr>
          <w:rFonts w:ascii="Calibri" w:hAnsi="Calibri"/>
          <w:color w:val="000000"/>
        </w:rPr>
        <w:t>focused policy discussions.</w:t>
      </w:r>
    </w:p>
    <w:p w14:paraId="08DBBB49" w14:textId="25C158D0" w:rsidR="00756B68" w:rsidRPr="002949B5" w:rsidRDefault="00756B68">
      <w:pPr>
        <w:rPr>
          <w:rFonts w:ascii="Calibri" w:hAnsi="Calibri"/>
          <w:color w:val="000000"/>
        </w:rPr>
      </w:pPr>
      <w:r w:rsidRPr="3C16FDD8">
        <w:rPr>
          <w:rFonts w:ascii="Calibri" w:hAnsi="Calibri"/>
        </w:rPr>
        <w:t>An ambitious target should exceed business</w:t>
      </w:r>
      <w:r w:rsidR="00A15C79">
        <w:rPr>
          <w:rFonts w:ascii="Calibri" w:hAnsi="Calibri"/>
        </w:rPr>
        <w:noBreakHyphen/>
      </w:r>
      <w:r w:rsidRPr="3C16FDD8">
        <w:rPr>
          <w:rFonts w:ascii="Calibri" w:hAnsi="Calibri"/>
        </w:rPr>
        <w:t>as</w:t>
      </w:r>
      <w:r w:rsidR="00A15C79">
        <w:rPr>
          <w:rFonts w:ascii="Calibri" w:hAnsi="Calibri"/>
        </w:rPr>
        <w:noBreakHyphen/>
      </w:r>
      <w:r w:rsidRPr="3C16FDD8">
        <w:rPr>
          <w:rFonts w:ascii="Calibri" w:hAnsi="Calibri"/>
        </w:rPr>
        <w:t>usual outcomes</w:t>
      </w:r>
      <w:r>
        <w:rPr>
          <w:rFonts w:ascii="Calibri" w:hAnsi="Calibri"/>
        </w:rPr>
        <w:t xml:space="preserve">. </w:t>
      </w:r>
      <w:r w:rsidR="00B37B12">
        <w:rPr>
          <w:rFonts w:ascii="Calibri" w:hAnsi="Calibri"/>
        </w:rPr>
        <w:t>Based on current expected economic conditions and policy settings, t</w:t>
      </w:r>
      <w:r>
        <w:rPr>
          <w:rFonts w:ascii="Calibri" w:hAnsi="Calibri"/>
        </w:rPr>
        <w:t>he</w:t>
      </w:r>
      <w:r w:rsidRPr="3C16FDD8">
        <w:rPr>
          <w:rFonts w:ascii="Calibri" w:hAnsi="Calibri"/>
        </w:rPr>
        <w:t xml:space="preserve"> </w:t>
      </w:r>
      <w:r w:rsidRPr="3C16FDD8">
        <w:rPr>
          <w:rFonts w:ascii="Calibri" w:hAnsi="Calibri"/>
          <w:color w:val="000000"/>
        </w:rPr>
        <w:t xml:space="preserve">Council </w:t>
      </w:r>
      <w:r>
        <w:rPr>
          <w:rFonts w:ascii="Calibri" w:hAnsi="Calibri"/>
        </w:rPr>
        <w:t>projects</w:t>
      </w:r>
      <w:r w:rsidRPr="3C16FDD8">
        <w:rPr>
          <w:rFonts w:ascii="Calibri" w:hAnsi="Calibri"/>
        </w:rPr>
        <w:t xml:space="preserve"> that </w:t>
      </w:r>
      <w:r w:rsidRPr="3C16FDD8">
        <w:rPr>
          <w:rFonts w:ascii="Calibri" w:hAnsi="Calibri"/>
          <w:color w:val="000000"/>
        </w:rPr>
        <w:t xml:space="preserve">the gross new housing supply </w:t>
      </w:r>
      <w:r w:rsidRPr="3C16FDD8">
        <w:rPr>
          <w:rFonts w:ascii="Calibri" w:hAnsi="Calibri"/>
        </w:rPr>
        <w:t xml:space="preserve">would </w:t>
      </w:r>
      <w:r w:rsidRPr="3C16FDD8">
        <w:rPr>
          <w:rFonts w:ascii="Calibri" w:hAnsi="Calibri"/>
          <w:color w:val="000000"/>
        </w:rPr>
        <w:t xml:space="preserve">total </w:t>
      </w:r>
      <w:r w:rsidRPr="002949B5">
        <w:rPr>
          <w:rFonts w:ascii="Calibri" w:hAnsi="Calibri"/>
          <w:color w:val="000000"/>
        </w:rPr>
        <w:t>9</w:t>
      </w:r>
      <w:r w:rsidR="009970D1" w:rsidRPr="0041126E">
        <w:rPr>
          <w:rFonts w:ascii="Calibri" w:hAnsi="Calibri"/>
          <w:color w:val="000000"/>
        </w:rPr>
        <w:t>3</w:t>
      </w:r>
      <w:r w:rsidRPr="002949B5">
        <w:rPr>
          <w:rFonts w:ascii="Calibri" w:hAnsi="Calibri"/>
          <w:color w:val="000000"/>
        </w:rPr>
        <w:t xml:space="preserve">8,000 dwellings </w:t>
      </w:r>
      <w:r w:rsidRPr="002949B5">
        <w:rPr>
          <w:rFonts w:ascii="Calibri" w:hAnsi="Calibri"/>
        </w:rPr>
        <w:t xml:space="preserve">over the </w:t>
      </w:r>
      <w:r w:rsidR="008306ED" w:rsidRPr="002949B5">
        <w:rPr>
          <w:rFonts w:ascii="Calibri" w:hAnsi="Calibri"/>
        </w:rPr>
        <w:t xml:space="preserve">Housing </w:t>
      </w:r>
      <w:r w:rsidRPr="002949B5">
        <w:rPr>
          <w:rFonts w:ascii="Calibri" w:hAnsi="Calibri"/>
          <w:color w:val="000000"/>
        </w:rPr>
        <w:t xml:space="preserve">Accord </w:t>
      </w:r>
      <w:r w:rsidR="00B37B12" w:rsidRPr="002949B5">
        <w:rPr>
          <w:rFonts w:ascii="Calibri" w:hAnsi="Calibri"/>
          <w:color w:val="000000"/>
        </w:rPr>
        <w:t>period</w:t>
      </w:r>
      <w:r w:rsidRPr="002949B5">
        <w:rPr>
          <w:rFonts w:ascii="Calibri" w:hAnsi="Calibri"/>
        </w:rPr>
        <w:t xml:space="preserve">. </w:t>
      </w:r>
    </w:p>
    <w:p w14:paraId="70AC9AC9" w14:textId="0AFAA87C" w:rsidR="00756B68" w:rsidRPr="002949B5" w:rsidRDefault="00900716">
      <w:pPr>
        <w:rPr>
          <w:rFonts w:ascii="Calibri" w:hAnsi="Calibri"/>
        </w:rPr>
      </w:pPr>
      <w:r w:rsidRPr="002949B5">
        <w:rPr>
          <w:rFonts w:ascii="Calibri" w:hAnsi="Calibri"/>
        </w:rPr>
        <w:t>Such a</w:t>
      </w:r>
      <w:r w:rsidR="00756B68" w:rsidRPr="002949B5">
        <w:rPr>
          <w:rFonts w:ascii="Calibri" w:hAnsi="Calibri"/>
        </w:rPr>
        <w:t xml:space="preserve"> target should exceed expected demand</w:t>
      </w:r>
      <w:r w:rsidR="00B37B12" w:rsidRPr="002949B5">
        <w:rPr>
          <w:rFonts w:ascii="Calibri" w:hAnsi="Calibri"/>
        </w:rPr>
        <w:t xml:space="preserve"> </w:t>
      </w:r>
      <w:r w:rsidR="00756B68" w:rsidRPr="002949B5">
        <w:rPr>
          <w:rFonts w:ascii="Calibri" w:hAnsi="Calibri"/>
        </w:rPr>
        <w:t xml:space="preserve">to address the significant unmet demand for housing already in the system, including for people experiencing homelessness and to offset the effect of demolitions. The Council projects that new underlying demand will total 904,000 over the </w:t>
      </w:r>
      <w:r w:rsidR="008306ED" w:rsidRPr="002949B5">
        <w:rPr>
          <w:rFonts w:ascii="Calibri" w:hAnsi="Calibri"/>
        </w:rPr>
        <w:t xml:space="preserve">Housing </w:t>
      </w:r>
      <w:r w:rsidR="00756B68" w:rsidRPr="002949B5">
        <w:rPr>
          <w:rFonts w:ascii="Calibri" w:hAnsi="Calibri"/>
        </w:rPr>
        <w:t>Accord period</w:t>
      </w:r>
      <w:r w:rsidR="00B37B12" w:rsidRPr="002949B5">
        <w:rPr>
          <w:rFonts w:ascii="Calibri" w:hAnsi="Calibri"/>
        </w:rPr>
        <w:t xml:space="preserve">. With </w:t>
      </w:r>
      <w:r w:rsidR="00756B68" w:rsidRPr="002949B5">
        <w:rPr>
          <w:rFonts w:ascii="Calibri" w:hAnsi="Calibri"/>
        </w:rPr>
        <w:t>11</w:t>
      </w:r>
      <w:r w:rsidR="00D62148" w:rsidRPr="0041126E">
        <w:rPr>
          <w:rFonts w:ascii="Calibri" w:hAnsi="Calibri"/>
        </w:rPr>
        <w:t>3</w:t>
      </w:r>
      <w:r w:rsidR="00756B68" w:rsidRPr="002949B5">
        <w:rPr>
          <w:rFonts w:ascii="Calibri" w:hAnsi="Calibri"/>
        </w:rPr>
        <w:t>,000 dwellings</w:t>
      </w:r>
      <w:r w:rsidR="00B37B12" w:rsidRPr="002949B5">
        <w:rPr>
          <w:rFonts w:ascii="Calibri" w:hAnsi="Calibri"/>
        </w:rPr>
        <w:t xml:space="preserve"> expected to be demolished</w:t>
      </w:r>
      <w:r w:rsidR="00756B68" w:rsidRPr="002949B5">
        <w:rPr>
          <w:rFonts w:ascii="Calibri" w:hAnsi="Calibri"/>
        </w:rPr>
        <w:t>, at least 1,01</w:t>
      </w:r>
      <w:r w:rsidR="00246821" w:rsidRPr="0041126E">
        <w:rPr>
          <w:rFonts w:ascii="Calibri" w:hAnsi="Calibri"/>
        </w:rPr>
        <w:t>7</w:t>
      </w:r>
      <w:r w:rsidR="00756B68" w:rsidRPr="002949B5">
        <w:rPr>
          <w:rFonts w:ascii="Calibri" w:hAnsi="Calibri"/>
        </w:rPr>
        <w:t xml:space="preserve">,000 new dwellings are required just to keep pace with new demand and demolitions. </w:t>
      </w:r>
    </w:p>
    <w:p w14:paraId="28BB04DC" w14:textId="4D1E5970" w:rsidR="00756B68" w:rsidRPr="002949B5" w:rsidRDefault="00756B68">
      <w:pPr>
        <w:rPr>
          <w:rFonts w:ascii="Calibri" w:hAnsi="Calibri"/>
          <w:color w:val="000000"/>
        </w:rPr>
      </w:pPr>
      <w:r w:rsidRPr="002949B5">
        <w:rPr>
          <w:rFonts w:ascii="Calibri" w:hAnsi="Calibri"/>
          <w:color w:val="000000"/>
        </w:rPr>
        <w:t>The target of 1.2</w:t>
      </w:r>
      <w:r w:rsidR="0099326B" w:rsidRPr="002949B5">
        <w:rPr>
          <w:rFonts w:ascii="Calibri" w:hAnsi="Calibri"/>
          <w:color w:val="000000"/>
        </w:rPr>
        <w:t> million</w:t>
      </w:r>
      <w:r w:rsidRPr="002949B5">
        <w:rPr>
          <w:rFonts w:ascii="Calibri" w:hAnsi="Calibri"/>
          <w:color w:val="000000"/>
        </w:rPr>
        <w:t xml:space="preserve"> new </w:t>
      </w:r>
      <w:r w:rsidR="001970D2" w:rsidRPr="002949B5">
        <w:rPr>
          <w:rFonts w:ascii="Calibri" w:hAnsi="Calibri"/>
          <w:color w:val="000000"/>
        </w:rPr>
        <w:t>well</w:t>
      </w:r>
      <w:r w:rsidR="00A15C79" w:rsidRPr="002949B5">
        <w:rPr>
          <w:rFonts w:ascii="Calibri" w:hAnsi="Calibri"/>
          <w:color w:val="000000"/>
        </w:rPr>
        <w:noBreakHyphen/>
      </w:r>
      <w:r w:rsidR="001970D2" w:rsidRPr="002949B5">
        <w:rPr>
          <w:rFonts w:ascii="Calibri" w:hAnsi="Calibri"/>
          <w:color w:val="000000"/>
        </w:rPr>
        <w:t xml:space="preserve">located </w:t>
      </w:r>
      <w:r w:rsidRPr="002949B5">
        <w:rPr>
          <w:rFonts w:ascii="Calibri" w:hAnsi="Calibri"/>
          <w:color w:val="000000"/>
        </w:rPr>
        <w:t>dwellings is consistent with these principles. It exceeds current projected supply by around 2</w:t>
      </w:r>
      <w:r w:rsidR="00D62148" w:rsidRPr="0041126E">
        <w:rPr>
          <w:rFonts w:ascii="Calibri" w:hAnsi="Calibri"/>
          <w:color w:val="000000"/>
        </w:rPr>
        <w:t>8</w:t>
      </w:r>
      <w:r w:rsidR="0099326B" w:rsidRPr="002949B5">
        <w:rPr>
          <w:rFonts w:ascii="Calibri" w:hAnsi="Calibri"/>
          <w:color w:val="000000"/>
        </w:rPr>
        <w:t> per cent</w:t>
      </w:r>
      <w:r w:rsidRPr="002949B5">
        <w:rPr>
          <w:rFonts w:ascii="Calibri" w:hAnsi="Calibri"/>
          <w:color w:val="000000"/>
        </w:rPr>
        <w:t>, and projected demand plus demolitions by around 18</w:t>
      </w:r>
      <w:r w:rsidR="0099326B" w:rsidRPr="002949B5">
        <w:rPr>
          <w:rFonts w:ascii="Calibri" w:hAnsi="Calibri"/>
          <w:color w:val="000000"/>
        </w:rPr>
        <w:t> per cent</w:t>
      </w:r>
      <w:r w:rsidRPr="002949B5">
        <w:rPr>
          <w:rFonts w:ascii="Calibri" w:hAnsi="Calibri"/>
          <w:color w:val="000000"/>
        </w:rPr>
        <w:t>. The target implies 240,000</w:t>
      </w:r>
      <w:r w:rsidR="00A052C3" w:rsidRPr="002949B5">
        <w:rPr>
          <w:rFonts w:ascii="Calibri" w:hAnsi="Calibri"/>
          <w:color w:val="000000"/>
        </w:rPr>
        <w:t xml:space="preserve"> completions</w:t>
      </w:r>
      <w:r w:rsidRPr="002949B5">
        <w:rPr>
          <w:rFonts w:ascii="Calibri" w:hAnsi="Calibri"/>
          <w:color w:val="000000"/>
        </w:rPr>
        <w:t xml:space="preserve"> per year, which is close to periods of peak dwelling construction in the recent past</w:t>
      </w:r>
      <w:r w:rsidR="00A052C3" w:rsidRPr="002949B5">
        <w:rPr>
          <w:rFonts w:ascii="Calibri" w:hAnsi="Calibri"/>
          <w:color w:val="000000"/>
        </w:rPr>
        <w:t>;</w:t>
      </w:r>
      <w:r w:rsidRPr="002949B5">
        <w:rPr>
          <w:rFonts w:ascii="Calibri" w:hAnsi="Calibri"/>
          <w:color w:val="000000"/>
        </w:rPr>
        <w:t xml:space="preserve"> for example</w:t>
      </w:r>
      <w:r w:rsidR="00A052C3" w:rsidRPr="002949B5">
        <w:rPr>
          <w:rFonts w:ascii="Calibri" w:hAnsi="Calibri"/>
          <w:color w:val="000000"/>
        </w:rPr>
        <w:t>,</w:t>
      </w:r>
      <w:r w:rsidRPr="002949B5">
        <w:rPr>
          <w:rFonts w:ascii="Calibri" w:hAnsi="Calibri"/>
          <w:color w:val="000000"/>
        </w:rPr>
        <w:t xml:space="preserve"> the 219,000 dwellings completed in 2016</w:t>
      </w:r>
      <w:r w:rsidR="00A052C3" w:rsidRPr="002949B5">
        <w:rPr>
          <w:rFonts w:ascii="Calibri" w:hAnsi="Calibri"/>
          <w:color w:val="000000"/>
        </w:rPr>
        <w:t>–</w:t>
      </w:r>
      <w:r w:rsidRPr="002949B5">
        <w:rPr>
          <w:rFonts w:ascii="Calibri" w:hAnsi="Calibri"/>
          <w:color w:val="000000"/>
        </w:rPr>
        <w:t xml:space="preserve">17. </w:t>
      </w:r>
    </w:p>
    <w:p w14:paraId="29B63EDF" w14:textId="3598C659" w:rsidR="00756B68" w:rsidRDefault="00A052C3">
      <w:pPr>
        <w:rPr>
          <w:rFonts w:ascii="Calibri" w:hAnsi="Calibri"/>
          <w:color w:val="000000"/>
        </w:rPr>
      </w:pPr>
      <w:r w:rsidRPr="002949B5">
        <w:rPr>
          <w:rFonts w:ascii="Calibri" w:hAnsi="Calibri"/>
          <w:color w:val="000000"/>
        </w:rPr>
        <w:t>Other Organisation</w:t>
      </w:r>
      <w:r w:rsidR="000B2EC7" w:rsidRPr="002949B5">
        <w:rPr>
          <w:rFonts w:ascii="Calibri" w:hAnsi="Calibri"/>
          <w:color w:val="000000"/>
        </w:rPr>
        <w:t xml:space="preserve"> for Economic Co</w:t>
      </w:r>
      <w:r w:rsidR="00A15C79" w:rsidRPr="002949B5">
        <w:rPr>
          <w:rFonts w:ascii="Calibri" w:hAnsi="Calibri"/>
          <w:color w:val="000000"/>
        </w:rPr>
        <w:noBreakHyphen/>
      </w:r>
      <w:r w:rsidR="000B2EC7" w:rsidRPr="002949B5">
        <w:rPr>
          <w:rFonts w:ascii="Calibri" w:hAnsi="Calibri"/>
          <w:color w:val="000000"/>
        </w:rPr>
        <w:t>operation and Development (O</w:t>
      </w:r>
      <w:r w:rsidRPr="002949B5">
        <w:rPr>
          <w:rFonts w:ascii="Calibri" w:hAnsi="Calibri"/>
          <w:color w:val="000000"/>
        </w:rPr>
        <w:t>ECD</w:t>
      </w:r>
      <w:r w:rsidR="000B2EC7" w:rsidRPr="002949B5">
        <w:rPr>
          <w:rFonts w:ascii="Calibri" w:hAnsi="Calibri"/>
          <w:color w:val="000000"/>
        </w:rPr>
        <w:t>)</w:t>
      </w:r>
      <w:r w:rsidRPr="002949B5">
        <w:rPr>
          <w:rFonts w:ascii="Calibri" w:hAnsi="Calibri"/>
          <w:color w:val="000000"/>
        </w:rPr>
        <w:t xml:space="preserve"> countries have set a</w:t>
      </w:r>
      <w:r w:rsidR="00756B68" w:rsidRPr="002949B5">
        <w:rPr>
          <w:rFonts w:ascii="Calibri" w:hAnsi="Calibri"/>
          <w:color w:val="000000"/>
        </w:rPr>
        <w:t>mbitious targets to address housing supply</w:t>
      </w:r>
      <w:r w:rsidR="00CF12F8" w:rsidRPr="002949B5">
        <w:rPr>
          <w:rFonts w:ascii="Calibri" w:hAnsi="Calibri"/>
          <w:color w:val="000000"/>
        </w:rPr>
        <w:t xml:space="preserve"> shortages</w:t>
      </w:r>
      <w:r w:rsidR="00756B68" w:rsidRPr="002949B5">
        <w:rPr>
          <w:rFonts w:ascii="Calibri" w:hAnsi="Calibri"/>
          <w:color w:val="000000"/>
        </w:rPr>
        <w:t xml:space="preserve"> (</w:t>
      </w:r>
      <w:r w:rsidRPr="002949B5">
        <w:rPr>
          <w:rFonts w:ascii="Calibri" w:hAnsi="Calibri"/>
          <w:color w:val="000000"/>
        </w:rPr>
        <w:t xml:space="preserve">see </w:t>
      </w:r>
      <w:r w:rsidR="00756B68" w:rsidRPr="002949B5">
        <w:rPr>
          <w:rFonts w:ascii="Calibri" w:hAnsi="Calibri"/>
          <w:color w:val="000000"/>
        </w:rPr>
        <w:t xml:space="preserve">Table </w:t>
      </w:r>
      <w:r w:rsidR="00862BAC" w:rsidRPr="002949B5">
        <w:rPr>
          <w:rFonts w:ascii="Calibri" w:hAnsi="Calibri"/>
          <w:color w:val="000000"/>
        </w:rPr>
        <w:t>O.2</w:t>
      </w:r>
      <w:r w:rsidR="00756B68" w:rsidRPr="002949B5">
        <w:rPr>
          <w:rFonts w:ascii="Calibri" w:hAnsi="Calibri"/>
          <w:color w:val="000000"/>
        </w:rPr>
        <w:t>). The</w:t>
      </w:r>
      <w:r w:rsidR="00756B68" w:rsidRPr="00173481">
        <w:rPr>
          <w:rFonts w:ascii="Calibri" w:hAnsi="Calibri"/>
          <w:color w:val="000000"/>
        </w:rPr>
        <w:t xml:space="preserve"> United Kingdom has set an </w:t>
      </w:r>
      <w:r w:rsidR="00A15C79">
        <w:rPr>
          <w:rFonts w:ascii="Calibri" w:hAnsi="Calibri"/>
          <w:color w:val="000000"/>
        </w:rPr>
        <w:t>‘</w:t>
      </w:r>
      <w:r w:rsidR="00756B68" w:rsidRPr="00173481">
        <w:rPr>
          <w:rFonts w:ascii="Calibri" w:hAnsi="Calibri"/>
          <w:color w:val="000000"/>
        </w:rPr>
        <w:t>ambitious milestone</w:t>
      </w:r>
      <w:r w:rsidR="00A15C79">
        <w:rPr>
          <w:rFonts w:ascii="Calibri" w:hAnsi="Calibri"/>
          <w:color w:val="000000"/>
        </w:rPr>
        <w:t>’</w:t>
      </w:r>
      <w:r w:rsidR="00756B68" w:rsidRPr="00173481">
        <w:rPr>
          <w:rFonts w:ascii="Calibri" w:hAnsi="Calibri"/>
          <w:color w:val="000000"/>
        </w:rPr>
        <w:t xml:space="preserve"> of building 1.5</w:t>
      </w:r>
      <w:r w:rsidR="0099326B">
        <w:rPr>
          <w:rFonts w:ascii="Calibri" w:hAnsi="Calibri"/>
          <w:color w:val="000000"/>
        </w:rPr>
        <w:t> million</w:t>
      </w:r>
      <w:r w:rsidR="00756B68" w:rsidRPr="00173481">
        <w:rPr>
          <w:rFonts w:ascii="Calibri" w:hAnsi="Calibri"/>
          <w:color w:val="000000"/>
        </w:rPr>
        <w:t xml:space="preserve"> homes </w:t>
      </w:r>
      <w:r w:rsidR="00756B68">
        <w:rPr>
          <w:rFonts w:ascii="Calibri" w:hAnsi="Calibri"/>
          <w:color w:val="000000"/>
        </w:rPr>
        <w:t xml:space="preserve">in England </w:t>
      </w:r>
      <w:r w:rsidR="00756B68" w:rsidRPr="00173481">
        <w:rPr>
          <w:rFonts w:ascii="Calibri" w:hAnsi="Calibri"/>
          <w:color w:val="000000"/>
        </w:rPr>
        <w:t xml:space="preserve">by </w:t>
      </w:r>
      <w:r w:rsidR="00756B68" w:rsidRPr="0036434B">
        <w:rPr>
          <w:rFonts w:ascii="Calibri" w:hAnsi="Calibri"/>
          <w:color w:val="000000"/>
        </w:rPr>
        <w:t>2029 (</w:t>
      </w:r>
      <w:r w:rsidR="00F935A7" w:rsidRPr="0080378D">
        <w:rPr>
          <w:rFonts w:ascii="Calibri" w:hAnsi="Calibri"/>
          <w:color w:val="000000"/>
          <w:szCs w:val="22"/>
        </w:rPr>
        <w:t>UK Government</w:t>
      </w:r>
      <w:r w:rsidR="00756B68" w:rsidRPr="00756B68">
        <w:rPr>
          <w:rFonts w:ascii="Calibri" w:hAnsi="Calibri"/>
          <w:color w:val="000000"/>
          <w:szCs w:val="22"/>
        </w:rPr>
        <w:t xml:space="preserve"> 2024</w:t>
      </w:r>
      <w:r w:rsidR="00756B68" w:rsidRPr="0036434B">
        <w:rPr>
          <w:rFonts w:ascii="Calibri" w:hAnsi="Calibri"/>
          <w:color w:val="000000"/>
        </w:rPr>
        <w:t>) and</w:t>
      </w:r>
      <w:r w:rsidR="00756B68" w:rsidRPr="00173481">
        <w:rPr>
          <w:rFonts w:ascii="Calibri" w:hAnsi="Calibri"/>
          <w:color w:val="000000"/>
        </w:rPr>
        <w:t xml:space="preserve"> Canada</w:t>
      </w:r>
      <w:r w:rsidR="00A15C79">
        <w:rPr>
          <w:rFonts w:ascii="Calibri" w:hAnsi="Calibri"/>
          <w:color w:val="000000"/>
        </w:rPr>
        <w:t>’</w:t>
      </w:r>
      <w:r w:rsidR="00756B68" w:rsidRPr="00173481">
        <w:rPr>
          <w:rFonts w:ascii="Calibri" w:hAnsi="Calibri"/>
          <w:color w:val="000000"/>
        </w:rPr>
        <w:t xml:space="preserve">s </w:t>
      </w:r>
      <w:r w:rsidR="00A15C79">
        <w:rPr>
          <w:rFonts w:ascii="Calibri" w:hAnsi="Calibri"/>
          <w:color w:val="000000"/>
        </w:rPr>
        <w:t>‘</w:t>
      </w:r>
      <w:r w:rsidR="00756B68">
        <w:rPr>
          <w:rFonts w:ascii="Calibri" w:hAnsi="Calibri"/>
          <w:color w:val="000000"/>
        </w:rPr>
        <w:t>B</w:t>
      </w:r>
      <w:r w:rsidR="00756B68" w:rsidRPr="00173481">
        <w:rPr>
          <w:rFonts w:ascii="Calibri" w:hAnsi="Calibri"/>
          <w:color w:val="000000"/>
        </w:rPr>
        <w:t xml:space="preserve">old </w:t>
      </w:r>
      <w:r w:rsidR="00756B68">
        <w:rPr>
          <w:rFonts w:ascii="Calibri" w:hAnsi="Calibri"/>
          <w:color w:val="000000"/>
        </w:rPr>
        <w:t>S</w:t>
      </w:r>
      <w:r w:rsidR="00756B68" w:rsidRPr="00173481">
        <w:rPr>
          <w:rFonts w:ascii="Calibri" w:hAnsi="Calibri"/>
          <w:color w:val="000000"/>
        </w:rPr>
        <w:t>trategy</w:t>
      </w:r>
      <w:r w:rsidR="00A15C79">
        <w:rPr>
          <w:rFonts w:ascii="Calibri" w:hAnsi="Calibri"/>
          <w:color w:val="000000"/>
        </w:rPr>
        <w:t>’</w:t>
      </w:r>
      <w:r w:rsidR="00756B68" w:rsidRPr="00173481">
        <w:rPr>
          <w:rFonts w:ascii="Calibri" w:hAnsi="Calibri"/>
          <w:color w:val="000000"/>
        </w:rPr>
        <w:t xml:space="preserve"> is to build 3.87</w:t>
      </w:r>
      <w:r w:rsidR="0099326B">
        <w:rPr>
          <w:rFonts w:ascii="Calibri" w:hAnsi="Calibri"/>
          <w:color w:val="000000"/>
        </w:rPr>
        <w:t> million</w:t>
      </w:r>
      <w:r w:rsidR="00756B68" w:rsidRPr="00173481">
        <w:rPr>
          <w:rFonts w:ascii="Calibri" w:hAnsi="Calibri"/>
          <w:color w:val="000000"/>
        </w:rPr>
        <w:t xml:space="preserve"> new homes by 2031</w:t>
      </w:r>
      <w:r w:rsidR="008306ED">
        <w:rPr>
          <w:rFonts w:ascii="Calibri" w:hAnsi="Calibri"/>
          <w:color w:val="000000"/>
        </w:rPr>
        <w:t xml:space="preserve"> –</w:t>
      </w:r>
      <w:r w:rsidR="00756B68" w:rsidRPr="00173481">
        <w:rPr>
          <w:rFonts w:ascii="Calibri" w:hAnsi="Calibri"/>
          <w:color w:val="000000"/>
        </w:rPr>
        <w:t xml:space="preserve"> 2</w:t>
      </w:r>
      <w:r w:rsidR="0099326B">
        <w:rPr>
          <w:rFonts w:ascii="Calibri" w:hAnsi="Calibri"/>
          <w:color w:val="000000"/>
        </w:rPr>
        <w:t> million</w:t>
      </w:r>
      <w:r w:rsidR="00756B68" w:rsidRPr="00173481">
        <w:rPr>
          <w:rFonts w:ascii="Calibri" w:hAnsi="Calibri"/>
          <w:color w:val="000000"/>
        </w:rPr>
        <w:t xml:space="preserve"> more homes than forecast to be </w:t>
      </w:r>
      <w:r w:rsidR="00756B68" w:rsidRPr="00FC3D09">
        <w:rPr>
          <w:rFonts w:ascii="Calibri" w:hAnsi="Calibri"/>
          <w:color w:val="000000"/>
        </w:rPr>
        <w:t xml:space="preserve">built </w:t>
      </w:r>
      <w:r w:rsidR="00756B68" w:rsidRPr="00756B68">
        <w:rPr>
          <w:rFonts w:ascii="Calibri" w:hAnsi="Calibri"/>
          <w:color w:val="000000"/>
          <w:szCs w:val="22"/>
        </w:rPr>
        <w:t>(</w:t>
      </w:r>
      <w:r w:rsidR="00F935A7" w:rsidRPr="0080378D">
        <w:rPr>
          <w:rFonts w:ascii="Calibri" w:hAnsi="Calibri"/>
          <w:color w:val="000000"/>
          <w:szCs w:val="22"/>
        </w:rPr>
        <w:t>Government of Canada</w:t>
      </w:r>
      <w:r w:rsidR="00756B68" w:rsidRPr="00756B68">
        <w:rPr>
          <w:rFonts w:ascii="Calibri" w:hAnsi="Calibri"/>
          <w:color w:val="000000"/>
          <w:szCs w:val="22"/>
        </w:rPr>
        <w:t xml:space="preserve"> 2024).</w:t>
      </w:r>
      <w:r w:rsidR="00756B68" w:rsidRPr="00173481">
        <w:rPr>
          <w:rFonts w:ascii="Calibri" w:hAnsi="Calibri"/>
          <w:color w:val="000000"/>
        </w:rPr>
        <w:t xml:space="preserve"> </w:t>
      </w:r>
    </w:p>
    <w:p w14:paraId="4F96A769" w14:textId="3C9352A1" w:rsidR="00756B68" w:rsidRPr="00BD2E5A" w:rsidRDefault="00495B4D" w:rsidP="00BD2E5A">
      <w:pPr>
        <w:pStyle w:val="TableMainHeadingnonumbering"/>
      </w:pPr>
      <w:r w:rsidRPr="00BD2E5A">
        <w:t xml:space="preserve">Table </w:t>
      </w:r>
      <w:r w:rsidR="009E3594">
        <w:t>O</w:t>
      </w:r>
      <w:r w:rsidRPr="00BD2E5A">
        <w:t>.</w:t>
      </w:r>
      <w:r w:rsidR="009E3594">
        <w:t>2</w:t>
      </w:r>
      <w:r w:rsidRPr="00BD2E5A">
        <w:t xml:space="preserve"> </w:t>
      </w:r>
      <w:r w:rsidR="00756B68" w:rsidRPr="00BD2E5A">
        <w:t>Housing supply targets of selected OECD countries</w:t>
      </w:r>
    </w:p>
    <w:tbl>
      <w:tblPr>
        <w:tblStyle w:val="GridTable5Dark-Accent4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0"/>
        <w:gridCol w:w="2406"/>
        <w:gridCol w:w="2406"/>
        <w:gridCol w:w="2408"/>
      </w:tblGrid>
      <w:tr w:rsidR="003D30D4" w:rsidRPr="00CB5080" w14:paraId="3E284593" w14:textId="77777777" w:rsidTr="002040BA">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015" w:type="pct"/>
            <w:shd w:val="clear" w:color="auto" w:fill="F2E3C7" w:themeFill="background2"/>
          </w:tcPr>
          <w:p w14:paraId="61A13C09" w14:textId="77777777" w:rsidR="00756B68" w:rsidRPr="000643F0" w:rsidRDefault="00756B68" w:rsidP="000643F0">
            <w:pPr>
              <w:pStyle w:val="TableColumnHeadingLeft"/>
              <w:rPr>
                <w:b/>
                <w:bCs w:val="0"/>
              </w:rPr>
            </w:pPr>
          </w:p>
        </w:tc>
        <w:tc>
          <w:tcPr>
            <w:tcW w:w="1328" w:type="pct"/>
            <w:shd w:val="clear" w:color="auto" w:fill="F2E3C7" w:themeFill="background2"/>
          </w:tcPr>
          <w:p w14:paraId="01891DC2" w14:textId="77777777" w:rsidR="00756B68" w:rsidRPr="000643F0" w:rsidRDefault="00756B68" w:rsidP="000643F0">
            <w:pPr>
              <w:pStyle w:val="TableColumnHeadingLeft"/>
              <w:cnfStyle w:val="100000000000" w:firstRow="1" w:lastRow="0" w:firstColumn="0" w:lastColumn="0" w:oddVBand="0" w:evenVBand="0" w:oddHBand="0" w:evenHBand="0" w:firstRowFirstColumn="0" w:firstRowLastColumn="0" w:lastRowFirstColumn="0" w:lastRowLastColumn="0"/>
              <w:rPr>
                <w:b/>
                <w:bCs w:val="0"/>
              </w:rPr>
            </w:pPr>
            <w:r w:rsidRPr="000643F0">
              <w:rPr>
                <w:b/>
                <w:bCs w:val="0"/>
              </w:rPr>
              <w:t>Target</w:t>
            </w:r>
          </w:p>
        </w:tc>
        <w:tc>
          <w:tcPr>
            <w:tcW w:w="1328" w:type="pct"/>
            <w:shd w:val="clear" w:color="auto" w:fill="F2E3C7" w:themeFill="background2"/>
          </w:tcPr>
          <w:p w14:paraId="044751F4" w14:textId="6B26E49B" w:rsidR="00756B68" w:rsidRPr="000643F0" w:rsidRDefault="00756B68" w:rsidP="000643F0">
            <w:pPr>
              <w:pStyle w:val="TableColumnHeadingLeft"/>
              <w:cnfStyle w:val="100000000000" w:firstRow="1" w:lastRow="0" w:firstColumn="0" w:lastColumn="0" w:oddVBand="0" w:evenVBand="0" w:oddHBand="0" w:evenHBand="0" w:firstRowFirstColumn="0" w:firstRowLastColumn="0" w:lastRowFirstColumn="0" w:lastRowLastColumn="0"/>
              <w:rPr>
                <w:b/>
                <w:bCs w:val="0"/>
              </w:rPr>
            </w:pPr>
            <w:r w:rsidRPr="000643F0">
              <w:rPr>
                <w:b/>
                <w:bCs w:val="0"/>
              </w:rPr>
              <w:t>Timeframe</w:t>
            </w:r>
          </w:p>
        </w:tc>
        <w:tc>
          <w:tcPr>
            <w:tcW w:w="1329" w:type="pct"/>
            <w:shd w:val="clear" w:color="auto" w:fill="F2E3C7" w:themeFill="background2"/>
          </w:tcPr>
          <w:p w14:paraId="3F1FB324" w14:textId="6F23FAA2" w:rsidR="00756B68" w:rsidRPr="000643F0" w:rsidRDefault="00756B68" w:rsidP="000643F0">
            <w:pPr>
              <w:pStyle w:val="TableColumnHeadingLeft"/>
              <w:cnfStyle w:val="100000000000" w:firstRow="1" w:lastRow="0" w:firstColumn="0" w:lastColumn="0" w:oddVBand="0" w:evenVBand="0" w:oddHBand="0" w:evenHBand="0" w:firstRowFirstColumn="0" w:firstRowLastColumn="0" w:lastRowFirstColumn="0" w:lastRowLastColumn="0"/>
              <w:rPr>
                <w:b/>
                <w:bCs w:val="0"/>
              </w:rPr>
            </w:pPr>
            <w:r w:rsidRPr="000643F0">
              <w:rPr>
                <w:b/>
                <w:bCs w:val="0"/>
              </w:rPr>
              <w:t>Target</w:t>
            </w:r>
            <w:r w:rsidR="00A15C79" w:rsidRPr="000643F0">
              <w:rPr>
                <w:b/>
                <w:bCs w:val="0"/>
              </w:rPr>
              <w:t>’</w:t>
            </w:r>
            <w:r w:rsidRPr="000643F0">
              <w:rPr>
                <w:b/>
                <w:bCs w:val="0"/>
              </w:rPr>
              <w:t>s proportion of existing dwellings</w:t>
            </w:r>
          </w:p>
        </w:tc>
      </w:tr>
      <w:tr w:rsidR="003E7E44" w:rsidRPr="00CB5080" w14:paraId="0476F59C" w14:textId="77777777" w:rsidTr="002040BA">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015" w:type="pct"/>
            <w:tcBorders>
              <w:bottom w:val="single" w:sz="4" w:space="0" w:color="F2E3C7" w:themeColor="accent6"/>
            </w:tcBorders>
            <w:shd w:val="clear" w:color="auto" w:fill="auto"/>
            <w:vAlign w:val="center"/>
          </w:tcPr>
          <w:p w14:paraId="2A01FCA8" w14:textId="77777777" w:rsidR="00756B68" w:rsidRPr="000643F0" w:rsidRDefault="00756B68" w:rsidP="000643F0">
            <w:pPr>
              <w:pStyle w:val="TableTextLeft"/>
              <w:rPr>
                <w:rStyle w:val="Strong"/>
                <w:b/>
                <w:bCs/>
              </w:rPr>
            </w:pPr>
            <w:r w:rsidRPr="000643F0">
              <w:rPr>
                <w:rStyle w:val="Strong"/>
                <w:b/>
                <w:bCs/>
              </w:rPr>
              <w:t>Australia</w:t>
            </w:r>
          </w:p>
        </w:tc>
        <w:tc>
          <w:tcPr>
            <w:tcW w:w="1328" w:type="pct"/>
            <w:tcBorders>
              <w:bottom w:val="single" w:sz="4" w:space="0" w:color="F2E3C7" w:themeColor="accent6"/>
            </w:tcBorders>
            <w:shd w:val="clear" w:color="auto" w:fill="auto"/>
          </w:tcPr>
          <w:p w14:paraId="29469438" w14:textId="0DD14AA5" w:rsidR="00756B68" w:rsidRPr="00870B09" w:rsidRDefault="00756B68" w:rsidP="00DB6DE6">
            <w:pPr>
              <w:pStyle w:val="TableTextLeft"/>
              <w:cnfStyle w:val="000000100000" w:firstRow="0" w:lastRow="0" w:firstColumn="0" w:lastColumn="0" w:oddVBand="0" w:evenVBand="0" w:oddHBand="1" w:evenHBand="0" w:firstRowFirstColumn="0" w:firstRowLastColumn="0" w:lastRowFirstColumn="0" w:lastRowLastColumn="0"/>
            </w:pPr>
            <w:r w:rsidRPr="00870B09">
              <w:t>1.2</w:t>
            </w:r>
            <w:r w:rsidR="0099326B">
              <w:t> million</w:t>
            </w:r>
            <w:r w:rsidRPr="00870B09">
              <w:t xml:space="preserve"> new well</w:t>
            </w:r>
            <w:r w:rsidR="00A15C79">
              <w:noBreakHyphen/>
            </w:r>
            <w:r w:rsidRPr="00870B09">
              <w:t>located homes</w:t>
            </w:r>
            <w:r>
              <w:t xml:space="preserve"> (</w:t>
            </w:r>
            <w:r w:rsidR="00BE363F">
              <w:t>The Treasury</w:t>
            </w:r>
            <w:r>
              <w:t xml:space="preserve"> 2023)</w:t>
            </w:r>
            <w:r w:rsidRPr="00870B09">
              <w:t xml:space="preserve"> </w:t>
            </w:r>
          </w:p>
        </w:tc>
        <w:tc>
          <w:tcPr>
            <w:tcW w:w="1328" w:type="pct"/>
            <w:tcBorders>
              <w:bottom w:val="single" w:sz="4" w:space="0" w:color="F2E3C7" w:themeColor="accent6"/>
            </w:tcBorders>
            <w:shd w:val="clear" w:color="auto" w:fill="auto"/>
          </w:tcPr>
          <w:p w14:paraId="13B1045C" w14:textId="5A8B1E38" w:rsidR="00756B68" w:rsidRPr="00923F6E" w:rsidRDefault="00756B68" w:rsidP="00DB6DE6">
            <w:pPr>
              <w:pStyle w:val="TableTextLeft"/>
              <w:cnfStyle w:val="000000100000" w:firstRow="0" w:lastRow="0" w:firstColumn="0" w:lastColumn="0" w:oddVBand="0" w:evenVBand="0" w:oddHBand="1" w:evenHBand="0" w:firstRowFirstColumn="0" w:firstRowLastColumn="0" w:lastRowFirstColumn="0" w:lastRowLastColumn="0"/>
            </w:pPr>
            <w:r w:rsidRPr="00FE423C">
              <w:t>5</w:t>
            </w:r>
            <w:r w:rsidRPr="00FE423C" w:rsidDel="00AF394A">
              <w:t xml:space="preserve"> years</w:t>
            </w:r>
            <w:r w:rsidRPr="00FE423C">
              <w:t>;</w:t>
            </w:r>
            <w:r w:rsidRPr="00923F6E">
              <w:t xml:space="preserve"> 2024</w:t>
            </w:r>
            <w:r w:rsidR="000B2EC7" w:rsidRPr="00923F6E">
              <w:t>–</w:t>
            </w:r>
            <w:r w:rsidRPr="00923F6E">
              <w:t>25 to 2028</w:t>
            </w:r>
            <w:r w:rsidR="00DB6DE6">
              <w:t>‍</w:t>
            </w:r>
            <w:r w:rsidR="000B2EC7" w:rsidRPr="00923F6E">
              <w:t>–</w:t>
            </w:r>
            <w:r w:rsidR="00DB6DE6">
              <w:t>‍</w:t>
            </w:r>
            <w:r w:rsidRPr="00923F6E">
              <w:t>29 (</w:t>
            </w:r>
            <w:r w:rsidR="00BE363F">
              <w:t>The Treasury</w:t>
            </w:r>
            <w:r w:rsidR="002B3492">
              <w:t xml:space="preserve"> </w:t>
            </w:r>
            <w:r w:rsidRPr="00923F6E">
              <w:t xml:space="preserve">2023)  </w:t>
            </w:r>
          </w:p>
        </w:tc>
        <w:tc>
          <w:tcPr>
            <w:tcW w:w="1329" w:type="pct"/>
            <w:tcBorders>
              <w:bottom w:val="single" w:sz="4" w:space="0" w:color="F2E3C7" w:themeColor="accent6"/>
            </w:tcBorders>
            <w:shd w:val="clear" w:color="auto" w:fill="auto"/>
          </w:tcPr>
          <w:p w14:paraId="0900F300" w14:textId="48BEA0F8" w:rsidR="00756B68" w:rsidRPr="00923F6E" w:rsidRDefault="00756B68" w:rsidP="00DB6DE6">
            <w:pPr>
              <w:pStyle w:val="TableTextLeft"/>
              <w:cnfStyle w:val="000000100000" w:firstRow="0" w:lastRow="0" w:firstColumn="0" w:lastColumn="0" w:oddVBand="0" w:evenVBand="0" w:oddHBand="1" w:evenHBand="0" w:firstRowFirstColumn="0" w:firstRowLastColumn="0" w:lastRowFirstColumn="0" w:lastRowLastColumn="0"/>
            </w:pPr>
            <w:r w:rsidRPr="00923F6E">
              <w:t>10.6</w:t>
            </w:r>
            <w:r w:rsidRPr="00923F6E" w:rsidDel="00AF394A">
              <w:t>%</w:t>
            </w:r>
            <w:r w:rsidRPr="00923F6E">
              <w:t xml:space="preserve"> (</w:t>
            </w:r>
            <w:r w:rsidRPr="00157166">
              <w:t>A</w:t>
            </w:r>
            <w:r w:rsidR="00923F6E" w:rsidRPr="00157166">
              <w:t xml:space="preserve">ustralian </w:t>
            </w:r>
            <w:r w:rsidRPr="00157166">
              <w:t>B</w:t>
            </w:r>
            <w:r w:rsidR="00923F6E" w:rsidRPr="00157166">
              <w:t>ureau of</w:t>
            </w:r>
            <w:r w:rsidR="00DB6DE6">
              <w:t> </w:t>
            </w:r>
            <w:r w:rsidR="00CC1FD9" w:rsidRPr="00157166">
              <w:t>Statistics</w:t>
            </w:r>
            <w:r w:rsidR="00E27C54">
              <w:t xml:space="preserve"> </w:t>
            </w:r>
            <w:r w:rsidRPr="00923F6E">
              <w:t>2025)</w:t>
            </w:r>
          </w:p>
        </w:tc>
      </w:tr>
      <w:tr w:rsidR="003E7E44" w:rsidRPr="00CB5080" w14:paraId="366B52E7" w14:textId="77777777" w:rsidTr="002040BA">
        <w:trPr>
          <w:trHeight w:val="777"/>
        </w:trPr>
        <w:tc>
          <w:tcPr>
            <w:cnfStyle w:val="001000000000" w:firstRow="0" w:lastRow="0" w:firstColumn="1" w:lastColumn="0" w:oddVBand="0" w:evenVBand="0" w:oddHBand="0" w:evenHBand="0" w:firstRowFirstColumn="0" w:firstRowLastColumn="0" w:lastRowFirstColumn="0" w:lastRowLastColumn="0"/>
            <w:tcW w:w="1015" w:type="pct"/>
            <w:tcBorders>
              <w:top w:val="single" w:sz="4" w:space="0" w:color="F2E3C7" w:themeColor="accent6"/>
              <w:bottom w:val="single" w:sz="4" w:space="0" w:color="F2E3C7" w:themeColor="accent6"/>
            </w:tcBorders>
            <w:shd w:val="clear" w:color="auto" w:fill="auto"/>
            <w:vAlign w:val="center"/>
          </w:tcPr>
          <w:p w14:paraId="62B91466" w14:textId="77777777" w:rsidR="00756B68" w:rsidRPr="000643F0" w:rsidRDefault="00756B68" w:rsidP="000643F0">
            <w:pPr>
              <w:pStyle w:val="TableTextLeft"/>
              <w:rPr>
                <w:rStyle w:val="Strong"/>
                <w:b/>
                <w:bCs/>
              </w:rPr>
            </w:pPr>
            <w:r w:rsidRPr="000643F0">
              <w:rPr>
                <w:rStyle w:val="Strong"/>
                <w:b/>
                <w:bCs/>
              </w:rPr>
              <w:t>Canada</w:t>
            </w:r>
          </w:p>
        </w:tc>
        <w:tc>
          <w:tcPr>
            <w:tcW w:w="1328" w:type="pct"/>
            <w:tcBorders>
              <w:top w:val="single" w:sz="4" w:space="0" w:color="F2E3C7" w:themeColor="accent6"/>
              <w:bottom w:val="single" w:sz="4" w:space="0" w:color="F2E3C7" w:themeColor="accent6"/>
            </w:tcBorders>
            <w:shd w:val="clear" w:color="auto" w:fill="auto"/>
          </w:tcPr>
          <w:p w14:paraId="715065C4" w14:textId="54321F70" w:rsidR="00756B68" w:rsidRPr="00870B09" w:rsidRDefault="00756B68" w:rsidP="00DB6DE6">
            <w:pPr>
              <w:pStyle w:val="TableTextLeft"/>
              <w:cnfStyle w:val="000000000000" w:firstRow="0" w:lastRow="0" w:firstColumn="0" w:lastColumn="0" w:oddVBand="0" w:evenVBand="0" w:oddHBand="0" w:evenHBand="0" w:firstRowFirstColumn="0" w:firstRowLastColumn="0" w:lastRowFirstColumn="0" w:lastRowLastColumn="0"/>
            </w:pPr>
            <w:r w:rsidRPr="00870B09">
              <w:t>3.87</w:t>
            </w:r>
            <w:r w:rsidR="0099326B">
              <w:t> million</w:t>
            </w:r>
            <w:r w:rsidRPr="00870B09">
              <w:t xml:space="preserve"> new homes</w:t>
            </w:r>
            <w:r>
              <w:t xml:space="preserve"> </w:t>
            </w:r>
            <w:r w:rsidRPr="00870B09">
              <w:t>(</w:t>
            </w:r>
            <w:r w:rsidRPr="00157166">
              <w:t>Government of Canada</w:t>
            </w:r>
            <w:r w:rsidR="00CB7822">
              <w:t xml:space="preserve"> </w:t>
            </w:r>
            <w:r>
              <w:t>2024</w:t>
            </w:r>
            <w:r w:rsidRPr="00870B09">
              <w:t>)</w:t>
            </w:r>
          </w:p>
        </w:tc>
        <w:tc>
          <w:tcPr>
            <w:tcW w:w="1328" w:type="pct"/>
            <w:tcBorders>
              <w:top w:val="single" w:sz="4" w:space="0" w:color="F2E3C7" w:themeColor="accent6"/>
              <w:bottom w:val="single" w:sz="4" w:space="0" w:color="F2E3C7" w:themeColor="accent6"/>
            </w:tcBorders>
            <w:shd w:val="clear" w:color="auto" w:fill="auto"/>
          </w:tcPr>
          <w:p w14:paraId="345D12CE" w14:textId="21ECE142" w:rsidR="00756B68" w:rsidRPr="00870B09" w:rsidRDefault="00756B68" w:rsidP="00DB6DE6">
            <w:pPr>
              <w:pStyle w:val="TableTextLeft"/>
              <w:cnfStyle w:val="000000000000" w:firstRow="0" w:lastRow="0" w:firstColumn="0" w:lastColumn="0" w:oddVBand="0" w:evenVBand="0" w:oddHBand="0" w:evenHBand="0" w:firstRowFirstColumn="0" w:firstRowLastColumn="0" w:lastRowFirstColumn="0" w:lastRowLastColumn="0"/>
            </w:pPr>
            <w:r w:rsidRPr="00870B09">
              <w:t>7</w:t>
            </w:r>
            <w:r w:rsidRPr="00870B09" w:rsidDel="00AF394A">
              <w:t xml:space="preserve"> years</w:t>
            </w:r>
            <w:r w:rsidRPr="00870B09">
              <w:t>; 2024</w:t>
            </w:r>
            <w:r w:rsidR="000B2EC7">
              <w:t>–</w:t>
            </w:r>
            <w:r w:rsidRPr="00870B09">
              <w:t>31 (</w:t>
            </w:r>
            <w:r w:rsidRPr="00157166">
              <w:t>Government of Canada</w:t>
            </w:r>
            <w:r>
              <w:t xml:space="preserve"> 2024)</w:t>
            </w:r>
          </w:p>
        </w:tc>
        <w:tc>
          <w:tcPr>
            <w:tcW w:w="1329" w:type="pct"/>
            <w:tcBorders>
              <w:top w:val="single" w:sz="4" w:space="0" w:color="F2E3C7" w:themeColor="accent6"/>
              <w:bottom w:val="single" w:sz="4" w:space="0" w:color="F2E3C7" w:themeColor="accent6"/>
            </w:tcBorders>
            <w:shd w:val="clear" w:color="auto" w:fill="auto"/>
          </w:tcPr>
          <w:p w14:paraId="71A73363" w14:textId="178A6517" w:rsidR="00756B68" w:rsidRPr="00870B09" w:rsidRDefault="00756B68" w:rsidP="00DB6DE6">
            <w:pPr>
              <w:pStyle w:val="TableTextLeft"/>
              <w:cnfStyle w:val="000000000000" w:firstRow="0" w:lastRow="0" w:firstColumn="0" w:lastColumn="0" w:oddVBand="0" w:evenVBand="0" w:oddHBand="0" w:evenHBand="0" w:firstRowFirstColumn="0" w:firstRowLastColumn="0" w:lastRowFirstColumn="0" w:lastRowLastColumn="0"/>
            </w:pPr>
            <w:r>
              <w:t>23.8</w:t>
            </w:r>
            <w:r w:rsidDel="00AF394A">
              <w:t>%</w:t>
            </w:r>
            <w:r>
              <w:t xml:space="preserve"> (</w:t>
            </w:r>
            <w:r w:rsidRPr="00157166">
              <w:t>Statistics Canada</w:t>
            </w:r>
            <w:r w:rsidR="00157166">
              <w:t xml:space="preserve"> </w:t>
            </w:r>
            <w:r>
              <w:t>2023)</w:t>
            </w:r>
          </w:p>
        </w:tc>
      </w:tr>
      <w:tr w:rsidR="003E7E44" w:rsidRPr="00CB5080" w14:paraId="23EEAA5F" w14:textId="77777777" w:rsidTr="002040BA">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015" w:type="pct"/>
            <w:tcBorders>
              <w:top w:val="single" w:sz="4" w:space="0" w:color="F2E3C7" w:themeColor="accent6"/>
              <w:bottom w:val="single" w:sz="4" w:space="0" w:color="F2E3C7" w:themeColor="accent6"/>
            </w:tcBorders>
            <w:shd w:val="clear" w:color="auto" w:fill="auto"/>
            <w:vAlign w:val="center"/>
          </w:tcPr>
          <w:p w14:paraId="4E583E29" w14:textId="77777777" w:rsidR="00756B68" w:rsidRPr="000643F0" w:rsidRDefault="00756B68" w:rsidP="000643F0">
            <w:pPr>
              <w:pStyle w:val="TableTextLeft"/>
              <w:rPr>
                <w:rStyle w:val="Strong"/>
                <w:b/>
                <w:bCs/>
              </w:rPr>
            </w:pPr>
            <w:r w:rsidRPr="000643F0">
              <w:rPr>
                <w:rStyle w:val="Strong"/>
                <w:b/>
                <w:bCs/>
              </w:rPr>
              <w:t>United Kingdom</w:t>
            </w:r>
          </w:p>
        </w:tc>
        <w:tc>
          <w:tcPr>
            <w:tcW w:w="1328" w:type="pct"/>
            <w:tcBorders>
              <w:top w:val="single" w:sz="4" w:space="0" w:color="F2E3C7" w:themeColor="accent6"/>
              <w:bottom w:val="single" w:sz="4" w:space="0" w:color="F2E3C7" w:themeColor="accent6"/>
            </w:tcBorders>
            <w:shd w:val="clear" w:color="auto" w:fill="auto"/>
          </w:tcPr>
          <w:p w14:paraId="2A55875C" w14:textId="3354DB1A" w:rsidR="00756B68" w:rsidRPr="00870B09" w:rsidRDefault="00756B68" w:rsidP="00DB6DE6">
            <w:pPr>
              <w:pStyle w:val="TableTextLeft"/>
              <w:cnfStyle w:val="000000100000" w:firstRow="0" w:lastRow="0" w:firstColumn="0" w:lastColumn="0" w:oddVBand="0" w:evenVBand="0" w:oddHBand="1" w:evenHBand="0" w:firstRowFirstColumn="0" w:firstRowLastColumn="0" w:lastRowFirstColumn="0" w:lastRowLastColumn="0"/>
            </w:pPr>
            <w:r w:rsidRPr="00870B09">
              <w:t>1.5</w:t>
            </w:r>
            <w:r w:rsidR="0099326B">
              <w:t> million</w:t>
            </w:r>
            <w:r w:rsidRPr="00870B09">
              <w:t xml:space="preserve"> safe and decent new homes </w:t>
            </w:r>
            <w:r>
              <w:t>in England</w:t>
            </w:r>
            <w:r w:rsidRPr="00870B09">
              <w:t xml:space="preserve"> (</w:t>
            </w:r>
            <w:r w:rsidRPr="00157166">
              <w:t>UK</w:t>
            </w:r>
            <w:r w:rsidR="00DB6DE6">
              <w:t> </w:t>
            </w:r>
            <w:r w:rsidRPr="00157166">
              <w:t>Government</w:t>
            </w:r>
            <w:r>
              <w:t xml:space="preserve"> 2024)</w:t>
            </w:r>
          </w:p>
        </w:tc>
        <w:tc>
          <w:tcPr>
            <w:tcW w:w="1328" w:type="pct"/>
            <w:tcBorders>
              <w:top w:val="single" w:sz="4" w:space="0" w:color="F2E3C7" w:themeColor="accent6"/>
              <w:bottom w:val="single" w:sz="4" w:space="0" w:color="F2E3C7" w:themeColor="accent6"/>
            </w:tcBorders>
            <w:shd w:val="clear" w:color="auto" w:fill="auto"/>
          </w:tcPr>
          <w:p w14:paraId="2E368D72" w14:textId="596653AE" w:rsidR="00756B68" w:rsidRPr="00870B09" w:rsidRDefault="00756B68" w:rsidP="00DB6DE6">
            <w:pPr>
              <w:pStyle w:val="TableTextLeft"/>
              <w:cnfStyle w:val="000000100000" w:firstRow="0" w:lastRow="0" w:firstColumn="0" w:lastColumn="0" w:oddVBand="0" w:evenVBand="0" w:oddHBand="1" w:evenHBand="0" w:firstRowFirstColumn="0" w:firstRowLastColumn="0" w:lastRowFirstColumn="0" w:lastRowLastColumn="0"/>
            </w:pPr>
            <w:r w:rsidRPr="00870B09">
              <w:t>5</w:t>
            </w:r>
            <w:r w:rsidRPr="00870B09" w:rsidDel="00AF394A">
              <w:t xml:space="preserve"> years</w:t>
            </w:r>
            <w:r w:rsidRPr="00870B09">
              <w:t>; 2024</w:t>
            </w:r>
            <w:r w:rsidR="000B2EC7">
              <w:t>–</w:t>
            </w:r>
            <w:r w:rsidRPr="00870B09">
              <w:t>29 (</w:t>
            </w:r>
            <w:r w:rsidRPr="00157166">
              <w:t>UK</w:t>
            </w:r>
            <w:r w:rsidR="00DB6DE6">
              <w:t> </w:t>
            </w:r>
            <w:r w:rsidRPr="00157166">
              <w:t>Government</w:t>
            </w:r>
            <w:r>
              <w:t xml:space="preserve"> 2024)</w:t>
            </w:r>
          </w:p>
        </w:tc>
        <w:tc>
          <w:tcPr>
            <w:tcW w:w="1329" w:type="pct"/>
            <w:tcBorders>
              <w:top w:val="single" w:sz="4" w:space="0" w:color="F2E3C7" w:themeColor="accent6"/>
              <w:bottom w:val="single" w:sz="4" w:space="0" w:color="F2E3C7" w:themeColor="accent6"/>
            </w:tcBorders>
            <w:shd w:val="clear" w:color="auto" w:fill="auto"/>
          </w:tcPr>
          <w:p w14:paraId="7DDD0AA7" w14:textId="45A50EE1" w:rsidR="00756B68" w:rsidRPr="00870B09" w:rsidRDefault="00756B68" w:rsidP="00DB6DE6">
            <w:pPr>
              <w:pStyle w:val="TableTextLeft"/>
              <w:cnfStyle w:val="000000100000" w:firstRow="0" w:lastRow="0" w:firstColumn="0" w:lastColumn="0" w:oddVBand="0" w:evenVBand="0" w:oddHBand="1" w:evenHBand="0" w:firstRowFirstColumn="0" w:firstRowLastColumn="0" w:lastRowFirstColumn="0" w:lastRowLastColumn="0"/>
            </w:pPr>
            <w:r>
              <w:t>5.9</w:t>
            </w:r>
            <w:r w:rsidDel="00AF394A">
              <w:t>%</w:t>
            </w:r>
            <w:r>
              <w:t xml:space="preserve"> (</w:t>
            </w:r>
            <w:r w:rsidRPr="00157166">
              <w:t>UK Government</w:t>
            </w:r>
            <w:r w:rsidR="00157166">
              <w:t xml:space="preserve"> </w:t>
            </w:r>
            <w:r>
              <w:t>2024)</w:t>
            </w:r>
          </w:p>
        </w:tc>
      </w:tr>
    </w:tbl>
    <w:p w14:paraId="0BBAE443" w14:textId="77777777" w:rsidR="00BD2E5A" w:rsidRDefault="00BD2E5A" w:rsidP="00AF5044">
      <w:pPr>
        <w:sectPr w:rsidR="00BD2E5A" w:rsidSect="00EB0064">
          <w:type w:val="oddPage"/>
          <w:pgSz w:w="11906" w:h="16838" w:code="9"/>
          <w:pgMar w:top="1843" w:right="1418" w:bottom="1418" w:left="1418" w:header="709" w:footer="709" w:gutter="0"/>
          <w:pgNumType w:start="1"/>
          <w:cols w:space="708"/>
          <w:docGrid w:linePitch="360"/>
        </w:sectPr>
      </w:pPr>
    </w:p>
    <w:p w14:paraId="65926E59" w14:textId="56C478FA" w:rsidR="00B85FEA" w:rsidRDefault="00B85FEA" w:rsidP="00DB6DE6">
      <w:pPr>
        <w:pStyle w:val="Heading1Numbered"/>
        <w:numPr>
          <w:ilvl w:val="0"/>
          <w:numId w:val="11"/>
        </w:numPr>
        <w:spacing w:before="0"/>
      </w:pPr>
      <w:bookmarkStart w:id="75" w:name="_Toc196395878"/>
      <w:bookmarkStart w:id="76" w:name="_Hlk183050377"/>
      <w:bookmarkStart w:id="77" w:name="_Hlk190994537"/>
      <w:r>
        <w:lastRenderedPageBreak/>
        <w:t>The Council</w:t>
      </w:r>
      <w:r w:rsidR="00A15C79">
        <w:t>’</w:t>
      </w:r>
      <w:r>
        <w:t xml:space="preserve">s vision for the </w:t>
      </w:r>
      <w:r w:rsidRPr="00DB6DE6">
        <w:t>housing</w:t>
      </w:r>
      <w:r>
        <w:t xml:space="preserve"> system</w:t>
      </w:r>
      <w:bookmarkEnd w:id="75"/>
    </w:p>
    <w:tbl>
      <w:tblPr>
        <w:tblW w:w="5000" w:type="pct"/>
        <w:shd w:val="clear" w:color="auto" w:fill="F2E3C7" w:themeFill="background2"/>
        <w:tblCellMar>
          <w:top w:w="284" w:type="dxa"/>
          <w:left w:w="284" w:type="dxa"/>
          <w:bottom w:w="284" w:type="dxa"/>
          <w:right w:w="284" w:type="dxa"/>
        </w:tblCellMar>
        <w:tblLook w:val="0600" w:firstRow="0" w:lastRow="0" w:firstColumn="0" w:lastColumn="0" w:noHBand="1" w:noVBand="1"/>
      </w:tblPr>
      <w:tblGrid>
        <w:gridCol w:w="9070"/>
      </w:tblGrid>
      <w:tr w:rsidR="00B85FEA" w14:paraId="3772946C" w14:textId="77777777" w:rsidTr="386E4D8B">
        <w:trPr>
          <w:trHeight w:val="5866"/>
        </w:trPr>
        <w:tc>
          <w:tcPr>
            <w:tcW w:w="5000" w:type="pct"/>
            <w:shd w:val="clear" w:color="auto" w:fill="F2E3C7" w:themeFill="accent6"/>
            <w:hideMark/>
          </w:tcPr>
          <w:p w14:paraId="3DA04C4F" w14:textId="27FD703F" w:rsidR="00B85FEA" w:rsidRPr="0099326B" w:rsidRDefault="49D68276" w:rsidP="00956862">
            <w:pPr>
              <w:pStyle w:val="BoxHeading"/>
            </w:pPr>
            <w:r w:rsidRPr="00956862">
              <w:t>Overview</w:t>
            </w:r>
            <w:r w:rsidRPr="0099326B">
              <w:t xml:space="preserve"> </w:t>
            </w:r>
          </w:p>
          <w:p w14:paraId="499C55D4" w14:textId="28C89156" w:rsidR="00B85FEA" w:rsidRDefault="00B85FEA" w:rsidP="0099326B">
            <w:pPr>
              <w:pStyle w:val="BoxText"/>
            </w:pPr>
            <w:r w:rsidRPr="00E83044">
              <w:t xml:space="preserve">This chapter </w:t>
            </w:r>
            <w:r w:rsidR="00247FD1" w:rsidRPr="0099326B">
              <w:t>breaks</w:t>
            </w:r>
            <w:r w:rsidR="00247FD1">
              <w:t xml:space="preserve"> down the</w:t>
            </w:r>
            <w:r w:rsidRPr="00E83044">
              <w:t xml:space="preserve"> Council</w:t>
            </w:r>
            <w:r w:rsidR="00A15C79">
              <w:t>’</w:t>
            </w:r>
            <w:r w:rsidRPr="00E83044">
              <w:t>s vision for the housing system</w:t>
            </w:r>
            <w:r>
              <w:t xml:space="preserve"> into </w:t>
            </w:r>
            <w:r w:rsidR="00247FD1">
              <w:t xml:space="preserve">8 </w:t>
            </w:r>
            <w:r>
              <w:t xml:space="preserve">measurable goals. </w:t>
            </w:r>
          </w:p>
          <w:p w14:paraId="0D958BC6" w14:textId="77777777" w:rsidR="00B85FEA" w:rsidRPr="00C744E2" w:rsidRDefault="00B85FEA" w:rsidP="00956862">
            <w:pPr>
              <w:pStyle w:val="BoxHeading2"/>
            </w:pPr>
            <w:r w:rsidRPr="00C744E2">
              <w:t xml:space="preserve">Key </w:t>
            </w:r>
            <w:r w:rsidRPr="00956862">
              <w:t>points</w:t>
            </w:r>
          </w:p>
          <w:p w14:paraId="3D1FD1AB" w14:textId="0A4F7837" w:rsidR="00B85FEA" w:rsidRDefault="00B85FEA" w:rsidP="0099326B">
            <w:pPr>
              <w:pStyle w:val="Boxbullet"/>
              <w:numPr>
                <w:ilvl w:val="0"/>
                <w:numId w:val="9"/>
              </w:numPr>
            </w:pPr>
            <w:r>
              <w:t>The Council</w:t>
            </w:r>
            <w:r w:rsidR="00A15C79">
              <w:t>’</w:t>
            </w:r>
            <w:r>
              <w:t xml:space="preserve">s vision for the housing system is for housing to be affordable, fit for purpose and secure for households of all incomes and </w:t>
            </w:r>
            <w:r w:rsidR="009B2528">
              <w:t xml:space="preserve">in all </w:t>
            </w:r>
            <w:r>
              <w:t xml:space="preserve">locations. This vision is reflected in </w:t>
            </w:r>
            <w:r w:rsidR="008857F7">
              <w:t>8</w:t>
            </w:r>
            <w:r>
              <w:t xml:space="preserve"> goals</w:t>
            </w:r>
            <w:r w:rsidR="00331442">
              <w:t>.</w:t>
            </w:r>
          </w:p>
          <w:p w14:paraId="17E2A31F" w14:textId="5E6A9247" w:rsidR="00B85FEA" w:rsidRPr="00E31CCC" w:rsidRDefault="00B85FEA" w:rsidP="0041126E">
            <w:pPr>
              <w:pStyle w:val="BoxtextNumbered1"/>
              <w:numPr>
                <w:ilvl w:val="0"/>
                <w:numId w:val="39"/>
              </w:numPr>
              <w:spacing w:line="240" w:lineRule="auto"/>
            </w:pPr>
            <w:r w:rsidRPr="00E31CCC">
              <w:t>The housing system deliver</w:t>
            </w:r>
            <w:r>
              <w:t>s</w:t>
            </w:r>
            <w:r w:rsidRPr="00E31CCC">
              <w:t xml:space="preserve"> the homes that Australians need. </w:t>
            </w:r>
          </w:p>
          <w:p w14:paraId="6C989129" w14:textId="40D0485C" w:rsidR="00B85FEA" w:rsidRPr="00E31CCC" w:rsidRDefault="00B85FEA" w:rsidP="0041126E">
            <w:pPr>
              <w:pStyle w:val="BoxtextNumbered1"/>
              <w:numPr>
                <w:ilvl w:val="0"/>
                <w:numId w:val="39"/>
              </w:numPr>
              <w:spacing w:line="240" w:lineRule="auto"/>
            </w:pPr>
            <w:r w:rsidRPr="00E31CCC">
              <w:t xml:space="preserve">Housing </w:t>
            </w:r>
            <w:r>
              <w:t>is</w:t>
            </w:r>
            <w:r w:rsidRPr="00E31CCC">
              <w:t xml:space="preserve"> safe and environmentally sustainable. </w:t>
            </w:r>
          </w:p>
          <w:p w14:paraId="3405B4E0" w14:textId="77777777" w:rsidR="00B85FEA" w:rsidRDefault="00B85FEA" w:rsidP="0041126E">
            <w:pPr>
              <w:pStyle w:val="BoxtextNumbered1"/>
              <w:numPr>
                <w:ilvl w:val="0"/>
                <w:numId w:val="39"/>
              </w:numPr>
              <w:spacing w:line="240" w:lineRule="auto"/>
            </w:pPr>
            <w:r w:rsidRPr="00517692">
              <w:t>There is efficient use and exchange of the existing housing stock</w:t>
            </w:r>
            <w:r>
              <w:t>.</w:t>
            </w:r>
          </w:p>
          <w:p w14:paraId="59F8CD44" w14:textId="77777777" w:rsidR="00B85FEA" w:rsidRPr="0071042D" w:rsidRDefault="00B85FEA" w:rsidP="0041126E">
            <w:pPr>
              <w:pStyle w:val="BoxtextNumbered1"/>
              <w:numPr>
                <w:ilvl w:val="0"/>
                <w:numId w:val="39"/>
              </w:numPr>
              <w:spacing w:line="240" w:lineRule="auto"/>
            </w:pPr>
            <w:r>
              <w:t>There is f</w:t>
            </w:r>
            <w:r w:rsidRPr="0071042D">
              <w:t>air access to</w:t>
            </w:r>
            <w:r>
              <w:t xml:space="preserve"> the benefits of</w:t>
            </w:r>
            <w:r w:rsidRPr="0071042D">
              <w:t xml:space="preserve"> home ownership. </w:t>
            </w:r>
          </w:p>
          <w:p w14:paraId="38E78604" w14:textId="77777777" w:rsidR="00B85FEA" w:rsidRPr="0071042D" w:rsidRDefault="00B85FEA" w:rsidP="0041126E">
            <w:pPr>
              <w:pStyle w:val="BoxtextNumbered1"/>
              <w:numPr>
                <w:ilvl w:val="0"/>
                <w:numId w:val="39"/>
              </w:numPr>
              <w:spacing w:line="240" w:lineRule="auto"/>
            </w:pPr>
            <w:r>
              <w:t>Renters have access to</w:t>
            </w:r>
            <w:r w:rsidRPr="0071042D">
              <w:t xml:space="preserve"> affordable and secure housing. </w:t>
            </w:r>
          </w:p>
          <w:p w14:paraId="250D18E7" w14:textId="77777777" w:rsidR="00B85FEA" w:rsidRPr="0071042D" w:rsidRDefault="00B85FEA" w:rsidP="0041126E">
            <w:pPr>
              <w:pStyle w:val="BoxtextNumbered1"/>
              <w:numPr>
                <w:ilvl w:val="0"/>
                <w:numId w:val="39"/>
              </w:numPr>
              <w:spacing w:line="240" w:lineRule="auto"/>
            </w:pPr>
            <w:r w:rsidRPr="00110C50">
              <w:t>There is sufficient social and affordable housing infrastructure to support the wellbeing of all communities.</w:t>
            </w:r>
            <w:r>
              <w:t xml:space="preserve"> </w:t>
            </w:r>
          </w:p>
          <w:p w14:paraId="02811A68" w14:textId="39902D29" w:rsidR="00B85FEA" w:rsidRPr="0071042D" w:rsidRDefault="00B85FEA" w:rsidP="0041126E">
            <w:pPr>
              <w:pStyle w:val="BoxtextNumbered1"/>
              <w:numPr>
                <w:ilvl w:val="0"/>
                <w:numId w:val="39"/>
              </w:numPr>
              <w:spacing w:line="240" w:lineRule="auto"/>
            </w:pPr>
            <w:r w:rsidRPr="0071042D">
              <w:t xml:space="preserve">Homelessness </w:t>
            </w:r>
            <w:r>
              <w:t>is</w:t>
            </w:r>
            <w:r w:rsidRPr="0071042D">
              <w:t xml:space="preserve"> brief and non</w:t>
            </w:r>
            <w:r w:rsidR="00A15C79">
              <w:noBreakHyphen/>
            </w:r>
            <w:r w:rsidRPr="0071042D">
              <w:t xml:space="preserve">recurring. </w:t>
            </w:r>
          </w:p>
          <w:p w14:paraId="2DDEBC02" w14:textId="633F1FCE" w:rsidR="00B85FEA" w:rsidRDefault="00B85FEA" w:rsidP="0041126E">
            <w:pPr>
              <w:pStyle w:val="BoxtextNumbered1"/>
              <w:numPr>
                <w:ilvl w:val="0"/>
                <w:numId w:val="39"/>
              </w:numPr>
              <w:spacing w:line="240" w:lineRule="auto"/>
            </w:pPr>
            <w:bookmarkStart w:id="78" w:name="_Hlk194985522"/>
            <w:r w:rsidRPr="004E57A4">
              <w:t xml:space="preserve">The gap is closed </w:t>
            </w:r>
            <w:r w:rsidR="003B0BA6">
              <w:t>between</w:t>
            </w:r>
            <w:r w:rsidR="003B0BA6" w:rsidRPr="004E57A4">
              <w:t xml:space="preserve"> </w:t>
            </w:r>
            <w:r w:rsidRPr="000A363D">
              <w:t xml:space="preserve">Aboriginal and </w:t>
            </w:r>
            <w:r w:rsidR="0099326B">
              <w:t>Torres Strait</w:t>
            </w:r>
            <w:r w:rsidRPr="000A363D">
              <w:t xml:space="preserve"> Islander </w:t>
            </w:r>
            <w:r w:rsidR="003B0BA6" w:rsidRPr="00894E08">
              <w:t>people</w:t>
            </w:r>
            <w:r w:rsidR="00A15C79">
              <w:t>’</w:t>
            </w:r>
            <w:r w:rsidR="001E4C62" w:rsidRPr="00894E08">
              <w:t>s</w:t>
            </w:r>
            <w:r w:rsidR="003B0BA6" w:rsidRPr="00894E08">
              <w:t xml:space="preserve"> and non</w:t>
            </w:r>
            <w:r w:rsidR="00A15C79">
              <w:noBreakHyphen/>
            </w:r>
            <w:r w:rsidR="003B0BA6" w:rsidRPr="00894E08">
              <w:t>Indigenous people</w:t>
            </w:r>
            <w:r w:rsidR="00A15C79">
              <w:t>’</w:t>
            </w:r>
            <w:r w:rsidR="003B0BA6" w:rsidRPr="00894E08">
              <w:t xml:space="preserve">s </w:t>
            </w:r>
            <w:r w:rsidRPr="000A363D">
              <w:t>housing and homelessness outcomes</w:t>
            </w:r>
            <w:r>
              <w:t xml:space="preserve">. </w:t>
            </w:r>
          </w:p>
          <w:bookmarkEnd w:id="78"/>
          <w:p w14:paraId="54DF635B" w14:textId="4744851C" w:rsidR="00B85FEA" w:rsidRDefault="00B85FEA">
            <w:pPr>
              <w:pStyle w:val="Boxbullet"/>
            </w:pPr>
            <w:r>
              <w:t>Progress toward</w:t>
            </w:r>
            <w:r w:rsidR="00331442">
              <w:t>s</w:t>
            </w:r>
            <w:r>
              <w:t xml:space="preserve"> some goals may involve trade</w:t>
            </w:r>
            <w:r w:rsidR="00A15C79">
              <w:noBreakHyphen/>
            </w:r>
            <w:r>
              <w:t xml:space="preserve">offs with other goals, at least in the short </w:t>
            </w:r>
            <w:r w:rsidR="00420470">
              <w:t>term</w:t>
            </w:r>
            <w:r>
              <w:t>.</w:t>
            </w:r>
          </w:p>
          <w:p w14:paraId="6A7C23B4" w14:textId="21BEEB82" w:rsidR="00B85FEA" w:rsidRDefault="00D22BEE" w:rsidP="00DB6DE6">
            <w:pPr>
              <w:pStyle w:val="Boxbullet"/>
              <w:spacing w:after="0"/>
            </w:pPr>
            <w:r w:rsidRPr="00F37C24">
              <w:t>Chapter 7</w:t>
            </w:r>
            <w:r w:rsidR="00C259EB" w:rsidRPr="00894E08">
              <w:t>,</w:t>
            </w:r>
            <w:r w:rsidR="00C259EB">
              <w:rPr>
                <w:i/>
                <w:iCs/>
              </w:rPr>
              <w:t xml:space="preserve"> </w:t>
            </w:r>
            <w:r w:rsidRPr="0099326B">
              <w:rPr>
                <w:rStyle w:val="Emphasis"/>
              </w:rPr>
              <w:t>Towards a better housing system</w:t>
            </w:r>
            <w:r w:rsidR="00C259EB" w:rsidRPr="00894E08">
              <w:t>,</w:t>
            </w:r>
            <w:r w:rsidRPr="00C259EB" w:rsidDel="00D22BEE">
              <w:t xml:space="preserve"> </w:t>
            </w:r>
            <w:r w:rsidR="00B85FEA">
              <w:t>outlines the Council</w:t>
            </w:r>
            <w:r w:rsidR="00A15C79">
              <w:t>’</w:t>
            </w:r>
            <w:r w:rsidR="00B85FEA">
              <w:t xml:space="preserve">s policy recommendations to achieve its vision </w:t>
            </w:r>
            <w:r>
              <w:t xml:space="preserve">for </w:t>
            </w:r>
            <w:r w:rsidR="00B85FEA">
              <w:t>the housing system</w:t>
            </w:r>
            <w:r w:rsidR="008E4210">
              <w:t>.</w:t>
            </w:r>
          </w:p>
        </w:tc>
      </w:tr>
    </w:tbl>
    <w:p w14:paraId="41B4B984" w14:textId="61F759A0" w:rsidR="00B85FEA" w:rsidRPr="002949B5" w:rsidRDefault="00B85FEA">
      <w:r>
        <w:rPr>
          <w:bCs/>
        </w:rPr>
        <w:t>The Council</w:t>
      </w:r>
      <w:r w:rsidR="00A15C79">
        <w:rPr>
          <w:bCs/>
        </w:rPr>
        <w:t>’</w:t>
      </w:r>
      <w:r>
        <w:rPr>
          <w:bCs/>
        </w:rPr>
        <w:t xml:space="preserve">s vision </w:t>
      </w:r>
      <w:r w:rsidR="00D83BA4">
        <w:rPr>
          <w:bCs/>
        </w:rPr>
        <w:t xml:space="preserve">for </w:t>
      </w:r>
      <w:r>
        <w:rPr>
          <w:bCs/>
        </w:rPr>
        <w:t>the housing system is for housing to be affordable, fit</w:t>
      </w:r>
      <w:r w:rsidR="002E6B6C">
        <w:rPr>
          <w:bCs/>
        </w:rPr>
        <w:t xml:space="preserve"> </w:t>
      </w:r>
      <w:r>
        <w:rPr>
          <w:bCs/>
        </w:rPr>
        <w:t>for</w:t>
      </w:r>
      <w:r w:rsidR="002E6B6C">
        <w:rPr>
          <w:bCs/>
        </w:rPr>
        <w:t xml:space="preserve"> </w:t>
      </w:r>
      <w:r>
        <w:rPr>
          <w:bCs/>
        </w:rPr>
        <w:t xml:space="preserve">purpose and secure for households of all incomes and </w:t>
      </w:r>
      <w:r w:rsidR="009C2A05">
        <w:rPr>
          <w:bCs/>
        </w:rPr>
        <w:t>in al</w:t>
      </w:r>
      <w:r w:rsidR="008A05B5">
        <w:rPr>
          <w:bCs/>
        </w:rPr>
        <w:t xml:space="preserve">l </w:t>
      </w:r>
      <w:r>
        <w:rPr>
          <w:bCs/>
        </w:rPr>
        <w:t xml:space="preserve">locations. This means </w:t>
      </w:r>
      <w:r w:rsidR="00656A04">
        <w:rPr>
          <w:bCs/>
        </w:rPr>
        <w:t>a</w:t>
      </w:r>
      <w:r>
        <w:rPr>
          <w:bCs/>
        </w:rPr>
        <w:t xml:space="preserve"> system </w:t>
      </w:r>
      <w:r w:rsidR="00656A04">
        <w:rPr>
          <w:bCs/>
        </w:rPr>
        <w:t xml:space="preserve">that </w:t>
      </w:r>
      <w:r>
        <w:rPr>
          <w:bCs/>
        </w:rPr>
        <w:t>can provide home ownership and rental options for all households</w:t>
      </w:r>
      <w:r w:rsidR="00BA0622">
        <w:rPr>
          <w:bCs/>
        </w:rPr>
        <w:t>,</w:t>
      </w:r>
      <w:r>
        <w:rPr>
          <w:bCs/>
        </w:rPr>
        <w:t xml:space="preserve"> meet the diverse housing needs of the community</w:t>
      </w:r>
      <w:r w:rsidR="00BA0622">
        <w:rPr>
          <w:bCs/>
        </w:rPr>
        <w:t>,</w:t>
      </w:r>
      <w:r>
        <w:rPr>
          <w:bCs/>
        </w:rPr>
        <w:t xml:space="preserve"> </w:t>
      </w:r>
      <w:r w:rsidRPr="002949B5">
        <w:t xml:space="preserve">and support the safety and wellbeing of Australians. </w:t>
      </w:r>
    </w:p>
    <w:p w14:paraId="4D3DE554" w14:textId="7E42688C" w:rsidR="00B85FEA" w:rsidRDefault="00B85FEA">
      <w:pPr>
        <w:rPr>
          <w:bCs/>
        </w:rPr>
      </w:pPr>
      <w:r w:rsidRPr="00285514">
        <w:t>In its first</w:t>
      </w:r>
      <w:r w:rsidR="00A71784" w:rsidRPr="00285514">
        <w:t xml:space="preserve"> report,</w:t>
      </w:r>
      <w:r w:rsidRPr="00285514">
        <w:t xml:space="preserve"> </w:t>
      </w:r>
      <w:r w:rsidRPr="003F4EE7">
        <w:rPr>
          <w:rStyle w:val="Emphasis"/>
        </w:rPr>
        <w:t>State of the Housing System 2024</w:t>
      </w:r>
      <w:r w:rsidRPr="00285514">
        <w:t>,</w:t>
      </w:r>
      <w:r w:rsidRPr="002949B5">
        <w:t xml:space="preserve"> the</w:t>
      </w:r>
      <w:r>
        <w:rPr>
          <w:bCs/>
        </w:rPr>
        <w:t xml:space="preserve"> Council concluded that the</w:t>
      </w:r>
      <w:r w:rsidR="00D22BEE">
        <w:rPr>
          <w:bCs/>
        </w:rPr>
        <w:t xml:space="preserve"> current</w:t>
      </w:r>
      <w:r>
        <w:rPr>
          <w:bCs/>
        </w:rPr>
        <w:t xml:space="preserve"> housing system</w:t>
      </w:r>
      <w:r w:rsidR="00D22BEE">
        <w:rPr>
          <w:bCs/>
        </w:rPr>
        <w:t xml:space="preserve"> </w:t>
      </w:r>
      <w:r>
        <w:rPr>
          <w:bCs/>
        </w:rPr>
        <w:t>falls short of this vision</w:t>
      </w:r>
      <w:r w:rsidR="00DF7B0D">
        <w:rPr>
          <w:bCs/>
        </w:rPr>
        <w:t xml:space="preserve"> (</w:t>
      </w:r>
      <w:r w:rsidR="00890C7A">
        <w:rPr>
          <w:bCs/>
        </w:rPr>
        <w:t>National Housing</w:t>
      </w:r>
      <w:r w:rsidR="00DB4EFC">
        <w:rPr>
          <w:bCs/>
        </w:rPr>
        <w:t xml:space="preserve"> </w:t>
      </w:r>
      <w:r w:rsidR="002107EA">
        <w:rPr>
          <w:bCs/>
        </w:rPr>
        <w:t>Supply and Affordabil</w:t>
      </w:r>
      <w:r w:rsidR="00DB4EFC">
        <w:rPr>
          <w:bCs/>
        </w:rPr>
        <w:t>ity Council</w:t>
      </w:r>
      <w:r w:rsidR="00890C7A">
        <w:rPr>
          <w:bCs/>
        </w:rPr>
        <w:t xml:space="preserve"> </w:t>
      </w:r>
      <w:r w:rsidR="00DB4EFC">
        <w:rPr>
          <w:bCs/>
        </w:rPr>
        <w:t>[</w:t>
      </w:r>
      <w:r w:rsidR="00DF7B0D">
        <w:rPr>
          <w:bCs/>
        </w:rPr>
        <w:t>NHSAC</w:t>
      </w:r>
      <w:r w:rsidR="00DB4EFC">
        <w:rPr>
          <w:bCs/>
        </w:rPr>
        <w:t>]</w:t>
      </w:r>
      <w:r w:rsidR="00DF7B0D">
        <w:rPr>
          <w:bCs/>
        </w:rPr>
        <w:t xml:space="preserve"> 2024)</w:t>
      </w:r>
      <w:r>
        <w:rPr>
          <w:bCs/>
        </w:rPr>
        <w:t xml:space="preserve">. In this second </w:t>
      </w:r>
      <w:r w:rsidR="00D22BEE">
        <w:rPr>
          <w:bCs/>
        </w:rPr>
        <w:t>r</w:t>
      </w:r>
      <w:r>
        <w:rPr>
          <w:bCs/>
        </w:rPr>
        <w:t xml:space="preserve">eport, the Council </w:t>
      </w:r>
      <w:r w:rsidR="00AC50B7">
        <w:rPr>
          <w:bCs/>
        </w:rPr>
        <w:t xml:space="preserve">provides a more detailed </w:t>
      </w:r>
      <w:r>
        <w:rPr>
          <w:bCs/>
        </w:rPr>
        <w:t xml:space="preserve">outline </w:t>
      </w:r>
      <w:r w:rsidR="00AC50B7">
        <w:rPr>
          <w:bCs/>
        </w:rPr>
        <w:t>of</w:t>
      </w:r>
      <w:r>
        <w:rPr>
          <w:bCs/>
        </w:rPr>
        <w:t xml:space="preserve"> the goals that encapsulate its vision</w:t>
      </w:r>
      <w:r w:rsidR="00C16950">
        <w:rPr>
          <w:bCs/>
        </w:rPr>
        <w:t xml:space="preserve"> and discusses</w:t>
      </w:r>
      <w:r>
        <w:rPr>
          <w:bCs/>
        </w:rPr>
        <w:t xml:space="preserve"> potential metrics </w:t>
      </w:r>
      <w:r w:rsidR="00AC50B7">
        <w:rPr>
          <w:bCs/>
        </w:rPr>
        <w:t>for</w:t>
      </w:r>
      <w:r>
        <w:rPr>
          <w:bCs/>
        </w:rPr>
        <w:t xml:space="preserve"> track</w:t>
      </w:r>
      <w:r w:rsidR="00AC50B7">
        <w:rPr>
          <w:bCs/>
        </w:rPr>
        <w:t>ing</w:t>
      </w:r>
      <w:r>
        <w:rPr>
          <w:bCs/>
        </w:rPr>
        <w:t xml:space="preserve"> progress toward</w:t>
      </w:r>
      <w:r w:rsidR="00D22BEE">
        <w:rPr>
          <w:bCs/>
        </w:rPr>
        <w:t>s</w:t>
      </w:r>
      <w:r>
        <w:rPr>
          <w:bCs/>
        </w:rPr>
        <w:t xml:space="preserve"> these goals. Monitoring the </w:t>
      </w:r>
      <w:r w:rsidR="00D22BEE">
        <w:rPr>
          <w:bCs/>
        </w:rPr>
        <w:t>housing system</w:t>
      </w:r>
      <w:r w:rsidR="00A15C79">
        <w:rPr>
          <w:bCs/>
        </w:rPr>
        <w:t>’</w:t>
      </w:r>
      <w:r w:rsidR="00D22BEE">
        <w:rPr>
          <w:bCs/>
        </w:rPr>
        <w:t>s performance</w:t>
      </w:r>
      <w:r>
        <w:rPr>
          <w:bCs/>
        </w:rPr>
        <w:t xml:space="preserve"> </w:t>
      </w:r>
      <w:r w:rsidR="00D22BEE">
        <w:rPr>
          <w:bCs/>
        </w:rPr>
        <w:t xml:space="preserve">against </w:t>
      </w:r>
      <w:r>
        <w:rPr>
          <w:bCs/>
        </w:rPr>
        <w:t xml:space="preserve">these goals will </w:t>
      </w:r>
      <w:r w:rsidR="00AC50B7">
        <w:rPr>
          <w:bCs/>
        </w:rPr>
        <w:t>enhance</w:t>
      </w:r>
      <w:r>
        <w:rPr>
          <w:bCs/>
        </w:rPr>
        <w:t xml:space="preserve"> </w:t>
      </w:r>
      <w:r w:rsidR="00AC50B7">
        <w:rPr>
          <w:bCs/>
        </w:rPr>
        <w:t xml:space="preserve">the </w:t>
      </w:r>
      <w:r>
        <w:rPr>
          <w:bCs/>
        </w:rPr>
        <w:t xml:space="preserve">transparency and accountability of housing policy. </w:t>
      </w:r>
    </w:p>
    <w:p w14:paraId="5A93A254" w14:textId="54B1BA38" w:rsidR="00B85FEA" w:rsidRDefault="00C16950">
      <w:r>
        <w:t>Advanc</w:t>
      </w:r>
      <w:r w:rsidR="00E070E7">
        <w:t>ements in</w:t>
      </w:r>
      <w:r>
        <w:t xml:space="preserve"> some</w:t>
      </w:r>
      <w:r w:rsidR="00B85FEA" w:rsidRPr="002F0837">
        <w:t xml:space="preserve"> </w:t>
      </w:r>
      <w:r>
        <w:t>housing</w:t>
      </w:r>
      <w:r w:rsidR="00B85FEA" w:rsidRPr="002F0837">
        <w:t xml:space="preserve"> goals may </w:t>
      </w:r>
      <w:r>
        <w:t>hinder</w:t>
      </w:r>
      <w:r w:rsidR="00B85FEA" w:rsidRPr="002F0837">
        <w:t xml:space="preserve"> </w:t>
      </w:r>
      <w:r w:rsidR="00B85FEA">
        <w:t xml:space="preserve">progress </w:t>
      </w:r>
      <w:r>
        <w:t xml:space="preserve">on </w:t>
      </w:r>
      <w:r w:rsidR="00B85FEA" w:rsidRPr="002F0837">
        <w:t>others</w:t>
      </w:r>
      <w:r w:rsidR="000458A5">
        <w:t>, at least</w:t>
      </w:r>
      <w:r w:rsidR="00B85FEA" w:rsidRPr="002F0837">
        <w:t xml:space="preserve"> in the short term</w:t>
      </w:r>
      <w:r w:rsidR="00DF7B0D">
        <w:t xml:space="preserve"> (OECD 2024)</w:t>
      </w:r>
      <w:r w:rsidR="00B85FEA" w:rsidRPr="002F0837">
        <w:t>. These trade</w:t>
      </w:r>
      <w:r w:rsidR="00A15C79">
        <w:noBreakHyphen/>
      </w:r>
      <w:r w:rsidR="00B85FEA" w:rsidRPr="002F0837">
        <w:t xml:space="preserve">offs are an inherent part of the </w:t>
      </w:r>
      <w:r w:rsidR="00B85FEA">
        <w:t xml:space="preserve">housing </w:t>
      </w:r>
      <w:r w:rsidR="00B85FEA" w:rsidRPr="002F0837">
        <w:t xml:space="preserve">system. </w:t>
      </w:r>
    </w:p>
    <w:p w14:paraId="6CC7500C" w14:textId="4141DDD2" w:rsidR="00B85FEA" w:rsidRPr="00851244" w:rsidRDefault="00B85FEA">
      <w:r>
        <w:t>Achieving this vision for the housing system will take considerable time</w:t>
      </w:r>
      <w:r w:rsidR="00C16950">
        <w:t xml:space="preserve"> and</w:t>
      </w:r>
      <w:r>
        <w:t xml:space="preserve"> consistent and coordinated effort</w:t>
      </w:r>
      <w:r w:rsidR="00C16950">
        <w:t>s</w:t>
      </w:r>
      <w:r>
        <w:t xml:space="preserve">. Decades of inconsistency in housing policy and coordination has resulted in the undersupply and low affordability of housing </w:t>
      </w:r>
      <w:r w:rsidR="009A3147">
        <w:t xml:space="preserve">in </w:t>
      </w:r>
      <w:r>
        <w:t>Australia today</w:t>
      </w:r>
      <w:r w:rsidR="005F67C0">
        <w:t xml:space="preserve"> (NHSAC 2024)</w:t>
      </w:r>
      <w:r>
        <w:t xml:space="preserve">. The Council outlines the policy recommendations needed to achieve its vision in </w:t>
      </w:r>
      <w:r w:rsidRPr="00982B61">
        <w:t>Chapter 7</w:t>
      </w:r>
      <w:r w:rsidR="00C259EB" w:rsidRPr="000458A5">
        <w:t>,</w:t>
      </w:r>
      <w:r>
        <w:t xml:space="preserve"> </w:t>
      </w:r>
      <w:r w:rsidRPr="0099326B">
        <w:rPr>
          <w:rStyle w:val="Emphasis"/>
        </w:rPr>
        <w:t>Towards a better housing system.</w:t>
      </w:r>
      <w:r>
        <w:t xml:space="preserve"> </w:t>
      </w:r>
    </w:p>
    <w:p w14:paraId="16451C8C" w14:textId="77777777" w:rsidR="00B85FEA" w:rsidRDefault="00B85FEA" w:rsidP="0099326B">
      <w:pPr>
        <w:pStyle w:val="Heading2Numbered"/>
        <w:numPr>
          <w:ilvl w:val="1"/>
          <w:numId w:val="10"/>
        </w:numPr>
      </w:pPr>
      <w:bookmarkStart w:id="79" w:name="_Toc195026588"/>
      <w:bookmarkStart w:id="80" w:name="_Toc196395879"/>
      <w:r>
        <w:lastRenderedPageBreak/>
        <w:t>Goals for the Australian housing system</w:t>
      </w:r>
      <w:bookmarkEnd w:id="79"/>
      <w:bookmarkEnd w:id="80"/>
    </w:p>
    <w:p w14:paraId="7464F59B" w14:textId="03E90AE8" w:rsidR="00B85FEA" w:rsidRDefault="00B85FEA" w:rsidP="00744F72">
      <w:pPr>
        <w:pStyle w:val="Heading3Numbered"/>
      </w:pPr>
      <w:r w:rsidRPr="00BD6B4E">
        <w:t xml:space="preserve">The </w:t>
      </w:r>
      <w:r>
        <w:t xml:space="preserve">housing </w:t>
      </w:r>
      <w:r w:rsidRPr="00BD6B4E">
        <w:t>system deliver</w:t>
      </w:r>
      <w:r>
        <w:t>s</w:t>
      </w:r>
      <w:r w:rsidRPr="00BD6B4E">
        <w:t xml:space="preserve"> the homes that Australians need</w:t>
      </w:r>
      <w:r>
        <w:t xml:space="preserve"> </w:t>
      </w:r>
    </w:p>
    <w:p w14:paraId="602F37D6" w14:textId="4D53FCE0" w:rsidR="00B85FEA" w:rsidRPr="002949B5" w:rsidRDefault="00B85FEA">
      <w:r>
        <w:t xml:space="preserve">The housing system should deliver the quantity and diversity of homes that Australians need. Currently, </w:t>
      </w:r>
      <w:r w:rsidR="00C16950">
        <w:t>it</w:t>
      </w:r>
      <w:r>
        <w:t xml:space="preserve"> is not meeting this goal and is not expected to over the </w:t>
      </w:r>
      <w:r w:rsidRPr="002949B5">
        <w:t>period of the National Housing Accord (see Chapter 5</w:t>
      </w:r>
      <w:r w:rsidR="00C259EB" w:rsidRPr="002949B5">
        <w:t>,</w:t>
      </w:r>
      <w:r w:rsidRPr="002949B5">
        <w:t xml:space="preserve"> </w:t>
      </w:r>
      <w:r w:rsidRPr="002949B5">
        <w:rPr>
          <w:rStyle w:val="Emphasis"/>
        </w:rPr>
        <w:t>Housing system outlook</w:t>
      </w:r>
      <w:r w:rsidRPr="002949B5">
        <w:t xml:space="preserve">). </w:t>
      </w:r>
      <w:r w:rsidR="00DB575C" w:rsidRPr="002949B5">
        <w:t xml:space="preserve">Australia has one of the least </w:t>
      </w:r>
      <w:r w:rsidR="00B77B9E" w:rsidRPr="002949B5">
        <w:t xml:space="preserve">responsive </w:t>
      </w:r>
      <w:r w:rsidR="00DB575C" w:rsidRPr="002949B5">
        <w:t>housing supply systems in the world (Banerjee et al. 2024</w:t>
      </w:r>
      <w:r w:rsidR="00B83593" w:rsidRPr="002949B5">
        <w:t xml:space="preserve">), with barriers </w:t>
      </w:r>
      <w:r w:rsidRPr="002949B5" w:rsidDel="00B83593">
        <w:t>to</w:t>
      </w:r>
      <w:r w:rsidRPr="002949B5">
        <w:t xml:space="preserve"> housing supply exist</w:t>
      </w:r>
      <w:r w:rsidR="00B83593" w:rsidRPr="002949B5">
        <w:t>ing</w:t>
      </w:r>
      <w:r w:rsidRPr="002949B5">
        <w:t xml:space="preserve"> across the entire production process (see Box 1.1). </w:t>
      </w:r>
    </w:p>
    <w:p w14:paraId="0E7E08C0" w14:textId="219228F3" w:rsidR="00B85FEA" w:rsidRPr="002949B5" w:rsidRDefault="00B85FEA">
      <w:r w:rsidRPr="002949B5">
        <w:t>As a result, housing costs have risen, housing affordability has deteriorated, and the number of people experiencing overcrowding and homelessness has increased. A more effective housing system would deliver more homes to match housing demand (NHSAC 2024). A more diverse range of housing is also needed to match dwelling type, location and price</w:t>
      </w:r>
      <w:r w:rsidR="00FD07CB" w:rsidRPr="002949B5">
        <w:t xml:space="preserve"> preferences</w:t>
      </w:r>
      <w:r w:rsidR="007B7938" w:rsidRPr="002949B5">
        <w:t xml:space="preserve"> of households</w:t>
      </w:r>
      <w:r w:rsidR="008E4210" w:rsidRPr="002949B5">
        <w:t xml:space="preserve">. </w:t>
      </w:r>
    </w:p>
    <w:p w14:paraId="142278D5" w14:textId="182EFB8C" w:rsidR="00B85FEA" w:rsidRPr="002949B5" w:rsidRDefault="00B85FEA">
      <w:r w:rsidRPr="002949B5">
        <w:t xml:space="preserve">To measure progress towards this goal, the Council suggests monitoring the sufficiency of housing supply by </w:t>
      </w:r>
      <w:r w:rsidR="00BF30E1" w:rsidRPr="002949B5">
        <w:t xml:space="preserve">annually </w:t>
      </w:r>
      <w:r w:rsidRPr="002949B5">
        <w:t>measuring the difference between net housing completions (the number of new homes built minus demolitions) and new underlying demand (the number of households that would likely have been formed based on demographic trends).</w:t>
      </w:r>
    </w:p>
    <w:p w14:paraId="09823702" w14:textId="7CF09ED0" w:rsidR="00B85FEA" w:rsidRPr="002949B5" w:rsidRDefault="00B85FEA">
      <w:r w:rsidRPr="002949B5">
        <w:t>The annual level of net housing completions should exceed the number of newly formed households at the national level for a period of time to address the existing housing shortage and alleviate affordability pressures over time. The measure could be further disaggregated to assess the balance of new housing demand and supply at state and sub</w:t>
      </w:r>
      <w:r w:rsidR="00A15C79" w:rsidRPr="002949B5">
        <w:noBreakHyphen/>
      </w:r>
      <w:r w:rsidRPr="002949B5">
        <w:t>state levels, where housing imbalances may be more acute, and to inform housing strategies and performance measurement frameworks.</w:t>
      </w:r>
    </w:p>
    <w:p w14:paraId="638500F8" w14:textId="1E7C374B" w:rsidR="00B85FEA" w:rsidRDefault="00B85FEA">
      <w:r w:rsidRPr="002949B5">
        <w:t xml:space="preserve">Net housing completions fell short of newly formed households by around </w:t>
      </w:r>
      <w:r w:rsidR="000148F2" w:rsidRPr="0041126E">
        <w:t>68</w:t>
      </w:r>
      <w:r w:rsidRPr="002949B5">
        <w:t xml:space="preserve">,000 in </w:t>
      </w:r>
      <w:r w:rsidR="00C60DB8" w:rsidRPr="0041126E">
        <w:t>2024</w:t>
      </w:r>
      <w:r w:rsidRPr="002949B5">
        <w:t xml:space="preserve">. </w:t>
      </w:r>
      <w:r w:rsidR="002D02E6" w:rsidRPr="002949B5">
        <w:t xml:space="preserve">Under current macroeconomic and demographic conditions </w:t>
      </w:r>
      <w:r w:rsidR="00282ABE">
        <w:t>and</w:t>
      </w:r>
      <w:r w:rsidR="002D02E6" w:rsidRPr="002949B5">
        <w:t xml:space="preserve"> policy parameters, t</w:t>
      </w:r>
      <w:r w:rsidRPr="002949B5">
        <w:t xml:space="preserve">he Council does not expect supply to exceed demand at any point during the </w:t>
      </w:r>
      <w:r w:rsidR="00C16950" w:rsidRPr="002949B5">
        <w:t xml:space="preserve">Housing </w:t>
      </w:r>
      <w:r w:rsidRPr="002949B5">
        <w:t>Accord period</w:t>
      </w:r>
      <w:r w:rsidR="00480A43" w:rsidRPr="002949B5">
        <w:t xml:space="preserve"> (see Chapter 5</w:t>
      </w:r>
      <w:r w:rsidR="0058081B" w:rsidRPr="002949B5">
        <w:t>,</w:t>
      </w:r>
      <w:r w:rsidR="00480A43" w:rsidRPr="002949B5">
        <w:rPr>
          <w:i/>
        </w:rPr>
        <w:t xml:space="preserve"> </w:t>
      </w:r>
      <w:r w:rsidR="00480A43" w:rsidRPr="007C3190">
        <w:rPr>
          <w:rStyle w:val="Emphasis"/>
        </w:rPr>
        <w:t>Housing system outlook</w:t>
      </w:r>
      <w:r w:rsidR="00480A43" w:rsidRPr="002949B5">
        <w:t>)</w:t>
      </w:r>
      <w:r w:rsidRPr="002949B5">
        <w:t xml:space="preserve">. The ongoing </w:t>
      </w:r>
      <w:r w:rsidR="00E71F4A" w:rsidRPr="002949B5">
        <w:t>housing</w:t>
      </w:r>
      <w:r w:rsidRPr="002949B5">
        <w:t xml:space="preserve"> shortfall will contribute to </w:t>
      </w:r>
      <w:r w:rsidR="00064D4F" w:rsidRPr="002949B5">
        <w:t xml:space="preserve">continued </w:t>
      </w:r>
      <w:r w:rsidRPr="002949B5">
        <w:t>affordability</w:t>
      </w:r>
      <w:r>
        <w:t xml:space="preserve"> pressures.</w:t>
      </w:r>
    </w:p>
    <w:p w14:paraId="61C4A027" w14:textId="77777777" w:rsidR="00B85FEA" w:rsidRDefault="00B85FEA" w:rsidP="00744F72">
      <w:pPr>
        <w:pStyle w:val="Heading3Numbered"/>
      </w:pPr>
      <w:r w:rsidRPr="00B73837">
        <w:t>Housing</w:t>
      </w:r>
      <w:r w:rsidRPr="00BD6B4E">
        <w:t xml:space="preserve"> </w:t>
      </w:r>
      <w:r>
        <w:t>is</w:t>
      </w:r>
      <w:r w:rsidRPr="00BD6B4E">
        <w:t xml:space="preserve"> safe and environmentally sustainable</w:t>
      </w:r>
      <w:r w:rsidRPr="008168A9">
        <w:t xml:space="preserve"> </w:t>
      </w:r>
    </w:p>
    <w:p w14:paraId="4F40E57D" w14:textId="73EE8331" w:rsidR="00B85FEA" w:rsidRDefault="00B85FEA">
      <w:r>
        <w:t xml:space="preserve">Dwellings should be built and maintained to </w:t>
      </w:r>
      <w:r w:rsidR="00D43640">
        <w:t xml:space="preserve">ensure </w:t>
      </w:r>
      <w:r>
        <w:t xml:space="preserve">household safety and wellbeing. While all dwellings deteriorate over time without maintenance, households should not need to live in homes </w:t>
      </w:r>
      <w:r w:rsidR="00DF4AF9">
        <w:t>with</w:t>
      </w:r>
      <w:r w:rsidR="00DD1328">
        <w:t xml:space="preserve"> </w:t>
      </w:r>
      <w:r>
        <w:t>ongoing major structural defects</w:t>
      </w:r>
      <w:r w:rsidR="000A02B7">
        <w:t xml:space="preserve"> such as</w:t>
      </w:r>
      <w:r>
        <w:t xml:space="preserve"> water leak</w:t>
      </w:r>
      <w:r w:rsidR="00DD1328">
        <w:t>s</w:t>
      </w:r>
      <w:r>
        <w:t xml:space="preserve"> </w:t>
      </w:r>
      <w:r w:rsidR="000A02B7">
        <w:t>and</w:t>
      </w:r>
      <w:r>
        <w:t xml:space="preserve"> </w:t>
      </w:r>
      <w:r w:rsidR="00FE3AC8">
        <w:t>cracked walls</w:t>
      </w:r>
      <w:r>
        <w:t xml:space="preserve">. </w:t>
      </w:r>
    </w:p>
    <w:p w14:paraId="6B2E8BDB" w14:textId="753786F6" w:rsidR="0099326B" w:rsidRDefault="00B85FEA" w:rsidP="002D209A">
      <w:r>
        <w:t>Defects affect some households more than others. In 2019</w:t>
      </w:r>
      <w:r w:rsidR="00DD1328">
        <w:t>–</w:t>
      </w:r>
      <w:r>
        <w:t>20, r</w:t>
      </w:r>
      <w:r w:rsidRPr="00AD13BD">
        <w:t xml:space="preserve">enters </w:t>
      </w:r>
      <w:r>
        <w:t xml:space="preserve">were </w:t>
      </w:r>
      <w:r w:rsidRPr="00AD13BD">
        <w:t xml:space="preserve">almost twice as likely to live in dwellings with major structural problems compared to </w:t>
      </w:r>
      <w:r w:rsidR="00233AEC">
        <w:t>home owner</w:t>
      </w:r>
      <w:r w:rsidRPr="00AD13BD">
        <w:t>s</w:t>
      </w:r>
      <w:r>
        <w:t xml:space="preserve"> (</w:t>
      </w:r>
      <w:r w:rsidR="009A1E11">
        <w:t>Australian Bure</w:t>
      </w:r>
      <w:r w:rsidR="00050E5E">
        <w:t>au of Stat</w:t>
      </w:r>
      <w:r w:rsidR="00AF3B0A">
        <w:t>istics [</w:t>
      </w:r>
      <w:r>
        <w:t>ABS</w:t>
      </w:r>
      <w:r w:rsidR="00AF3B0A">
        <w:t>]</w:t>
      </w:r>
      <w:r>
        <w:t xml:space="preserve"> 2022</w:t>
      </w:r>
      <w:r w:rsidR="00A45599">
        <w:t>b</w:t>
      </w:r>
      <w:r>
        <w:t>). The share of households reporting structural problems is especially high for public housing (22</w:t>
      </w:r>
      <w:r w:rsidR="0099326B">
        <w:t> per cent</w:t>
      </w:r>
      <w:r>
        <w:t xml:space="preserve">) and </w:t>
      </w:r>
      <w:r w:rsidR="0099326B">
        <w:t>First Nations</w:t>
      </w:r>
      <w:r>
        <w:t xml:space="preserve"> households (around </w:t>
      </w:r>
      <w:r w:rsidR="0019538C">
        <w:t xml:space="preserve">1 </w:t>
      </w:r>
      <w:r>
        <w:t xml:space="preserve">in </w:t>
      </w:r>
      <w:r w:rsidR="00F347D4">
        <w:t>3</w:t>
      </w:r>
      <w:r>
        <w:t>) (ABS 2022</w:t>
      </w:r>
      <w:r w:rsidR="00A45599">
        <w:t>b</w:t>
      </w:r>
      <w:r>
        <w:t xml:space="preserve">). A proposed target for safe housing is </w:t>
      </w:r>
      <w:r w:rsidR="001E5DF9">
        <w:t xml:space="preserve">to eliminate </w:t>
      </w:r>
      <w:r>
        <w:t>major structural problems</w:t>
      </w:r>
      <w:r w:rsidR="001E5DF9">
        <w:t xml:space="preserve"> in all dwellings</w:t>
      </w:r>
      <w:r>
        <w:t xml:space="preserve">, </w:t>
      </w:r>
      <w:r w:rsidRPr="008E25ED">
        <w:t>down from 11.5</w:t>
      </w:r>
      <w:r w:rsidR="0099326B">
        <w:t> per cent</w:t>
      </w:r>
      <w:r w:rsidRPr="008E25ED">
        <w:t xml:space="preserve"> in 2019</w:t>
      </w:r>
      <w:r w:rsidR="00C77750" w:rsidRPr="001E5DF9">
        <w:t>–</w:t>
      </w:r>
      <w:r w:rsidRPr="008E25ED">
        <w:t>20</w:t>
      </w:r>
      <w:r>
        <w:t xml:space="preserve">. </w:t>
      </w:r>
      <w:r w:rsidR="0099326B">
        <w:br w:type="page"/>
      </w:r>
    </w:p>
    <w:p w14:paraId="23C67605" w14:textId="7A7EC11F" w:rsidR="00B85FEA" w:rsidRDefault="00B85FEA">
      <w:r>
        <w:lastRenderedPageBreak/>
        <w:t>Dwellings should be environmentally sustainable to support the broader wellbeing of the community into the future. Environmentally sustainable dwellings are typically built from low</w:t>
      </w:r>
      <w:r w:rsidR="00A15C79">
        <w:noBreakHyphen/>
      </w:r>
      <w:r>
        <w:t>emission</w:t>
      </w:r>
      <w:r w:rsidR="00C41AD9">
        <w:t>s</w:t>
      </w:r>
      <w:r>
        <w:t xml:space="preserve"> materials and facilitate lower energy usage. </w:t>
      </w:r>
      <w:r w:rsidR="00B34EBD">
        <w:t>E</w:t>
      </w:r>
      <w:r>
        <w:t>nergy efficiency also reduces the cost of cooling and heating, making it easier</w:t>
      </w:r>
      <w:r w:rsidR="00B34EBD">
        <w:t xml:space="preserve"> for households</w:t>
      </w:r>
      <w:r>
        <w:t xml:space="preserve"> to maintain thermal comfort. </w:t>
      </w:r>
      <w:r w:rsidR="00F7314D">
        <w:t>A</w:t>
      </w:r>
      <w:r w:rsidR="00926066">
        <w:t>s a</w:t>
      </w:r>
      <w:r>
        <w:t xml:space="preserve"> large portion of the housing stock is located in flood plains and bushfire</w:t>
      </w:r>
      <w:r w:rsidR="00A15C79">
        <w:noBreakHyphen/>
      </w:r>
      <w:r>
        <w:t>prone regions</w:t>
      </w:r>
      <w:r w:rsidR="00BD66AD">
        <w:t xml:space="preserve"> (</w:t>
      </w:r>
      <w:r w:rsidR="004F2494">
        <w:t>Powell et al. 2024</w:t>
      </w:r>
      <w:r w:rsidR="00926066">
        <w:t xml:space="preserve">), </w:t>
      </w:r>
      <w:r>
        <w:t xml:space="preserve">mitigating the risks of natural disasters would also help </w:t>
      </w:r>
      <w:r w:rsidR="00DB1E6F">
        <w:t xml:space="preserve">make dwellings </w:t>
      </w:r>
      <w:r>
        <w:t>safe and environmentally sustainable.</w:t>
      </w:r>
    </w:p>
    <w:p w14:paraId="0FAA5A5D" w14:textId="299DF6AC" w:rsidR="00B85FEA" w:rsidRDefault="00B85FEA">
      <w:r>
        <w:t xml:space="preserve">The </w:t>
      </w:r>
      <w:r w:rsidR="00CF0EB5">
        <w:t>Nationwide House Energy Rating Scheme (</w:t>
      </w:r>
      <w:proofErr w:type="spellStart"/>
      <w:r>
        <w:t>NatHERS</w:t>
      </w:r>
      <w:proofErr w:type="spellEnd"/>
      <w:r w:rsidR="00CF0EB5">
        <w:t>)</w:t>
      </w:r>
      <w:r w:rsidRPr="00B30DD6">
        <w:t xml:space="preserve"> rates the energy efficiency of a home out of</w:t>
      </w:r>
      <w:r w:rsidR="00956862">
        <w:t> </w:t>
      </w:r>
      <w:r w:rsidR="00A351B8">
        <w:t>10</w:t>
      </w:r>
      <w:r w:rsidRPr="00B30DD6">
        <w:t>, based on its design.</w:t>
      </w:r>
      <w:r>
        <w:t xml:space="preserve"> To measure progress towards increasing the environmental sustainability of dwellings, the Council proposes tracking the average </w:t>
      </w:r>
      <w:proofErr w:type="spellStart"/>
      <w:r>
        <w:t>NatHER</w:t>
      </w:r>
      <w:r w:rsidR="00A351B8">
        <w:t>S</w:t>
      </w:r>
      <w:proofErr w:type="spellEnd"/>
      <w:r>
        <w:t xml:space="preserve"> rating for newly built homes. The Council </w:t>
      </w:r>
      <w:r w:rsidR="002B2690" w:rsidRPr="007256DD">
        <w:t>also</w:t>
      </w:r>
      <w:r>
        <w:t xml:space="preserve"> proposes a long</w:t>
      </w:r>
      <w:r w:rsidR="00A15C79">
        <w:noBreakHyphen/>
      </w:r>
      <w:r w:rsidR="00EE319E">
        <w:t xml:space="preserve">term </w:t>
      </w:r>
      <w:r>
        <w:t>target of all new homes meeting or exceeding the 7</w:t>
      </w:r>
      <w:r w:rsidR="00A15C79">
        <w:noBreakHyphen/>
      </w:r>
      <w:r>
        <w:t xml:space="preserve">star </w:t>
      </w:r>
      <w:proofErr w:type="spellStart"/>
      <w:r>
        <w:t>NatHERS</w:t>
      </w:r>
      <w:proofErr w:type="spellEnd"/>
      <w:r>
        <w:t xml:space="preserve"> rating. This 7</w:t>
      </w:r>
      <w:r w:rsidR="00A15C79">
        <w:noBreakHyphen/>
      </w:r>
      <w:r>
        <w:t xml:space="preserve">star benchmark is the minimum </w:t>
      </w:r>
      <w:proofErr w:type="spellStart"/>
      <w:r>
        <w:t>NatHER</w:t>
      </w:r>
      <w:r w:rsidR="00CF0EB5">
        <w:t>S</w:t>
      </w:r>
      <w:proofErr w:type="spellEnd"/>
      <w:r>
        <w:t xml:space="preserve"> rating now required under the National Construction Code</w:t>
      </w:r>
      <w:r w:rsidR="0023225E">
        <w:t xml:space="preserve">, </w:t>
      </w:r>
      <w:r w:rsidR="00243BCA">
        <w:t>al</w:t>
      </w:r>
      <w:r>
        <w:t xml:space="preserve">though some states </w:t>
      </w:r>
      <w:r w:rsidR="003D1407">
        <w:t xml:space="preserve">and territories </w:t>
      </w:r>
      <w:r>
        <w:t xml:space="preserve">allow for exemptions. </w:t>
      </w:r>
    </w:p>
    <w:p w14:paraId="15594C46" w14:textId="5CB2D9DD" w:rsidR="00B85FEA" w:rsidRDefault="00B85FEA">
      <w:r>
        <w:t xml:space="preserve">Ideally, the energy performance of existing homes </w:t>
      </w:r>
      <w:r w:rsidR="0024763B">
        <w:t xml:space="preserve">should </w:t>
      </w:r>
      <w:r>
        <w:t xml:space="preserve">also be monitored and improved, especially as new homes account for only a small share of the </w:t>
      </w:r>
      <w:r w:rsidR="0046751D">
        <w:t>housing</w:t>
      </w:r>
      <w:r>
        <w:t xml:space="preserve"> stock each year. However, at</w:t>
      </w:r>
      <w:r w:rsidR="00086E9E">
        <w:t> </w:t>
      </w:r>
      <w:r>
        <w:t>present</w:t>
      </w:r>
      <w:r w:rsidR="00DE618F">
        <w:t>,</w:t>
      </w:r>
      <w:r>
        <w:t xml:space="preserve"> th</w:t>
      </w:r>
      <w:r w:rsidR="00DE618F">
        <w:t>is</w:t>
      </w:r>
      <w:r>
        <w:t xml:space="preserve"> data </w:t>
      </w:r>
      <w:r w:rsidR="00DE618F">
        <w:t>is</w:t>
      </w:r>
      <w:r>
        <w:t xml:space="preserve"> not </w:t>
      </w:r>
      <w:r w:rsidDel="007A7F54">
        <w:t>available</w:t>
      </w:r>
      <w:r w:rsidR="007A7F54">
        <w:t>,</w:t>
      </w:r>
      <w:r>
        <w:t xml:space="preserve"> and the Council assesses that mandating a specified degree of energy</w:t>
      </w:r>
      <w:r w:rsidRPr="00B30DD6">
        <w:t xml:space="preserve"> performance</w:t>
      </w:r>
      <w:r>
        <w:t xml:space="preserve"> for the existing stock of dwellings is not feasible. Ongoing and future work by government</w:t>
      </w:r>
      <w:r w:rsidR="00C706EA">
        <w:t>s</w:t>
      </w:r>
      <w:r>
        <w:t xml:space="preserve"> may allow for better monitoring of energy performance. </w:t>
      </w:r>
    </w:p>
    <w:p w14:paraId="54E7B967" w14:textId="77777777" w:rsidR="00B85FEA" w:rsidRPr="00BB5D97" w:rsidRDefault="00B85FEA" w:rsidP="00744F72">
      <w:pPr>
        <w:pStyle w:val="Heading3Numbered"/>
      </w:pPr>
      <w:r w:rsidRPr="00BB5D97">
        <w:t>There is efficient use and exchange of the existing housing stock</w:t>
      </w:r>
    </w:p>
    <w:p w14:paraId="58C089DF" w14:textId="166621A3" w:rsidR="00B85FEA" w:rsidRDefault="00B85FEA">
      <w:r>
        <w:t xml:space="preserve">A </w:t>
      </w:r>
      <w:r w:rsidRPr="00B30DD6">
        <w:t>well</w:t>
      </w:r>
      <w:r w:rsidR="00A15C79" w:rsidRPr="002949B5">
        <w:noBreakHyphen/>
      </w:r>
      <w:r w:rsidRPr="002949B5">
        <w:t xml:space="preserve">functioning housing system should ensure that households are matched to housing that best </w:t>
      </w:r>
      <w:r w:rsidR="00966886" w:rsidRPr="002949B5">
        <w:t>meet</w:t>
      </w:r>
      <w:r w:rsidR="00991F99" w:rsidRPr="002949B5">
        <w:t>s</w:t>
      </w:r>
      <w:r w:rsidRPr="002949B5">
        <w:t xml:space="preserve"> their needs. </w:t>
      </w:r>
      <w:r w:rsidR="00C548FA" w:rsidRPr="002949B5">
        <w:t>Households</w:t>
      </w:r>
      <w:r w:rsidRPr="002949B5">
        <w:t xml:space="preserve"> often require different types of dwellings</w:t>
      </w:r>
      <w:r w:rsidR="00C548FA" w:rsidRPr="002949B5">
        <w:t xml:space="preserve"> </w:t>
      </w:r>
      <w:r w:rsidR="00690F13" w:rsidRPr="002949B5">
        <w:t xml:space="preserve">across </w:t>
      </w:r>
      <w:r w:rsidR="000F3D55" w:rsidRPr="002949B5">
        <w:t>different life stages</w:t>
      </w:r>
      <w:r w:rsidRPr="002949B5">
        <w:t xml:space="preserve">, </w:t>
      </w:r>
      <w:r w:rsidR="000A73EB" w:rsidRPr="002949B5">
        <w:t xml:space="preserve">including dwellings </w:t>
      </w:r>
      <w:r w:rsidR="00C548FA" w:rsidRPr="002949B5">
        <w:t>in</w:t>
      </w:r>
      <w:r w:rsidRPr="002949B5">
        <w:t xml:space="preserve"> different locations and </w:t>
      </w:r>
      <w:r w:rsidR="00C548FA" w:rsidRPr="002949B5">
        <w:t xml:space="preserve">with </w:t>
      </w:r>
      <w:r w:rsidRPr="002949B5">
        <w:t>different features and amenities. However, many households are unable to find dwellings</w:t>
      </w:r>
      <w:r w:rsidR="00613662" w:rsidRPr="002949B5">
        <w:t xml:space="preserve"> that are </w:t>
      </w:r>
      <w:r w:rsidR="000D1A56" w:rsidRPr="002949B5">
        <w:t>fit for purpose</w:t>
      </w:r>
      <w:r w:rsidRPr="002949B5">
        <w:t xml:space="preserve">. Some households </w:t>
      </w:r>
      <w:r w:rsidR="005F7093" w:rsidRPr="0041126E">
        <w:t>live in dwellings with not</w:t>
      </w:r>
      <w:r w:rsidR="00DF16C3" w:rsidRPr="002949B5">
        <w:t xml:space="preserve"> enough bedrooms and </w:t>
      </w:r>
      <w:r w:rsidRPr="002949B5">
        <w:t xml:space="preserve">experience overcrowding, </w:t>
      </w:r>
      <w:r w:rsidR="00D917C3" w:rsidRPr="002949B5">
        <w:t xml:space="preserve">especially </w:t>
      </w:r>
      <w:r w:rsidR="0099326B" w:rsidRPr="002949B5">
        <w:t>First Nations</w:t>
      </w:r>
      <w:r w:rsidRPr="002949B5">
        <w:t xml:space="preserve"> </w:t>
      </w:r>
      <w:r w:rsidR="00D62ED4" w:rsidRPr="002949B5">
        <w:t>households</w:t>
      </w:r>
      <w:r w:rsidRPr="002949B5">
        <w:t xml:space="preserve">. </w:t>
      </w:r>
      <w:r w:rsidR="001D64B2" w:rsidRPr="002949B5">
        <w:t>As at the 2021 Census, a</w:t>
      </w:r>
      <w:r w:rsidRPr="002949B5">
        <w:t xml:space="preserve">round 311,000 households needed extra bedrooms (NHSAC 2024). Conversely, </w:t>
      </w:r>
      <w:r w:rsidR="00BA0A68">
        <w:t>almost</w:t>
      </w:r>
      <w:r w:rsidRPr="002949B5">
        <w:t xml:space="preserve"> 4</w:t>
      </w:r>
      <w:r w:rsidR="0099326B" w:rsidRPr="002949B5">
        <w:t> million</w:t>
      </w:r>
      <w:r w:rsidRPr="002949B5">
        <w:t xml:space="preserve"> households </w:t>
      </w:r>
      <w:r w:rsidR="00DD28A9" w:rsidRPr="002949B5">
        <w:t>had</w:t>
      </w:r>
      <w:r w:rsidRPr="002949B5">
        <w:t xml:space="preserve"> 2 or more spare bedrooms in 2021, suggesting a surplus of dwelling space</w:t>
      </w:r>
      <w:r w:rsidR="000F32DF" w:rsidRPr="002949B5">
        <w:t xml:space="preserve"> for some</w:t>
      </w:r>
      <w:r w:rsidR="006D2299" w:rsidRPr="002949B5">
        <w:t xml:space="preserve"> households</w:t>
      </w:r>
      <w:r w:rsidR="00DF16C3" w:rsidRPr="002949B5">
        <w:t>.</w:t>
      </w:r>
    </w:p>
    <w:p w14:paraId="6D76079A" w14:textId="4487F1A7" w:rsidR="00B85FEA" w:rsidRDefault="00B85FEA">
      <w:r w:rsidRPr="00B30DD6">
        <w:t xml:space="preserve">This mismatch indicates </w:t>
      </w:r>
      <w:r w:rsidR="00621753">
        <w:t xml:space="preserve">an </w:t>
      </w:r>
      <w:r w:rsidRPr="00B30DD6">
        <w:t>inefficient us</w:t>
      </w:r>
      <w:r w:rsidR="00621753">
        <w:t>e</w:t>
      </w:r>
      <w:r w:rsidRPr="00B30DD6">
        <w:t xml:space="preserve"> of the existing housing stock. </w:t>
      </w:r>
      <w:r>
        <w:t>Households should be able to</w:t>
      </w:r>
      <w:r w:rsidR="00086E9E">
        <w:t> </w:t>
      </w:r>
      <w:r w:rsidR="00A15C79">
        <w:t>’</w:t>
      </w:r>
      <w:r>
        <w:t>right</w:t>
      </w:r>
      <w:r w:rsidR="00A15C79">
        <w:noBreakHyphen/>
      </w:r>
      <w:r>
        <w:t>size</w:t>
      </w:r>
      <w:r w:rsidR="00A15C79">
        <w:t>’</w:t>
      </w:r>
      <w:r>
        <w:t xml:space="preserve"> without incurring unnecessary relocati</w:t>
      </w:r>
      <w:r w:rsidR="002B2214">
        <w:t>on costs</w:t>
      </w:r>
      <w:r>
        <w:t>. A key barrier to residential mobility is stamp duty and other elements of the taxation and social safety system, which result in</w:t>
      </w:r>
      <w:r w:rsidR="002B2214">
        <w:t xml:space="preserve"> </w:t>
      </w:r>
      <w:r w:rsidR="00E85969">
        <w:t>fewer</w:t>
      </w:r>
      <w:r>
        <w:t xml:space="preserve"> housing </w:t>
      </w:r>
      <w:r w:rsidRPr="00366A58">
        <w:t xml:space="preserve">transactions than would </w:t>
      </w:r>
      <w:r w:rsidRPr="00366A58" w:rsidDel="00C63968">
        <w:t>otherwise take place</w:t>
      </w:r>
      <w:r>
        <w:t xml:space="preserve"> (</w:t>
      </w:r>
      <w:r w:rsidR="001D65A6">
        <w:t>Garvin et al.</w:t>
      </w:r>
      <w:r>
        <w:t xml:space="preserve"> 2024). </w:t>
      </w:r>
    </w:p>
    <w:p w14:paraId="70140F7A" w14:textId="794892F8" w:rsidR="0099326B" w:rsidRDefault="00B85FEA" w:rsidP="00DB6DE6">
      <w:r>
        <w:t xml:space="preserve">The Council proposes targeting a level of zero overcrowded homes in the long </w:t>
      </w:r>
      <w:r w:rsidR="00CE7202">
        <w:t xml:space="preserve">term </w:t>
      </w:r>
      <w:r>
        <w:t>as a measure of the efficient use and exchange of housing stock. Targets that address the number of unused bedrooms are not appropriate</w:t>
      </w:r>
      <w:r w:rsidR="00310E17">
        <w:t>, as</w:t>
      </w:r>
      <w:r>
        <w:t xml:space="preserve"> </w:t>
      </w:r>
      <w:r w:rsidR="00310E17">
        <w:t>many</w:t>
      </w:r>
      <w:r>
        <w:t xml:space="preserve"> households choose to maintain spare bedrooms for lifestyle or other reasons, and measuring this preference is difficult. While overcrowding is an incomplete measure, zero</w:t>
      </w:r>
      <w:r w:rsidR="00CD37E4">
        <w:t xml:space="preserve"> </w:t>
      </w:r>
      <w:r>
        <w:t xml:space="preserve">overcrowding would at least mean that all households </w:t>
      </w:r>
      <w:r w:rsidR="0081009D">
        <w:t>were able to find</w:t>
      </w:r>
      <w:r>
        <w:t xml:space="preserve"> dwellings </w:t>
      </w:r>
      <w:r w:rsidR="000E4E75">
        <w:t>with</w:t>
      </w:r>
      <w:r>
        <w:t xml:space="preserve"> a minimum number of bedrooms to suitably accommodate everyone in the household. </w:t>
      </w:r>
      <w:r w:rsidR="0099326B">
        <w:br w:type="page"/>
      </w:r>
    </w:p>
    <w:p w14:paraId="730F54A1" w14:textId="56D2CD1F" w:rsidR="00B85FEA" w:rsidRDefault="00B85FEA" w:rsidP="00744F72">
      <w:pPr>
        <w:pStyle w:val="Heading3Numbered"/>
      </w:pPr>
      <w:r w:rsidRPr="00BD6B4E">
        <w:lastRenderedPageBreak/>
        <w:t xml:space="preserve">There </w:t>
      </w:r>
      <w:r>
        <w:t>is</w:t>
      </w:r>
      <w:r w:rsidRPr="00BD6B4E">
        <w:t xml:space="preserve"> fair access to </w:t>
      </w:r>
      <w:r>
        <w:t xml:space="preserve">the benefits of </w:t>
      </w:r>
      <w:r w:rsidRPr="00BD6B4E">
        <w:t>home ownership</w:t>
      </w:r>
      <w:r>
        <w:t xml:space="preserve"> </w:t>
      </w:r>
    </w:p>
    <w:p w14:paraId="2E2E99E7" w14:textId="157C46AB" w:rsidR="00B85FEA" w:rsidRPr="002949B5" w:rsidRDefault="00B85FEA">
      <w:r>
        <w:t xml:space="preserve">All households should be able to access the benefits of home ownership. The financial benefits </w:t>
      </w:r>
      <w:r w:rsidR="007412C3">
        <w:t>of</w:t>
      </w:r>
      <w:r>
        <w:t xml:space="preserve"> home ownership typically significantly exceed those </w:t>
      </w:r>
      <w:r w:rsidR="002C1914">
        <w:t>of</w:t>
      </w:r>
      <w:r>
        <w:t xml:space="preserve"> renting. Home</w:t>
      </w:r>
      <w:r w:rsidR="00C52429">
        <w:t xml:space="preserve"> </w:t>
      </w:r>
      <w:r>
        <w:t>ownership provides an additional form of financial security in retirement. Tax settings favour the use of the family home to build wealth over other assets. In contrast, renters generally do not have access to these benefits, resulting in poorer retirement outcomes</w:t>
      </w:r>
      <w:r w:rsidRPr="008E2D8B">
        <w:t xml:space="preserve"> for </w:t>
      </w:r>
      <w:r>
        <w:t>retiree renters (</w:t>
      </w:r>
      <w:r w:rsidR="00AD0988">
        <w:t>Coates et al. 2025</w:t>
      </w:r>
      <w:r w:rsidR="00F2095F">
        <w:t>; NHSAC 2024</w:t>
      </w:r>
      <w:r>
        <w:t>). Non</w:t>
      </w:r>
      <w:r w:rsidR="00A15C79">
        <w:noBreakHyphen/>
      </w:r>
      <w:r>
        <w:t xml:space="preserve">financial benefits of home </w:t>
      </w:r>
      <w:r w:rsidRPr="002949B5">
        <w:t>ownership</w:t>
      </w:r>
      <w:r w:rsidR="0036381A" w:rsidRPr="002949B5">
        <w:t xml:space="preserve"> also</w:t>
      </w:r>
      <w:r w:rsidRPr="002949B5">
        <w:t xml:space="preserve"> include greater tenure security, stability and control (</w:t>
      </w:r>
      <w:r w:rsidR="003A201D" w:rsidRPr="002949B5">
        <w:t>Productivity Commission</w:t>
      </w:r>
      <w:r w:rsidR="00714BEC" w:rsidRPr="002949B5">
        <w:t xml:space="preserve"> </w:t>
      </w:r>
      <w:r w:rsidRPr="002949B5">
        <w:t>2004).</w:t>
      </w:r>
    </w:p>
    <w:p w14:paraId="4CD2FEAC" w14:textId="13CE46D8" w:rsidR="00B85FEA" w:rsidRPr="002949B5" w:rsidRDefault="00942747">
      <w:r w:rsidRPr="002949B5">
        <w:t>Owning one</w:t>
      </w:r>
      <w:r w:rsidR="00A15C79" w:rsidRPr="002949B5">
        <w:t>’</w:t>
      </w:r>
      <w:r w:rsidRPr="002949B5">
        <w:t>s home</w:t>
      </w:r>
      <w:r w:rsidR="00B85FEA" w:rsidRPr="002949B5">
        <w:t xml:space="preserve"> will remain the preferred tenure choice for </w:t>
      </w:r>
      <w:r w:rsidR="00333030" w:rsidRPr="002949B5">
        <w:t>most</w:t>
      </w:r>
      <w:r w:rsidR="00B85FEA" w:rsidRPr="002949B5">
        <w:t xml:space="preserve"> Australians. </w:t>
      </w:r>
      <w:r w:rsidR="00A53793" w:rsidRPr="002949B5">
        <w:t xml:space="preserve">However, </w:t>
      </w:r>
      <w:r w:rsidR="00B85FEA" w:rsidRPr="002949B5">
        <w:t>a lack of affordable housing has prevented many households from becoming home</w:t>
      </w:r>
      <w:r w:rsidR="00AE3C31">
        <w:t xml:space="preserve"> </w:t>
      </w:r>
      <w:r w:rsidR="00B85FEA" w:rsidRPr="002949B5">
        <w:t>owners and accessing the financial benefits associated with home ownership. The</w:t>
      </w:r>
      <w:r w:rsidR="00B85FEA" w:rsidRPr="002949B5" w:rsidDel="00EE620D">
        <w:t xml:space="preserve"> </w:t>
      </w:r>
      <w:r w:rsidR="00B85FEA" w:rsidRPr="002949B5">
        <w:t>share of households that are either outright owners or have a mortgage</w:t>
      </w:r>
      <w:r w:rsidR="00B85FEA" w:rsidRPr="002949B5" w:rsidDel="00EE620D">
        <w:t xml:space="preserve"> </w:t>
      </w:r>
      <w:r w:rsidR="00B85FEA" w:rsidRPr="002949B5">
        <w:t>has trended down over time, from around 70</w:t>
      </w:r>
      <w:r w:rsidR="0099326B" w:rsidRPr="002949B5">
        <w:t> per cent</w:t>
      </w:r>
      <w:r w:rsidR="00B85FEA" w:rsidRPr="002949B5">
        <w:t xml:space="preserve"> in </w:t>
      </w:r>
      <w:r w:rsidR="00612BC7" w:rsidRPr="002949B5">
        <w:t xml:space="preserve">the </w:t>
      </w:r>
      <w:r w:rsidR="00B85FEA" w:rsidRPr="002949B5">
        <w:t>1960s to 66</w:t>
      </w:r>
      <w:r w:rsidR="0099326B" w:rsidRPr="002949B5">
        <w:t> per cent</w:t>
      </w:r>
      <w:r w:rsidR="00B85FEA" w:rsidRPr="002949B5">
        <w:t xml:space="preserve"> in 2021 (</w:t>
      </w:r>
      <w:r w:rsidR="00F52039" w:rsidRPr="002949B5">
        <w:t>Reserve Bank of Australia [</w:t>
      </w:r>
      <w:r w:rsidR="00B85FEA" w:rsidRPr="002949B5">
        <w:t>RBA</w:t>
      </w:r>
      <w:r w:rsidR="00F52039" w:rsidRPr="002949B5">
        <w:t>]</w:t>
      </w:r>
      <w:r w:rsidR="00B85FEA" w:rsidRPr="002949B5">
        <w:t xml:space="preserve"> 2015; ABS 2022</w:t>
      </w:r>
      <w:r w:rsidR="00971D9E">
        <w:t>c</w:t>
      </w:r>
      <w:r w:rsidR="00B85FEA" w:rsidRPr="002949B5">
        <w:t xml:space="preserve">). For households </w:t>
      </w:r>
      <w:r w:rsidR="00023211" w:rsidRPr="002949B5">
        <w:t xml:space="preserve">with members </w:t>
      </w:r>
      <w:r w:rsidR="00B85FEA" w:rsidRPr="002949B5">
        <w:t>aged under 50 years old, the home</w:t>
      </w:r>
      <w:r w:rsidR="00A15C79" w:rsidRPr="002949B5">
        <w:noBreakHyphen/>
      </w:r>
      <w:r w:rsidR="00B85FEA" w:rsidRPr="002949B5">
        <w:t>ownership rate has fallen at an even faster pace over the past several decades</w:t>
      </w:r>
      <w:r w:rsidR="000B266F" w:rsidRPr="002949B5">
        <w:t xml:space="preserve"> (NHSAC 2024)</w:t>
      </w:r>
      <w:r w:rsidR="00B85FEA" w:rsidRPr="002949B5">
        <w:t xml:space="preserve">, despite surveys suggesting demand for home ownership remains high. </w:t>
      </w:r>
    </w:p>
    <w:p w14:paraId="5580D876" w14:textId="656D3AC0" w:rsidR="00B85FEA" w:rsidRPr="002949B5" w:rsidRDefault="00B85FEA">
      <w:r w:rsidRPr="002949B5">
        <w:t>The Council proposes a target of no further decline in the home</w:t>
      </w:r>
      <w:r w:rsidR="00A15C79" w:rsidRPr="002949B5">
        <w:noBreakHyphen/>
      </w:r>
      <w:r w:rsidRPr="002949B5">
        <w:t xml:space="preserve">ownership rate from the 2021 </w:t>
      </w:r>
      <w:r w:rsidR="000505E4" w:rsidRPr="002949B5">
        <w:t>C</w:t>
      </w:r>
      <w:r w:rsidRPr="002949B5">
        <w:t>ensus rate of 66</w:t>
      </w:r>
      <w:r w:rsidR="0099326B" w:rsidRPr="002949B5">
        <w:t> per cent</w:t>
      </w:r>
      <w:r w:rsidRPr="002949B5" w:rsidDel="00F50354">
        <w:t>.</w:t>
      </w:r>
      <w:r w:rsidRPr="002949B5">
        <w:t xml:space="preserve"> The Council also notes other arrangements can deliver the benefit</w:t>
      </w:r>
      <w:r w:rsidR="00B17A4F" w:rsidRPr="002949B5">
        <w:t>s</w:t>
      </w:r>
      <w:r w:rsidRPr="002949B5">
        <w:t xml:space="preserve"> of home ownership, such as </w:t>
      </w:r>
      <w:r w:rsidR="000B266F" w:rsidRPr="002949B5">
        <w:t xml:space="preserve">housing </w:t>
      </w:r>
      <w:r w:rsidRPr="002949B5">
        <w:t>co</w:t>
      </w:r>
      <w:r w:rsidR="00A15C79" w:rsidRPr="002949B5">
        <w:noBreakHyphen/>
      </w:r>
      <w:r w:rsidRPr="002949B5">
        <w:t>op</w:t>
      </w:r>
      <w:r w:rsidR="000B266F" w:rsidRPr="002949B5">
        <w:t>erative</w:t>
      </w:r>
      <w:r w:rsidRPr="002949B5">
        <w:t>s and shared equity arrangements.</w:t>
      </w:r>
    </w:p>
    <w:p w14:paraId="7C59CA26" w14:textId="77777777" w:rsidR="00B85FEA" w:rsidRPr="002949B5" w:rsidRDefault="00B85FEA" w:rsidP="00744F72">
      <w:pPr>
        <w:pStyle w:val="Heading3Numbered"/>
      </w:pPr>
      <w:r w:rsidRPr="002949B5">
        <w:t xml:space="preserve">Renters have access to affordable and secure housing </w:t>
      </w:r>
    </w:p>
    <w:p w14:paraId="1BAD19C7" w14:textId="0829DE86" w:rsidR="00B85FEA" w:rsidRPr="002949B5" w:rsidRDefault="00B85FEA">
      <w:r w:rsidRPr="002949B5">
        <w:t>Affordable and secure housing should be available to all households in the private rental market. The share of households that rent has increased from 25</w:t>
      </w:r>
      <w:r w:rsidR="0099326B" w:rsidRPr="002949B5">
        <w:t> per cent</w:t>
      </w:r>
      <w:r w:rsidRPr="002949B5">
        <w:t xml:space="preserve"> in 1981 to 31</w:t>
      </w:r>
      <w:r w:rsidR="0099326B" w:rsidRPr="002949B5">
        <w:t> per cent</w:t>
      </w:r>
      <w:r w:rsidRPr="002949B5">
        <w:t xml:space="preserve"> in 2021 (ABS</w:t>
      </w:r>
      <w:r w:rsidR="00086E9E" w:rsidRPr="002949B5">
        <w:t> </w:t>
      </w:r>
      <w:r w:rsidRPr="002949B5">
        <w:t>1983</w:t>
      </w:r>
      <w:r w:rsidR="00B267D3" w:rsidRPr="002949B5">
        <w:t xml:space="preserve">, </w:t>
      </w:r>
      <w:r w:rsidRPr="002949B5">
        <w:t>2023). The rising incidence of renting has been partly driven by a growing shortage of affordable owner</w:t>
      </w:r>
      <w:r w:rsidR="00A15C79" w:rsidRPr="002949B5">
        <w:noBreakHyphen/>
      </w:r>
      <w:r w:rsidRPr="002949B5">
        <w:t>occupier housing, which has forced many households to become or remain renters. More households are starting families as renters, and entering retirement as renters too (</w:t>
      </w:r>
      <w:proofErr w:type="spellStart"/>
      <w:r w:rsidR="00B74595" w:rsidRPr="002949B5">
        <w:t>Sathanapally</w:t>
      </w:r>
      <w:proofErr w:type="spellEnd"/>
      <w:r w:rsidR="00B74595" w:rsidRPr="002949B5">
        <w:t xml:space="preserve"> et al.</w:t>
      </w:r>
      <w:r w:rsidRPr="002949B5">
        <w:t xml:space="preserve"> 2025). Only half of current renters expect to own a home in their lifetime (</w:t>
      </w:r>
      <w:r w:rsidR="00D41936" w:rsidRPr="002949B5">
        <w:t>Australian Housing and Urban Research Institute [</w:t>
      </w:r>
      <w:r w:rsidRPr="002949B5">
        <w:t>AHURI</w:t>
      </w:r>
      <w:r w:rsidR="00D41936" w:rsidRPr="002949B5">
        <w:t>]</w:t>
      </w:r>
      <w:r w:rsidR="009B6BB9" w:rsidRPr="002949B5">
        <w:t xml:space="preserve"> </w:t>
      </w:r>
      <w:r w:rsidRPr="002949B5">
        <w:t xml:space="preserve">2024). </w:t>
      </w:r>
    </w:p>
    <w:p w14:paraId="5AC2B870" w14:textId="23A61665" w:rsidR="00B85FEA" w:rsidRDefault="00B85FEA">
      <w:r w:rsidRPr="002949B5">
        <w:t xml:space="preserve">As rental affordability has deteriorated sharply </w:t>
      </w:r>
      <w:r w:rsidR="00D33B96" w:rsidRPr="002949B5">
        <w:t xml:space="preserve">during </w:t>
      </w:r>
      <w:r w:rsidRPr="002949B5">
        <w:t>the post</w:t>
      </w:r>
      <w:r w:rsidR="00A15C79" w:rsidRPr="002949B5">
        <w:noBreakHyphen/>
      </w:r>
      <w:r w:rsidR="000974FB" w:rsidRPr="002949B5">
        <w:t>P</w:t>
      </w:r>
      <w:r w:rsidRPr="002949B5">
        <w:t>andemic period (see Chapter 4</w:t>
      </w:r>
      <w:r w:rsidR="0058081B" w:rsidRPr="002949B5">
        <w:t>,</w:t>
      </w:r>
      <w:r w:rsidRPr="002949B5">
        <w:rPr>
          <w:i/>
        </w:rPr>
        <w:t xml:space="preserve"> Housing affordability</w:t>
      </w:r>
      <w:r w:rsidRPr="002949B5">
        <w:t xml:space="preserve">), access to affordable housing for renters has become increasingly urgent. </w:t>
      </w:r>
      <w:r w:rsidR="00913BAC" w:rsidRPr="002949B5">
        <w:t>A</w:t>
      </w:r>
      <w:r w:rsidRPr="002949B5">
        <w:t>round 20</w:t>
      </w:r>
      <w:r w:rsidR="0099326B" w:rsidRPr="002949B5">
        <w:t> per cent</w:t>
      </w:r>
      <w:r w:rsidRPr="002949B5">
        <w:t xml:space="preserve"> of lower</w:t>
      </w:r>
      <w:r w:rsidR="00A15C79" w:rsidRPr="002949B5">
        <w:noBreakHyphen/>
      </w:r>
      <w:r w:rsidRPr="002949B5">
        <w:t xml:space="preserve">income renters spent over half of their income on rent </w:t>
      </w:r>
      <w:r w:rsidR="00035FBB" w:rsidRPr="002949B5">
        <w:t>in 2023</w:t>
      </w:r>
      <w:r w:rsidR="00726448" w:rsidRPr="002949B5">
        <w:t xml:space="preserve">, </w:t>
      </w:r>
      <w:r w:rsidRPr="002949B5">
        <w:t xml:space="preserve">meaning </w:t>
      </w:r>
      <w:r w:rsidR="006363C8" w:rsidRPr="002949B5">
        <w:t>they ha</w:t>
      </w:r>
      <w:r w:rsidR="00035FBB" w:rsidRPr="002949B5">
        <w:t>d</w:t>
      </w:r>
      <w:r w:rsidR="006363C8" w:rsidRPr="002949B5">
        <w:t xml:space="preserve"> </w:t>
      </w:r>
      <w:r w:rsidRPr="002949B5">
        <w:t xml:space="preserve">little left to </w:t>
      </w:r>
      <w:r w:rsidR="00A3258A" w:rsidRPr="002949B5">
        <w:t>cover</w:t>
      </w:r>
      <w:r w:rsidRPr="002949B5">
        <w:t xml:space="preserve"> other essential living expenses</w:t>
      </w:r>
      <w:r w:rsidR="00A52B0C" w:rsidRPr="002949B5">
        <w:t xml:space="preserve"> (see Chapter 4,</w:t>
      </w:r>
      <w:r w:rsidR="00A52B0C" w:rsidRPr="002949B5">
        <w:rPr>
          <w:i/>
        </w:rPr>
        <w:t xml:space="preserve"> </w:t>
      </w:r>
      <w:r w:rsidR="00A52B0C" w:rsidRPr="00854FF9">
        <w:rPr>
          <w:rStyle w:val="Emphasis"/>
        </w:rPr>
        <w:t>Housing affordability</w:t>
      </w:r>
      <w:r w:rsidR="00A52B0C">
        <w:t>)</w:t>
      </w:r>
      <w:r>
        <w:t xml:space="preserve">. </w:t>
      </w:r>
      <w:r w:rsidR="00591E4C">
        <w:t>R</w:t>
      </w:r>
      <w:r w:rsidR="001054F6">
        <w:t xml:space="preserve">ental stress </w:t>
      </w:r>
      <w:r w:rsidR="00171530">
        <w:t>among</w:t>
      </w:r>
      <w:r>
        <w:t xml:space="preserve"> lower</w:t>
      </w:r>
      <w:r w:rsidR="00A15C79">
        <w:noBreakHyphen/>
      </w:r>
      <w:r>
        <w:t xml:space="preserve">income renters </w:t>
      </w:r>
      <w:r w:rsidR="00BE632B">
        <w:t xml:space="preserve">is associated with greater </w:t>
      </w:r>
      <w:r>
        <w:t xml:space="preserve">material deprivation </w:t>
      </w:r>
      <w:r w:rsidRPr="00B10AF4">
        <w:t xml:space="preserve">and </w:t>
      </w:r>
      <w:r w:rsidR="00BE632B">
        <w:t>lower</w:t>
      </w:r>
      <w:r w:rsidR="00BE632B" w:rsidRPr="00B10AF4">
        <w:t xml:space="preserve"> </w:t>
      </w:r>
      <w:r w:rsidRPr="00B10AF4">
        <w:t>wellbeing (</w:t>
      </w:r>
      <w:r>
        <w:t xml:space="preserve">see </w:t>
      </w:r>
      <w:r w:rsidRPr="002C7F29">
        <w:t>Chapter 4</w:t>
      </w:r>
      <w:r w:rsidR="0058081B" w:rsidRPr="00785890">
        <w:t>,</w:t>
      </w:r>
      <w:r>
        <w:t xml:space="preserve"> </w:t>
      </w:r>
      <w:r w:rsidRPr="00854FF9">
        <w:rPr>
          <w:rStyle w:val="Emphasis"/>
        </w:rPr>
        <w:t>Housing affordability</w:t>
      </w:r>
      <w:r>
        <w:t xml:space="preserve">). </w:t>
      </w:r>
      <w:r w:rsidRPr="00736117">
        <w:t>Long</w:t>
      </w:r>
      <w:r>
        <w:t xml:space="preserve"> waitlists for public </w:t>
      </w:r>
      <w:r w:rsidRPr="00F226F7">
        <w:t>housing also reflect a shortage of rental housing (see</w:t>
      </w:r>
      <w:r w:rsidR="00086E9E">
        <w:t> </w:t>
      </w:r>
      <w:r w:rsidRPr="002C7F29">
        <w:t>Chapter 3</w:t>
      </w:r>
      <w:r w:rsidR="0058081B" w:rsidRPr="00785890">
        <w:t>,</w:t>
      </w:r>
      <w:r w:rsidRPr="00F226F7">
        <w:t xml:space="preserve"> </w:t>
      </w:r>
      <w:r w:rsidRPr="00A46701">
        <w:rPr>
          <w:rStyle w:val="Emphasis"/>
        </w:rPr>
        <w:t>Conditions in non</w:t>
      </w:r>
      <w:r w:rsidR="00A15C79" w:rsidRPr="00A46701">
        <w:rPr>
          <w:rStyle w:val="Emphasis"/>
        </w:rPr>
        <w:noBreakHyphen/>
      </w:r>
      <w:r w:rsidRPr="00A46701">
        <w:rPr>
          <w:rStyle w:val="Emphasis"/>
        </w:rPr>
        <w:t>market housing and housing assistance</w:t>
      </w:r>
      <w:r w:rsidRPr="00F226F7">
        <w:t>).</w:t>
      </w:r>
      <w:r>
        <w:t xml:space="preserve"> </w:t>
      </w:r>
    </w:p>
    <w:p w14:paraId="49D5A955" w14:textId="7E917096" w:rsidR="0099326B" w:rsidRDefault="00B85FEA" w:rsidP="002D209A">
      <w:r w:rsidRPr="000F2662">
        <w:t xml:space="preserve">Although the share of </w:t>
      </w:r>
      <w:r w:rsidR="00BF1FC5">
        <w:t>longer</w:t>
      </w:r>
      <w:r w:rsidR="00A15C79">
        <w:noBreakHyphen/>
      </w:r>
      <w:r w:rsidR="00BF1FC5">
        <w:t xml:space="preserve">term renter </w:t>
      </w:r>
      <w:r>
        <w:t xml:space="preserve">households </w:t>
      </w:r>
      <w:r w:rsidRPr="000F2662">
        <w:t xml:space="preserve">has risen, the rental system </w:t>
      </w:r>
      <w:r>
        <w:t>has not developed commensurately to</w:t>
      </w:r>
      <w:r w:rsidRPr="000F2662">
        <w:t xml:space="preserve"> </w:t>
      </w:r>
      <w:r w:rsidRPr="002949B5">
        <w:t xml:space="preserve">support </w:t>
      </w:r>
      <w:r w:rsidR="00D762BD" w:rsidRPr="002949B5">
        <w:t>the</w:t>
      </w:r>
      <w:r w:rsidR="00D5695A" w:rsidRPr="002949B5">
        <w:t xml:space="preserve"> needs of</w:t>
      </w:r>
      <w:r w:rsidRPr="002949B5">
        <w:t xml:space="preserve"> renters</w:t>
      </w:r>
      <w:r w:rsidR="00CC6251" w:rsidRPr="002949B5">
        <w:t xml:space="preserve"> </w:t>
      </w:r>
      <w:r w:rsidR="00077702" w:rsidRPr="002949B5">
        <w:t>(Baker et al. 2024)</w:t>
      </w:r>
      <w:r w:rsidRPr="002949B5">
        <w:t>. Most leases continue to be made on a short</w:t>
      </w:r>
      <w:r w:rsidR="00A15C79" w:rsidRPr="002949B5">
        <w:noBreakHyphen/>
      </w:r>
      <w:r w:rsidRPr="002949B5">
        <w:t>term basis. Australians</w:t>
      </w:r>
      <w:r w:rsidR="007F1D7B" w:rsidRPr="002949B5">
        <w:t xml:space="preserve"> </w:t>
      </w:r>
      <w:r w:rsidRPr="002949B5">
        <w:t>continue to report some of the highest rates of rental mobility in the OECD, likely reflecting weak tenure security (OECD 2024)</w:t>
      </w:r>
      <w:r w:rsidR="00BB508C" w:rsidRPr="002949B5">
        <w:t>, with</w:t>
      </w:r>
      <w:r w:rsidRPr="002949B5">
        <w:t xml:space="preserve"> </w:t>
      </w:r>
      <w:r w:rsidR="00BB508C" w:rsidRPr="002949B5">
        <w:t>f</w:t>
      </w:r>
      <w:r w:rsidRPr="002949B5">
        <w:t xml:space="preserve">orced rental mobility </w:t>
      </w:r>
      <w:r w:rsidR="00BB508C" w:rsidRPr="002949B5">
        <w:t>being</w:t>
      </w:r>
      <w:r w:rsidRPr="002949B5">
        <w:t xml:space="preserve"> associated with </w:t>
      </w:r>
      <w:r w:rsidR="00E96FB9" w:rsidRPr="002949B5">
        <w:t xml:space="preserve">poor </w:t>
      </w:r>
      <w:r w:rsidRPr="002949B5">
        <w:t xml:space="preserve">wellbeing </w:t>
      </w:r>
      <w:r w:rsidR="00BB508C" w:rsidRPr="002949B5">
        <w:t xml:space="preserve">outcomes </w:t>
      </w:r>
      <w:r w:rsidRPr="002949B5">
        <w:t xml:space="preserve">(Ong </w:t>
      </w:r>
      <w:proofErr w:type="spellStart"/>
      <w:r w:rsidRPr="002949B5">
        <w:t>ViforJ</w:t>
      </w:r>
      <w:proofErr w:type="spellEnd"/>
      <w:r w:rsidRPr="002949B5">
        <w:t xml:space="preserve"> et al. 2022). However, reforms </w:t>
      </w:r>
      <w:r w:rsidR="006C6080" w:rsidRPr="002949B5">
        <w:t>being implemented</w:t>
      </w:r>
      <w:r w:rsidRPr="00285514">
        <w:t xml:space="preserve"> </w:t>
      </w:r>
      <w:r w:rsidR="00DD28A9" w:rsidRPr="0041126E">
        <w:t>by</w:t>
      </w:r>
      <w:r w:rsidRPr="002949B5">
        <w:t xml:space="preserve"> </w:t>
      </w:r>
      <w:r w:rsidR="00861A49" w:rsidRPr="002949B5">
        <w:t>Australian governments</w:t>
      </w:r>
      <w:r w:rsidRPr="002949B5">
        <w:t xml:space="preserve"> as part of the Better</w:t>
      </w:r>
      <w:r w:rsidR="00DB6DE6" w:rsidRPr="002949B5">
        <w:t> </w:t>
      </w:r>
      <w:r w:rsidRPr="002949B5">
        <w:t xml:space="preserve">Deal for Renters are promising developments in improving </w:t>
      </w:r>
      <w:r w:rsidR="001C3BCF" w:rsidRPr="002949B5">
        <w:t>security of tenure for renters</w:t>
      </w:r>
      <w:r w:rsidRPr="002949B5">
        <w:t>.</w:t>
      </w:r>
      <w:r w:rsidR="0099326B">
        <w:br w:type="page"/>
      </w:r>
    </w:p>
    <w:p w14:paraId="7089D239" w14:textId="09E915CF" w:rsidR="00B85FEA" w:rsidRDefault="00B85FEA">
      <w:r>
        <w:lastRenderedPageBreak/>
        <w:t>Better rental affordability and security of tenure would improve renter household</w:t>
      </w:r>
      <w:r w:rsidR="004A4892">
        <w:t>s</w:t>
      </w:r>
      <w:r w:rsidR="00A15C79">
        <w:t>’</w:t>
      </w:r>
      <w:r w:rsidR="00923BFD">
        <w:t xml:space="preserve"> </w:t>
      </w:r>
      <w:r>
        <w:t>wellbeing. A</w:t>
      </w:r>
      <w:r w:rsidR="00086E9E">
        <w:t> </w:t>
      </w:r>
      <w:r>
        <w:t xml:space="preserve">proposed target for </w:t>
      </w:r>
      <w:r w:rsidRPr="002949B5">
        <w:t>achieving this goal is for the national vacancy rate to remain a little above 2.5</w:t>
      </w:r>
      <w:r w:rsidR="0099326B" w:rsidRPr="002949B5">
        <w:t> per cent</w:t>
      </w:r>
      <w:r w:rsidRPr="002949B5">
        <w:t xml:space="preserve"> on average</w:t>
      </w:r>
      <w:r w:rsidR="00116452" w:rsidRPr="002949B5">
        <w:t>, which is higher than the national vacancy rate of 1.8 per cent recorded in December 2024</w:t>
      </w:r>
      <w:r w:rsidRPr="002949B5">
        <w:t xml:space="preserve">. Modelling by the Council indicates that a vacancy rate of </w:t>
      </w:r>
      <w:r w:rsidR="00123AF5">
        <w:t xml:space="preserve">around </w:t>
      </w:r>
      <w:r w:rsidRPr="002949B5">
        <w:t>2.5</w:t>
      </w:r>
      <w:r w:rsidR="0099326B" w:rsidRPr="002949B5">
        <w:t> per cent</w:t>
      </w:r>
      <w:r w:rsidRPr="002949B5">
        <w:t xml:space="preserve"> is consistent with a balanced market. </w:t>
      </w:r>
      <w:r w:rsidR="0057496F" w:rsidRPr="002949B5">
        <w:t>Achieving this target</w:t>
      </w:r>
      <w:r w:rsidR="00116452" w:rsidRPr="002949B5">
        <w:t xml:space="preserve"> would</w:t>
      </w:r>
      <w:r w:rsidRPr="002949B5">
        <w:t xml:space="preserve"> </w:t>
      </w:r>
      <w:r w:rsidR="0057496F" w:rsidRPr="002949B5">
        <w:t xml:space="preserve">be consistent with stronger </w:t>
      </w:r>
      <w:r w:rsidR="00EE3825" w:rsidRPr="002949B5">
        <w:t xml:space="preserve">renter </w:t>
      </w:r>
      <w:r w:rsidRPr="002949B5">
        <w:t xml:space="preserve">bargaining power during lease negotiations, which </w:t>
      </w:r>
      <w:r w:rsidR="00852778" w:rsidRPr="002949B5">
        <w:t xml:space="preserve">could </w:t>
      </w:r>
      <w:r w:rsidRPr="002949B5">
        <w:t xml:space="preserve">contribute to more affordable and secure rental conditions. It would also </w:t>
      </w:r>
      <w:r w:rsidR="00FA4377" w:rsidRPr="002949B5">
        <w:t>reduce the</w:t>
      </w:r>
      <w:r w:rsidRPr="002949B5">
        <w:t xml:space="preserve"> likelihood </w:t>
      </w:r>
      <w:r w:rsidR="00FA4377" w:rsidRPr="002949B5">
        <w:t xml:space="preserve">of </w:t>
      </w:r>
      <w:r w:rsidRPr="002949B5">
        <w:t>landlord</w:t>
      </w:r>
      <w:r w:rsidR="00852778" w:rsidRPr="002949B5">
        <w:t>s</w:t>
      </w:r>
      <w:r w:rsidRPr="002949B5">
        <w:t xml:space="preserve"> evict</w:t>
      </w:r>
      <w:r w:rsidR="00FA4377" w:rsidRPr="002949B5">
        <w:t>ing</w:t>
      </w:r>
      <w:r w:rsidRPr="002949B5">
        <w:t xml:space="preserve"> tenant</w:t>
      </w:r>
      <w:r w:rsidR="00FA4377" w:rsidRPr="002949B5">
        <w:t>s</w:t>
      </w:r>
      <w:r w:rsidRPr="002949B5">
        <w:t xml:space="preserve">. </w:t>
      </w:r>
      <w:r w:rsidR="00AD7562" w:rsidRPr="002949B5">
        <w:t>However</w:t>
      </w:r>
      <w:r w:rsidRPr="002949B5">
        <w:t xml:space="preserve">, </w:t>
      </w:r>
      <w:r w:rsidR="00DD7F75" w:rsidRPr="002949B5">
        <w:t xml:space="preserve">it should be noted that </w:t>
      </w:r>
      <w:r w:rsidR="00AD7562" w:rsidRPr="002949B5">
        <w:t xml:space="preserve">an excessively </w:t>
      </w:r>
      <w:r w:rsidRPr="002949B5">
        <w:t>high</w:t>
      </w:r>
      <w:r w:rsidR="009F550F" w:rsidRPr="002949B5">
        <w:t xml:space="preserve"> </w:t>
      </w:r>
      <w:r w:rsidRPr="002949B5">
        <w:t>vacancy rate</w:t>
      </w:r>
      <w:r w:rsidR="00544380" w:rsidRPr="002949B5">
        <w:t xml:space="preserve"> </w:t>
      </w:r>
      <w:r w:rsidRPr="002949B5">
        <w:t xml:space="preserve">may </w:t>
      </w:r>
      <w:r w:rsidR="00F44FD9" w:rsidRPr="002949B5">
        <w:t>deter</w:t>
      </w:r>
      <w:r w:rsidRPr="002949B5">
        <w:t xml:space="preserve"> investors </w:t>
      </w:r>
      <w:r w:rsidR="00F44FD9" w:rsidRPr="002949B5">
        <w:t>from</w:t>
      </w:r>
      <w:r w:rsidRPr="002949B5">
        <w:t xml:space="preserve"> provid</w:t>
      </w:r>
      <w:r w:rsidR="00F44FD9" w:rsidRPr="002949B5">
        <w:t>ing</w:t>
      </w:r>
      <w:r w:rsidRPr="002949B5">
        <w:t xml:space="preserve"> rental housing.</w:t>
      </w:r>
    </w:p>
    <w:p w14:paraId="7252C2EC" w14:textId="2084B19A" w:rsidR="00B85FEA" w:rsidRDefault="00B85FEA" w:rsidP="00283E4A">
      <w:pPr>
        <w:pStyle w:val="Heading3Numbered"/>
      </w:pPr>
      <w:r w:rsidRPr="00BB5D97">
        <w:t xml:space="preserve">There is sufficient social and affordable housing </w:t>
      </w:r>
      <w:r w:rsidRPr="00283E4A">
        <w:t>infrastructure</w:t>
      </w:r>
      <w:r w:rsidRPr="00BB5D97">
        <w:t xml:space="preserve"> to support the </w:t>
      </w:r>
      <w:r>
        <w:t>wellbeing</w:t>
      </w:r>
      <w:r w:rsidRPr="00BB5D97">
        <w:t xml:space="preserve"> of all communiti</w:t>
      </w:r>
      <w:r>
        <w:t>es</w:t>
      </w:r>
    </w:p>
    <w:p w14:paraId="6C0CDF6D" w14:textId="25B1ADB8" w:rsidR="00B85FEA" w:rsidRDefault="00B85FEA">
      <w:r>
        <w:t>Social and affordable housing is essential infrastructure that supports community wellbeing (NHSAC</w:t>
      </w:r>
      <w:r w:rsidR="00251AB5">
        <w:t> </w:t>
      </w:r>
      <w:r>
        <w:t xml:space="preserve">2024). Social housing reduces homelessness and poverty rates; supports economic and social participation; and fosters more cohesive, diverse and sustainable communities. Affordable housing </w:t>
      </w:r>
      <w:r w:rsidR="0043311C">
        <w:t>allows</w:t>
      </w:r>
      <w:r>
        <w:t xml:space="preserve"> lower</w:t>
      </w:r>
      <w:r w:rsidR="00A15C79">
        <w:noBreakHyphen/>
      </w:r>
      <w:r>
        <w:t>income workers to live in the communities in which they work</w:t>
      </w:r>
      <w:r w:rsidR="008E4210">
        <w:t xml:space="preserve">. </w:t>
      </w:r>
    </w:p>
    <w:p w14:paraId="44E45700" w14:textId="50A0877C" w:rsidR="00B85FEA" w:rsidDel="008578EB" w:rsidRDefault="00B85FEA">
      <w:r>
        <w:t xml:space="preserve">Currently, there is an insufficient quantity of social and affordable housing. This is clearly </w:t>
      </w:r>
      <w:r w:rsidR="001678C7">
        <w:t xml:space="preserve">evidenced </w:t>
      </w:r>
      <w:r>
        <w:t xml:space="preserve">by the continued rise in Australians experiencing homelessness and growing social housing waiting lists (see </w:t>
      </w:r>
      <w:r w:rsidRPr="00F8585D">
        <w:t>Chapter 3</w:t>
      </w:r>
      <w:r w:rsidR="009E5D37">
        <w:t>,</w:t>
      </w:r>
      <w:r>
        <w:t xml:space="preserve"> </w:t>
      </w:r>
      <w:r w:rsidRPr="00DB6DE6">
        <w:rPr>
          <w:rStyle w:val="Emphasis"/>
        </w:rPr>
        <w:t>Conditions in non</w:t>
      </w:r>
      <w:r w:rsidR="00A15C79">
        <w:rPr>
          <w:rStyle w:val="Emphasis"/>
        </w:rPr>
        <w:noBreakHyphen/>
      </w:r>
      <w:r w:rsidRPr="00DB6DE6">
        <w:rPr>
          <w:rStyle w:val="Emphasis"/>
        </w:rPr>
        <w:t>market housing and housing</w:t>
      </w:r>
      <w:r w:rsidRPr="00854FF9">
        <w:rPr>
          <w:rStyle w:val="Emphasis"/>
        </w:rPr>
        <w:t xml:space="preserve"> assistance</w:t>
      </w:r>
      <w:r>
        <w:t>). Social housing has declined as a share of the housing stock over the past 4 decades, from around 6</w:t>
      </w:r>
      <w:r w:rsidR="0099326B">
        <w:t> per cent</w:t>
      </w:r>
      <w:r>
        <w:t xml:space="preserve"> in the 1980s to around 4</w:t>
      </w:r>
      <w:r w:rsidR="0099326B">
        <w:t> per cent</w:t>
      </w:r>
      <w:r>
        <w:t xml:space="preserve"> in 2021. Data on the quantity of affordable housing is not available, although it is likely to have risen slightly in recent years. </w:t>
      </w:r>
    </w:p>
    <w:p w14:paraId="06EA8554" w14:textId="5F5FC766" w:rsidR="00B85FEA" w:rsidRDefault="00B85FEA">
      <w:r>
        <w:t xml:space="preserve">The Council proposes setting a target for the social housing share of </w:t>
      </w:r>
      <w:r w:rsidR="0046751D">
        <w:t>housing</w:t>
      </w:r>
      <w:r>
        <w:t xml:space="preserve"> stock to return to 6</w:t>
      </w:r>
      <w:r w:rsidR="0099326B">
        <w:t> per cent</w:t>
      </w:r>
      <w:r>
        <w:t xml:space="preserve"> in the medium term. </w:t>
      </w:r>
      <w:r w:rsidRPr="00B30DD6">
        <w:t xml:space="preserve">It is worth noting that </w:t>
      </w:r>
      <w:r>
        <w:t>the target of</w:t>
      </w:r>
      <w:r w:rsidRPr="00B30DD6">
        <w:t xml:space="preserve"> 6</w:t>
      </w:r>
      <w:r w:rsidR="0099326B">
        <w:t> per cent</w:t>
      </w:r>
      <w:r w:rsidRPr="00B30DD6">
        <w:t xml:space="preserve"> </w:t>
      </w:r>
      <w:r>
        <w:t>will not</w:t>
      </w:r>
      <w:r w:rsidRPr="00B30DD6">
        <w:t xml:space="preserve"> necessarily </w:t>
      </w:r>
      <w:r>
        <w:t xml:space="preserve">satiate </w:t>
      </w:r>
      <w:r w:rsidRPr="00B30DD6">
        <w:t xml:space="preserve">the unmet demand for social housing, </w:t>
      </w:r>
      <w:r>
        <w:t>with some estimates of housing need ranging higher (see </w:t>
      </w:r>
      <w:r w:rsidRPr="0041126E">
        <w:rPr>
          <w:rStyle w:val="Emphasis"/>
          <w:i w:val="0"/>
        </w:rPr>
        <w:t>Chapter 7</w:t>
      </w:r>
      <w:r w:rsidR="009E5D37" w:rsidRPr="0041126E">
        <w:rPr>
          <w:rStyle w:val="Emphasis"/>
          <w:i w:val="0"/>
          <w:iCs w:val="0"/>
        </w:rPr>
        <w:t>,</w:t>
      </w:r>
      <w:r w:rsidRPr="00DB6DE6">
        <w:rPr>
          <w:rStyle w:val="Emphasis"/>
        </w:rPr>
        <w:t xml:space="preserve"> Towards a better housing system</w:t>
      </w:r>
      <w:r>
        <w:t xml:space="preserve">). </w:t>
      </w:r>
    </w:p>
    <w:p w14:paraId="6E099153" w14:textId="1050A210" w:rsidR="007C3AD9" w:rsidRDefault="00B85FEA">
      <w:r>
        <w:t xml:space="preserve">In the long term, the Council would like to see the share of social and affordable housing rise further to consistently meet unmet demand. The Council is undertaking analysis to understand how many households should be supported through social housing, affordable housing or housing assistance payments (such as Commonwealth Rent Assistance). </w:t>
      </w:r>
      <w:r w:rsidR="007C3AD9">
        <w:br w:type="page"/>
      </w:r>
    </w:p>
    <w:p w14:paraId="0DE5B678" w14:textId="43C44116" w:rsidR="00B85FEA" w:rsidRDefault="00B85FEA" w:rsidP="00744F72">
      <w:pPr>
        <w:pStyle w:val="Heading3Numbered"/>
      </w:pPr>
      <w:r w:rsidRPr="00BD6B4E">
        <w:lastRenderedPageBreak/>
        <w:t xml:space="preserve">Homelessness </w:t>
      </w:r>
      <w:r>
        <w:t>is</w:t>
      </w:r>
      <w:r w:rsidRPr="00BD6B4E">
        <w:t xml:space="preserve"> brief and non</w:t>
      </w:r>
      <w:r w:rsidR="00A15C79">
        <w:noBreakHyphen/>
      </w:r>
      <w:r w:rsidRPr="00BD6B4E">
        <w:t>recurring</w:t>
      </w:r>
    </w:p>
    <w:p w14:paraId="4095D4DD" w14:textId="4D55423A" w:rsidR="00B85FEA" w:rsidRDefault="00B85FEA">
      <w:r>
        <w:t>The housing system should be able to provide shelter to everyone, meaning that any instances of homelessness should be brief and non</w:t>
      </w:r>
      <w:r w:rsidR="00A15C79">
        <w:noBreakHyphen/>
      </w:r>
      <w:r>
        <w:t>recurring. Homelessness is a complex and multifaceted problem that represents the most extreme form of housing stress (NHSAC 2024). Around 122,000 people experienced homelessness in 2021, a rise from 116,000 people in 2016 (ABS 2023</w:t>
      </w:r>
      <w:r w:rsidR="00923AC4">
        <w:t>a</w:t>
      </w:r>
      <w:r>
        <w:t>). Since 2021 (the last year of available data on homelessness levels), demand for homelessness services ha</w:t>
      </w:r>
      <w:r w:rsidR="00946926">
        <w:t>s</w:t>
      </w:r>
      <w:r>
        <w:t xml:space="preserve"> continued to increase (</w:t>
      </w:r>
      <w:r w:rsidRPr="00B26310">
        <w:t xml:space="preserve">see </w:t>
      </w:r>
      <w:r w:rsidRPr="0041126E">
        <w:rPr>
          <w:rStyle w:val="Emphasis"/>
          <w:i w:val="0"/>
        </w:rPr>
        <w:t>Chapter 3</w:t>
      </w:r>
      <w:r w:rsidR="009E5D37" w:rsidRPr="0041126E">
        <w:rPr>
          <w:rStyle w:val="Emphasis"/>
          <w:i w:val="0"/>
          <w:iCs w:val="0"/>
        </w:rPr>
        <w:t>,</w:t>
      </w:r>
      <w:r w:rsidRPr="00DB6DE6">
        <w:rPr>
          <w:rStyle w:val="Emphasis"/>
        </w:rPr>
        <w:t xml:space="preserve"> Conditions in non</w:t>
      </w:r>
      <w:r w:rsidR="00A15C79">
        <w:rPr>
          <w:rStyle w:val="Emphasis"/>
        </w:rPr>
        <w:noBreakHyphen/>
      </w:r>
      <w:r w:rsidRPr="00DB6DE6">
        <w:rPr>
          <w:rStyle w:val="Emphasis"/>
        </w:rPr>
        <w:t>market housing and housing assistance</w:t>
      </w:r>
      <w:r>
        <w:t xml:space="preserve">). </w:t>
      </w:r>
    </w:p>
    <w:p w14:paraId="4AE1DEA3" w14:textId="4356437F" w:rsidR="00B85FEA" w:rsidRPr="00B30DD6" w:rsidRDefault="00B85FEA">
      <w:r>
        <w:t>To progress towards the goal of homelessness being brief and non</w:t>
      </w:r>
      <w:r w:rsidR="00A15C79">
        <w:noBreakHyphen/>
      </w:r>
      <w:r>
        <w:t>recurring, the Council proposes setting a target of zero homelessness. Although this goal is unlikely to be achieved in practice, policies that aim to achieve this target can help ensure homelessness is brief and non</w:t>
      </w:r>
      <w:r w:rsidR="00A15C79">
        <w:noBreakHyphen/>
      </w:r>
      <w:r>
        <w:t>recurring. Other goals that target an increase in new housing supply and affordability can also significantly contribute towards the goal of achieving zero homelessness.</w:t>
      </w:r>
    </w:p>
    <w:p w14:paraId="5626E20A" w14:textId="7EDE476E" w:rsidR="00B85FEA" w:rsidRPr="000A363D" w:rsidRDefault="00B85FEA" w:rsidP="00744F72">
      <w:pPr>
        <w:pStyle w:val="Heading3Numbered"/>
        <w:tabs>
          <w:tab w:val="left" w:pos="6521"/>
        </w:tabs>
      </w:pPr>
      <w:r w:rsidRPr="000A363D">
        <w:t xml:space="preserve">The gap is closed </w:t>
      </w:r>
      <w:r w:rsidR="00C87863">
        <w:t>between</w:t>
      </w:r>
      <w:r w:rsidRPr="000A363D">
        <w:t xml:space="preserve"> Aboriginal and </w:t>
      </w:r>
      <w:r w:rsidR="0099326B">
        <w:t>Torres Strait</w:t>
      </w:r>
      <w:r w:rsidRPr="000A363D">
        <w:t xml:space="preserve"> Islander </w:t>
      </w:r>
      <w:r w:rsidR="00C87863">
        <w:t>people</w:t>
      </w:r>
      <w:r w:rsidR="00A15C79">
        <w:t>’</w:t>
      </w:r>
      <w:r w:rsidR="00C87863">
        <w:t>s and non</w:t>
      </w:r>
      <w:r w:rsidR="00A15C79">
        <w:noBreakHyphen/>
      </w:r>
      <w:r w:rsidR="00C87863">
        <w:t>Indigenous people</w:t>
      </w:r>
      <w:r w:rsidR="00A15C79">
        <w:t>’</w:t>
      </w:r>
      <w:r w:rsidR="00C87863">
        <w:t xml:space="preserve">s </w:t>
      </w:r>
      <w:r w:rsidRPr="000A363D">
        <w:t xml:space="preserve">housing and homelessness outcomes  </w:t>
      </w:r>
    </w:p>
    <w:p w14:paraId="2CBA76C5" w14:textId="389AFCD7" w:rsidR="00B85FEA" w:rsidRPr="00B30DD6" w:rsidRDefault="0099326B">
      <w:r>
        <w:t>First Nations</w:t>
      </w:r>
      <w:r w:rsidR="00B85FEA" w:rsidRPr="00B30DD6">
        <w:t xml:space="preserve"> people experience the housing system in different ways </w:t>
      </w:r>
      <w:r w:rsidR="00AA4BBB">
        <w:t>to</w:t>
      </w:r>
      <w:r w:rsidR="00B85FEA" w:rsidRPr="00B30DD6">
        <w:t xml:space="preserve"> non</w:t>
      </w:r>
      <w:r w:rsidR="00A15C79">
        <w:noBreakHyphen/>
      </w:r>
      <w:r w:rsidR="00B85FEA" w:rsidRPr="00B30DD6">
        <w:t>Indigenous Australians</w:t>
      </w:r>
      <w:r w:rsidR="00B85FEA" w:rsidRPr="003C59F4">
        <w:t xml:space="preserve"> </w:t>
      </w:r>
      <w:r w:rsidR="00B85FEA">
        <w:t xml:space="preserve">(see </w:t>
      </w:r>
      <w:r w:rsidR="00B85FEA" w:rsidRPr="0041126E">
        <w:rPr>
          <w:rStyle w:val="Emphasis"/>
          <w:i w:val="0"/>
        </w:rPr>
        <w:t>Chapter 6</w:t>
      </w:r>
      <w:r w:rsidR="009A4341" w:rsidRPr="0041126E">
        <w:rPr>
          <w:rStyle w:val="Emphasis"/>
          <w:i w:val="0"/>
          <w:iCs w:val="0"/>
        </w:rPr>
        <w:t>,</w:t>
      </w:r>
      <w:r w:rsidR="00B85FEA" w:rsidRPr="00DB6DE6">
        <w:rPr>
          <w:rStyle w:val="Emphasis"/>
        </w:rPr>
        <w:t xml:space="preserve"> </w:t>
      </w:r>
      <w:r w:rsidRPr="00DB6DE6">
        <w:rPr>
          <w:rStyle w:val="Emphasis"/>
        </w:rPr>
        <w:t>First Nations</w:t>
      </w:r>
      <w:r w:rsidR="00B85FEA" w:rsidRPr="00DB6DE6">
        <w:rPr>
          <w:rStyle w:val="Emphasis"/>
        </w:rPr>
        <w:t xml:space="preserve"> Housing</w:t>
      </w:r>
      <w:r w:rsidR="00B85FEA">
        <w:t>)</w:t>
      </w:r>
      <w:r w:rsidR="00B85FEA" w:rsidRPr="00B30DD6">
        <w:t xml:space="preserve">. The Council recognises this, and recognises that gaps </w:t>
      </w:r>
      <w:r w:rsidR="00B85FEA">
        <w:t>in</w:t>
      </w:r>
      <w:r w:rsidR="00B85FEA" w:rsidRPr="00B30DD6">
        <w:t xml:space="preserve"> housing outcomes</w:t>
      </w:r>
      <w:r w:rsidR="00B85FEA">
        <w:t xml:space="preserve">, </w:t>
      </w:r>
      <w:r w:rsidR="00B85FEA" w:rsidRPr="00B30DD6">
        <w:t>including overcrowding, homelessness and home ownership rates</w:t>
      </w:r>
      <w:r w:rsidR="00B85FEA">
        <w:t xml:space="preserve">, </w:t>
      </w:r>
      <w:r w:rsidR="00B85FEA" w:rsidRPr="00B30DD6">
        <w:t xml:space="preserve">are especially significant. Improving outcomes and working towards </w:t>
      </w:r>
      <w:r w:rsidR="00B85FEA">
        <w:t>eliminating the gap</w:t>
      </w:r>
      <w:r w:rsidR="00B85FEA" w:rsidRPr="00B30DD6">
        <w:t xml:space="preserve"> between </w:t>
      </w:r>
      <w:r>
        <w:t>First Nations</w:t>
      </w:r>
      <w:r w:rsidR="00B85FEA" w:rsidRPr="00B30DD6">
        <w:t xml:space="preserve"> and non</w:t>
      </w:r>
      <w:r w:rsidR="00A15C79">
        <w:noBreakHyphen/>
      </w:r>
      <w:r w:rsidR="00B85FEA" w:rsidRPr="00B30DD6">
        <w:t>Indigenous Australians</w:t>
      </w:r>
      <w:r w:rsidR="00B85FEA">
        <w:t xml:space="preserve"> is an essential</w:t>
      </w:r>
      <w:r w:rsidR="00B85FEA" w:rsidRPr="00B30DD6">
        <w:t xml:space="preserve"> component of </w:t>
      </w:r>
      <w:r>
        <w:t>First Nations</w:t>
      </w:r>
      <w:r w:rsidR="00B85FEA" w:rsidRPr="00B30DD6">
        <w:t xml:space="preserve"> policy objectives</w:t>
      </w:r>
      <w:r w:rsidR="00B85FEA">
        <w:t>.</w:t>
      </w:r>
    </w:p>
    <w:p w14:paraId="086B34F1" w14:textId="1A36E62F" w:rsidR="00B85FEA" w:rsidRPr="002949B5" w:rsidRDefault="00B85FEA">
      <w:r w:rsidRPr="00B30DD6">
        <w:t xml:space="preserve">The National Agreement on Closing the Gap is an agreement between all levels of government and Aboriginal and </w:t>
      </w:r>
      <w:r w:rsidR="0099326B">
        <w:t>Torres Strait</w:t>
      </w:r>
      <w:r w:rsidRPr="00B30DD6">
        <w:t xml:space="preserve"> Islander representatives to undertake a fundamentally new way of developing and implementing policies and programs to help improve the lives of Aboriginal and </w:t>
      </w:r>
      <w:r w:rsidR="0099326B">
        <w:t>Torres Strait</w:t>
      </w:r>
      <w:r w:rsidRPr="00B30DD6">
        <w:t xml:space="preserve"> Islander communities</w:t>
      </w:r>
      <w:r w:rsidR="00BB0C98">
        <w:t xml:space="preserve"> (</w:t>
      </w:r>
      <w:r w:rsidR="00BB0C98" w:rsidRPr="004A241C">
        <w:t>National Agreement on Closing the Gap 2020</w:t>
      </w:r>
      <w:r w:rsidR="00BB0C98">
        <w:t>)</w:t>
      </w:r>
      <w:r w:rsidRPr="00B30DD6">
        <w:t xml:space="preserve">. Housing outcomes form part of this agreement. Outcome 9 states Aboriginal and </w:t>
      </w:r>
      <w:r w:rsidR="0099326B">
        <w:t>Torres Strait</w:t>
      </w:r>
      <w:r w:rsidRPr="00B30DD6">
        <w:t xml:space="preserve"> Islander people </w:t>
      </w:r>
      <w:r>
        <w:t>will</w:t>
      </w:r>
      <w:r w:rsidRPr="00B30DD6">
        <w:t xml:space="preserve"> have</w:t>
      </w:r>
      <w:r>
        <w:t xml:space="preserve"> access </w:t>
      </w:r>
      <w:r w:rsidRPr="002949B5">
        <w:t xml:space="preserve">to secure, appropriate, affordable housing that is aligned with their priorities and needs. </w:t>
      </w:r>
    </w:p>
    <w:p w14:paraId="13DABF12" w14:textId="285EC702" w:rsidR="00B85FEA" w:rsidRDefault="00BD0253">
      <w:r w:rsidRPr="002949B5">
        <w:t xml:space="preserve">For this goal, the </w:t>
      </w:r>
      <w:r w:rsidR="00085E3F" w:rsidRPr="002949B5">
        <w:t xml:space="preserve">Council </w:t>
      </w:r>
      <w:r w:rsidR="00B85FEA" w:rsidRPr="002949B5">
        <w:t>propose</w:t>
      </w:r>
      <w:r w:rsidR="00085E3F" w:rsidRPr="002949B5">
        <w:t>s</w:t>
      </w:r>
      <w:r w:rsidR="001A62C8" w:rsidRPr="002949B5">
        <w:t xml:space="preserve"> </w:t>
      </w:r>
      <w:r w:rsidRPr="002949B5">
        <w:t>setting target</w:t>
      </w:r>
      <w:r w:rsidR="000718E3" w:rsidRPr="002949B5">
        <w:t xml:space="preserve">s </w:t>
      </w:r>
      <w:r w:rsidRPr="002949B5">
        <w:t>for</w:t>
      </w:r>
      <w:r w:rsidR="000718E3" w:rsidRPr="002949B5">
        <w:t xml:space="preserve"> </w:t>
      </w:r>
      <w:r w:rsidR="00FD0F74">
        <w:t>First Nations</w:t>
      </w:r>
      <w:r w:rsidR="000718E3" w:rsidRPr="002949B5">
        <w:t xml:space="preserve"> </w:t>
      </w:r>
      <w:r w:rsidR="00B85FEA" w:rsidRPr="002949B5">
        <w:t>home ownership and homelessness rates being on par with the rest of Australia. In 2021, home ownership rates were 66</w:t>
      </w:r>
      <w:r w:rsidR="0099326B" w:rsidRPr="002949B5">
        <w:t> per cent</w:t>
      </w:r>
      <w:r w:rsidR="00B85FEA" w:rsidRPr="002949B5">
        <w:t xml:space="preserve"> for the population, compared to 42</w:t>
      </w:r>
      <w:r w:rsidR="0099326B" w:rsidRPr="002949B5">
        <w:t> per cent</w:t>
      </w:r>
      <w:r w:rsidR="00B85FEA" w:rsidRPr="002949B5">
        <w:t xml:space="preserve"> for </w:t>
      </w:r>
      <w:r w:rsidR="0099326B" w:rsidRPr="002949B5">
        <w:t>First Nations</w:t>
      </w:r>
      <w:r w:rsidR="00B85FEA" w:rsidRPr="002949B5">
        <w:t xml:space="preserve"> households; although consideration should also be given to the different age structures of the two populations, with around 50</w:t>
      </w:r>
      <w:r w:rsidR="0099326B" w:rsidRPr="002949B5">
        <w:t> per cent</w:t>
      </w:r>
      <w:r w:rsidR="00B85FEA" w:rsidRPr="002949B5">
        <w:t xml:space="preserve"> of </w:t>
      </w:r>
      <w:r w:rsidR="0099326B" w:rsidRPr="002949B5">
        <w:t>First Nations</w:t>
      </w:r>
      <w:r w:rsidR="00B85FEA" w:rsidRPr="002949B5">
        <w:t xml:space="preserve"> people aged 24 or under (ABS 2022</w:t>
      </w:r>
      <w:r w:rsidR="00464574" w:rsidRPr="002949B5">
        <w:t>d</w:t>
      </w:r>
      <w:r w:rsidR="00B85FEA" w:rsidRPr="002949B5">
        <w:t xml:space="preserve">). At the same time, </w:t>
      </w:r>
      <w:r w:rsidR="0099326B" w:rsidRPr="002949B5">
        <w:t>First Nations</w:t>
      </w:r>
      <w:r w:rsidR="00B85FEA" w:rsidRPr="002949B5">
        <w:t xml:space="preserve"> people had a much higher rate of homelessness, at 307 per 10,000 people. Another goal is meeting the Closing the Gap target 9a by 2031 to reduce overcrowding (see </w:t>
      </w:r>
      <w:r w:rsidR="00B85FEA" w:rsidRPr="0041126E">
        <w:t xml:space="preserve">Chapter </w:t>
      </w:r>
      <w:r w:rsidR="00B85FEA" w:rsidRPr="00251AB5">
        <w:rPr>
          <w:iCs/>
        </w:rPr>
        <w:t>6</w:t>
      </w:r>
      <w:r w:rsidR="009A4341" w:rsidRPr="002949B5">
        <w:rPr>
          <w:i/>
        </w:rPr>
        <w:t>,</w:t>
      </w:r>
      <w:r w:rsidR="00B85FEA" w:rsidRPr="002949B5">
        <w:rPr>
          <w:i/>
        </w:rPr>
        <w:t xml:space="preserve"> </w:t>
      </w:r>
      <w:r w:rsidR="0099326B" w:rsidRPr="00854FF9">
        <w:rPr>
          <w:rStyle w:val="Emphasis"/>
        </w:rPr>
        <w:t>First Nations</w:t>
      </w:r>
      <w:r w:rsidR="00B85FEA" w:rsidRPr="00854FF9">
        <w:rPr>
          <w:rStyle w:val="Emphasis"/>
        </w:rPr>
        <w:t xml:space="preserve"> housing</w:t>
      </w:r>
      <w:r w:rsidR="00B85FEA" w:rsidRPr="002949B5">
        <w:t xml:space="preserve">). As the Closing the Gap target 9b on essential services is </w:t>
      </w:r>
      <w:r w:rsidR="00A37A34">
        <w:t>currently</w:t>
      </w:r>
      <w:r w:rsidR="00B85FEA" w:rsidRPr="002949B5">
        <w:t xml:space="preserve"> </w:t>
      </w:r>
      <w:r w:rsidR="00C305C7" w:rsidRPr="002949B5">
        <w:t xml:space="preserve">not </w:t>
      </w:r>
      <w:r w:rsidR="00B85FEA" w:rsidRPr="002949B5">
        <w:t>measured, the</w:t>
      </w:r>
      <w:r w:rsidR="00B85FEA">
        <w:t xml:space="preserve"> Council also advocates for more data to be collected.</w:t>
      </w:r>
    </w:p>
    <w:tbl>
      <w:tblPr>
        <w:tblW w:w="5000" w:type="pct"/>
        <w:shd w:val="clear" w:color="auto" w:fill="FFFF00"/>
        <w:tblCellMar>
          <w:top w:w="284" w:type="dxa"/>
          <w:left w:w="284" w:type="dxa"/>
          <w:bottom w:w="284" w:type="dxa"/>
          <w:right w:w="284" w:type="dxa"/>
        </w:tblCellMar>
        <w:tblLook w:val="0600" w:firstRow="0" w:lastRow="0" w:firstColumn="0" w:lastColumn="0" w:noHBand="1" w:noVBand="1"/>
      </w:tblPr>
      <w:tblGrid>
        <w:gridCol w:w="9070"/>
      </w:tblGrid>
      <w:tr w:rsidR="00B85FEA" w14:paraId="54CEA2AC" w14:textId="77777777">
        <w:tc>
          <w:tcPr>
            <w:tcW w:w="5000" w:type="pct"/>
            <w:shd w:val="clear" w:color="auto" w:fill="F2E3C7" w:themeFill="background2"/>
            <w:hideMark/>
          </w:tcPr>
          <w:p w14:paraId="49E0CDE3" w14:textId="77777777" w:rsidR="00B85FEA" w:rsidRPr="0099326B" w:rsidRDefault="00B85FEA" w:rsidP="001B4EAF">
            <w:pPr>
              <w:pStyle w:val="BoxHeadingBox11"/>
            </w:pPr>
            <w:r w:rsidRPr="0099326B">
              <w:lastRenderedPageBreak/>
              <w:t xml:space="preserve">The housing production process </w:t>
            </w:r>
          </w:p>
          <w:p w14:paraId="504747B8" w14:textId="63489978" w:rsidR="00B85FEA" w:rsidRPr="0099326B" w:rsidRDefault="00B85FEA" w:rsidP="0099326B">
            <w:pPr>
              <w:pStyle w:val="BoxText"/>
            </w:pPr>
            <w:r w:rsidRPr="0099326B">
              <w:t xml:space="preserve">Housing construction is just one stage of the broader housing production process. The process, outlined in </w:t>
            </w:r>
            <w:r w:rsidR="002B4069" w:rsidRPr="0099326B">
              <w:t>Table 1.1</w:t>
            </w:r>
            <w:r w:rsidR="000B23B6" w:rsidRPr="0099326B">
              <w:t>,</w:t>
            </w:r>
            <w:r w:rsidRPr="0099326B">
              <w:t xml:space="preserve"> </w:t>
            </w:r>
            <w:r w:rsidR="00A1296D" w:rsidRPr="0099326B">
              <w:t>has many stages</w:t>
            </w:r>
            <w:r w:rsidRPr="0099326B">
              <w:t xml:space="preserve"> and can span many years.</w:t>
            </w:r>
          </w:p>
          <w:p w14:paraId="599737E8" w14:textId="4CFFCAC9" w:rsidR="00B85FEA" w:rsidRPr="0099326B" w:rsidRDefault="00B85FEA" w:rsidP="0099326B">
            <w:pPr>
              <w:pStyle w:val="BoxText"/>
            </w:pPr>
            <w:r w:rsidRPr="0099326B">
              <w:t>The agents involved include all levels of government, planners, developers, builders and bankers. All these institutions must work together to improve the efficiency of the supply system.</w:t>
            </w:r>
          </w:p>
          <w:p w14:paraId="1948A5DC" w14:textId="07161181" w:rsidR="00B85FEA" w:rsidRPr="003110C5" w:rsidRDefault="00B85FEA" w:rsidP="0099326B">
            <w:pPr>
              <w:pStyle w:val="BoxText"/>
            </w:pPr>
            <w:r w:rsidRPr="0099326B">
              <w:t>The Council assess</w:t>
            </w:r>
            <w:r w:rsidR="004B4DB5" w:rsidRPr="0099326B">
              <w:t>ed</w:t>
            </w:r>
            <w:r w:rsidRPr="0099326B">
              <w:t xml:space="preserve"> the current conditions and settings </w:t>
            </w:r>
            <w:r w:rsidR="00116DAE" w:rsidRPr="0099326B">
              <w:t xml:space="preserve">of </w:t>
            </w:r>
            <w:r w:rsidRPr="0099326B">
              <w:t xml:space="preserve">each stage of the production process. </w:t>
            </w:r>
            <w:r w:rsidR="00116DAE" w:rsidRPr="0099326B">
              <w:t>Table</w:t>
            </w:r>
            <w:r w:rsidR="00157912" w:rsidRPr="0099326B">
              <w:t> </w:t>
            </w:r>
            <w:r w:rsidR="00116DAE" w:rsidRPr="0099326B">
              <w:t xml:space="preserve">1.1. presents </w:t>
            </w:r>
            <w:r w:rsidRPr="0099326B">
              <w:t>the Council</w:t>
            </w:r>
            <w:r w:rsidR="00A15C79">
              <w:t>’</w:t>
            </w:r>
            <w:r w:rsidR="001404C0" w:rsidRPr="0099326B">
              <w:t>s</w:t>
            </w:r>
            <w:r w:rsidRPr="0099326B">
              <w:t xml:space="preserve"> </w:t>
            </w:r>
            <w:r w:rsidR="001404C0" w:rsidRPr="0099326B">
              <w:t>expert</w:t>
            </w:r>
            <w:r w:rsidRPr="0099326B">
              <w:t xml:space="preserve"> </w:t>
            </w:r>
            <w:r w:rsidR="00BE29DE" w:rsidRPr="0099326B">
              <w:t xml:space="preserve">judgement </w:t>
            </w:r>
            <w:r w:rsidRPr="0099326B">
              <w:t>on the impact of each stage on housing supply</w:t>
            </w:r>
            <w:r>
              <w:t>.</w:t>
            </w:r>
          </w:p>
          <w:p w14:paraId="130FB5F4" w14:textId="3951085E" w:rsidR="00B85FEA" w:rsidRPr="003110C5" w:rsidRDefault="009159C9" w:rsidP="0099326B">
            <w:pPr>
              <w:pStyle w:val="TableMainHeading"/>
            </w:pPr>
            <w:r>
              <w:t xml:space="preserve">The </w:t>
            </w:r>
            <w:r w:rsidR="00847F29">
              <w:t>h</w:t>
            </w:r>
            <w:r>
              <w:t>ousing production process</w:t>
            </w:r>
          </w:p>
          <w:tbl>
            <w:tblPr>
              <w:tblStyle w:val="SidebySideChartTable"/>
              <w:tblW w:w="5000" w:type="pct"/>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Look w:val="0420" w:firstRow="1" w:lastRow="0" w:firstColumn="0" w:lastColumn="0" w:noHBand="0" w:noVBand="1"/>
              <w:tblDescription w:val="A two-column table. The left-hand column is labelled ‘process’ and the right-hand column is labelled ‘brief description’."/>
            </w:tblPr>
            <w:tblGrid>
              <w:gridCol w:w="731"/>
              <w:gridCol w:w="1694"/>
              <w:gridCol w:w="3033"/>
              <w:gridCol w:w="3034"/>
            </w:tblGrid>
            <w:tr w:rsidR="00B85FEA" w:rsidRPr="005E36C3" w14:paraId="1BFEE8CD" w14:textId="77777777" w:rsidTr="0099326B">
              <w:trPr>
                <w:trHeight w:val="340"/>
              </w:trPr>
              <w:tc>
                <w:tcPr>
                  <w:tcW w:w="1263" w:type="pct"/>
                  <w:gridSpan w:val="2"/>
                  <w:tcBorders>
                    <w:bottom w:val="single" w:sz="12" w:space="0" w:color="3B455C" w:themeColor="accent1"/>
                  </w:tcBorders>
                </w:tcPr>
                <w:p w14:paraId="5CC3FAA0" w14:textId="77777777" w:rsidR="00B85FEA" w:rsidRPr="0099326B" w:rsidRDefault="00B85FEA" w:rsidP="0099326B">
                  <w:pPr>
                    <w:pStyle w:val="TableColumnHeadingLeft"/>
                  </w:pPr>
                  <w:bookmarkStart w:id="81" w:name="_Hlk195179410"/>
                  <w:r w:rsidRPr="0099326B">
                    <w:t>Process</w:t>
                  </w:r>
                </w:p>
              </w:tc>
              <w:tc>
                <w:tcPr>
                  <w:tcW w:w="1868" w:type="pct"/>
                  <w:tcBorders>
                    <w:bottom w:val="single" w:sz="12" w:space="0" w:color="3B455C" w:themeColor="accent1"/>
                  </w:tcBorders>
                  <w:hideMark/>
                </w:tcPr>
                <w:p w14:paraId="6572B3AD" w14:textId="77777777" w:rsidR="00B85FEA" w:rsidRPr="0099326B" w:rsidRDefault="00B85FEA" w:rsidP="0099326B">
                  <w:pPr>
                    <w:pStyle w:val="TableColumnHeadingLeft"/>
                  </w:pPr>
                  <w:r w:rsidRPr="0099326B">
                    <w:t>Brief description</w:t>
                  </w:r>
                </w:p>
              </w:tc>
              <w:tc>
                <w:tcPr>
                  <w:tcW w:w="1869" w:type="pct"/>
                  <w:tcBorders>
                    <w:bottom w:val="single" w:sz="12" w:space="0" w:color="3B455C" w:themeColor="accent1"/>
                  </w:tcBorders>
                </w:tcPr>
                <w:p w14:paraId="7C63CEBB" w14:textId="77777777" w:rsidR="00B85FEA" w:rsidRPr="0099326B" w:rsidRDefault="00B85FEA" w:rsidP="0099326B">
                  <w:pPr>
                    <w:pStyle w:val="TableColumnHeadingLeft"/>
                  </w:pPr>
                  <w:r w:rsidRPr="0099326B">
                    <w:t>Impact on housing supply</w:t>
                  </w:r>
                </w:p>
              </w:tc>
            </w:tr>
            <w:bookmarkEnd w:id="81"/>
            <w:tr w:rsidR="00B85FEA" w:rsidRPr="005E36C3" w14:paraId="4043A099" w14:textId="77777777" w:rsidTr="0099326B">
              <w:trPr>
                <w:trHeight w:val="488"/>
              </w:trPr>
              <w:tc>
                <w:tcPr>
                  <w:tcW w:w="393" w:type="pct"/>
                  <w:tcBorders>
                    <w:top w:val="single" w:sz="12" w:space="0" w:color="3B455C" w:themeColor="accent1"/>
                  </w:tcBorders>
                </w:tcPr>
                <w:p w14:paraId="1D35C688" w14:textId="77777777" w:rsidR="00B85FEA" w:rsidRPr="005E36C3" w:rsidRDefault="00B85FEA" w:rsidP="001E61CE">
                  <w:pPr>
                    <w:spacing w:before="120" w:after="120"/>
                  </w:pPr>
                  <w:r>
                    <w:rPr>
                      <w:noProof/>
                      <w:lang w:val="en-US"/>
                    </w:rPr>
                    <w:drawing>
                      <wp:inline distT="0" distB="0" distL="0" distR="0" wp14:anchorId="586E3B0F" wp14:editId="598C7A77">
                        <wp:extent cx="327042" cy="327042"/>
                        <wp:effectExtent l="0" t="0" r="0" b="0"/>
                        <wp:docPr id="1508320388" name="Picture 1508320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20388" name="Picture 1508320388">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327042" cy="327042"/>
                                </a:xfrm>
                                <a:prstGeom prst="rect">
                                  <a:avLst/>
                                </a:prstGeom>
                              </pic:spPr>
                            </pic:pic>
                          </a:graphicData>
                        </a:graphic>
                      </wp:inline>
                    </w:drawing>
                  </w:r>
                </w:p>
              </w:tc>
              <w:tc>
                <w:tcPr>
                  <w:tcW w:w="870" w:type="pct"/>
                  <w:tcBorders>
                    <w:top w:val="single" w:sz="12" w:space="0" w:color="3B455C" w:themeColor="accent1"/>
                  </w:tcBorders>
                  <w:shd w:val="clear" w:color="auto" w:fill="D4B08C" w:themeFill="accent4"/>
                  <w:hideMark/>
                </w:tcPr>
                <w:p w14:paraId="330E22E1" w14:textId="3CED4260" w:rsidR="00B85FEA" w:rsidRPr="0099326B" w:rsidRDefault="00B85FEA" w:rsidP="0099326B">
                  <w:pPr>
                    <w:pStyle w:val="TableColumnHeadingLeft"/>
                  </w:pPr>
                  <w:r w:rsidRPr="0099326B">
                    <w:t>Strategic land</w:t>
                  </w:r>
                  <w:r w:rsidR="00A15C79">
                    <w:noBreakHyphen/>
                  </w:r>
                  <w:r w:rsidRPr="0099326B">
                    <w:t>use planning</w:t>
                  </w:r>
                </w:p>
              </w:tc>
              <w:tc>
                <w:tcPr>
                  <w:tcW w:w="1868" w:type="pct"/>
                  <w:tcBorders>
                    <w:top w:val="single" w:sz="12" w:space="0" w:color="3B455C" w:themeColor="accent1"/>
                  </w:tcBorders>
                  <w:hideMark/>
                </w:tcPr>
                <w:p w14:paraId="405CD28D" w14:textId="77777777" w:rsidR="00B85FEA" w:rsidRPr="0099326B" w:rsidRDefault="00B85FEA" w:rsidP="0099326B">
                  <w:pPr>
                    <w:pStyle w:val="TableTextLeft"/>
                  </w:pPr>
                  <w:r w:rsidRPr="0099326B">
                    <w:t>Drafting outline plans that identify preferred areas for different forms of housing at the metropolitan, regional, district and neighbourhood levels.</w:t>
                  </w:r>
                </w:p>
              </w:tc>
              <w:tc>
                <w:tcPr>
                  <w:tcW w:w="1869" w:type="pct"/>
                  <w:tcBorders>
                    <w:top w:val="single" w:sz="12" w:space="0" w:color="3B455C" w:themeColor="accent1"/>
                  </w:tcBorders>
                </w:tcPr>
                <w:p w14:paraId="440649A2" w14:textId="7B6DC8A1" w:rsidR="00B85FEA" w:rsidRPr="00352C3A" w:rsidRDefault="00B85FEA">
                  <w:pPr>
                    <w:pStyle w:val="TableTextLeft"/>
                  </w:pPr>
                  <w:r>
                    <w:rPr>
                      <w:b/>
                      <w:bCs/>
                      <w:i/>
                      <w:iCs/>
                    </w:rPr>
                    <w:t>Neutral</w:t>
                  </w:r>
                  <w:r w:rsidRPr="00D724C4">
                    <w:rPr>
                      <w:b/>
                      <w:bCs/>
                      <w:i/>
                      <w:iCs/>
                    </w:rPr>
                    <w:t xml:space="preserve"> </w:t>
                  </w:r>
                  <w:r>
                    <w:t>– Most jurisdictions make ample strategic provision for housing land.</w:t>
                  </w:r>
                </w:p>
              </w:tc>
            </w:tr>
            <w:tr w:rsidR="00B85FEA" w:rsidRPr="005E36C3" w14:paraId="4C14FA1F" w14:textId="77777777" w:rsidTr="0099326B">
              <w:trPr>
                <w:trHeight w:val="877"/>
              </w:trPr>
              <w:tc>
                <w:tcPr>
                  <w:tcW w:w="393" w:type="pct"/>
                </w:tcPr>
                <w:p w14:paraId="7D74D1C3" w14:textId="77777777" w:rsidR="00B85FEA" w:rsidRPr="005E36C3" w:rsidRDefault="00B85FEA" w:rsidP="001E61CE">
                  <w:pPr>
                    <w:spacing w:before="120" w:after="120"/>
                    <w:rPr>
                      <w:lang w:val="en-US"/>
                    </w:rPr>
                  </w:pPr>
                  <w:r>
                    <w:rPr>
                      <w:noProof/>
                      <w:lang w:val="en-US"/>
                    </w:rPr>
                    <w:drawing>
                      <wp:inline distT="0" distB="0" distL="0" distR="0" wp14:anchorId="067BA17C" wp14:editId="427E1E43">
                        <wp:extent cx="327042" cy="327042"/>
                        <wp:effectExtent l="0" t="0" r="0" b="0"/>
                        <wp:docPr id="1263814362" name="Picture 12638143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814362" name="Picture 1263814362">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327042" cy="327042"/>
                                </a:xfrm>
                                <a:prstGeom prst="rect">
                                  <a:avLst/>
                                </a:prstGeom>
                              </pic:spPr>
                            </pic:pic>
                          </a:graphicData>
                        </a:graphic>
                      </wp:inline>
                    </w:drawing>
                  </w:r>
                </w:p>
              </w:tc>
              <w:tc>
                <w:tcPr>
                  <w:tcW w:w="870" w:type="pct"/>
                  <w:shd w:val="clear" w:color="auto" w:fill="D4B08C" w:themeFill="accent4"/>
                  <w:hideMark/>
                </w:tcPr>
                <w:p w14:paraId="05A03149" w14:textId="77777777" w:rsidR="00B85FEA" w:rsidRPr="0099326B" w:rsidRDefault="00B85FEA" w:rsidP="0099326B">
                  <w:pPr>
                    <w:pStyle w:val="TableColumnHeadingLeft"/>
                  </w:pPr>
                  <w:r w:rsidRPr="0099326B">
                    <w:t>Setting statutory enablers</w:t>
                  </w:r>
                </w:p>
              </w:tc>
              <w:tc>
                <w:tcPr>
                  <w:tcW w:w="1868" w:type="pct"/>
                  <w:hideMark/>
                </w:tcPr>
                <w:p w14:paraId="6D8F7257" w14:textId="36809F86" w:rsidR="00B85FEA" w:rsidRPr="005565DF" w:rsidRDefault="00B85FEA" w:rsidP="0099326B">
                  <w:pPr>
                    <w:pStyle w:val="TableTextLeft"/>
                    <w:rPr>
                      <w:spacing w:val="-2"/>
                    </w:rPr>
                  </w:pPr>
                  <w:r w:rsidRPr="005565DF">
                    <w:rPr>
                      <w:spacing w:val="-2"/>
                    </w:rPr>
                    <w:t xml:space="preserve">Translating the outline plans into statutory instruments, under which development rights for housing may be awarded to the proponent. </w:t>
                  </w:r>
                  <w:r w:rsidR="00905488">
                    <w:rPr>
                      <w:spacing w:val="-2"/>
                    </w:rPr>
                    <w:br/>
                  </w:r>
                  <w:r w:rsidRPr="005565DF">
                    <w:rPr>
                      <w:spacing w:val="-2"/>
                    </w:rPr>
                    <w:t>May include density provisions, performance standards and prescriptive rules regarding height, site coverage, open space, water</w:t>
                  </w:r>
                  <w:r w:rsidR="00A15C79">
                    <w:rPr>
                      <w:spacing w:val="-2"/>
                    </w:rPr>
                    <w:noBreakHyphen/>
                  </w:r>
                  <w:r w:rsidRPr="005565DF">
                    <w:rPr>
                      <w:spacing w:val="-2"/>
                    </w:rPr>
                    <w:t>sensitive development, heritage, car parking and urban design.</w:t>
                  </w:r>
                </w:p>
              </w:tc>
              <w:tc>
                <w:tcPr>
                  <w:tcW w:w="1869" w:type="pct"/>
                </w:tcPr>
                <w:p w14:paraId="332275FB" w14:textId="14B2A1EB" w:rsidR="00B85FEA" w:rsidRPr="0038007C" w:rsidRDefault="00B85FEA">
                  <w:pPr>
                    <w:pStyle w:val="TableTextLeft"/>
                  </w:pPr>
                  <w:r w:rsidRPr="0038007C">
                    <w:rPr>
                      <w:b/>
                      <w:bCs/>
                      <w:i/>
                      <w:iCs/>
                    </w:rPr>
                    <w:t>Adverse</w:t>
                  </w:r>
                  <w:r w:rsidRPr="0038007C">
                    <w:t xml:space="preserve"> – Statutory planning provisions are often complex and inconsistent </w:t>
                  </w:r>
                  <w:r w:rsidR="004B603B" w:rsidRPr="0038007C">
                    <w:t xml:space="preserve">within </w:t>
                  </w:r>
                  <w:r w:rsidRPr="0038007C">
                    <w:t xml:space="preserve">and </w:t>
                  </w:r>
                  <w:r w:rsidR="004B603B" w:rsidRPr="0038007C">
                    <w:t xml:space="preserve">across </w:t>
                  </w:r>
                  <w:r w:rsidRPr="0038007C">
                    <w:t>jurisdictions. Performance</w:t>
                  </w:r>
                  <w:r w:rsidR="00A15C79">
                    <w:noBreakHyphen/>
                  </w:r>
                  <w:r w:rsidRPr="0038007C">
                    <w:t>based statutory drafting with clear deemed</w:t>
                  </w:r>
                  <w:r w:rsidR="00A15C79">
                    <w:noBreakHyphen/>
                  </w:r>
                  <w:r w:rsidRPr="0038007C">
                    <w:t>to</w:t>
                  </w:r>
                  <w:r w:rsidR="00A15C79">
                    <w:noBreakHyphen/>
                  </w:r>
                  <w:r w:rsidRPr="0038007C">
                    <w:t xml:space="preserve">comply provisions is relatively rare. </w:t>
                  </w:r>
                </w:p>
              </w:tc>
            </w:tr>
            <w:tr w:rsidR="00B85FEA" w:rsidRPr="005E36C3" w14:paraId="382D4BF1" w14:textId="77777777" w:rsidTr="0099326B">
              <w:trPr>
                <w:trHeight w:val="488"/>
              </w:trPr>
              <w:tc>
                <w:tcPr>
                  <w:tcW w:w="393" w:type="pct"/>
                </w:tcPr>
                <w:p w14:paraId="5BCC4C3B" w14:textId="77777777" w:rsidR="00B85FEA" w:rsidRPr="005E36C3" w:rsidRDefault="00B85FEA" w:rsidP="001E61CE">
                  <w:pPr>
                    <w:spacing w:before="120" w:after="120"/>
                  </w:pPr>
                  <w:r>
                    <w:rPr>
                      <w:noProof/>
                      <w:lang w:val="en-US"/>
                    </w:rPr>
                    <w:drawing>
                      <wp:inline distT="0" distB="0" distL="0" distR="0" wp14:anchorId="1575BEDB" wp14:editId="642DD26C">
                        <wp:extent cx="327042" cy="327042"/>
                        <wp:effectExtent l="0" t="0" r="0" b="0"/>
                        <wp:docPr id="808231038" name="Picture 8082310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31038" name="Picture 808231038">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327042" cy="327042"/>
                                </a:xfrm>
                                <a:prstGeom prst="rect">
                                  <a:avLst/>
                                </a:prstGeom>
                              </pic:spPr>
                            </pic:pic>
                          </a:graphicData>
                        </a:graphic>
                      </wp:inline>
                    </w:drawing>
                  </w:r>
                </w:p>
              </w:tc>
              <w:tc>
                <w:tcPr>
                  <w:tcW w:w="870" w:type="pct"/>
                  <w:shd w:val="clear" w:color="auto" w:fill="D4B08C" w:themeFill="accent4"/>
                  <w:hideMark/>
                </w:tcPr>
                <w:p w14:paraId="47954C86" w14:textId="77777777" w:rsidR="00B85FEA" w:rsidRPr="0099326B" w:rsidRDefault="00B85FEA" w:rsidP="0099326B">
                  <w:pPr>
                    <w:pStyle w:val="TableColumnHeadingLeft"/>
                  </w:pPr>
                  <w:r w:rsidRPr="0099326B">
                    <w:t>Assembling sites for housing</w:t>
                  </w:r>
                </w:p>
              </w:tc>
              <w:tc>
                <w:tcPr>
                  <w:tcW w:w="1868" w:type="pct"/>
                  <w:hideMark/>
                </w:tcPr>
                <w:p w14:paraId="45A58965" w14:textId="77777777" w:rsidR="00B85FEA" w:rsidRPr="0099326B" w:rsidRDefault="00B85FEA" w:rsidP="0099326B">
                  <w:pPr>
                    <w:pStyle w:val="TableTextLeft"/>
                  </w:pPr>
                  <w:r w:rsidRPr="0099326B">
                    <w:t>Acquiring and consolidating parcels of land suitable for housing development that are compliant with statutory planning requirements.</w:t>
                  </w:r>
                </w:p>
              </w:tc>
              <w:tc>
                <w:tcPr>
                  <w:tcW w:w="1869" w:type="pct"/>
                </w:tcPr>
                <w:p w14:paraId="7A94C3ED" w14:textId="70A5D052" w:rsidR="00B85FEA" w:rsidRPr="00352C3A" w:rsidRDefault="00B85FEA">
                  <w:pPr>
                    <w:pStyle w:val="TableTextLeft"/>
                  </w:pPr>
                  <w:r w:rsidRPr="00694078">
                    <w:rPr>
                      <w:b/>
                      <w:bCs/>
                      <w:i/>
                      <w:iCs/>
                    </w:rPr>
                    <w:t>Strongly adverse</w:t>
                  </w:r>
                  <w:r>
                    <w:t xml:space="preserve"> – Land assembly is mostly left to individual developers and traders and is prone to holdouts and misaligned price expectations.</w:t>
                  </w:r>
                  <w:r w:rsidR="00E6574D">
                    <w:t xml:space="preserve"> </w:t>
                  </w:r>
                  <w:r>
                    <w:t>Jurisdictions typically lack large</w:t>
                  </w:r>
                  <w:r w:rsidR="00A15C79">
                    <w:noBreakHyphen/>
                  </w:r>
                  <w:r>
                    <w:t>scale, public sector</w:t>
                  </w:r>
                  <w:r w:rsidR="0062540A">
                    <w:t>-</w:t>
                  </w:r>
                  <w:r>
                    <w:t>led land assembly programs.</w:t>
                  </w:r>
                </w:p>
              </w:tc>
            </w:tr>
            <w:tr w:rsidR="00B85FEA" w:rsidRPr="005E36C3" w14:paraId="4E9F28EA" w14:textId="77777777" w:rsidTr="0099326B">
              <w:trPr>
                <w:trHeight w:val="662"/>
              </w:trPr>
              <w:tc>
                <w:tcPr>
                  <w:tcW w:w="393" w:type="pct"/>
                </w:tcPr>
                <w:p w14:paraId="3CC7254F" w14:textId="77777777" w:rsidR="00B85FEA" w:rsidRPr="005E36C3" w:rsidRDefault="00B85FEA" w:rsidP="001E61CE">
                  <w:pPr>
                    <w:spacing w:before="120" w:after="120"/>
                  </w:pPr>
                  <w:r>
                    <w:rPr>
                      <w:noProof/>
                      <w:lang w:val="en-US"/>
                    </w:rPr>
                    <w:drawing>
                      <wp:inline distT="0" distB="0" distL="0" distR="0" wp14:anchorId="464F9B75" wp14:editId="36D7F42E">
                        <wp:extent cx="327042" cy="327042"/>
                        <wp:effectExtent l="0" t="0" r="0" b="0"/>
                        <wp:docPr id="339532071" name="Picture 3395320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532071" name="Picture 339532071">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27042" cy="327042"/>
                                </a:xfrm>
                                <a:prstGeom prst="rect">
                                  <a:avLst/>
                                </a:prstGeom>
                              </pic:spPr>
                            </pic:pic>
                          </a:graphicData>
                        </a:graphic>
                      </wp:inline>
                    </w:drawing>
                  </w:r>
                </w:p>
              </w:tc>
              <w:tc>
                <w:tcPr>
                  <w:tcW w:w="870" w:type="pct"/>
                  <w:shd w:val="clear" w:color="auto" w:fill="D4B08C" w:themeFill="accent4"/>
                  <w:hideMark/>
                </w:tcPr>
                <w:p w14:paraId="3EEF097D" w14:textId="77777777" w:rsidR="00B85FEA" w:rsidRPr="0099326B" w:rsidRDefault="00B85FEA" w:rsidP="0099326B">
                  <w:pPr>
                    <w:pStyle w:val="TableColumnHeadingLeft"/>
                  </w:pPr>
                  <w:r w:rsidRPr="0099326B">
                    <w:t>Planning approval process</w:t>
                  </w:r>
                </w:p>
              </w:tc>
              <w:tc>
                <w:tcPr>
                  <w:tcW w:w="1868" w:type="pct"/>
                  <w:hideMark/>
                </w:tcPr>
                <w:p w14:paraId="734BC651" w14:textId="77777777" w:rsidR="00B85FEA" w:rsidRPr="0099326B" w:rsidRDefault="00B85FEA" w:rsidP="0099326B">
                  <w:pPr>
                    <w:pStyle w:val="TableTextLeft"/>
                  </w:pPr>
                  <w:r w:rsidRPr="0099326B">
                    <w:t>Securing development rights for housing projects that comply with statutory planning requirements.</w:t>
                  </w:r>
                </w:p>
                <w:p w14:paraId="3D03FD53" w14:textId="40413018" w:rsidR="00B85FEA" w:rsidRPr="0099326B" w:rsidRDefault="00B85FEA" w:rsidP="0099326B">
                  <w:pPr>
                    <w:pStyle w:val="TableTextLeft"/>
                  </w:pPr>
                  <w:r w:rsidRPr="0099326B">
                    <w:t>May involve public notification of development proposals and third</w:t>
                  </w:r>
                  <w:r w:rsidR="00A15C79">
                    <w:noBreakHyphen/>
                  </w:r>
                  <w:r w:rsidRPr="0099326B">
                    <w:t>party appeals.</w:t>
                  </w:r>
                </w:p>
              </w:tc>
              <w:tc>
                <w:tcPr>
                  <w:tcW w:w="1869" w:type="pct"/>
                </w:tcPr>
                <w:p w14:paraId="5D1A2235" w14:textId="663C2BB3" w:rsidR="00B85FEA" w:rsidRPr="00352C3A" w:rsidRDefault="00B85FEA">
                  <w:pPr>
                    <w:pStyle w:val="TableTextLeft"/>
                  </w:pPr>
                  <w:r>
                    <w:rPr>
                      <w:b/>
                      <w:bCs/>
                      <w:i/>
                      <w:iCs/>
                    </w:rPr>
                    <w:t>Strongly a</w:t>
                  </w:r>
                  <w:r w:rsidRPr="00694078">
                    <w:rPr>
                      <w:b/>
                      <w:bCs/>
                      <w:i/>
                      <w:iCs/>
                    </w:rPr>
                    <w:t>dverse</w:t>
                  </w:r>
                  <w:r>
                    <w:t xml:space="preserve"> – Poor drafting of statutory planning rules typically leaves too much room for discretion in interpretation, leading to delays and disputation in the</w:t>
                  </w:r>
                  <w:r w:rsidR="00762A87">
                    <w:t xml:space="preserve"> development application</w:t>
                  </w:r>
                  <w:r>
                    <w:t xml:space="preserve"> </w:t>
                  </w:r>
                  <w:r w:rsidR="00E0152B">
                    <w:t>(</w:t>
                  </w:r>
                  <w:r w:rsidRPr="00E0152B">
                    <w:t>DA</w:t>
                  </w:r>
                  <w:r w:rsidR="00E0152B" w:rsidRPr="00E0152B">
                    <w:t>)</w:t>
                  </w:r>
                  <w:r w:rsidRPr="00E0152B">
                    <w:t xml:space="preserve"> process</w:t>
                  </w:r>
                  <w:r>
                    <w:t>. Greater separation between planning policy making (the responsibility of elected members) and the DA process (a technical process) is required.</w:t>
                  </w:r>
                  <w:r w:rsidR="00E6574D">
                    <w:t xml:space="preserve"> </w:t>
                  </w:r>
                  <w:r>
                    <w:t xml:space="preserve">Subsidiarity in the DA process is inconsistent </w:t>
                  </w:r>
                  <w:r w:rsidR="003012AE">
                    <w:t xml:space="preserve">within </w:t>
                  </w:r>
                  <w:r>
                    <w:t xml:space="preserve">and </w:t>
                  </w:r>
                  <w:r w:rsidR="003012AE">
                    <w:t>across</w:t>
                  </w:r>
                  <w:r>
                    <w:t xml:space="preserve"> jurisdictions.</w:t>
                  </w:r>
                </w:p>
              </w:tc>
            </w:tr>
            <w:tr w:rsidR="00B85FEA" w:rsidRPr="005E36C3" w14:paraId="409E4074" w14:textId="77777777" w:rsidTr="0099326B">
              <w:trPr>
                <w:trHeight w:val="501"/>
              </w:trPr>
              <w:tc>
                <w:tcPr>
                  <w:tcW w:w="393" w:type="pct"/>
                  <w:tcBorders>
                    <w:bottom w:val="single" w:sz="12" w:space="0" w:color="3B455C" w:themeColor="accent1"/>
                  </w:tcBorders>
                </w:tcPr>
                <w:p w14:paraId="4AF174CB" w14:textId="77777777" w:rsidR="00B85FEA" w:rsidRPr="005E36C3" w:rsidRDefault="00B85FEA" w:rsidP="001E61CE">
                  <w:pPr>
                    <w:spacing w:before="120" w:after="120"/>
                    <w:rPr>
                      <w:lang w:val="en-US"/>
                    </w:rPr>
                  </w:pPr>
                  <w:r>
                    <w:rPr>
                      <w:noProof/>
                      <w:lang w:val="en-US"/>
                    </w:rPr>
                    <w:drawing>
                      <wp:inline distT="0" distB="0" distL="0" distR="0" wp14:anchorId="1660117D" wp14:editId="1B258ECC">
                        <wp:extent cx="327042" cy="327042"/>
                        <wp:effectExtent l="0" t="0" r="0" b="0"/>
                        <wp:docPr id="340199645" name="Picture 3401996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199645" name="Picture 340199645">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327042" cy="327042"/>
                                </a:xfrm>
                                <a:prstGeom prst="rect">
                                  <a:avLst/>
                                </a:prstGeom>
                              </pic:spPr>
                            </pic:pic>
                          </a:graphicData>
                        </a:graphic>
                      </wp:inline>
                    </w:drawing>
                  </w:r>
                </w:p>
              </w:tc>
              <w:tc>
                <w:tcPr>
                  <w:tcW w:w="870" w:type="pct"/>
                  <w:tcBorders>
                    <w:bottom w:val="single" w:sz="12" w:space="0" w:color="3B455C" w:themeColor="accent1"/>
                  </w:tcBorders>
                  <w:shd w:val="clear" w:color="auto" w:fill="D4B08C" w:themeFill="accent4"/>
                  <w:hideMark/>
                </w:tcPr>
                <w:p w14:paraId="2C1A7D25" w14:textId="77777777" w:rsidR="00B85FEA" w:rsidRPr="0099326B" w:rsidRDefault="00B85FEA" w:rsidP="0099326B">
                  <w:pPr>
                    <w:pStyle w:val="TableColumnHeadingLeft"/>
                  </w:pPr>
                  <w:r w:rsidRPr="0099326B">
                    <w:t>Development assessment review</w:t>
                  </w:r>
                </w:p>
              </w:tc>
              <w:tc>
                <w:tcPr>
                  <w:tcW w:w="1868" w:type="pct"/>
                  <w:tcBorders>
                    <w:bottom w:val="single" w:sz="12" w:space="0" w:color="3B455C" w:themeColor="accent1"/>
                  </w:tcBorders>
                  <w:hideMark/>
                </w:tcPr>
                <w:p w14:paraId="0F3FAF6A" w14:textId="77777777" w:rsidR="00B85FEA" w:rsidRPr="0099326B" w:rsidRDefault="00B85FEA" w:rsidP="0099326B">
                  <w:pPr>
                    <w:pStyle w:val="TableTextLeft"/>
                  </w:pPr>
                  <w:r w:rsidRPr="0099326B">
                    <w:t>Development proponents or other interested parties may seek independent review if they are not satisfied with local council planning decisions.</w:t>
                  </w:r>
                </w:p>
              </w:tc>
              <w:tc>
                <w:tcPr>
                  <w:tcW w:w="1869" w:type="pct"/>
                  <w:tcBorders>
                    <w:bottom w:val="single" w:sz="12" w:space="0" w:color="3B455C" w:themeColor="accent1"/>
                  </w:tcBorders>
                </w:tcPr>
                <w:p w14:paraId="1939271D" w14:textId="25D37B99" w:rsidR="00B85FEA" w:rsidRPr="00352C3A" w:rsidRDefault="00B85FEA">
                  <w:pPr>
                    <w:pStyle w:val="TableTextLeft"/>
                  </w:pPr>
                  <w:r w:rsidRPr="008427E9">
                    <w:rPr>
                      <w:b/>
                      <w:bCs/>
                      <w:i/>
                      <w:iCs/>
                    </w:rPr>
                    <w:t>Adverse</w:t>
                  </w:r>
                  <w:r>
                    <w:t xml:space="preserve"> – There are long delays in accessing reviews in some jurisdictions, reflecting resource constraints and </w:t>
                  </w:r>
                  <w:r w:rsidR="00837836">
                    <w:t xml:space="preserve">a </w:t>
                  </w:r>
                  <w:r>
                    <w:t>lack of clarity in statutory provisions, leading to lengthy cases.</w:t>
                  </w:r>
                </w:p>
              </w:tc>
            </w:tr>
          </w:tbl>
          <w:p w14:paraId="24651475" w14:textId="7D490067" w:rsidR="00B85FEA" w:rsidRPr="0099326B" w:rsidRDefault="00B85FEA" w:rsidP="00DB6DE6">
            <w:pPr>
              <w:pStyle w:val="ChartorTableNoteandSource"/>
            </w:pPr>
          </w:p>
        </w:tc>
      </w:tr>
      <w:tr w:rsidR="0099326B" w14:paraId="3CC8C284" w14:textId="77777777">
        <w:tc>
          <w:tcPr>
            <w:tcW w:w="5000" w:type="pct"/>
            <w:shd w:val="clear" w:color="auto" w:fill="F2E3C7" w:themeFill="background2"/>
          </w:tcPr>
          <w:p w14:paraId="69AF9484" w14:textId="7AB2FEAB" w:rsidR="0099326B" w:rsidRDefault="0099326B" w:rsidP="00956862">
            <w:pPr>
              <w:pStyle w:val="BoxHeadingBox11"/>
              <w:numPr>
                <w:ilvl w:val="5"/>
                <w:numId w:val="25"/>
              </w:numPr>
            </w:pPr>
            <w:r w:rsidRPr="0099326B">
              <w:lastRenderedPageBreak/>
              <w:t xml:space="preserve">The housing production process </w:t>
            </w:r>
            <w:r>
              <w:t>(continued)</w:t>
            </w:r>
            <w:r w:rsidR="005565DF" w:rsidRPr="0099326B">
              <w:t xml:space="preserve"> </w:t>
            </w:r>
          </w:p>
          <w:p w14:paraId="19C1F1EA" w14:textId="6B44F51D" w:rsidR="0099326B" w:rsidRPr="0099326B" w:rsidRDefault="0099326B" w:rsidP="0099326B">
            <w:pPr>
              <w:pStyle w:val="TableMainHeading"/>
              <w:numPr>
                <w:ilvl w:val="8"/>
                <w:numId w:val="19"/>
              </w:numPr>
            </w:pPr>
            <w:r>
              <w:t>The Housing production process (continued)</w:t>
            </w:r>
          </w:p>
          <w:tbl>
            <w:tblPr>
              <w:tblStyle w:val="SidebySideChartTable"/>
              <w:tblW w:w="8497" w:type="dxa"/>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Look w:val="0420" w:firstRow="1" w:lastRow="0" w:firstColumn="0" w:lastColumn="0" w:noHBand="0" w:noVBand="1"/>
            </w:tblPr>
            <w:tblGrid>
              <w:gridCol w:w="731"/>
              <w:gridCol w:w="1463"/>
              <w:gridCol w:w="3151"/>
              <w:gridCol w:w="3152"/>
            </w:tblGrid>
            <w:tr w:rsidR="0099326B" w:rsidRPr="0099326B" w14:paraId="3C762199" w14:textId="77777777" w:rsidTr="005565DF">
              <w:trPr>
                <w:trHeight w:val="340"/>
              </w:trPr>
              <w:tc>
                <w:tcPr>
                  <w:tcW w:w="1291" w:type="pct"/>
                  <w:gridSpan w:val="2"/>
                  <w:tcBorders>
                    <w:bottom w:val="single" w:sz="12" w:space="0" w:color="3B455C" w:themeColor="accent1"/>
                  </w:tcBorders>
                </w:tcPr>
                <w:p w14:paraId="0FE16C17" w14:textId="77777777" w:rsidR="0099326B" w:rsidRPr="0099326B" w:rsidRDefault="0099326B" w:rsidP="0099326B">
                  <w:pPr>
                    <w:pStyle w:val="TableColumnHeadingLeft"/>
                  </w:pPr>
                  <w:bookmarkStart w:id="82" w:name="_Hlk195195958"/>
                  <w:r w:rsidRPr="0099326B">
                    <w:t>Process</w:t>
                  </w:r>
                </w:p>
              </w:tc>
              <w:tc>
                <w:tcPr>
                  <w:tcW w:w="1854" w:type="pct"/>
                  <w:tcBorders>
                    <w:bottom w:val="single" w:sz="12" w:space="0" w:color="3B455C" w:themeColor="accent1"/>
                  </w:tcBorders>
                  <w:hideMark/>
                </w:tcPr>
                <w:p w14:paraId="55FC638E" w14:textId="77777777" w:rsidR="0099326B" w:rsidRPr="0099326B" w:rsidRDefault="0099326B" w:rsidP="0099326B">
                  <w:pPr>
                    <w:pStyle w:val="TableColumnHeadingLeft"/>
                  </w:pPr>
                  <w:r w:rsidRPr="0099326B">
                    <w:t>Brief description</w:t>
                  </w:r>
                </w:p>
              </w:tc>
              <w:tc>
                <w:tcPr>
                  <w:tcW w:w="1855" w:type="pct"/>
                  <w:tcBorders>
                    <w:bottom w:val="single" w:sz="12" w:space="0" w:color="3B455C" w:themeColor="accent1"/>
                  </w:tcBorders>
                </w:tcPr>
                <w:p w14:paraId="4E841713" w14:textId="77777777" w:rsidR="0099326B" w:rsidRPr="0099326B" w:rsidRDefault="0099326B" w:rsidP="0099326B">
                  <w:pPr>
                    <w:pStyle w:val="TableColumnHeadingLeft"/>
                  </w:pPr>
                  <w:r w:rsidRPr="0099326B">
                    <w:t>Impact on housing supply</w:t>
                  </w:r>
                </w:p>
              </w:tc>
            </w:tr>
            <w:bookmarkEnd w:id="82"/>
            <w:tr w:rsidR="0099326B" w:rsidRPr="005E36C3" w14:paraId="72B5A8BB" w14:textId="77777777" w:rsidTr="001E61CE">
              <w:trPr>
                <w:trHeight w:val="877"/>
              </w:trPr>
              <w:tc>
                <w:tcPr>
                  <w:tcW w:w="430" w:type="pct"/>
                  <w:tcBorders>
                    <w:top w:val="single" w:sz="12" w:space="0" w:color="3B455C" w:themeColor="accent1"/>
                  </w:tcBorders>
                </w:tcPr>
                <w:p w14:paraId="1AF3C16D" w14:textId="77777777" w:rsidR="0099326B" w:rsidRPr="005E36C3" w:rsidRDefault="0099326B" w:rsidP="001E61CE">
                  <w:pPr>
                    <w:spacing w:before="120" w:after="120"/>
                  </w:pPr>
                  <w:r>
                    <w:rPr>
                      <w:noProof/>
                      <w:lang w:val="en-US"/>
                    </w:rPr>
                    <w:drawing>
                      <wp:inline distT="0" distB="0" distL="0" distR="0" wp14:anchorId="3001BA2B" wp14:editId="028779BB">
                        <wp:extent cx="327042" cy="327042"/>
                        <wp:effectExtent l="0" t="0" r="0" b="0"/>
                        <wp:docPr id="553759763" name="Picture 5537597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7042" cy="327042"/>
                                </a:xfrm>
                                <a:prstGeom prst="rect">
                                  <a:avLst/>
                                </a:prstGeom>
                              </pic:spPr>
                            </pic:pic>
                          </a:graphicData>
                        </a:graphic>
                      </wp:inline>
                    </w:drawing>
                  </w:r>
                </w:p>
              </w:tc>
              <w:tc>
                <w:tcPr>
                  <w:tcW w:w="861" w:type="pct"/>
                  <w:tcBorders>
                    <w:top w:val="single" w:sz="12" w:space="0" w:color="3B455C" w:themeColor="accent1"/>
                  </w:tcBorders>
                  <w:shd w:val="clear" w:color="auto" w:fill="BAD4E8" w:themeFill="accent5"/>
                  <w:hideMark/>
                </w:tcPr>
                <w:p w14:paraId="14503A15" w14:textId="77777777" w:rsidR="0099326B" w:rsidRPr="0099326B" w:rsidRDefault="0099326B" w:rsidP="0099326B">
                  <w:pPr>
                    <w:pStyle w:val="TableColumnHeadingLeft"/>
                  </w:pPr>
                  <w:r w:rsidRPr="0099326B">
                    <w:t>Providing supporting infrastructure</w:t>
                  </w:r>
                </w:p>
              </w:tc>
              <w:tc>
                <w:tcPr>
                  <w:tcW w:w="1854" w:type="pct"/>
                  <w:tcBorders>
                    <w:top w:val="single" w:sz="12" w:space="0" w:color="3B455C" w:themeColor="accent1"/>
                  </w:tcBorders>
                  <w:hideMark/>
                </w:tcPr>
                <w:p w14:paraId="64D0F60B" w14:textId="41C39ADC" w:rsidR="0099326B" w:rsidRPr="0099326B" w:rsidRDefault="0099326B" w:rsidP="0099326B">
                  <w:pPr>
                    <w:pStyle w:val="TableTextLeft"/>
                  </w:pPr>
                  <w:r w:rsidRPr="0099326B">
                    <w:t>Coordinating and supplying the transport, water</w:t>
                  </w:r>
                  <w:r w:rsidR="00A15C79">
                    <w:noBreakHyphen/>
                  </w:r>
                  <w:r w:rsidRPr="0099326B">
                    <w:t>cycle management, open space and community infrastructure required to support planned housing development.</w:t>
                  </w:r>
                </w:p>
                <w:p w14:paraId="3F7BE999" w14:textId="36C7DC48" w:rsidR="0099326B" w:rsidRPr="0099326B" w:rsidRDefault="0099326B" w:rsidP="0099326B">
                  <w:pPr>
                    <w:pStyle w:val="TableTextLeft"/>
                  </w:pPr>
                  <w:r w:rsidRPr="0099326B">
                    <w:t>Includes local infrastructure provided by local councils and higher</w:t>
                  </w:r>
                  <w:r w:rsidR="00A15C79">
                    <w:noBreakHyphen/>
                  </w:r>
                  <w:r w:rsidRPr="0099326B">
                    <w:t>order infrastructure provided by state and territory authorities. Development proponents cover a share of the cost of this infrastructure.</w:t>
                  </w:r>
                </w:p>
              </w:tc>
              <w:tc>
                <w:tcPr>
                  <w:tcW w:w="1855" w:type="pct"/>
                  <w:tcBorders>
                    <w:top w:val="single" w:sz="12" w:space="0" w:color="3B455C" w:themeColor="accent1"/>
                  </w:tcBorders>
                </w:tcPr>
                <w:p w14:paraId="0FBD781D" w14:textId="7AA2E5BC" w:rsidR="0099326B" w:rsidRPr="002949B5" w:rsidRDefault="0099326B" w:rsidP="0099326B">
                  <w:pPr>
                    <w:pStyle w:val="TableTextLeft"/>
                  </w:pPr>
                  <w:r w:rsidRPr="002949B5">
                    <w:rPr>
                      <w:b/>
                      <w:i/>
                    </w:rPr>
                    <w:t>Strongly adverse</w:t>
                  </w:r>
                  <w:r w:rsidRPr="002949B5">
                    <w:t xml:space="preserve"> – Almost all jurisdictions are struggling to provide enabling trunk infrastructure like arterial roads and water/sewerage to support new greenfield housing development. Infill areas otherwise well suited to </w:t>
                  </w:r>
                  <w:r w:rsidR="00B311BA" w:rsidRPr="002949B5">
                    <w:t>higher</w:t>
                  </w:r>
                  <w:r w:rsidR="00A15C79" w:rsidRPr="002949B5">
                    <w:noBreakHyphen/>
                  </w:r>
                  <w:r w:rsidRPr="002949B5">
                    <w:t>density housing development can be constrained by one or 2 key infrastructure gaps or capacity limits such as in stormwater drainage.</w:t>
                  </w:r>
                </w:p>
              </w:tc>
            </w:tr>
            <w:tr w:rsidR="0099326B" w:rsidRPr="005E36C3" w14:paraId="0577C718" w14:textId="77777777" w:rsidTr="001E61CE">
              <w:trPr>
                <w:trHeight w:val="488"/>
              </w:trPr>
              <w:tc>
                <w:tcPr>
                  <w:tcW w:w="430" w:type="pct"/>
                </w:tcPr>
                <w:p w14:paraId="3E16F09D" w14:textId="77777777" w:rsidR="0099326B" w:rsidRPr="005E36C3" w:rsidRDefault="0099326B" w:rsidP="001E61CE">
                  <w:pPr>
                    <w:spacing w:before="120" w:after="120"/>
                  </w:pPr>
                  <w:r>
                    <w:rPr>
                      <w:noProof/>
                      <w:lang w:val="en-US"/>
                    </w:rPr>
                    <w:drawing>
                      <wp:inline distT="0" distB="0" distL="0" distR="0" wp14:anchorId="0C2946F5" wp14:editId="1D05CC9E">
                        <wp:extent cx="327042" cy="327042"/>
                        <wp:effectExtent l="0" t="0" r="0" b="0"/>
                        <wp:docPr id="2086482332" name="Picture 20864823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7042" cy="327042"/>
                                </a:xfrm>
                                <a:prstGeom prst="rect">
                                  <a:avLst/>
                                </a:prstGeom>
                              </pic:spPr>
                            </pic:pic>
                          </a:graphicData>
                        </a:graphic>
                      </wp:inline>
                    </w:drawing>
                  </w:r>
                </w:p>
              </w:tc>
              <w:tc>
                <w:tcPr>
                  <w:tcW w:w="861" w:type="pct"/>
                  <w:shd w:val="clear" w:color="auto" w:fill="BAD4E8" w:themeFill="accent5"/>
                  <w:hideMark/>
                </w:tcPr>
                <w:p w14:paraId="1119996B" w14:textId="77777777" w:rsidR="0099326B" w:rsidRPr="005E36C3" w:rsidRDefault="0099326B" w:rsidP="0099326B">
                  <w:pPr>
                    <w:pStyle w:val="TableColumnHeadingLeft"/>
                  </w:pPr>
                  <w:r w:rsidRPr="005E36C3">
                    <w:t>Arranging project</w:t>
                  </w:r>
                  <w:r>
                    <w:t> </w:t>
                  </w:r>
                  <w:r w:rsidRPr="005E36C3">
                    <w:t>finance</w:t>
                  </w:r>
                </w:p>
              </w:tc>
              <w:tc>
                <w:tcPr>
                  <w:tcW w:w="1854" w:type="pct"/>
                  <w:hideMark/>
                </w:tcPr>
                <w:p w14:paraId="1E1F644E" w14:textId="13377631" w:rsidR="0099326B" w:rsidRPr="005E36C3" w:rsidRDefault="0099326B" w:rsidP="0099326B">
                  <w:pPr>
                    <w:pStyle w:val="TableTextLeft"/>
                  </w:pPr>
                  <w:r>
                    <w:t>P</w:t>
                  </w:r>
                  <w:r w:rsidRPr="00352C3A">
                    <w:t>re</w:t>
                  </w:r>
                  <w:r w:rsidR="00A15C79">
                    <w:noBreakHyphen/>
                  </w:r>
                  <w:r w:rsidRPr="00352C3A">
                    <w:t>sales</w:t>
                  </w:r>
                  <w:r>
                    <w:t xml:space="preserve"> and</w:t>
                  </w:r>
                  <w:r w:rsidRPr="00352C3A">
                    <w:t xml:space="preserve"> debt and equity finance </w:t>
                  </w:r>
                  <w:r>
                    <w:t>arrangements</w:t>
                  </w:r>
                  <w:r w:rsidRPr="00352C3A">
                    <w:t>.</w:t>
                  </w:r>
                </w:p>
              </w:tc>
              <w:tc>
                <w:tcPr>
                  <w:tcW w:w="1855" w:type="pct"/>
                </w:tcPr>
                <w:p w14:paraId="3557D449" w14:textId="452E97AA" w:rsidR="0099326B" w:rsidRPr="002949B5" w:rsidRDefault="0099326B" w:rsidP="0099326B">
                  <w:pPr>
                    <w:pStyle w:val="TableTextLeft"/>
                  </w:pPr>
                  <w:r w:rsidRPr="002949B5">
                    <w:rPr>
                      <w:b/>
                      <w:i/>
                    </w:rPr>
                    <w:t>Adverse</w:t>
                  </w:r>
                  <w:r w:rsidRPr="002949B5">
                    <w:t xml:space="preserve"> – Reliance on pre</w:t>
                  </w:r>
                  <w:r w:rsidR="00A15C79" w:rsidRPr="002949B5">
                    <w:noBreakHyphen/>
                  </w:r>
                  <w:r w:rsidRPr="002949B5">
                    <w:t xml:space="preserve">sales limits speculative supply for most developers. Current cyclical market conditions weigh against project feasibility across many markets, especially </w:t>
                  </w:r>
                  <w:r w:rsidR="00B311BA" w:rsidRPr="002949B5">
                    <w:t>higher-</w:t>
                  </w:r>
                  <w:r w:rsidRPr="002949B5">
                    <w:t>density infill housing.</w:t>
                  </w:r>
                </w:p>
              </w:tc>
            </w:tr>
            <w:tr w:rsidR="0099326B" w:rsidRPr="005E36C3" w14:paraId="3E81F969" w14:textId="77777777" w:rsidTr="001E61CE">
              <w:trPr>
                <w:trHeight w:val="1253"/>
              </w:trPr>
              <w:tc>
                <w:tcPr>
                  <w:tcW w:w="430" w:type="pct"/>
                </w:tcPr>
                <w:p w14:paraId="5F1D9DA3" w14:textId="77777777" w:rsidR="0099326B" w:rsidRPr="005E36C3" w:rsidRDefault="0099326B" w:rsidP="001E61CE">
                  <w:pPr>
                    <w:spacing w:before="120" w:after="120"/>
                  </w:pPr>
                  <w:r>
                    <w:rPr>
                      <w:noProof/>
                      <w:lang w:val="en-US"/>
                    </w:rPr>
                    <w:drawing>
                      <wp:inline distT="0" distB="0" distL="0" distR="0" wp14:anchorId="0FF902F7" wp14:editId="12D5540A">
                        <wp:extent cx="327042" cy="327042"/>
                        <wp:effectExtent l="0" t="0" r="0" b="0"/>
                        <wp:docPr id="255053698" name="Picture 2550536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7042" cy="327042"/>
                                </a:xfrm>
                                <a:prstGeom prst="rect">
                                  <a:avLst/>
                                </a:prstGeom>
                              </pic:spPr>
                            </pic:pic>
                          </a:graphicData>
                        </a:graphic>
                      </wp:inline>
                    </w:drawing>
                  </w:r>
                </w:p>
              </w:tc>
              <w:tc>
                <w:tcPr>
                  <w:tcW w:w="861" w:type="pct"/>
                  <w:shd w:val="clear" w:color="auto" w:fill="BAD4E8" w:themeFill="accent5"/>
                  <w:hideMark/>
                </w:tcPr>
                <w:p w14:paraId="0E355FB8" w14:textId="77777777" w:rsidR="0099326B" w:rsidRPr="005E36C3" w:rsidRDefault="0099326B" w:rsidP="0099326B">
                  <w:pPr>
                    <w:pStyle w:val="TableColumnHeadingLeft"/>
                  </w:pPr>
                  <w:r w:rsidRPr="005E36C3">
                    <w:t>Civil works</w:t>
                  </w:r>
                </w:p>
              </w:tc>
              <w:tc>
                <w:tcPr>
                  <w:tcW w:w="1854" w:type="pct"/>
                  <w:hideMark/>
                </w:tcPr>
                <w:p w14:paraId="30A5BFBB" w14:textId="77777777" w:rsidR="0099326B" w:rsidRPr="005E36C3" w:rsidRDefault="0099326B" w:rsidP="0099326B">
                  <w:pPr>
                    <w:pStyle w:val="TableTextLeft"/>
                  </w:pPr>
                  <w:r w:rsidRPr="00352C3A">
                    <w:t>Engineering site works prepare land for housing construction for greenfield land subdivision and larger brownfield and infill projects.</w:t>
                  </w:r>
                </w:p>
                <w:p w14:paraId="61B93103" w14:textId="0C6F3F4E" w:rsidR="0099326B" w:rsidRPr="005E36C3" w:rsidRDefault="0099326B" w:rsidP="0099326B">
                  <w:pPr>
                    <w:pStyle w:val="TableTextLeft"/>
                  </w:pPr>
                  <w:r>
                    <w:t>It c</w:t>
                  </w:r>
                  <w:r w:rsidRPr="00352C3A">
                    <w:t>omprises earthworks and installation of onsite road, water, sewer</w:t>
                  </w:r>
                  <w:r w:rsidR="00A274D9">
                    <w:t>age</w:t>
                  </w:r>
                  <w:r w:rsidRPr="00352C3A">
                    <w:t>, open space and other infrastructure as per the development approval.</w:t>
                  </w:r>
                </w:p>
                <w:p w14:paraId="189A3641" w14:textId="77777777" w:rsidR="0099326B" w:rsidRPr="005E36C3" w:rsidRDefault="0099326B" w:rsidP="0099326B">
                  <w:pPr>
                    <w:pStyle w:val="TableTextLeft"/>
                  </w:pPr>
                  <w:r w:rsidRPr="00352C3A">
                    <w:t>Engineering designs usually require independent certification or statutory approval of compliance with national, state and territory</w:t>
                  </w:r>
                  <w:r>
                    <w:t>,</w:t>
                  </w:r>
                  <w:r w:rsidRPr="00352C3A">
                    <w:t xml:space="preserve"> or local council standards.</w:t>
                  </w:r>
                </w:p>
              </w:tc>
              <w:tc>
                <w:tcPr>
                  <w:tcW w:w="1855" w:type="pct"/>
                </w:tcPr>
                <w:p w14:paraId="6F20203F" w14:textId="77777777" w:rsidR="0099326B" w:rsidRPr="00352C3A" w:rsidRDefault="0099326B" w:rsidP="0099326B">
                  <w:pPr>
                    <w:pStyle w:val="TableTextLeft"/>
                  </w:pPr>
                  <w:r>
                    <w:rPr>
                      <w:b/>
                      <w:bCs/>
                      <w:i/>
                      <w:iCs/>
                    </w:rPr>
                    <w:t>A</w:t>
                  </w:r>
                  <w:r w:rsidRPr="00F92A30">
                    <w:rPr>
                      <w:b/>
                      <w:bCs/>
                      <w:i/>
                      <w:iCs/>
                    </w:rPr>
                    <w:t>dverse</w:t>
                  </w:r>
                  <w:r>
                    <w:t xml:space="preserve"> – Labour, plant and materials availability has been affected by supply chain interruptions and competition from large scale infrastructure programs. </w:t>
                  </w:r>
                </w:p>
              </w:tc>
            </w:tr>
            <w:tr w:rsidR="0099326B" w:rsidRPr="005E36C3" w14:paraId="5D5AEC3B" w14:textId="77777777" w:rsidTr="001E61CE">
              <w:trPr>
                <w:trHeight w:val="501"/>
              </w:trPr>
              <w:tc>
                <w:tcPr>
                  <w:tcW w:w="430" w:type="pct"/>
                </w:tcPr>
                <w:p w14:paraId="1B4A19F9" w14:textId="77777777" w:rsidR="0099326B" w:rsidRPr="005E36C3" w:rsidRDefault="0099326B" w:rsidP="001E61CE">
                  <w:pPr>
                    <w:spacing w:before="120" w:after="120"/>
                  </w:pPr>
                  <w:r>
                    <w:rPr>
                      <w:noProof/>
                      <w:lang w:val="en-US"/>
                    </w:rPr>
                    <w:drawing>
                      <wp:inline distT="0" distB="0" distL="0" distR="0" wp14:anchorId="3B1FDD60" wp14:editId="352CCD86">
                        <wp:extent cx="327042" cy="327042"/>
                        <wp:effectExtent l="0" t="0" r="0" b="0"/>
                        <wp:docPr id="1324047337" name="Picture 1324047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7042" cy="327042"/>
                                </a:xfrm>
                                <a:prstGeom prst="rect">
                                  <a:avLst/>
                                </a:prstGeom>
                              </pic:spPr>
                            </pic:pic>
                          </a:graphicData>
                        </a:graphic>
                      </wp:inline>
                    </w:drawing>
                  </w:r>
                </w:p>
              </w:tc>
              <w:tc>
                <w:tcPr>
                  <w:tcW w:w="861" w:type="pct"/>
                  <w:shd w:val="clear" w:color="auto" w:fill="BAD4E8" w:themeFill="accent5"/>
                  <w:hideMark/>
                </w:tcPr>
                <w:p w14:paraId="04D31D5C" w14:textId="77777777" w:rsidR="0099326B" w:rsidRPr="005E36C3" w:rsidRDefault="0099326B" w:rsidP="0099326B">
                  <w:pPr>
                    <w:pStyle w:val="TableColumnHeadingLeft"/>
                  </w:pPr>
                  <w:r w:rsidRPr="005E36C3">
                    <w:t>Building approvals for housing</w:t>
                  </w:r>
                </w:p>
              </w:tc>
              <w:tc>
                <w:tcPr>
                  <w:tcW w:w="1854" w:type="pct"/>
                  <w:hideMark/>
                </w:tcPr>
                <w:p w14:paraId="3219F2DE" w14:textId="77777777" w:rsidR="0099326B" w:rsidRPr="005E36C3" w:rsidRDefault="0099326B" w:rsidP="0099326B">
                  <w:pPr>
                    <w:pStyle w:val="TableTextLeft"/>
                  </w:pPr>
                  <w:r w:rsidRPr="00352C3A">
                    <w:t>Housing construction must be separately certified for compliance with relevant national codes, which may include state</w:t>
                  </w:r>
                  <w:r>
                    <w:t xml:space="preserve"> or </w:t>
                  </w:r>
                  <w:r w:rsidRPr="00352C3A">
                    <w:t>territory variations.</w:t>
                  </w:r>
                </w:p>
              </w:tc>
              <w:tc>
                <w:tcPr>
                  <w:tcW w:w="1855" w:type="pct"/>
                </w:tcPr>
                <w:p w14:paraId="2886FB14" w14:textId="77777777" w:rsidR="0099326B" w:rsidRPr="00352C3A" w:rsidRDefault="0099326B" w:rsidP="0099326B">
                  <w:pPr>
                    <w:pStyle w:val="TableTextLeft"/>
                  </w:pPr>
                  <w:r w:rsidRPr="00F92A30">
                    <w:rPr>
                      <w:b/>
                      <w:bCs/>
                      <w:i/>
                      <w:iCs/>
                    </w:rPr>
                    <w:t>Neutral</w:t>
                  </w:r>
                  <w:r>
                    <w:t xml:space="preserve"> – Most jurisdictions operate contestable markets in certifying compliance with building codes. </w:t>
                  </w:r>
                </w:p>
              </w:tc>
            </w:tr>
            <w:tr w:rsidR="0099326B" w:rsidRPr="005E36C3" w14:paraId="202F695F" w14:textId="77777777" w:rsidTr="001E61CE">
              <w:trPr>
                <w:trHeight w:val="877"/>
              </w:trPr>
              <w:tc>
                <w:tcPr>
                  <w:tcW w:w="430" w:type="pct"/>
                  <w:tcBorders>
                    <w:bottom w:val="single" w:sz="12" w:space="0" w:color="3B455C" w:themeColor="accent1"/>
                  </w:tcBorders>
                </w:tcPr>
                <w:p w14:paraId="04257598" w14:textId="77777777" w:rsidR="0099326B" w:rsidRPr="005E36C3" w:rsidRDefault="0099326B" w:rsidP="001E61CE">
                  <w:pPr>
                    <w:spacing w:before="120" w:after="120"/>
                    <w:rPr>
                      <w:lang w:val="en-US"/>
                    </w:rPr>
                  </w:pPr>
                  <w:r>
                    <w:rPr>
                      <w:noProof/>
                      <w:lang w:val="en-US"/>
                    </w:rPr>
                    <w:drawing>
                      <wp:inline distT="0" distB="0" distL="0" distR="0" wp14:anchorId="550E448C" wp14:editId="42042C85">
                        <wp:extent cx="327042" cy="327042"/>
                        <wp:effectExtent l="0" t="0" r="0" b="0"/>
                        <wp:docPr id="874078613" name="Picture 8740786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7042" cy="327042"/>
                                </a:xfrm>
                                <a:prstGeom prst="rect">
                                  <a:avLst/>
                                </a:prstGeom>
                              </pic:spPr>
                            </pic:pic>
                          </a:graphicData>
                        </a:graphic>
                      </wp:inline>
                    </w:drawing>
                  </w:r>
                </w:p>
              </w:tc>
              <w:tc>
                <w:tcPr>
                  <w:tcW w:w="861" w:type="pct"/>
                  <w:tcBorders>
                    <w:bottom w:val="single" w:sz="12" w:space="0" w:color="3B455C" w:themeColor="accent1"/>
                  </w:tcBorders>
                  <w:shd w:val="clear" w:color="auto" w:fill="BAD4E8" w:themeFill="accent5"/>
                  <w:hideMark/>
                </w:tcPr>
                <w:p w14:paraId="2C1CF9BF" w14:textId="77777777" w:rsidR="0099326B" w:rsidRPr="005E36C3" w:rsidRDefault="0099326B" w:rsidP="0099326B">
                  <w:pPr>
                    <w:pStyle w:val="TableColumnHeadingLeft"/>
                  </w:pPr>
                  <w:r w:rsidRPr="00352C3A">
                    <w:t>Housing construction</w:t>
                  </w:r>
                </w:p>
              </w:tc>
              <w:tc>
                <w:tcPr>
                  <w:tcW w:w="1854" w:type="pct"/>
                  <w:tcBorders>
                    <w:bottom w:val="single" w:sz="12" w:space="0" w:color="3B455C" w:themeColor="accent1"/>
                  </w:tcBorders>
                  <w:hideMark/>
                </w:tcPr>
                <w:p w14:paraId="6EA5F0B2" w14:textId="575A0DF8" w:rsidR="0099326B" w:rsidRPr="005E36C3" w:rsidRDefault="0099326B" w:rsidP="0099326B">
                  <w:pPr>
                    <w:pStyle w:val="TableTextLeft"/>
                  </w:pPr>
                  <w:r w:rsidRPr="00352C3A">
                    <w:t>Larger multi</w:t>
                  </w:r>
                  <w:r w:rsidR="00A15C79">
                    <w:noBreakHyphen/>
                  </w:r>
                  <w:r w:rsidRPr="00352C3A">
                    <w:t xml:space="preserve">unit projects typically </w:t>
                  </w:r>
                  <w:r w:rsidRPr="00352C3A" w:rsidDel="00BA0C89">
                    <w:t xml:space="preserve">involve </w:t>
                  </w:r>
                  <w:r w:rsidRPr="00352C3A">
                    <w:t xml:space="preserve">substantial onsite infrastructure (for example cranes), prefabricated components and extensive </w:t>
                  </w:r>
                  <w:r>
                    <w:t xml:space="preserve">work </w:t>
                  </w:r>
                  <w:r w:rsidRPr="00352C3A">
                    <w:t>health and safety practices.</w:t>
                  </w:r>
                </w:p>
                <w:p w14:paraId="6F0FD479" w14:textId="071DE527" w:rsidR="005565DF" w:rsidRPr="005E36C3" w:rsidRDefault="0099326B" w:rsidP="0099326B">
                  <w:pPr>
                    <w:pStyle w:val="TableTextLeft"/>
                  </w:pPr>
                  <w:r w:rsidRPr="00352C3A">
                    <w:t>Detached dwellings and smaller multi</w:t>
                  </w:r>
                  <w:r w:rsidR="00A15C79">
                    <w:noBreakHyphen/>
                  </w:r>
                  <w:r w:rsidRPr="00352C3A">
                    <w:t>unit projects are generally constructed by small</w:t>
                  </w:r>
                  <w:r w:rsidR="00A15C79">
                    <w:noBreakHyphen/>
                  </w:r>
                  <w:r w:rsidRPr="00352C3A">
                    <w:t>to</w:t>
                  </w:r>
                  <w:r w:rsidR="00A15C79">
                    <w:noBreakHyphen/>
                  </w:r>
                  <w:r w:rsidRPr="00352C3A">
                    <w:t xml:space="preserve">medium builders </w:t>
                  </w:r>
                  <w:r>
                    <w:t>that</w:t>
                  </w:r>
                  <w:r w:rsidRPr="00352C3A">
                    <w:t xml:space="preserve"> extensive</w:t>
                  </w:r>
                  <w:r>
                    <w:t>ly</w:t>
                  </w:r>
                  <w:r w:rsidRPr="00352C3A">
                    <w:t xml:space="preserve"> use subcontractors.</w:t>
                  </w:r>
                </w:p>
              </w:tc>
              <w:tc>
                <w:tcPr>
                  <w:tcW w:w="1855" w:type="pct"/>
                  <w:tcBorders>
                    <w:bottom w:val="single" w:sz="12" w:space="0" w:color="3B455C" w:themeColor="accent1"/>
                  </w:tcBorders>
                </w:tcPr>
                <w:p w14:paraId="4D5710E1" w14:textId="77777777" w:rsidR="0099326B" w:rsidRPr="00352C3A" w:rsidRDefault="0099326B" w:rsidP="0099326B">
                  <w:pPr>
                    <w:pStyle w:val="TableTextLeft"/>
                  </w:pPr>
                  <w:r w:rsidRPr="00302DCC">
                    <w:rPr>
                      <w:b/>
                      <w:bCs/>
                      <w:i/>
                      <w:iCs/>
                    </w:rPr>
                    <w:t>Strongly adverse</w:t>
                  </w:r>
                  <w:r>
                    <w:t xml:space="preserve"> – Housing construction under currently dominant build models suffers from skill shortages. Productivity in the construction sector is poor. There has been limited market uptake of modern construction methods, including prefabrication of dwellings or components, due to scale limits.</w:t>
                  </w:r>
                </w:p>
              </w:tc>
            </w:tr>
          </w:tbl>
          <w:p w14:paraId="4A19045A" w14:textId="7B16B1A9" w:rsidR="0099326B" w:rsidRPr="0099326B" w:rsidRDefault="0099326B" w:rsidP="00DB6DE6">
            <w:pPr>
              <w:pStyle w:val="ChartorTableNoteandSource"/>
            </w:pPr>
          </w:p>
        </w:tc>
      </w:tr>
    </w:tbl>
    <w:p w14:paraId="459BFEEC" w14:textId="77777777" w:rsidR="005565DF" w:rsidRDefault="005565DF" w:rsidP="005565DF">
      <w:pPr>
        <w:pStyle w:val="SingleParagraph"/>
      </w:pPr>
    </w:p>
    <w:tbl>
      <w:tblPr>
        <w:tblW w:w="5000" w:type="pct"/>
        <w:shd w:val="clear" w:color="auto" w:fill="FFFF00"/>
        <w:tblCellMar>
          <w:top w:w="284" w:type="dxa"/>
          <w:left w:w="284" w:type="dxa"/>
          <w:bottom w:w="284" w:type="dxa"/>
          <w:right w:w="284" w:type="dxa"/>
        </w:tblCellMar>
        <w:tblLook w:val="0600" w:firstRow="0" w:lastRow="0" w:firstColumn="0" w:lastColumn="0" w:noHBand="1" w:noVBand="1"/>
      </w:tblPr>
      <w:tblGrid>
        <w:gridCol w:w="9070"/>
      </w:tblGrid>
      <w:tr w:rsidR="005565DF" w14:paraId="2ABB7CF6" w14:textId="77777777">
        <w:tc>
          <w:tcPr>
            <w:tcW w:w="5000" w:type="pct"/>
            <w:shd w:val="clear" w:color="auto" w:fill="F2E3C7" w:themeFill="background2"/>
          </w:tcPr>
          <w:p w14:paraId="24E0CE2B" w14:textId="6D723BEF" w:rsidR="005565DF" w:rsidRDefault="005565DF" w:rsidP="00956862">
            <w:pPr>
              <w:pStyle w:val="BoxHeadingBox11"/>
              <w:numPr>
                <w:ilvl w:val="5"/>
                <w:numId w:val="24"/>
              </w:numPr>
            </w:pPr>
            <w:r w:rsidRPr="005565DF">
              <w:lastRenderedPageBreak/>
              <w:t xml:space="preserve">The housing production process </w:t>
            </w:r>
            <w:r w:rsidR="00283E4A">
              <w:t>(continued)</w:t>
            </w:r>
          </w:p>
          <w:p w14:paraId="0D81EE94" w14:textId="77777777" w:rsidR="005565DF" w:rsidRPr="0099326B" w:rsidRDefault="005565DF" w:rsidP="00956862">
            <w:pPr>
              <w:pStyle w:val="TableMainHeading"/>
              <w:numPr>
                <w:ilvl w:val="8"/>
                <w:numId w:val="23"/>
              </w:numPr>
            </w:pPr>
            <w:r>
              <w:t>The Housing production process (continued)</w:t>
            </w:r>
          </w:p>
          <w:tbl>
            <w:tblPr>
              <w:tblStyle w:val="SidebySideChartTable"/>
              <w:tblW w:w="8502" w:type="dxa"/>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Look w:val="0420" w:firstRow="1" w:lastRow="0" w:firstColumn="0" w:lastColumn="0" w:noHBand="0" w:noVBand="1"/>
            </w:tblPr>
            <w:tblGrid>
              <w:gridCol w:w="731"/>
              <w:gridCol w:w="1467"/>
              <w:gridCol w:w="3151"/>
              <w:gridCol w:w="3153"/>
            </w:tblGrid>
            <w:tr w:rsidR="005565DF" w:rsidRPr="0099326B" w14:paraId="13A8A062" w14:textId="77777777" w:rsidTr="005565DF">
              <w:trPr>
                <w:trHeight w:val="340"/>
              </w:trPr>
              <w:tc>
                <w:tcPr>
                  <w:tcW w:w="1293" w:type="pct"/>
                  <w:gridSpan w:val="2"/>
                  <w:tcBorders>
                    <w:bottom w:val="single" w:sz="12" w:space="0" w:color="3B455C" w:themeColor="accent1"/>
                  </w:tcBorders>
                </w:tcPr>
                <w:p w14:paraId="76983D7C" w14:textId="77777777" w:rsidR="005565DF" w:rsidRPr="0099326B" w:rsidRDefault="005565DF">
                  <w:pPr>
                    <w:pStyle w:val="TableColumnHeadingLeft"/>
                  </w:pPr>
                  <w:r w:rsidRPr="0099326B">
                    <w:t>Process</w:t>
                  </w:r>
                </w:p>
              </w:tc>
              <w:tc>
                <w:tcPr>
                  <w:tcW w:w="1853" w:type="pct"/>
                  <w:tcBorders>
                    <w:bottom w:val="single" w:sz="12" w:space="0" w:color="3B455C" w:themeColor="accent1"/>
                  </w:tcBorders>
                  <w:hideMark/>
                </w:tcPr>
                <w:p w14:paraId="497BACF1" w14:textId="77777777" w:rsidR="005565DF" w:rsidRPr="0099326B" w:rsidRDefault="005565DF">
                  <w:pPr>
                    <w:pStyle w:val="TableColumnHeadingLeft"/>
                  </w:pPr>
                  <w:r w:rsidRPr="0099326B">
                    <w:t>Brief description</w:t>
                  </w:r>
                </w:p>
              </w:tc>
              <w:tc>
                <w:tcPr>
                  <w:tcW w:w="1854" w:type="pct"/>
                  <w:tcBorders>
                    <w:bottom w:val="single" w:sz="12" w:space="0" w:color="3B455C" w:themeColor="accent1"/>
                  </w:tcBorders>
                </w:tcPr>
                <w:p w14:paraId="28A66CCC" w14:textId="77777777" w:rsidR="005565DF" w:rsidRPr="0099326B" w:rsidRDefault="005565DF">
                  <w:pPr>
                    <w:pStyle w:val="TableColumnHeadingLeft"/>
                  </w:pPr>
                  <w:r w:rsidRPr="0099326B">
                    <w:t>Impact on housing supply</w:t>
                  </w:r>
                </w:p>
              </w:tc>
            </w:tr>
            <w:tr w:rsidR="005565DF" w:rsidRPr="005E36C3" w14:paraId="466285C2" w14:textId="77777777" w:rsidTr="005565DF">
              <w:trPr>
                <w:trHeight w:val="20"/>
              </w:trPr>
              <w:tc>
                <w:tcPr>
                  <w:tcW w:w="430" w:type="pct"/>
                  <w:tcBorders>
                    <w:top w:val="single" w:sz="12" w:space="0" w:color="3B455C" w:themeColor="accent1"/>
                  </w:tcBorders>
                </w:tcPr>
                <w:p w14:paraId="0DFF5FCE" w14:textId="77777777" w:rsidR="005565DF" w:rsidRPr="005E36C3" w:rsidRDefault="005565DF" w:rsidP="001E61CE">
                  <w:pPr>
                    <w:spacing w:before="120" w:after="120"/>
                    <w:rPr>
                      <w:lang w:val="en-US"/>
                    </w:rPr>
                  </w:pPr>
                  <w:r>
                    <w:rPr>
                      <w:noProof/>
                      <w:lang w:val="en-US"/>
                    </w:rPr>
                    <w:drawing>
                      <wp:inline distT="0" distB="0" distL="0" distR="0" wp14:anchorId="412C9C98" wp14:editId="1041DD0D">
                        <wp:extent cx="327042" cy="327042"/>
                        <wp:effectExtent l="0" t="0" r="0" b="0"/>
                        <wp:docPr id="337010176" name="Picture 337010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10176" name="Picture 337010176">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327042" cy="327042"/>
                                </a:xfrm>
                                <a:prstGeom prst="rect">
                                  <a:avLst/>
                                </a:prstGeom>
                              </pic:spPr>
                            </pic:pic>
                          </a:graphicData>
                        </a:graphic>
                      </wp:inline>
                    </w:drawing>
                  </w:r>
                </w:p>
              </w:tc>
              <w:tc>
                <w:tcPr>
                  <w:tcW w:w="863" w:type="pct"/>
                  <w:tcBorders>
                    <w:top w:val="single" w:sz="12" w:space="0" w:color="3B455C" w:themeColor="accent1"/>
                  </w:tcBorders>
                  <w:shd w:val="clear" w:color="auto" w:fill="D4B08C" w:themeFill="accent4"/>
                  <w:hideMark/>
                </w:tcPr>
                <w:p w14:paraId="190B152A" w14:textId="77777777" w:rsidR="005565DF" w:rsidRPr="005E36C3" w:rsidRDefault="005565DF" w:rsidP="005565DF">
                  <w:pPr>
                    <w:pStyle w:val="TableColumnHeadingLeft"/>
                  </w:pPr>
                  <w:r w:rsidRPr="00352C3A">
                    <w:t>Title registration</w:t>
                  </w:r>
                </w:p>
              </w:tc>
              <w:tc>
                <w:tcPr>
                  <w:tcW w:w="1853" w:type="pct"/>
                  <w:tcBorders>
                    <w:top w:val="single" w:sz="12" w:space="0" w:color="3B455C" w:themeColor="accent1"/>
                  </w:tcBorders>
                  <w:hideMark/>
                </w:tcPr>
                <w:p w14:paraId="5937AFFE" w14:textId="77777777" w:rsidR="005565DF" w:rsidRPr="005E36C3" w:rsidRDefault="005565DF" w:rsidP="005565DF">
                  <w:pPr>
                    <w:pStyle w:val="TableTextLeft"/>
                  </w:pPr>
                  <w:r w:rsidRPr="00352C3A">
                    <w:t>Newly constructed lots and/or dwellings are typically separately titled.</w:t>
                  </w:r>
                </w:p>
              </w:tc>
              <w:tc>
                <w:tcPr>
                  <w:tcW w:w="1854" w:type="pct"/>
                  <w:tcBorders>
                    <w:top w:val="single" w:sz="12" w:space="0" w:color="3B455C" w:themeColor="accent1"/>
                  </w:tcBorders>
                </w:tcPr>
                <w:p w14:paraId="486784E8" w14:textId="11BE161E" w:rsidR="005565DF" w:rsidRPr="00352C3A" w:rsidRDefault="005565DF" w:rsidP="005565DF">
                  <w:pPr>
                    <w:pStyle w:val="TableTextLeft"/>
                  </w:pPr>
                  <w:r w:rsidRPr="00671B65">
                    <w:rPr>
                      <w:b/>
                      <w:bCs/>
                      <w:i/>
                      <w:iCs/>
                    </w:rPr>
                    <w:t>Positive</w:t>
                  </w:r>
                  <w:r>
                    <w:t xml:space="preserve"> – Most jurisdictions operate efficient digital</w:t>
                  </w:r>
                  <w:r w:rsidR="00372FF6">
                    <w:t xml:space="preserve"> </w:t>
                  </w:r>
                  <w:r>
                    <w:t>title registration systems.</w:t>
                  </w:r>
                </w:p>
              </w:tc>
            </w:tr>
            <w:tr w:rsidR="005565DF" w:rsidRPr="005E36C3" w14:paraId="5A30ED8C" w14:textId="77777777" w:rsidTr="005565DF">
              <w:trPr>
                <w:trHeight w:val="501"/>
              </w:trPr>
              <w:tc>
                <w:tcPr>
                  <w:tcW w:w="430" w:type="pct"/>
                </w:tcPr>
                <w:p w14:paraId="4CB23646" w14:textId="77777777" w:rsidR="005565DF" w:rsidRPr="002949B5" w:rsidRDefault="005565DF" w:rsidP="001E61CE">
                  <w:pPr>
                    <w:spacing w:before="120" w:after="120"/>
                    <w:rPr>
                      <w:lang w:val="en-US"/>
                    </w:rPr>
                  </w:pPr>
                  <w:r w:rsidRPr="00B50DD6">
                    <w:rPr>
                      <w:noProof/>
                      <w:lang w:val="en-US"/>
                    </w:rPr>
                    <w:drawing>
                      <wp:inline distT="0" distB="0" distL="0" distR="0" wp14:anchorId="3D27EC01" wp14:editId="7EBCFEBF">
                        <wp:extent cx="327042" cy="327042"/>
                        <wp:effectExtent l="0" t="0" r="0" b="0"/>
                        <wp:docPr id="1402103417" name="Picture 14021034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103417" name="Picture 1402103417">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327042" cy="327042"/>
                                </a:xfrm>
                                <a:prstGeom prst="rect">
                                  <a:avLst/>
                                </a:prstGeom>
                              </pic:spPr>
                            </pic:pic>
                          </a:graphicData>
                        </a:graphic>
                      </wp:inline>
                    </w:drawing>
                  </w:r>
                </w:p>
              </w:tc>
              <w:tc>
                <w:tcPr>
                  <w:tcW w:w="863" w:type="pct"/>
                  <w:shd w:val="clear" w:color="auto" w:fill="D4B08C" w:themeFill="accent4"/>
                  <w:hideMark/>
                </w:tcPr>
                <w:p w14:paraId="6BD8EA40" w14:textId="77777777" w:rsidR="005565DF" w:rsidRPr="002949B5" w:rsidRDefault="005565DF" w:rsidP="005565DF">
                  <w:pPr>
                    <w:pStyle w:val="TableColumnHeadingLeft"/>
                  </w:pPr>
                  <w:r w:rsidRPr="002949B5">
                    <w:t>Sales and settlement</w:t>
                  </w:r>
                </w:p>
              </w:tc>
              <w:tc>
                <w:tcPr>
                  <w:tcW w:w="1853" w:type="pct"/>
                  <w:hideMark/>
                </w:tcPr>
                <w:p w14:paraId="7B9F9CBF" w14:textId="340283A4" w:rsidR="005565DF" w:rsidRPr="002949B5" w:rsidRDefault="005565DF" w:rsidP="005565DF">
                  <w:pPr>
                    <w:pStyle w:val="TableTextLeft"/>
                  </w:pPr>
                  <w:r w:rsidRPr="002949B5">
                    <w:t>Transfers to owner</w:t>
                  </w:r>
                  <w:r w:rsidR="00A15C79" w:rsidRPr="002949B5">
                    <w:noBreakHyphen/>
                  </w:r>
                  <w:r w:rsidRPr="002949B5">
                    <w:t>occupiers or investors occur once they have registered their title.</w:t>
                  </w:r>
                </w:p>
                <w:p w14:paraId="354D4333" w14:textId="77777777" w:rsidR="005565DF" w:rsidRPr="002949B5" w:rsidRDefault="005565DF" w:rsidP="005565DF">
                  <w:pPr>
                    <w:pStyle w:val="TableTextLeft"/>
                  </w:pPr>
                  <w:r w:rsidRPr="002949B5">
                    <w:t>Builders may be subject to a statutory maintenance or fault correction period.</w:t>
                  </w:r>
                </w:p>
              </w:tc>
              <w:tc>
                <w:tcPr>
                  <w:tcW w:w="1854" w:type="pct"/>
                </w:tcPr>
                <w:p w14:paraId="7017C016" w14:textId="0E270538" w:rsidR="005565DF" w:rsidRPr="002949B5" w:rsidRDefault="005565DF" w:rsidP="005565DF">
                  <w:pPr>
                    <w:pStyle w:val="TableTextLeft"/>
                  </w:pPr>
                  <w:r w:rsidRPr="002949B5">
                    <w:rPr>
                      <w:b/>
                      <w:i/>
                    </w:rPr>
                    <w:t>Positive</w:t>
                  </w:r>
                  <w:r w:rsidRPr="002949B5">
                    <w:t xml:space="preserve"> – Most jurisdictions operate efficient digital</w:t>
                  </w:r>
                  <w:r w:rsidR="00E934CF">
                    <w:t xml:space="preserve"> </w:t>
                  </w:r>
                  <w:r w:rsidRPr="002949B5">
                    <w:t>title transfer systems.</w:t>
                  </w:r>
                </w:p>
              </w:tc>
            </w:tr>
          </w:tbl>
          <w:p w14:paraId="14AA7056" w14:textId="6A2AA75C" w:rsidR="00996B6D" w:rsidRDefault="005565DF" w:rsidP="00996B6D">
            <w:pPr>
              <w:pStyle w:val="ChartorTableNoteandSource"/>
            </w:pPr>
            <w:r w:rsidRPr="002949B5">
              <w:t>Note:</w:t>
            </w:r>
            <w:r w:rsidR="00DB6DE6" w:rsidRPr="002949B5">
              <w:tab/>
            </w:r>
            <w:r w:rsidRPr="002949B5">
              <w:t xml:space="preserve">Adapted from Figure 1.2 in </w:t>
            </w:r>
            <w:r w:rsidRPr="0041126E">
              <w:rPr>
                <w:i/>
              </w:rPr>
              <w:t>State of the Housing System 2024</w:t>
            </w:r>
            <w:r w:rsidRPr="002949B5">
              <w:t>.</w:t>
            </w:r>
            <w:r w:rsidRPr="0099326B">
              <w:t xml:space="preserve"> </w:t>
            </w:r>
          </w:p>
          <w:p w14:paraId="6CAC5811" w14:textId="1240ECC1" w:rsidR="005565DF" w:rsidRPr="0099326B" w:rsidRDefault="005565DF" w:rsidP="0041126E">
            <w:pPr>
              <w:pStyle w:val="ChartorTableNoteandSource"/>
              <w:ind w:left="0" w:firstLine="0"/>
            </w:pPr>
            <w:r w:rsidRPr="0099326B">
              <w:t>Source:</w:t>
            </w:r>
            <w:r w:rsidR="00A71784">
              <w:tab/>
            </w:r>
            <w:r w:rsidR="00FA6F3A">
              <w:t>NHASC 2024</w:t>
            </w:r>
          </w:p>
        </w:tc>
      </w:tr>
      <w:bookmarkEnd w:id="76"/>
      <w:bookmarkEnd w:id="77"/>
    </w:tbl>
    <w:p w14:paraId="3F2DC545" w14:textId="77777777" w:rsidR="00EB0064" w:rsidRDefault="00EB0064">
      <w:pPr>
        <w:rPr>
          <w:bCs/>
        </w:rPr>
        <w:sectPr w:rsidR="00EB0064" w:rsidSect="00CD67BC">
          <w:footerReference w:type="even" r:id="rId40"/>
          <w:footerReference w:type="default" r:id="rId41"/>
          <w:type w:val="oddPage"/>
          <w:pgSz w:w="11906" w:h="16838" w:code="9"/>
          <w:pgMar w:top="1843" w:right="1418" w:bottom="1418" w:left="1418" w:header="709" w:footer="709" w:gutter="0"/>
          <w:cols w:space="708"/>
          <w:docGrid w:linePitch="360"/>
        </w:sectPr>
      </w:pPr>
    </w:p>
    <w:p w14:paraId="18F0D0C0" w14:textId="1F264346" w:rsidR="007F2143" w:rsidRPr="0099326B" w:rsidRDefault="007F2143" w:rsidP="00EB0064">
      <w:pPr>
        <w:pStyle w:val="Heading1Numbered"/>
        <w:spacing w:before="120"/>
        <w:rPr>
          <w:spacing w:val="-2"/>
        </w:rPr>
      </w:pPr>
      <w:bookmarkStart w:id="83" w:name="_Ref189131211"/>
      <w:bookmarkStart w:id="84" w:name="_Toc196395880"/>
      <w:bookmarkEnd w:id="83"/>
      <w:r w:rsidRPr="0099326B">
        <w:rPr>
          <w:spacing w:val="-2"/>
        </w:rPr>
        <w:lastRenderedPageBreak/>
        <w:t>Housing market</w:t>
      </w:r>
      <w:r w:rsidR="00491F17" w:rsidRPr="0099326B">
        <w:rPr>
          <w:spacing w:val="-2"/>
        </w:rPr>
        <w:t xml:space="preserve"> </w:t>
      </w:r>
      <w:r w:rsidRPr="0099326B">
        <w:rPr>
          <w:spacing w:val="-2"/>
        </w:rPr>
        <w:t>conditions</w:t>
      </w:r>
      <w:bookmarkEnd w:id="84"/>
    </w:p>
    <w:tbl>
      <w:tblPr>
        <w:tblW w:w="5000" w:type="pct"/>
        <w:shd w:val="clear" w:color="auto" w:fill="F2E3C7" w:themeFill="background2"/>
        <w:tblCellMar>
          <w:top w:w="284" w:type="dxa"/>
          <w:left w:w="284" w:type="dxa"/>
          <w:bottom w:w="284" w:type="dxa"/>
          <w:right w:w="284" w:type="dxa"/>
        </w:tblCellMar>
        <w:tblLook w:val="0600" w:firstRow="0" w:lastRow="0" w:firstColumn="0" w:lastColumn="0" w:noHBand="1" w:noVBand="1"/>
      </w:tblPr>
      <w:tblGrid>
        <w:gridCol w:w="9070"/>
      </w:tblGrid>
      <w:tr w:rsidR="007F2143" w14:paraId="5C42E491" w14:textId="77777777" w:rsidTr="386E4D8B">
        <w:trPr>
          <w:trHeight w:val="5490"/>
        </w:trPr>
        <w:tc>
          <w:tcPr>
            <w:tcW w:w="5000" w:type="pct"/>
            <w:shd w:val="clear" w:color="auto" w:fill="F2E3C7" w:themeFill="accent6"/>
            <w:hideMark/>
          </w:tcPr>
          <w:p w14:paraId="69851510" w14:textId="19EF9EB0" w:rsidR="007F2143" w:rsidRPr="0099326B" w:rsidRDefault="39ECF05D" w:rsidP="0099326B">
            <w:pPr>
              <w:pStyle w:val="BoxHeading"/>
            </w:pPr>
            <w:r w:rsidRPr="0099326B">
              <w:t xml:space="preserve">Overview </w:t>
            </w:r>
          </w:p>
          <w:p w14:paraId="3185F34F" w14:textId="18B263C6" w:rsidR="007F2143" w:rsidRDefault="007F2143" w:rsidP="007C3AD9">
            <w:pPr>
              <w:pStyle w:val="BoxText"/>
              <w:spacing w:before="0"/>
            </w:pPr>
            <w:r>
              <w:t xml:space="preserve">This chapter discusses current supply and demand conditions in the private housing market and their implications </w:t>
            </w:r>
            <w:r w:rsidDel="005A636C">
              <w:t xml:space="preserve">for </w:t>
            </w:r>
            <w:r>
              <w:t xml:space="preserve">housing prices, rents </w:t>
            </w:r>
            <w:r w:rsidRPr="001A3BC7">
              <w:t>and construction activity. It focuses on the period between January</w:t>
            </w:r>
            <w:r w:rsidR="00283E4A">
              <w:t> </w:t>
            </w:r>
            <w:r w:rsidRPr="001A3BC7">
              <w:t xml:space="preserve">2024 </w:t>
            </w:r>
            <w:r w:rsidR="00010D9A">
              <w:t>and</w:t>
            </w:r>
            <w:r w:rsidR="00010D9A" w:rsidRPr="001A3BC7">
              <w:t xml:space="preserve"> </w:t>
            </w:r>
            <w:r w:rsidRPr="001A3BC7">
              <w:t>March 2025.</w:t>
            </w:r>
            <w:r>
              <w:t xml:space="preserve"> </w:t>
            </w:r>
          </w:p>
          <w:p w14:paraId="7AD3F822" w14:textId="77777777" w:rsidR="007F2143" w:rsidRPr="00C744E2" w:rsidRDefault="007F2143" w:rsidP="00C744E2">
            <w:pPr>
              <w:pStyle w:val="BoxHeading2"/>
            </w:pPr>
            <w:r w:rsidRPr="00C744E2">
              <w:t>Key points</w:t>
            </w:r>
          </w:p>
          <w:p w14:paraId="30E339C5" w14:textId="00842557" w:rsidR="007F2143" w:rsidRDefault="007F2143" w:rsidP="007F2143">
            <w:pPr>
              <w:pStyle w:val="Boxbullet"/>
              <w:spacing w:line="259" w:lineRule="auto"/>
            </w:pPr>
            <w:r>
              <w:rPr>
                <w:lang w:eastAsia="en-AU"/>
              </w:rPr>
              <w:t>D</w:t>
            </w:r>
            <w:r w:rsidRPr="000D304B">
              <w:rPr>
                <w:lang w:eastAsia="en-AU"/>
              </w:rPr>
              <w:t>welling price</w:t>
            </w:r>
            <w:r>
              <w:rPr>
                <w:lang w:eastAsia="en-AU"/>
              </w:rPr>
              <w:t xml:space="preserve">s rose </w:t>
            </w:r>
            <w:r w:rsidRPr="000D304B">
              <w:rPr>
                <w:lang w:eastAsia="en-AU"/>
              </w:rPr>
              <w:t xml:space="preserve">by </w:t>
            </w:r>
            <w:r w:rsidRPr="00A474BD">
              <w:rPr>
                <w:lang w:eastAsia="en-AU"/>
              </w:rPr>
              <w:t>4.9</w:t>
            </w:r>
            <w:r w:rsidR="0099326B">
              <w:rPr>
                <w:lang w:eastAsia="en-AU"/>
              </w:rPr>
              <w:t> per cent</w:t>
            </w:r>
            <w:r>
              <w:t xml:space="preserve"> </w:t>
            </w:r>
            <w:r w:rsidR="006405C2">
              <w:t>over</w:t>
            </w:r>
            <w:r>
              <w:t xml:space="preserve"> 2024</w:t>
            </w:r>
            <w:r w:rsidRPr="000D304B">
              <w:rPr>
                <w:lang w:eastAsia="en-AU"/>
              </w:rPr>
              <w:t xml:space="preserve">, and by a further </w:t>
            </w:r>
            <w:r w:rsidRPr="00A474BD">
              <w:rPr>
                <w:lang w:eastAsia="en-AU"/>
              </w:rPr>
              <w:t>0.7</w:t>
            </w:r>
            <w:r w:rsidR="0099326B">
              <w:rPr>
                <w:lang w:eastAsia="en-AU"/>
              </w:rPr>
              <w:t> per cent</w:t>
            </w:r>
            <w:r w:rsidRPr="000D304B">
              <w:rPr>
                <w:lang w:eastAsia="en-AU"/>
              </w:rPr>
              <w:t xml:space="preserve"> </w:t>
            </w:r>
            <w:r w:rsidR="006405C2">
              <w:rPr>
                <w:lang w:eastAsia="en-AU"/>
              </w:rPr>
              <w:t>over</w:t>
            </w:r>
            <w:r w:rsidRPr="000D304B">
              <w:rPr>
                <w:lang w:eastAsia="en-AU"/>
              </w:rPr>
              <w:t xml:space="preserve"> the first </w:t>
            </w:r>
            <w:r w:rsidR="00855A75">
              <w:rPr>
                <w:lang w:eastAsia="en-AU"/>
              </w:rPr>
              <w:t>3</w:t>
            </w:r>
            <w:r w:rsidR="00855A75" w:rsidRPr="000D304B">
              <w:rPr>
                <w:lang w:eastAsia="en-AU"/>
              </w:rPr>
              <w:t xml:space="preserve"> </w:t>
            </w:r>
            <w:r w:rsidRPr="000D304B">
              <w:rPr>
                <w:lang w:eastAsia="en-AU"/>
              </w:rPr>
              <w:t>months of</w:t>
            </w:r>
            <w:r w:rsidR="00283E4A">
              <w:rPr>
                <w:lang w:eastAsia="en-AU"/>
              </w:rPr>
              <w:t> </w:t>
            </w:r>
            <w:r w:rsidRPr="000D304B">
              <w:rPr>
                <w:lang w:eastAsia="en-AU"/>
              </w:rPr>
              <w:t xml:space="preserve">2025. </w:t>
            </w:r>
            <w:r>
              <w:t xml:space="preserve">Over the year to March 2025, dwelling prices rose by </w:t>
            </w:r>
            <w:r w:rsidRPr="009628A8">
              <w:t>3.4</w:t>
            </w:r>
            <w:r w:rsidR="0099326B">
              <w:t> per cent</w:t>
            </w:r>
            <w:r>
              <w:t xml:space="preserve">. Price growth </w:t>
            </w:r>
            <w:r w:rsidR="00855A75">
              <w:t xml:space="preserve">varied </w:t>
            </w:r>
            <w:r>
              <w:t xml:space="preserve">across states and territories, with large rises in Western Australia, South Australia and Queensland, smaller rises in New South Wales, Tasmania and the Northern Territory, and falls in Victoria and the Australian Capital Territory. </w:t>
            </w:r>
          </w:p>
          <w:p w14:paraId="182C1981" w14:textId="134747E2" w:rsidR="007F2143" w:rsidRPr="00B66D92" w:rsidRDefault="007F2143" w:rsidP="007F2143">
            <w:pPr>
              <w:pStyle w:val="Boxbullet"/>
              <w:spacing w:line="259" w:lineRule="auto"/>
            </w:pPr>
            <w:r>
              <w:rPr>
                <w:lang w:eastAsia="en-AU"/>
              </w:rPr>
              <w:t xml:space="preserve">Advertised rents rose </w:t>
            </w:r>
            <w:r w:rsidRPr="000D304B">
              <w:rPr>
                <w:lang w:eastAsia="en-AU"/>
              </w:rPr>
              <w:t xml:space="preserve">by </w:t>
            </w:r>
            <w:r w:rsidRPr="00A474BD">
              <w:rPr>
                <w:lang w:eastAsia="en-AU"/>
              </w:rPr>
              <w:t>4.</w:t>
            </w:r>
            <w:r>
              <w:rPr>
                <w:lang w:eastAsia="en-AU"/>
              </w:rPr>
              <w:t>8</w:t>
            </w:r>
            <w:r w:rsidR="0099326B">
              <w:rPr>
                <w:lang w:eastAsia="en-AU"/>
              </w:rPr>
              <w:t> per cent</w:t>
            </w:r>
            <w:r>
              <w:t xml:space="preserve"> </w:t>
            </w:r>
            <w:r w:rsidR="006405C2">
              <w:t>over</w:t>
            </w:r>
            <w:r>
              <w:t xml:space="preserve"> 2024</w:t>
            </w:r>
            <w:r w:rsidRPr="000D304B">
              <w:rPr>
                <w:lang w:eastAsia="en-AU"/>
              </w:rPr>
              <w:t xml:space="preserve">, and by a further </w:t>
            </w:r>
            <w:r>
              <w:rPr>
                <w:lang w:eastAsia="en-AU"/>
              </w:rPr>
              <w:t>1</w:t>
            </w:r>
            <w:r w:rsidRPr="00A474BD">
              <w:rPr>
                <w:lang w:eastAsia="en-AU"/>
              </w:rPr>
              <w:t>.7</w:t>
            </w:r>
            <w:r w:rsidR="0099326B">
              <w:rPr>
                <w:lang w:eastAsia="en-AU"/>
              </w:rPr>
              <w:t> per cent</w:t>
            </w:r>
            <w:r w:rsidRPr="000D304B">
              <w:rPr>
                <w:lang w:eastAsia="en-AU"/>
              </w:rPr>
              <w:t xml:space="preserve"> </w:t>
            </w:r>
            <w:r w:rsidR="006405C2">
              <w:rPr>
                <w:lang w:eastAsia="en-AU"/>
              </w:rPr>
              <w:t>over</w:t>
            </w:r>
            <w:r w:rsidRPr="000D304B">
              <w:rPr>
                <w:lang w:eastAsia="en-AU"/>
              </w:rPr>
              <w:t xml:space="preserve"> the first </w:t>
            </w:r>
            <w:r w:rsidR="004D2007">
              <w:rPr>
                <w:lang w:eastAsia="en-AU"/>
              </w:rPr>
              <w:t>3</w:t>
            </w:r>
            <w:r w:rsidR="004D2007" w:rsidRPr="000D304B">
              <w:rPr>
                <w:lang w:eastAsia="en-AU"/>
              </w:rPr>
              <w:t xml:space="preserve"> </w:t>
            </w:r>
            <w:r w:rsidRPr="000D304B">
              <w:rPr>
                <w:lang w:eastAsia="en-AU"/>
              </w:rPr>
              <w:t>months of</w:t>
            </w:r>
            <w:r w:rsidR="00283E4A">
              <w:rPr>
                <w:lang w:eastAsia="en-AU"/>
              </w:rPr>
              <w:t> </w:t>
            </w:r>
            <w:r w:rsidRPr="000D304B">
              <w:rPr>
                <w:lang w:eastAsia="en-AU"/>
              </w:rPr>
              <w:t xml:space="preserve">2025. </w:t>
            </w:r>
            <w:r>
              <w:t>Over the year to March 2025, advertised rents growth</w:t>
            </w:r>
            <w:r w:rsidRPr="00090931">
              <w:t xml:space="preserve"> slowed</w:t>
            </w:r>
            <w:r>
              <w:t xml:space="preserve"> to 3.8</w:t>
            </w:r>
            <w:r w:rsidR="0099326B">
              <w:t> per cent</w:t>
            </w:r>
            <w:r>
              <w:t xml:space="preserve">. The rental vacancy rate rose slightly in </w:t>
            </w:r>
            <w:r w:rsidR="002D6A80">
              <w:t xml:space="preserve">the </w:t>
            </w:r>
            <w:r>
              <w:t xml:space="preserve">December </w:t>
            </w:r>
            <w:r w:rsidR="002D6A80">
              <w:t xml:space="preserve">quarter </w:t>
            </w:r>
            <w:r>
              <w:t xml:space="preserve">2024, but remained </w:t>
            </w:r>
            <w:r w:rsidRPr="00DA0FC3">
              <w:t>near record lows.</w:t>
            </w:r>
            <w:r w:rsidRPr="00860FEA">
              <w:t xml:space="preserve"> </w:t>
            </w:r>
          </w:p>
          <w:p w14:paraId="6EDB22A8" w14:textId="7373AFF6" w:rsidR="007F2143" w:rsidRDefault="007F2143" w:rsidP="007F2143">
            <w:pPr>
              <w:pStyle w:val="Boxbullet"/>
              <w:spacing w:line="259" w:lineRule="auto"/>
            </w:pPr>
            <w:r>
              <w:t xml:space="preserve">New housing supply levels remained low, </w:t>
            </w:r>
            <w:r w:rsidRPr="00AF54B3">
              <w:t>especially for high</w:t>
            </w:r>
            <w:r w:rsidRPr="009628A8">
              <w:t>er</w:t>
            </w:r>
            <w:r w:rsidR="00A15C79">
              <w:noBreakHyphen/>
            </w:r>
            <w:r w:rsidRPr="00AF54B3">
              <w:t xml:space="preserve">density </w:t>
            </w:r>
            <w:r>
              <w:t xml:space="preserve">dwellings. Low levels of dwelling approvals indicate that new housing supply will continue to be weak in the near term. </w:t>
            </w:r>
          </w:p>
          <w:p w14:paraId="67CD7B18" w14:textId="22FA2338" w:rsidR="007F2143" w:rsidRDefault="00134033" w:rsidP="007F2143">
            <w:pPr>
              <w:pStyle w:val="Boxbullet"/>
              <w:spacing w:line="259" w:lineRule="auto"/>
            </w:pPr>
            <w:r>
              <w:t>Although c</w:t>
            </w:r>
            <w:r w:rsidR="007F2143">
              <w:t xml:space="preserve">onstruction cost growth was relatively contained in 2024, </w:t>
            </w:r>
            <w:r w:rsidR="00ED23E8">
              <w:t>cost</w:t>
            </w:r>
            <w:r w:rsidR="00CD7AC0">
              <w:t xml:space="preserve"> level</w:t>
            </w:r>
            <w:r w:rsidR="00ED23E8">
              <w:t>s</w:t>
            </w:r>
            <w:r w:rsidR="007F2143">
              <w:t xml:space="preserve"> remain elevated</w:t>
            </w:r>
            <w:r w:rsidR="007F2143" w:rsidRPr="00B82417">
              <w:t>.</w:t>
            </w:r>
            <w:r w:rsidR="007F2143">
              <w:t xml:space="preserve"> Labour shortages, high financing costs and limited land availability were the main contributors to cost pressures</w:t>
            </w:r>
            <w:r w:rsidR="005E5AED">
              <w:t>.</w:t>
            </w:r>
            <w:r w:rsidR="007F2143">
              <w:t xml:space="preserve"> </w:t>
            </w:r>
          </w:p>
          <w:p w14:paraId="50F82F7E" w14:textId="7C700408" w:rsidR="007F2143" w:rsidRDefault="007F2143" w:rsidP="009628A8">
            <w:pPr>
              <w:pStyle w:val="Boxbullet"/>
              <w:spacing w:after="0" w:line="259" w:lineRule="auto"/>
            </w:pPr>
            <w:r>
              <w:t>D</w:t>
            </w:r>
            <w:r w:rsidRPr="00B66D92">
              <w:t xml:space="preserve">emand </w:t>
            </w:r>
            <w:r>
              <w:t xml:space="preserve">for housing moderated in 2024, reflecting slowing – although still elevated – population growth and reduced household borrowing capacity. </w:t>
            </w:r>
          </w:p>
        </w:tc>
      </w:tr>
    </w:tbl>
    <w:p w14:paraId="0D4768D1" w14:textId="7402FA9A" w:rsidR="007F2143" w:rsidRDefault="00FA5901" w:rsidP="00744F72">
      <w:pPr>
        <w:pStyle w:val="Heading2Numbered"/>
      </w:pPr>
      <w:bookmarkStart w:id="85" w:name="_Ref185609438"/>
      <w:bookmarkStart w:id="86" w:name="_Toc195026590"/>
      <w:bookmarkStart w:id="87" w:name="_Toc196395881"/>
      <w:r>
        <w:t>Growth in h</w:t>
      </w:r>
      <w:r w:rsidR="007F2143">
        <w:t>ousing prices and rents eased in</w:t>
      </w:r>
      <w:r w:rsidR="00B46D92">
        <w:t> </w:t>
      </w:r>
      <w:r w:rsidR="007F2143" w:rsidDel="00835A3B">
        <w:t>2024</w:t>
      </w:r>
      <w:bookmarkEnd w:id="85"/>
      <w:r w:rsidR="007F2143">
        <w:t>, but remains strong in some states</w:t>
      </w:r>
      <w:bookmarkEnd w:id="86"/>
      <w:bookmarkEnd w:id="87"/>
    </w:p>
    <w:p w14:paraId="078CE11D" w14:textId="78366766" w:rsidR="007F2143" w:rsidRPr="00253AFF" w:rsidRDefault="007F2143" w:rsidP="00744F72">
      <w:pPr>
        <w:pStyle w:val="Heading3Numbered"/>
        <w:spacing w:before="0" w:line="240" w:lineRule="auto"/>
      </w:pPr>
      <w:r w:rsidRPr="00253AFF">
        <w:t>Housing prices</w:t>
      </w:r>
    </w:p>
    <w:p w14:paraId="071BF963" w14:textId="16B32368" w:rsidR="00DB6DE6" w:rsidRDefault="007F2143">
      <w:r>
        <w:t>D</w:t>
      </w:r>
      <w:r w:rsidRPr="000D304B">
        <w:t>welling price</w:t>
      </w:r>
      <w:r>
        <w:t xml:space="preserve">s rose </w:t>
      </w:r>
      <w:r w:rsidRPr="000D304B">
        <w:t xml:space="preserve">by </w:t>
      </w:r>
      <w:r w:rsidRPr="00A474BD">
        <w:t>4.9</w:t>
      </w:r>
      <w:r w:rsidR="0099326B">
        <w:t> per cent</w:t>
      </w:r>
      <w:r>
        <w:t xml:space="preserve"> </w:t>
      </w:r>
      <w:r w:rsidR="00F31BA8">
        <w:t>over</w:t>
      </w:r>
      <w:r>
        <w:t xml:space="preserve"> 2024</w:t>
      </w:r>
      <w:r w:rsidRPr="000D304B">
        <w:t xml:space="preserve">, and by a further </w:t>
      </w:r>
      <w:r w:rsidRPr="00A474BD">
        <w:t>0.7</w:t>
      </w:r>
      <w:r w:rsidR="0099326B">
        <w:t> per cent</w:t>
      </w:r>
      <w:r w:rsidRPr="000D304B">
        <w:t xml:space="preserve"> </w:t>
      </w:r>
      <w:r w:rsidR="00F31BA8">
        <w:t>over</w:t>
      </w:r>
      <w:r w:rsidRPr="000D304B">
        <w:t xml:space="preserve"> the first </w:t>
      </w:r>
      <w:r w:rsidR="00F76AE7">
        <w:t>3</w:t>
      </w:r>
      <w:r w:rsidR="00F76AE7" w:rsidRPr="000D304B">
        <w:t xml:space="preserve"> </w:t>
      </w:r>
      <w:r w:rsidRPr="000D304B">
        <w:t xml:space="preserve">months of 2025. </w:t>
      </w:r>
      <w:r>
        <w:t xml:space="preserve">This was a </w:t>
      </w:r>
      <w:r w:rsidRPr="002949B5">
        <w:t>marked slowing in the pace of price growth relative to 2023, when prices rose by 8.5</w:t>
      </w:r>
      <w:r w:rsidR="0099326B" w:rsidRPr="002949B5">
        <w:t> per cent</w:t>
      </w:r>
      <w:r w:rsidRPr="002949B5">
        <w:t xml:space="preserve"> nationally. </w:t>
      </w:r>
      <w:r w:rsidR="00456B1D" w:rsidRPr="002949B5">
        <w:t xml:space="preserve">Over </w:t>
      </w:r>
      <w:r w:rsidRPr="002949B5">
        <w:t>the 12</w:t>
      </w:r>
      <w:r w:rsidR="00E35F40" w:rsidRPr="002949B5">
        <w:t xml:space="preserve"> </w:t>
      </w:r>
      <w:r w:rsidRPr="002949B5">
        <w:t>months ending</w:t>
      </w:r>
      <w:r>
        <w:t xml:space="preserve"> March 2025, h</w:t>
      </w:r>
      <w:r w:rsidRPr="00E6213D" w:rsidDel="00E43678">
        <w:t xml:space="preserve">ousing prices </w:t>
      </w:r>
      <w:r w:rsidRPr="00E6213D">
        <w:t xml:space="preserve">rose by </w:t>
      </w:r>
      <w:r>
        <w:t>3.4</w:t>
      </w:r>
      <w:r w:rsidR="0099326B">
        <w:t> per cent</w:t>
      </w:r>
      <w:r w:rsidRPr="00E6213D">
        <w:t xml:space="preserve"> nationally </w:t>
      </w:r>
      <w:r>
        <w:t>(</w:t>
      </w:r>
      <w:r w:rsidR="00E35F40">
        <w:t>see c</w:t>
      </w:r>
      <w:r>
        <w:t>hart</w:t>
      </w:r>
      <w:r w:rsidR="00E35F40">
        <w:t>s</w:t>
      </w:r>
      <w:r>
        <w:t xml:space="preserve"> 2.1 and 2.2)</w:t>
      </w:r>
      <w:r w:rsidRPr="00E6213D">
        <w:t xml:space="preserve">. </w:t>
      </w:r>
    </w:p>
    <w:p w14:paraId="4436A6FD" w14:textId="268B2C66" w:rsidR="007F2143" w:rsidRPr="00E6213D" w:rsidRDefault="007F2143" w:rsidP="007C3AD9">
      <w:r w:rsidRPr="00E6213D">
        <w:lastRenderedPageBreak/>
        <w:t>Houses and units</w:t>
      </w:r>
      <w:r>
        <w:rPr>
          <w:rStyle w:val="FootnoteReference"/>
        </w:rPr>
        <w:footnoteReference w:id="5"/>
      </w:r>
      <w:r w:rsidRPr="00E6213D">
        <w:t xml:space="preserve"> both recorded slowing price growth over </w:t>
      </w:r>
      <w:r>
        <w:t>the year to March 2025</w:t>
      </w:r>
      <w:r w:rsidRPr="00E6213D">
        <w:t>. H</w:t>
      </w:r>
      <w:r w:rsidRPr="00E6213D" w:rsidDel="007E10EE">
        <w:t xml:space="preserve">ouse </w:t>
      </w:r>
      <w:r w:rsidRPr="00E6213D">
        <w:t xml:space="preserve">prices increased by </w:t>
      </w:r>
      <w:r>
        <w:t>3.7</w:t>
      </w:r>
      <w:r w:rsidR="0099326B">
        <w:t> per cent</w:t>
      </w:r>
      <w:r w:rsidRPr="00E6213D">
        <w:t xml:space="preserve">, while unit prices increased by </w:t>
      </w:r>
      <w:r>
        <w:t>2.4</w:t>
      </w:r>
      <w:r w:rsidR="0099326B">
        <w:t> per cent</w:t>
      </w:r>
      <w:r w:rsidRPr="00E6213D">
        <w:t xml:space="preserve"> (</w:t>
      </w:r>
      <w:r w:rsidR="008D1D13">
        <w:t xml:space="preserve">see </w:t>
      </w:r>
      <w:r w:rsidR="00274C41">
        <w:t>c</w:t>
      </w:r>
      <w:r>
        <w:t>hart</w:t>
      </w:r>
      <w:r w:rsidR="00274C41">
        <w:t>s</w:t>
      </w:r>
      <w:r>
        <w:t xml:space="preserve"> 2.1</w:t>
      </w:r>
      <w:r w:rsidR="001E67A1">
        <w:t xml:space="preserve"> </w:t>
      </w:r>
      <w:r w:rsidRPr="00E6213D">
        <w:t xml:space="preserve">and </w:t>
      </w:r>
      <w:r>
        <w:t>2.2</w:t>
      </w:r>
      <w:r w:rsidRPr="00E6213D">
        <w:t xml:space="preserve">). </w:t>
      </w:r>
    </w:p>
    <w:p w14:paraId="40946A16" w14:textId="0A1A8E2D" w:rsidR="00D05371" w:rsidRPr="00C07607" w:rsidRDefault="007F2143">
      <w:r w:rsidRPr="00E6213D">
        <w:t xml:space="preserve">The slowdown in </w:t>
      </w:r>
      <w:r>
        <w:t xml:space="preserve">housing </w:t>
      </w:r>
      <w:r w:rsidRPr="00E6213D">
        <w:t>price</w:t>
      </w:r>
      <w:r>
        <w:t xml:space="preserve"> growth</w:t>
      </w:r>
      <w:r w:rsidRPr="00E6213D">
        <w:t xml:space="preserve"> </w:t>
      </w:r>
      <w:r>
        <w:t>over the year to March 2025</w:t>
      </w:r>
      <w:r w:rsidR="002F3248">
        <w:t xml:space="preserve"> </w:t>
      </w:r>
      <w:r w:rsidRPr="00E6213D">
        <w:t>broadly reflect</w:t>
      </w:r>
      <w:r>
        <w:t>ed</w:t>
      </w:r>
      <w:r w:rsidRPr="00E6213D">
        <w:t xml:space="preserve"> </w:t>
      </w:r>
      <w:r>
        <w:t xml:space="preserve">an </w:t>
      </w:r>
      <w:r w:rsidRPr="00E6213D">
        <w:t xml:space="preserve">easing </w:t>
      </w:r>
      <w:r>
        <w:t xml:space="preserve">in underlying </w:t>
      </w:r>
      <w:r w:rsidRPr="00E6213D">
        <w:t>demand</w:t>
      </w:r>
      <w:r>
        <w:t xml:space="preserve"> for housing associated with the decline in population growth since 2023 (see </w:t>
      </w:r>
      <w:r w:rsidRPr="001E3792">
        <w:t xml:space="preserve">section </w:t>
      </w:r>
      <w:r w:rsidRPr="00CA384F">
        <w:t>2.4</w:t>
      </w:r>
      <w:r w:rsidR="00765BC5">
        <w:t>,</w:t>
      </w:r>
      <w:r w:rsidDel="005F47DF">
        <w:t xml:space="preserve"> </w:t>
      </w:r>
      <w:r w:rsidRPr="00DB6DE6" w:rsidDel="005F47DF">
        <w:rPr>
          <w:rStyle w:val="Emphasis"/>
        </w:rPr>
        <w:t>Demand</w:t>
      </w:r>
      <w:r w:rsidR="00765BC5" w:rsidRPr="00DB6DE6">
        <w:rPr>
          <w:rStyle w:val="Emphasis"/>
        </w:rPr>
        <w:t xml:space="preserve"> for housing</w:t>
      </w:r>
      <w:r w:rsidRPr="001E3792">
        <w:t xml:space="preserve">). </w:t>
      </w:r>
    </w:p>
    <w:p w14:paraId="70BFFFAA" w14:textId="4FA67BD7" w:rsidR="00E90800" w:rsidRPr="002949B5" w:rsidRDefault="007F2143">
      <w:r w:rsidRPr="001E3792">
        <w:t>Effective</w:t>
      </w:r>
      <w:r>
        <w:t xml:space="preserve"> demand</w:t>
      </w:r>
      <w:r w:rsidR="00E41E6A">
        <w:t xml:space="preserve"> for housing</w:t>
      </w:r>
      <w:r w:rsidRPr="00E6213D">
        <w:t xml:space="preserve"> </w:t>
      </w:r>
      <w:r>
        <w:t xml:space="preserve">was also constrained over the period, reflecting </w:t>
      </w:r>
      <w:r w:rsidRPr="00E6213D">
        <w:t>elevated interest rates, cost</w:t>
      </w:r>
      <w:r w:rsidR="00A15C79">
        <w:noBreakHyphen/>
      </w:r>
      <w:r w:rsidRPr="00E6213D">
        <w:t>of</w:t>
      </w:r>
      <w:r w:rsidR="00A15C79">
        <w:noBreakHyphen/>
      </w:r>
      <w:r w:rsidRPr="00E6213D">
        <w:t>living pressures and moderate</w:t>
      </w:r>
      <w:r>
        <w:t xml:space="preserve"> </w:t>
      </w:r>
      <w:r w:rsidRPr="00E6213D">
        <w:t>income growth</w:t>
      </w:r>
      <w:r w:rsidR="009349DF">
        <w:t xml:space="preserve">, </w:t>
      </w:r>
      <w:r>
        <w:t xml:space="preserve">placing </w:t>
      </w:r>
      <w:r w:rsidR="00DD3745">
        <w:t xml:space="preserve">additional </w:t>
      </w:r>
      <w:r>
        <w:t>downward pressure on housing price growth</w:t>
      </w:r>
      <w:r w:rsidRPr="00E6213D">
        <w:t xml:space="preserve">. </w:t>
      </w:r>
      <w:r w:rsidRPr="009628A8">
        <w:t>More recently, however</w:t>
      </w:r>
      <w:r w:rsidRPr="00D92C28">
        <w:t xml:space="preserve">, effective demand for housing </w:t>
      </w:r>
      <w:r w:rsidR="00FE713C">
        <w:t>was</w:t>
      </w:r>
      <w:r w:rsidRPr="00D92C28">
        <w:t xml:space="preserve"> supported by </w:t>
      </w:r>
      <w:r w:rsidR="00FE713C">
        <w:t>a</w:t>
      </w:r>
      <w:r w:rsidRPr="00D92C28">
        <w:t xml:space="preserve"> 25</w:t>
      </w:r>
      <w:r w:rsidR="00A15C79">
        <w:noBreakHyphen/>
      </w:r>
      <w:r w:rsidRPr="00D92C28">
        <w:t>basis</w:t>
      </w:r>
      <w:r w:rsidR="00A15C79">
        <w:noBreakHyphen/>
      </w:r>
      <w:r w:rsidRPr="00D92C28">
        <w:t xml:space="preserve">point reduction in the cash rate in February 2025, which contributed to a rebound in </w:t>
      </w:r>
      <w:r w:rsidRPr="002949B5">
        <w:t>housing price growth in early 2025 (</w:t>
      </w:r>
      <w:r w:rsidR="00AE5732" w:rsidRPr="002949B5">
        <w:t xml:space="preserve">see </w:t>
      </w:r>
      <w:r w:rsidRPr="002949B5">
        <w:t xml:space="preserve">Chart 2.1) (CoreLogic 2025). </w:t>
      </w:r>
    </w:p>
    <w:p w14:paraId="06DCC7EB" w14:textId="3B6D3B06" w:rsidR="0078482D" w:rsidRPr="00E6213D" w:rsidRDefault="00C40B32">
      <w:r w:rsidRPr="0041126E">
        <w:rPr>
          <w:color w:val="auto"/>
        </w:rPr>
        <w:t xml:space="preserve">Nonetheless, </w:t>
      </w:r>
      <w:r w:rsidR="00064192" w:rsidRPr="0041126E">
        <w:rPr>
          <w:color w:val="auto"/>
        </w:rPr>
        <w:t>housing price growth continues to be supported by weak supply</w:t>
      </w:r>
      <w:r w:rsidR="000834F8" w:rsidRPr="0041126E">
        <w:rPr>
          <w:color w:val="auto"/>
        </w:rPr>
        <w:t>, which again f</w:t>
      </w:r>
      <w:r w:rsidR="00D52659" w:rsidRPr="0041126E">
        <w:rPr>
          <w:color w:val="auto"/>
        </w:rPr>
        <w:t>ell</w:t>
      </w:r>
      <w:r w:rsidR="00E90800" w:rsidRPr="0041126E">
        <w:rPr>
          <w:color w:val="auto"/>
        </w:rPr>
        <w:t xml:space="preserve"> short of underlying demand.</w:t>
      </w:r>
      <w:r w:rsidR="00D52659" w:rsidRPr="002949B5">
        <w:rPr>
          <w:color w:val="auto"/>
        </w:rPr>
        <w:t xml:space="preserve"> 177,000 dwellings were completed in 2024, falling significantly short of underlying demand for housing, which was estimated at around 223,000 for the same period (see section </w:t>
      </w:r>
      <w:r w:rsidR="00DE6B8D" w:rsidRPr="002949B5">
        <w:rPr>
          <w:color w:val="auto"/>
        </w:rPr>
        <w:t xml:space="preserve">2.2 </w:t>
      </w:r>
      <w:r w:rsidR="00DE6B8D" w:rsidRPr="00F4454F">
        <w:rPr>
          <w:rStyle w:val="Emphasis"/>
        </w:rPr>
        <w:t>Dwelling construction activity</w:t>
      </w:r>
      <w:r w:rsidR="00BC2F41" w:rsidRPr="002949B5">
        <w:rPr>
          <w:color w:val="auto"/>
        </w:rPr>
        <w:t>)</w:t>
      </w:r>
      <w:r w:rsidR="00D52659" w:rsidRPr="002949B5">
        <w:rPr>
          <w:color w:val="auto"/>
        </w:rPr>
        <w:t>.</w:t>
      </w:r>
    </w:p>
    <w:tbl>
      <w:tblPr>
        <w:tblW w:w="5000" w:type="pct"/>
        <w:tblLayout w:type="fixed"/>
        <w:tblLook w:val="0000" w:firstRow="0" w:lastRow="0" w:firstColumn="0" w:lastColumn="0" w:noHBand="0" w:noVBand="0"/>
      </w:tblPr>
      <w:tblGrid>
        <w:gridCol w:w="4535"/>
        <w:gridCol w:w="4535"/>
      </w:tblGrid>
      <w:tr w:rsidR="007F2143" w:rsidRPr="00E6213D" w14:paraId="0C50EFAC" w14:textId="77777777">
        <w:trPr>
          <w:cantSplit/>
        </w:trPr>
        <w:tc>
          <w:tcPr>
            <w:tcW w:w="4535" w:type="dxa"/>
          </w:tcPr>
          <w:p w14:paraId="4889B2D5" w14:textId="77777777" w:rsidR="007F2143" w:rsidRPr="00253AFF" w:rsidRDefault="007F2143" w:rsidP="001B4EAF">
            <w:pPr>
              <w:pStyle w:val="ChartMainHeading"/>
            </w:pPr>
            <w:bookmarkStart w:id="88" w:name="_Ref189130388"/>
            <w:r>
              <w:t>Median h</w:t>
            </w:r>
            <w:r w:rsidRPr="00253AFF">
              <w:t>ousing price</w:t>
            </w:r>
            <w:r>
              <w:t>s</w:t>
            </w:r>
            <w:r w:rsidRPr="00253AFF">
              <w:t>, by dwelling type</w:t>
            </w:r>
            <w:bookmarkEnd w:id="88"/>
          </w:p>
        </w:tc>
        <w:tc>
          <w:tcPr>
            <w:tcW w:w="4535" w:type="dxa"/>
          </w:tcPr>
          <w:p w14:paraId="659E7DE7" w14:textId="0B0625CC" w:rsidR="007F2143" w:rsidRPr="00253AFF" w:rsidRDefault="007F2143" w:rsidP="001B4EAF">
            <w:pPr>
              <w:pStyle w:val="ChartMainHeading"/>
            </w:pPr>
            <w:bookmarkStart w:id="89" w:name="_Ref189130398"/>
            <w:r w:rsidRPr="00253AFF">
              <w:t>Housing price growth, by dwelling type</w:t>
            </w:r>
            <w:bookmarkEnd w:id="89"/>
          </w:p>
        </w:tc>
      </w:tr>
      <w:tr w:rsidR="007F2143" w:rsidRPr="00E6213D" w14:paraId="76A482FC" w14:textId="77777777" w:rsidTr="0099326B">
        <w:trPr>
          <w:cantSplit/>
          <w:trHeight w:val="3174"/>
        </w:trPr>
        <w:tc>
          <w:tcPr>
            <w:tcW w:w="4535" w:type="dxa"/>
          </w:tcPr>
          <w:p w14:paraId="6ABE8F6F" w14:textId="687E20EE" w:rsidR="007F2143" w:rsidRPr="00887F44" w:rsidRDefault="00431AEE" w:rsidP="0099326B">
            <w:pPr>
              <w:pStyle w:val="ChartGraphic"/>
            </w:pPr>
            <w:r w:rsidRPr="00431AEE">
              <w:rPr>
                <w:noProof/>
              </w:rPr>
              <w:drawing>
                <wp:inline distT="0" distB="0" distL="0" distR="0" wp14:anchorId="2C37B464" wp14:editId="7AB7FFCF">
                  <wp:extent cx="2742565" cy="2742565"/>
                  <wp:effectExtent l="0" t="0" r="0" b="0"/>
                  <wp:docPr id="1498584402" name="Picture 2" descr="Chart 2.1 is a line chart that shows the national median prices of houses, units and dwellings from March 2020 to March 2025. Each series increased over the first two years of the period, before declining slightly and then increasing again. Over the period, the median prices of houses has risen from $568,000 to $885,000, dwellings from $555,000 to $820,000 and units from $522,000 to $67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84402" name="Picture 2" descr="Chart 2.1 is a line chart that shows the national median prices of houses, units and dwellings from March 2020 to March 2025. Each series increased over the first two years of the period, before declining slightly and then increasing again. Over the period, the median prices of houses has risen from $568,000 to $885,000, dwellings from $555,000 to $820,000 and units from $522,000 to $673,0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2565" cy="2742565"/>
                          </a:xfrm>
                          <a:prstGeom prst="rect">
                            <a:avLst/>
                          </a:prstGeom>
                          <a:noFill/>
                          <a:ln>
                            <a:noFill/>
                          </a:ln>
                        </pic:spPr>
                      </pic:pic>
                    </a:graphicData>
                  </a:graphic>
                </wp:inline>
              </w:drawing>
            </w:r>
            <w:r w:rsidR="007F2143" w:rsidRPr="00E6213D">
              <w:t xml:space="preserve"> </w:t>
            </w:r>
          </w:p>
        </w:tc>
        <w:tc>
          <w:tcPr>
            <w:tcW w:w="4535" w:type="dxa"/>
          </w:tcPr>
          <w:p w14:paraId="09114584" w14:textId="49C23CCD" w:rsidR="007F2143" w:rsidRPr="00E01495" w:rsidRDefault="0093496E" w:rsidP="0099326B">
            <w:pPr>
              <w:pStyle w:val="ChartGraphic"/>
            </w:pPr>
            <w:r w:rsidRPr="0093496E">
              <w:rPr>
                <w:noProof/>
              </w:rPr>
              <w:drawing>
                <wp:inline distT="0" distB="0" distL="0" distR="0" wp14:anchorId="38434563" wp14:editId="0FBF5BF0">
                  <wp:extent cx="2742565" cy="2742565"/>
                  <wp:effectExtent l="0" t="0" r="0" b="0"/>
                  <wp:docPr id="1976031552" name="Picture 3" descr="Chart 2.2 is a line chart that shows the through-the-year price growth for houses, units and dwellings from March 2020 to March 2025. Across this period, annual growth for all three dwelling types broadly moved together, peaking in November 2021 (between 15 and 28 per cent), before easing to negative growth and then picking up to a lower peak in March 2024. In March 2025, annual growth was 3.7 per cent for houses, 2.4 per cent for units and 3.4 per cent for overall dwell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31552" name="Picture 3" descr="Chart 2.2 is a line chart that shows the through-the-year price growth for houses, units and dwellings from March 2020 to March 2025. Across this period, annual growth for all three dwelling types broadly moved together, peaking in November 2021 (between 15 and 28 per cent), before easing to negative growth and then picking up to a lower peak in March 2024. In March 2025, annual growth was 3.7 per cent for houses, 2.4 per cent for units and 3.4 per cent for overall dwellings.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2565" cy="2742565"/>
                          </a:xfrm>
                          <a:prstGeom prst="rect">
                            <a:avLst/>
                          </a:prstGeom>
                          <a:noFill/>
                          <a:ln>
                            <a:noFill/>
                          </a:ln>
                        </pic:spPr>
                      </pic:pic>
                    </a:graphicData>
                  </a:graphic>
                </wp:inline>
              </w:drawing>
            </w:r>
            <w:r w:rsidR="007F2143" w:rsidRPr="00E6213D">
              <w:t xml:space="preserve"> </w:t>
            </w:r>
          </w:p>
        </w:tc>
      </w:tr>
      <w:tr w:rsidR="0099326B" w:rsidRPr="00E6213D" w14:paraId="0D869FB3" w14:textId="77777777" w:rsidTr="0099326B">
        <w:trPr>
          <w:cantSplit/>
          <w:trHeight w:val="87"/>
        </w:trPr>
        <w:tc>
          <w:tcPr>
            <w:tcW w:w="4535" w:type="dxa"/>
          </w:tcPr>
          <w:p w14:paraId="59A71091" w14:textId="76D5ACE8" w:rsidR="002D186E" w:rsidRDefault="002D186E" w:rsidP="00DB6DE6">
            <w:pPr>
              <w:pStyle w:val="ChartorTableNoteandSource"/>
              <w:rPr>
                <w:noProof/>
              </w:rPr>
            </w:pPr>
            <w:r w:rsidRPr="00DB6DE6">
              <w:t>Note:</w:t>
            </w:r>
            <w:r w:rsidRPr="00DB6DE6">
              <w:tab/>
            </w:r>
            <w:r>
              <w:rPr>
                <w:noProof/>
              </w:rPr>
              <w:t>Median value is the middle-estimate value of all residential properties derived through the hedonic regression methodology that underlies the CoreLogic Hedonic Home Value Index.</w:t>
            </w:r>
          </w:p>
          <w:p w14:paraId="5C57DFDC" w14:textId="52975121" w:rsidR="0099326B" w:rsidRPr="0099326B" w:rsidRDefault="0099326B" w:rsidP="00DB6DE6">
            <w:pPr>
              <w:pStyle w:val="ChartorTableNoteandSource"/>
            </w:pPr>
            <w:r w:rsidRPr="0099326B">
              <w:t>Source:</w:t>
            </w:r>
            <w:r w:rsidR="00DB6DE6">
              <w:tab/>
            </w:r>
            <w:r w:rsidRPr="0099326B">
              <w:t>CoreLogic 2025</w:t>
            </w:r>
          </w:p>
        </w:tc>
        <w:tc>
          <w:tcPr>
            <w:tcW w:w="4535" w:type="dxa"/>
          </w:tcPr>
          <w:p w14:paraId="3233EFE3" w14:textId="2F3F3EB8" w:rsidR="0099326B" w:rsidRPr="0099326B" w:rsidRDefault="0099326B" w:rsidP="00DB6DE6">
            <w:pPr>
              <w:pStyle w:val="ChartorTableNoteandSource"/>
            </w:pPr>
            <w:r w:rsidRPr="0099326B">
              <w:t>Source:</w:t>
            </w:r>
            <w:r w:rsidR="00DB6DE6">
              <w:tab/>
            </w:r>
            <w:r w:rsidRPr="0099326B">
              <w:t>CoreLogic 2025</w:t>
            </w:r>
          </w:p>
        </w:tc>
      </w:tr>
    </w:tbl>
    <w:p w14:paraId="2041F9EE" w14:textId="152DC0BD" w:rsidR="007F2143" w:rsidRPr="00090931" w:rsidRDefault="007F2143">
      <w:r>
        <w:lastRenderedPageBreak/>
        <w:t xml:space="preserve">Housing price growth varied markedly across jurisdictions over the year to March 2025. In </w:t>
      </w:r>
      <w:r w:rsidRPr="00E6213D">
        <w:t>Western</w:t>
      </w:r>
      <w:r w:rsidR="00DB6DE6">
        <w:t> </w:t>
      </w:r>
      <w:r w:rsidRPr="00E6213D">
        <w:t xml:space="preserve">Australia, Queensland and South Australia, housing prices </w:t>
      </w:r>
      <w:r>
        <w:t>rose</w:t>
      </w:r>
      <w:r w:rsidRPr="00E6213D">
        <w:t xml:space="preserve"> by more than </w:t>
      </w:r>
      <w:r>
        <w:t>8</w:t>
      </w:r>
      <w:r w:rsidR="0099326B">
        <w:t> per cent</w:t>
      </w:r>
      <w:r w:rsidR="00D72E22">
        <w:t xml:space="preserve"> </w:t>
      </w:r>
      <w:r w:rsidR="00917D37">
        <w:t>(</w:t>
      </w:r>
      <w:r w:rsidR="00D72E22">
        <w:t>see charts 2.3</w:t>
      </w:r>
      <w:r w:rsidRPr="00090931">
        <w:t xml:space="preserve"> and 2.4)</w:t>
      </w:r>
      <w:r>
        <w:t xml:space="preserve">, </w:t>
      </w:r>
      <w:r w:rsidR="00E340AB">
        <w:t xml:space="preserve">in part </w:t>
      </w:r>
      <w:r>
        <w:t>reflecting relative affordability</w:t>
      </w:r>
      <w:r w:rsidRPr="00090931">
        <w:t xml:space="preserve"> compared to</w:t>
      </w:r>
      <w:r w:rsidRPr="009628A8">
        <w:t xml:space="preserve"> </w:t>
      </w:r>
      <w:r w:rsidRPr="00090931">
        <w:t>other states</w:t>
      </w:r>
      <w:r>
        <w:t xml:space="preserve"> and </w:t>
      </w:r>
      <w:r w:rsidRPr="00090931">
        <w:t>ongoing solid population growth (</w:t>
      </w:r>
      <w:r w:rsidRPr="00BE1A1B">
        <w:t xml:space="preserve">see section </w:t>
      </w:r>
      <w:r w:rsidRPr="001F41DC">
        <w:t>2.4</w:t>
      </w:r>
      <w:r w:rsidR="004606DE">
        <w:t xml:space="preserve">.1 </w:t>
      </w:r>
      <w:r w:rsidR="004606DE" w:rsidRPr="00DB6DE6">
        <w:rPr>
          <w:rStyle w:val="Emphasis"/>
        </w:rPr>
        <w:t>Population</w:t>
      </w:r>
      <w:r w:rsidRPr="00BE1A1B">
        <w:t>).</w:t>
      </w:r>
    </w:p>
    <w:tbl>
      <w:tblPr>
        <w:tblW w:w="5158" w:type="pct"/>
        <w:tblLayout w:type="fixed"/>
        <w:tblLook w:val="0000" w:firstRow="0" w:lastRow="0" w:firstColumn="0" w:lastColumn="0" w:noHBand="0" w:noVBand="0"/>
      </w:tblPr>
      <w:tblGrid>
        <w:gridCol w:w="4678"/>
        <w:gridCol w:w="4679"/>
      </w:tblGrid>
      <w:tr w:rsidR="00227DC2" w:rsidRPr="00E6213D" w14:paraId="35D57106" w14:textId="77777777">
        <w:trPr>
          <w:cantSplit/>
          <w:trHeight w:val="265"/>
        </w:trPr>
        <w:tc>
          <w:tcPr>
            <w:tcW w:w="4678" w:type="dxa"/>
          </w:tcPr>
          <w:p w14:paraId="25293CDE" w14:textId="0F4AD00E" w:rsidR="00227DC2" w:rsidRPr="00780A40" w:rsidRDefault="00227DC2" w:rsidP="00780A40">
            <w:pPr>
              <w:pStyle w:val="ChartMainHeading"/>
            </w:pPr>
            <w:r w:rsidRPr="00780A40">
              <w:t>Housing price growth, by</w:t>
            </w:r>
            <w:r w:rsidR="007040D9" w:rsidRPr="00780A40">
              <w:t> </w:t>
            </w:r>
            <w:r w:rsidRPr="00780A40">
              <w:t>state</w:t>
            </w:r>
          </w:p>
        </w:tc>
        <w:tc>
          <w:tcPr>
            <w:tcW w:w="4679" w:type="dxa"/>
          </w:tcPr>
          <w:p w14:paraId="3A10E95D" w14:textId="10E69D2B" w:rsidR="00227DC2" w:rsidRPr="00780A40" w:rsidRDefault="00227DC2" w:rsidP="00780A40">
            <w:pPr>
              <w:pStyle w:val="ChartMainHeading"/>
            </w:pPr>
            <w:r w:rsidRPr="00780A40">
              <w:t>Housing price growth, by state</w:t>
            </w:r>
          </w:p>
        </w:tc>
      </w:tr>
      <w:tr w:rsidR="00227DC2" w:rsidRPr="00E6213D" w14:paraId="392F6B37" w14:textId="77777777" w:rsidTr="0099326B">
        <w:trPr>
          <w:cantSplit/>
          <w:trHeight w:val="4462"/>
        </w:trPr>
        <w:tc>
          <w:tcPr>
            <w:tcW w:w="4678" w:type="dxa"/>
          </w:tcPr>
          <w:p w14:paraId="585DBDA8" w14:textId="7A282254" w:rsidR="00227DC2" w:rsidRPr="00243E0D" w:rsidRDefault="00E81DAB" w:rsidP="0099326B">
            <w:pPr>
              <w:pStyle w:val="ChartGraphic"/>
            </w:pPr>
            <w:r w:rsidRPr="00E81DAB">
              <w:rPr>
                <w:noProof/>
              </w:rPr>
              <w:drawing>
                <wp:inline distT="0" distB="0" distL="0" distR="0" wp14:anchorId="7553C875" wp14:editId="562CB3C9">
                  <wp:extent cx="2829560" cy="2829560"/>
                  <wp:effectExtent l="0" t="0" r="8890" b="8890"/>
                  <wp:docPr id="1545964118" name="Picture 1" descr="Chart 2.3 and Chart 2.4 are line charts showing the through-the-year price growth for dwellings by state from March 2020 to March 2025. Chart 2.3 shows growth for Western Australia, South Australia, Tasmania and Northern Territory. Chart 2.4 shows growth for Queensland, Victoria, New South Wales and the Australian Capital Territory.&#10;Price growth picked up for all the states within the first three years, with most peaking in late 2021 and early 2022. Annual growth across states then slowed over the next year to a trough in late 2022 and early 2023, before rising again. &#10;Since early 2023, price growth has diverged across states. Western Australia, South Australia and Queensland have seen price growth strengthen again, following a pick-up through 2023. Price growth for these states remains strong, above 8 per cent, despite a slight slowing in the past few quarters. For other states, while housing price growth picked up through 2023, growth has since eased or held at low rates. As of March 2025, price growth was low in New South Wales, Tasmania and the Northern Territory, and negative in the Australian Capital Territory and Victo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64118" name="Picture 1" descr="Chart 2.3 and Chart 2.4 are line charts showing the through-the-year price growth for dwellings by state from March 2020 to March 2025. Chart 2.3 shows growth for Western Australia, South Australia, Tasmania and Northern Territory. Chart 2.4 shows growth for Queensland, Victoria, New South Wales and the Australian Capital Territory.&#10;Price growth picked up for all the states within the first three years, with most peaking in late 2021 and early 2022. Annual growth across states then slowed over the next year to a trough in late 2022 and early 2023, before rising again. &#10;Since early 2023, price growth has diverged across states. Western Australia, South Australia and Queensland have seen price growth strengthen again, following a pick-up through 2023. Price growth for these states remains strong, above 8 per cent, despite a slight slowing in the past few quarters. For other states, while housing price growth picked up through 2023, growth has since eased or held at low rates. As of March 2025, price growth was low in New South Wales, Tasmania and the Northern Territory, and negative in the Australian Capital Territory and Victoria.&#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29560" cy="2829560"/>
                          </a:xfrm>
                          <a:prstGeom prst="rect">
                            <a:avLst/>
                          </a:prstGeom>
                          <a:noFill/>
                          <a:ln>
                            <a:noFill/>
                          </a:ln>
                        </pic:spPr>
                      </pic:pic>
                    </a:graphicData>
                  </a:graphic>
                </wp:inline>
              </w:drawing>
            </w:r>
          </w:p>
        </w:tc>
        <w:tc>
          <w:tcPr>
            <w:tcW w:w="4679" w:type="dxa"/>
          </w:tcPr>
          <w:p w14:paraId="1F41C501" w14:textId="70B9FB0E" w:rsidR="00227DC2" w:rsidRPr="000C648F" w:rsidRDefault="009E5317" w:rsidP="0099326B">
            <w:pPr>
              <w:pStyle w:val="ChartGraphic"/>
            </w:pPr>
            <w:r w:rsidRPr="009E5317">
              <w:rPr>
                <w:noProof/>
              </w:rPr>
              <w:drawing>
                <wp:inline distT="0" distB="0" distL="0" distR="0" wp14:anchorId="6A753DA1" wp14:editId="0D015C5A">
                  <wp:extent cx="2829560" cy="2829560"/>
                  <wp:effectExtent l="0" t="0" r="0" b="0"/>
                  <wp:docPr id="38535005" name="Picture 2" descr="Chart 2.3 and Chart 2.4 are line charts showing the through-the-year price growth for dwellings by state from March 2020 to March 2025. Chart 2.3 shows growth for Western Australia, South Australia, Tasmania and Northern Territory. Chart 2.4 shows growth for Queensland, Victoria, New South Wales and the Australian Capital Territory.&#10;Price growth picked up for all the states within the first three years, with most peaking in late 2021 and early 2022. Annual growth across states then slowed over the next year to a trough in late 2022 and early 2023, before rising again. &#10;Since early 2023, price growth has diverged across states. Western Australia, South Australia and Queensland have seen price growth strengthen again, following a pick-up through 2023. Price growth for these states remains strong, above 8 per cent, despite a slight slowing in the past few quarters. For other states, while housing price growth picked up through 2023, growth has since eased or held at low rates. As of March 2025, price growth was low in New South Wales, Tasmania and the Northern Territory, and negative in the Australian Capital Territory and Victo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5005" name="Picture 2" descr="Chart 2.3 and Chart 2.4 are line charts showing the through-the-year price growth for dwellings by state from March 2020 to March 2025. Chart 2.3 shows growth for Western Australia, South Australia, Tasmania and Northern Territory. Chart 2.4 shows growth for Queensland, Victoria, New South Wales and the Australian Capital Territory.&#10;Price growth picked up for all the states within the first three years, with most peaking in late 2021 and early 2022. Annual growth across states then slowed over the next year to a trough in late 2022 and early 2023, before rising again. &#10;Since early 2023, price growth has diverged across states. Western Australia, South Australia and Queensland have seen price growth strengthen again, following a pick-up through 2023. Price growth for these states remains strong, above 8 per cent, despite a slight slowing in the past few quarters. For other states, while housing price growth picked up through 2023, growth has since eased or held at low rates. As of March 2025, price growth was low in New South Wales, Tasmania and the Northern Territory, and negative in the Australian Capital Territory and Victoria.&#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29560" cy="2829560"/>
                          </a:xfrm>
                          <a:prstGeom prst="rect">
                            <a:avLst/>
                          </a:prstGeom>
                          <a:noFill/>
                          <a:ln>
                            <a:noFill/>
                          </a:ln>
                        </pic:spPr>
                      </pic:pic>
                    </a:graphicData>
                  </a:graphic>
                </wp:inline>
              </w:drawing>
            </w:r>
            <w:r w:rsidR="00227DC2" w:rsidRPr="00E6213D">
              <w:t xml:space="preserve"> </w:t>
            </w:r>
          </w:p>
        </w:tc>
      </w:tr>
      <w:tr w:rsidR="0099326B" w:rsidRPr="00E6213D" w14:paraId="7BF2A954" w14:textId="77777777" w:rsidTr="0099326B">
        <w:trPr>
          <w:cantSplit/>
          <w:trHeight w:val="87"/>
        </w:trPr>
        <w:tc>
          <w:tcPr>
            <w:tcW w:w="4678" w:type="dxa"/>
          </w:tcPr>
          <w:p w14:paraId="3711B25B" w14:textId="5BCCE491" w:rsidR="0099326B" w:rsidRPr="0099326B" w:rsidRDefault="0099326B" w:rsidP="00DB6DE6">
            <w:pPr>
              <w:pStyle w:val="ChartorTableNoteandSource"/>
            </w:pPr>
            <w:r w:rsidRPr="0099326B">
              <w:t>Source:</w:t>
            </w:r>
            <w:r w:rsidR="00DB6DE6">
              <w:tab/>
            </w:r>
            <w:r w:rsidRPr="0099326B">
              <w:t>CoreLogic 2025</w:t>
            </w:r>
          </w:p>
        </w:tc>
        <w:tc>
          <w:tcPr>
            <w:tcW w:w="4679" w:type="dxa"/>
          </w:tcPr>
          <w:p w14:paraId="3CF41C68" w14:textId="6B8090EC" w:rsidR="0099326B" w:rsidRPr="0099326B" w:rsidRDefault="0099326B" w:rsidP="00DB6DE6">
            <w:pPr>
              <w:pStyle w:val="ChartorTableNoteandSource"/>
            </w:pPr>
            <w:r w:rsidRPr="0099326B">
              <w:t>Source:</w:t>
            </w:r>
            <w:r w:rsidR="00DB6DE6">
              <w:tab/>
            </w:r>
            <w:r w:rsidRPr="0099326B">
              <w:t>CoreLogic 2025</w:t>
            </w:r>
          </w:p>
        </w:tc>
      </w:tr>
    </w:tbl>
    <w:p w14:paraId="1E1DE705" w14:textId="725790C4" w:rsidR="007F2143" w:rsidRDefault="007F2143" w:rsidP="0041126E">
      <w:pPr>
        <w:spacing w:after="0"/>
      </w:pPr>
      <w:r w:rsidRPr="00090931">
        <w:t xml:space="preserve">Elsewhere, housing price growth was </w:t>
      </w:r>
      <w:r>
        <w:t>low</w:t>
      </w:r>
      <w:r w:rsidRPr="00090931">
        <w:t xml:space="preserve"> in New South Wales</w:t>
      </w:r>
      <w:r>
        <w:t xml:space="preserve">, </w:t>
      </w:r>
      <w:r w:rsidRPr="00090931">
        <w:t>Tasmania</w:t>
      </w:r>
      <w:r>
        <w:t xml:space="preserve"> and the Northern Territory</w:t>
      </w:r>
      <w:r w:rsidRPr="00090931">
        <w:t xml:space="preserve">, </w:t>
      </w:r>
      <w:r w:rsidRPr="009628A8">
        <w:t xml:space="preserve">while prices </w:t>
      </w:r>
      <w:r>
        <w:t xml:space="preserve">fell </w:t>
      </w:r>
      <w:r w:rsidRPr="009628A8">
        <w:t xml:space="preserve">in the Australian Capital Territory and </w:t>
      </w:r>
      <w:r w:rsidR="00917D37">
        <w:t>Victoria (see charts 2.3 and 2.4).</w:t>
      </w:r>
      <w:r w:rsidRPr="00090931">
        <w:t xml:space="preserve"> Along</w:t>
      </w:r>
      <w:r w:rsidR="00CB1256">
        <w:t xml:space="preserve"> </w:t>
      </w:r>
      <w:r w:rsidR="00622472">
        <w:t xml:space="preserve">with </w:t>
      </w:r>
      <w:r w:rsidRPr="00090931">
        <w:t xml:space="preserve">affordability constraints, </w:t>
      </w:r>
      <w:r w:rsidRPr="00090931">
        <w:rPr>
          <w:color w:val="auto"/>
        </w:rPr>
        <w:t>Victoria and the Australian Capital Territory</w:t>
      </w:r>
      <w:r w:rsidRPr="00090931" w:rsidDel="00773522">
        <w:rPr>
          <w:color w:val="auto"/>
        </w:rPr>
        <w:t xml:space="preserve"> </w:t>
      </w:r>
      <w:r w:rsidRPr="00090931">
        <w:rPr>
          <w:color w:val="auto"/>
        </w:rPr>
        <w:t xml:space="preserve">have seen a considerable </w:t>
      </w:r>
      <w:r>
        <w:rPr>
          <w:color w:val="auto"/>
        </w:rPr>
        <w:t>rise</w:t>
      </w:r>
      <w:r w:rsidRPr="00090931">
        <w:rPr>
          <w:color w:val="auto"/>
        </w:rPr>
        <w:t xml:space="preserve"> in housing supply i</w:t>
      </w:r>
      <w:r w:rsidRPr="00015D1E">
        <w:rPr>
          <w:color w:val="auto"/>
        </w:rPr>
        <w:t xml:space="preserve">n recent years, placing downward pressure on prices (see section </w:t>
      </w:r>
      <w:r w:rsidRPr="00015D1E">
        <w:rPr>
          <w:iCs/>
          <w:color w:val="auto"/>
        </w:rPr>
        <w:t>2.2.2</w:t>
      </w:r>
      <w:r w:rsidR="00C634AA">
        <w:rPr>
          <w:iCs/>
          <w:color w:val="auto"/>
        </w:rPr>
        <w:t>,</w:t>
      </w:r>
      <w:r w:rsidRPr="00015D1E" w:rsidDel="00015D1E">
        <w:rPr>
          <w:i/>
          <w:color w:val="auto"/>
        </w:rPr>
        <w:t xml:space="preserve"> </w:t>
      </w:r>
      <w:r w:rsidRPr="00DB6DE6" w:rsidDel="00015D1E">
        <w:rPr>
          <w:rStyle w:val="Emphasis"/>
        </w:rPr>
        <w:t>New housing supply</w:t>
      </w:r>
      <w:r w:rsidR="008C28F0" w:rsidRPr="002949B5">
        <w:rPr>
          <w:rStyle w:val="Emphasis"/>
        </w:rPr>
        <w:t>,</w:t>
      </w:r>
      <w:r w:rsidRPr="002949B5" w:rsidDel="00015D1E">
        <w:rPr>
          <w:rStyle w:val="Emphasis"/>
        </w:rPr>
        <w:t xml:space="preserve"> by state</w:t>
      </w:r>
      <w:r w:rsidR="00504A8B" w:rsidRPr="002949B5">
        <w:rPr>
          <w:rStyle w:val="Emphasis"/>
        </w:rPr>
        <w:t xml:space="preserve"> and territory</w:t>
      </w:r>
      <w:r w:rsidRPr="002949B5">
        <w:rPr>
          <w:color w:val="auto"/>
        </w:rPr>
        <w:t>). In</w:t>
      </w:r>
      <w:r w:rsidRPr="00090931">
        <w:rPr>
          <w:color w:val="auto"/>
        </w:rPr>
        <w:t xml:space="preserve"> Tasmania and the Northern Territory, </w:t>
      </w:r>
      <w:r w:rsidRPr="00F25F8F">
        <w:t xml:space="preserve">weak population growth has been a key factor </w:t>
      </w:r>
      <w:r w:rsidR="00622472" w:rsidRPr="00F25F8F">
        <w:t xml:space="preserve">in </w:t>
      </w:r>
      <w:r w:rsidRPr="00F25F8F">
        <w:t xml:space="preserve">constraining prices (see section </w:t>
      </w:r>
      <w:r w:rsidRPr="00F25F8F">
        <w:rPr>
          <w:iCs/>
        </w:rPr>
        <w:t>2.4.1</w:t>
      </w:r>
      <w:r w:rsidR="00561097" w:rsidRPr="00F25F8F">
        <w:rPr>
          <w:iCs/>
        </w:rPr>
        <w:t>,</w:t>
      </w:r>
      <w:r w:rsidRPr="00F25F8F" w:rsidDel="00653C7B">
        <w:rPr>
          <w:iCs/>
        </w:rPr>
        <w:t> </w:t>
      </w:r>
      <w:r w:rsidRPr="00DB6DE6" w:rsidDel="00653C7B">
        <w:rPr>
          <w:rStyle w:val="Emphasis"/>
        </w:rPr>
        <w:t>Population</w:t>
      </w:r>
      <w:r w:rsidRPr="00F25F8F">
        <w:rPr>
          <w:iCs/>
        </w:rPr>
        <w:t>).</w:t>
      </w:r>
      <w:r w:rsidRPr="00F25F8F">
        <w:t xml:space="preserve"> </w:t>
      </w:r>
      <w:r w:rsidR="00613A37" w:rsidRPr="00F25F8F">
        <w:t>In level terms, Sydney remains the most expens</w:t>
      </w:r>
      <w:r w:rsidR="003B6D5F" w:rsidRPr="00F25F8F">
        <w:t>ive</w:t>
      </w:r>
      <w:r w:rsidR="00613A37" w:rsidRPr="00F25F8F">
        <w:t xml:space="preserve"> </w:t>
      </w:r>
      <w:r w:rsidR="00F25F8F" w:rsidRPr="00F25F8F">
        <w:t xml:space="preserve">capital </w:t>
      </w:r>
      <w:r w:rsidR="00613A37" w:rsidRPr="00F25F8F">
        <w:t>city nationally</w:t>
      </w:r>
      <w:r w:rsidR="00F25F8F" w:rsidRPr="00F25F8F">
        <w:t xml:space="preserve"> by a large margin, while Dawin remains the least expensive</w:t>
      </w:r>
      <w:r w:rsidR="006537B0" w:rsidRPr="00F25F8F">
        <w:t xml:space="preserve"> (see charts 2.5 and 2.6).</w:t>
      </w:r>
    </w:p>
    <w:tbl>
      <w:tblPr>
        <w:tblW w:w="5000" w:type="pct"/>
        <w:tblLayout w:type="fixed"/>
        <w:tblLook w:val="0000" w:firstRow="0" w:lastRow="0" w:firstColumn="0" w:lastColumn="0" w:noHBand="0" w:noVBand="0"/>
      </w:tblPr>
      <w:tblGrid>
        <w:gridCol w:w="4535"/>
        <w:gridCol w:w="4535"/>
      </w:tblGrid>
      <w:tr w:rsidR="00A6023B" w:rsidRPr="002949B5" w14:paraId="263479F3" w14:textId="77777777" w:rsidTr="00531399">
        <w:trPr>
          <w:cantSplit/>
          <w:trHeight w:val="265"/>
        </w:trPr>
        <w:tc>
          <w:tcPr>
            <w:tcW w:w="4678" w:type="dxa"/>
          </w:tcPr>
          <w:p w14:paraId="1A19B3C0" w14:textId="4AF75552" w:rsidR="00A6023B" w:rsidRPr="002949B5" w:rsidRDefault="00A6023B" w:rsidP="00780A40">
            <w:pPr>
              <w:pStyle w:val="ChartMainHeading"/>
              <w:spacing w:before="100" w:beforeAutospacing="1"/>
            </w:pPr>
            <w:r w:rsidRPr="002949B5">
              <w:lastRenderedPageBreak/>
              <w:t>Housing price</w:t>
            </w:r>
            <w:r w:rsidR="00B5643E" w:rsidRPr="002949B5">
              <w:t>s, by capital city</w:t>
            </w:r>
          </w:p>
        </w:tc>
        <w:tc>
          <w:tcPr>
            <w:tcW w:w="4679" w:type="dxa"/>
          </w:tcPr>
          <w:p w14:paraId="67118552" w14:textId="51B92E5A" w:rsidR="00A6023B" w:rsidRPr="002949B5" w:rsidRDefault="00A6023B" w:rsidP="00780A40">
            <w:pPr>
              <w:pStyle w:val="ChartMainHeading"/>
              <w:spacing w:before="100" w:beforeAutospacing="1"/>
            </w:pPr>
            <w:r w:rsidRPr="002949B5">
              <w:t>Housing price</w:t>
            </w:r>
            <w:r w:rsidR="00B5643E" w:rsidRPr="002949B5">
              <w:t>s, by capital city</w:t>
            </w:r>
          </w:p>
        </w:tc>
      </w:tr>
      <w:tr w:rsidR="00A6023B" w:rsidRPr="00E6213D" w14:paraId="272E8925" w14:textId="77777777" w:rsidTr="00531399">
        <w:trPr>
          <w:cantSplit/>
          <w:trHeight w:val="3764"/>
        </w:trPr>
        <w:tc>
          <w:tcPr>
            <w:tcW w:w="4678" w:type="dxa"/>
          </w:tcPr>
          <w:p w14:paraId="46372CFA" w14:textId="2459A24C" w:rsidR="00073C9C" w:rsidRPr="007512CB" w:rsidRDefault="00EA3F43" w:rsidP="0099326B">
            <w:pPr>
              <w:pStyle w:val="ChartGraphic"/>
            </w:pPr>
            <w:r w:rsidRPr="00EA3F43">
              <w:rPr>
                <w:noProof/>
              </w:rPr>
              <w:drawing>
                <wp:inline distT="0" distB="0" distL="0" distR="0" wp14:anchorId="4179620F" wp14:editId="780566FB">
                  <wp:extent cx="2742565" cy="2596515"/>
                  <wp:effectExtent l="0" t="0" r="635" b="0"/>
                  <wp:docPr id="133190681" name="Picture 11" descr="Chart 2.5 and Chart 2.6 are line charts that show median dwelling prices of each capital city from March 2000 to March 2025. Chart 2.5 shows prices for Sydney, Brisbane, Perth and Adelaide.&#10;&#10;Over the period, housing prices across all eight cities have increased from between $103,000 and $277,000, to between $519,000 and $1.2 million. Since 2021, housing prices across all eight cities have markedly accelerated.&#10;&#10;Housing prices are highest in Sydney, at $1.2 million, where the city has experienced very strong price growth since 2013. Prices in Brisbane, Perth and Adelaide range from $806,000 to $900,00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0681" name="Picture 11" descr="Chart 2.5 and Chart 2.6 are line charts that show median dwelling prices of each capital city from March 2000 to March 2025. Chart 2.5 shows prices for Sydney, Brisbane, Perth and Adelaide.&#10;&#10;Over the period, housing prices across all eight cities have increased from between $103,000 and $277,000, to between $519,000 and $1.2 million. Since 2021, housing prices across all eight cities have markedly accelerated.&#10;&#10;Housing prices are highest in Sydney, at $1.2 million, where the city has experienced very strong price growth since 2013. Prices in Brisbane, Perth and Adelaide range from $806,000 to $900,000.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2565" cy="2596515"/>
                          </a:xfrm>
                          <a:prstGeom prst="rect">
                            <a:avLst/>
                          </a:prstGeom>
                          <a:noFill/>
                          <a:ln>
                            <a:noFill/>
                          </a:ln>
                        </pic:spPr>
                      </pic:pic>
                    </a:graphicData>
                  </a:graphic>
                </wp:inline>
              </w:drawing>
            </w:r>
          </w:p>
        </w:tc>
        <w:tc>
          <w:tcPr>
            <w:tcW w:w="4679" w:type="dxa"/>
          </w:tcPr>
          <w:p w14:paraId="4DC55A85" w14:textId="1DB3F116" w:rsidR="00A6023B" w:rsidRPr="000C648F" w:rsidRDefault="008870CC" w:rsidP="0099326B">
            <w:pPr>
              <w:pStyle w:val="ChartGraphic"/>
            </w:pPr>
            <w:r w:rsidRPr="008870CC">
              <w:rPr>
                <w:noProof/>
              </w:rPr>
              <w:drawing>
                <wp:inline distT="0" distB="0" distL="0" distR="0" wp14:anchorId="4D25732D" wp14:editId="2E16F0AF">
                  <wp:extent cx="2742565" cy="2596515"/>
                  <wp:effectExtent l="0" t="0" r="0" b="0"/>
                  <wp:docPr id="1392760198" name="Picture 16" descr="Chart 2.5 and Chart 2.6 are line charts that show median dwelling prices of each capital city from March 2000 to March 2025. Chart 2.6 shows prices for Melbourne, Canberra, Hobart and Darwin. &#10;&#10;Over the period, housing prices across all eight cities have increased from between $103,000 and $277,000, to between $519,000 and $1.2 million. Since 2021, housing prices across all eight cities have markedly accelerated.&#10;&#10;However, over 2024 and 2025 price growth was broadly flat for Melbourne, Canberra, Hobart and Darwin. Prices for these cities currently range from $519,000 to $854,00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60198" name="Picture 16" descr="Chart 2.5 and Chart 2.6 are line charts that show median dwelling prices of each capital city from March 2000 to March 2025. Chart 2.6 shows prices for Melbourne, Canberra, Hobart and Darwin. &#10;&#10;Over the period, housing prices across all eight cities have increased from between $103,000 and $277,000, to between $519,000 and $1.2 million. Since 2021, housing prices across all eight cities have markedly accelerated.&#10;&#10;However, over 2024 and 2025 price growth was broadly flat for Melbourne, Canberra, Hobart and Darwin. Prices for these cities currently range from $519,000 to $854,000.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2565" cy="2596515"/>
                          </a:xfrm>
                          <a:prstGeom prst="rect">
                            <a:avLst/>
                          </a:prstGeom>
                          <a:noFill/>
                          <a:ln>
                            <a:noFill/>
                          </a:ln>
                        </pic:spPr>
                      </pic:pic>
                    </a:graphicData>
                  </a:graphic>
                </wp:inline>
              </w:drawing>
            </w:r>
          </w:p>
        </w:tc>
      </w:tr>
      <w:tr w:rsidR="0099326B" w:rsidRPr="00E6213D" w14:paraId="2F558CB1" w14:textId="77777777" w:rsidTr="00531399">
        <w:trPr>
          <w:cantSplit/>
          <w:trHeight w:val="74"/>
        </w:trPr>
        <w:tc>
          <w:tcPr>
            <w:tcW w:w="4678" w:type="dxa"/>
          </w:tcPr>
          <w:p w14:paraId="054651D7" w14:textId="3C2C2108" w:rsidR="00AB6196" w:rsidRDefault="00AB6196" w:rsidP="00DB6DE6">
            <w:pPr>
              <w:pStyle w:val="ChartorTableNoteandSource"/>
              <w:rPr>
                <w:noProof/>
              </w:rPr>
            </w:pPr>
            <w:r w:rsidRPr="00DB6DE6">
              <w:t xml:space="preserve">Note: </w:t>
            </w:r>
            <w:r w:rsidRPr="00DB6DE6">
              <w:tab/>
            </w:r>
            <w:r w:rsidR="005530DE">
              <w:rPr>
                <w:noProof/>
              </w:rPr>
              <w:t>Median value is the middle-estimate value of all residential properties derived through the hedonic regression methodology that underlies the CoreLogic</w:t>
            </w:r>
            <w:r w:rsidR="005A39E1">
              <w:rPr>
                <w:noProof/>
              </w:rPr>
              <w:t xml:space="preserve"> Hedonic Home Value Index. </w:t>
            </w:r>
          </w:p>
          <w:p w14:paraId="1B31B54F" w14:textId="3A701793" w:rsidR="0099326B" w:rsidRPr="00B96141" w:rsidRDefault="0099326B" w:rsidP="00AB6196">
            <w:pPr>
              <w:pStyle w:val="ChartorTableNoteandSource"/>
              <w:rPr>
                <w:noProof/>
              </w:rPr>
            </w:pPr>
            <w:r w:rsidRPr="00B96141">
              <w:rPr>
                <w:noProof/>
              </w:rPr>
              <w:t>Source:</w:t>
            </w:r>
            <w:r w:rsidR="00DB6DE6">
              <w:rPr>
                <w:noProof/>
              </w:rPr>
              <w:tab/>
            </w:r>
            <w:r w:rsidRPr="00DB6DE6">
              <w:t>CoreLogic 2025</w:t>
            </w:r>
          </w:p>
        </w:tc>
        <w:tc>
          <w:tcPr>
            <w:tcW w:w="4679" w:type="dxa"/>
          </w:tcPr>
          <w:p w14:paraId="23E54A6D" w14:textId="005A8E77" w:rsidR="00AB6196" w:rsidRDefault="00AB6196" w:rsidP="00DB6DE6">
            <w:pPr>
              <w:pStyle w:val="ChartorTableNoteandSource"/>
            </w:pPr>
            <w:r>
              <w:t xml:space="preserve">Note: </w:t>
            </w:r>
            <w:r>
              <w:tab/>
            </w:r>
            <w:r w:rsidR="00516B05">
              <w:rPr>
                <w:noProof/>
              </w:rPr>
              <w:t>Median value is the middle-estimate value of all residential properties derived through the hedonic regression methodology that underlies the CoreLogic Hedonic Home Value Index.</w:t>
            </w:r>
          </w:p>
          <w:p w14:paraId="5D054C86" w14:textId="23118C3C" w:rsidR="0099326B" w:rsidRPr="003066EF" w:rsidRDefault="0099326B" w:rsidP="00AB6196">
            <w:pPr>
              <w:pStyle w:val="ChartorTableNoteandSource"/>
              <w:rPr>
                <w:noProof/>
              </w:rPr>
            </w:pPr>
            <w:r w:rsidRPr="00E6213D">
              <w:t>Source:</w:t>
            </w:r>
            <w:r w:rsidR="00DB6DE6">
              <w:tab/>
            </w:r>
            <w:r w:rsidRPr="00482EFC">
              <w:t xml:space="preserve">CoreLogic </w:t>
            </w:r>
            <w:r>
              <w:t>2025</w:t>
            </w:r>
          </w:p>
        </w:tc>
      </w:tr>
    </w:tbl>
    <w:p w14:paraId="7C347032" w14:textId="39E90C62" w:rsidR="007F2143" w:rsidRPr="00E6213D" w:rsidRDefault="007F2143" w:rsidP="009628A8">
      <w:r>
        <w:t>Housing price growth in regional areas</w:t>
      </w:r>
      <w:r w:rsidRPr="00090931">
        <w:t xml:space="preserve"> </w:t>
      </w:r>
      <w:r>
        <w:t xml:space="preserve">outpaced </w:t>
      </w:r>
      <w:r w:rsidR="00E1264D">
        <w:t xml:space="preserve">that in </w:t>
      </w:r>
      <w:r w:rsidRPr="00E6213D">
        <w:t xml:space="preserve">capital </w:t>
      </w:r>
      <w:r>
        <w:t xml:space="preserve">cities over the year to March 2025. </w:t>
      </w:r>
      <w:r w:rsidRPr="00E6213D">
        <w:t xml:space="preserve">Regional prices rose by </w:t>
      </w:r>
      <w:r>
        <w:t>5.3</w:t>
      </w:r>
      <w:r w:rsidR="0099326B">
        <w:t> per cent</w:t>
      </w:r>
      <w:r w:rsidRPr="00E6213D">
        <w:t xml:space="preserve">, while capital city prices rose by </w:t>
      </w:r>
      <w:r>
        <w:t>2.8</w:t>
      </w:r>
      <w:r w:rsidR="0099326B">
        <w:t> per cent</w:t>
      </w:r>
      <w:r w:rsidRPr="00E6213D">
        <w:t xml:space="preserve"> (</w:t>
      </w:r>
      <w:r w:rsidR="00425B96">
        <w:t xml:space="preserve">see </w:t>
      </w:r>
      <w:r w:rsidRPr="00E6213D">
        <w:t xml:space="preserve">Chart </w:t>
      </w:r>
      <w:r>
        <w:t>2</w:t>
      </w:r>
      <w:r w:rsidRPr="00E6213D">
        <w:t>.</w:t>
      </w:r>
      <w:r w:rsidR="006F448D">
        <w:t>7</w:t>
      </w:r>
      <w:r w:rsidRPr="00E6213D">
        <w:t xml:space="preserve">). </w:t>
      </w:r>
      <w:r w:rsidRPr="00333645">
        <w:t xml:space="preserve">Slower price growth in </w:t>
      </w:r>
      <w:r>
        <w:t xml:space="preserve">capital </w:t>
      </w:r>
      <w:r w:rsidRPr="00333645">
        <w:t>cities may partly reflect the slowing rate of net overseas migration over the past year</w:t>
      </w:r>
      <w:r>
        <w:t>, as new migrants tend to reside in capital cities</w:t>
      </w:r>
      <w:r w:rsidRPr="00E6213D">
        <w:t xml:space="preserve"> (see </w:t>
      </w:r>
      <w:r w:rsidRPr="00561097">
        <w:t xml:space="preserve">section </w:t>
      </w:r>
      <w:r w:rsidRPr="00A36ACD">
        <w:t>2.4.1</w:t>
      </w:r>
      <w:r w:rsidR="00561097" w:rsidRPr="00A36ACD">
        <w:t>,</w:t>
      </w:r>
      <w:r w:rsidRPr="00A36ACD" w:rsidDel="00653C7B">
        <w:t xml:space="preserve"> </w:t>
      </w:r>
      <w:r w:rsidRPr="00DB6DE6" w:rsidDel="00653C7B">
        <w:rPr>
          <w:rStyle w:val="Emphasis"/>
        </w:rPr>
        <w:t>Population</w:t>
      </w:r>
      <w:r w:rsidRPr="00653C7B">
        <w:t>).</w:t>
      </w:r>
      <w:r w:rsidRPr="00E6213D">
        <w:t xml:space="preserve"> </w:t>
      </w:r>
    </w:p>
    <w:p w14:paraId="07EFB7CF" w14:textId="6E1A699C" w:rsidR="007F2143" w:rsidRPr="00605126" w:rsidRDefault="007F2143">
      <w:r w:rsidRPr="00E861AB">
        <w:t>Housing price</w:t>
      </w:r>
      <w:r>
        <w:t xml:space="preserve"> growth</w:t>
      </w:r>
      <w:r w:rsidRPr="00E861AB">
        <w:t xml:space="preserve"> </w:t>
      </w:r>
      <w:r>
        <w:t>varied</w:t>
      </w:r>
      <w:r w:rsidRPr="00E861AB">
        <w:t xml:space="preserve"> across market </w:t>
      </w:r>
      <w:r w:rsidR="00AB684B">
        <w:t xml:space="preserve">price </w:t>
      </w:r>
      <w:r w:rsidRPr="00E861AB">
        <w:t xml:space="preserve">segments </w:t>
      </w:r>
      <w:r>
        <w:t xml:space="preserve">over the year to March 2025 </w:t>
      </w:r>
      <w:r w:rsidRPr="00E861AB">
        <w:t>(</w:t>
      </w:r>
      <w:r w:rsidR="00AD411F">
        <w:t xml:space="preserve">see </w:t>
      </w:r>
      <w:r w:rsidRPr="00E861AB">
        <w:t>Chart</w:t>
      </w:r>
      <w:r w:rsidR="00DB6DE6">
        <w:t> </w:t>
      </w:r>
      <w:r w:rsidRPr="00E861AB">
        <w:t>2.</w:t>
      </w:r>
      <w:r w:rsidR="000A0E2E">
        <w:t>8</w:t>
      </w:r>
      <w:r w:rsidRPr="00E861AB">
        <w:t>)</w:t>
      </w:r>
      <w:r>
        <w:t xml:space="preserve">. </w:t>
      </w:r>
      <w:r w:rsidR="00AB684B">
        <w:t>Lower quartile dwelling values saw</w:t>
      </w:r>
      <w:r>
        <w:t xml:space="preserve"> </w:t>
      </w:r>
      <w:r w:rsidRPr="00E861AB">
        <w:t>the fast</w:t>
      </w:r>
      <w:r>
        <w:t>est</w:t>
      </w:r>
      <w:r w:rsidRPr="00E861AB">
        <w:t xml:space="preserve"> price growth</w:t>
      </w:r>
      <w:r>
        <w:t>,</w:t>
      </w:r>
      <w:r w:rsidRPr="00E861AB">
        <w:t xml:space="preserve"> </w:t>
      </w:r>
      <w:r>
        <w:t xml:space="preserve">rising by </w:t>
      </w:r>
      <w:r w:rsidRPr="00E6213D">
        <w:t>8</w:t>
      </w:r>
      <w:r>
        <w:t>.5</w:t>
      </w:r>
      <w:r w:rsidR="0099326B">
        <w:t> per cent</w:t>
      </w:r>
      <w:r>
        <w:t xml:space="preserve">. </w:t>
      </w:r>
      <w:r w:rsidR="00AB684B">
        <w:t>By contrast, upper quartile</w:t>
      </w:r>
      <w:r w:rsidR="008D373A">
        <w:t xml:space="preserve"> dwelling values </w:t>
      </w:r>
      <w:r w:rsidDel="008D373A">
        <w:t>rose</w:t>
      </w:r>
      <w:r w:rsidRPr="00E6213D">
        <w:t xml:space="preserve"> by </w:t>
      </w:r>
      <w:r>
        <w:t xml:space="preserve">just </w:t>
      </w:r>
      <w:r w:rsidR="008D373A">
        <w:t>0.8</w:t>
      </w:r>
      <w:r w:rsidR="0099326B">
        <w:t> per cent</w:t>
      </w:r>
      <w:r w:rsidR="008D373A">
        <w:t xml:space="preserve"> over the year</w:t>
      </w:r>
      <w:r w:rsidRPr="00E6213D">
        <w:t xml:space="preserve">. </w:t>
      </w:r>
      <w:r>
        <w:t>Stronger</w:t>
      </w:r>
      <w:r w:rsidRPr="00C57DE9">
        <w:t xml:space="preserve"> price growth</w:t>
      </w:r>
      <w:r w:rsidR="002F1FBA">
        <w:t xml:space="preserve"> for lower quartile dwellings</w:t>
      </w:r>
      <w:r w:rsidRPr="00C57DE9" w:rsidDel="009A0DF4">
        <w:t xml:space="preserve"> </w:t>
      </w:r>
      <w:r>
        <w:t>may reflect a shift in demand to</w:t>
      </w:r>
      <w:r w:rsidR="009A0DF4">
        <w:t>wards</w:t>
      </w:r>
      <w:r w:rsidRPr="00C57DE9">
        <w:t xml:space="preserve"> this segment, consistent with </w:t>
      </w:r>
      <w:r w:rsidR="000D664C">
        <w:t xml:space="preserve">declining </w:t>
      </w:r>
      <w:r w:rsidRPr="00C57DE9">
        <w:t>affordability and high interest rates (</w:t>
      </w:r>
      <w:r w:rsidR="00050216" w:rsidRPr="00310AE8">
        <w:t>CoreLogic</w:t>
      </w:r>
      <w:r w:rsidRPr="00C57DE9">
        <w:t xml:space="preserve"> 2024).</w:t>
      </w:r>
      <w:r>
        <w:t xml:space="preserve"> </w:t>
      </w:r>
    </w:p>
    <w:tbl>
      <w:tblPr>
        <w:tblW w:w="5000" w:type="pct"/>
        <w:tblLayout w:type="fixed"/>
        <w:tblLook w:val="0000" w:firstRow="0" w:lastRow="0" w:firstColumn="0" w:lastColumn="0" w:noHBand="0" w:noVBand="0"/>
      </w:tblPr>
      <w:tblGrid>
        <w:gridCol w:w="4535"/>
        <w:gridCol w:w="4535"/>
      </w:tblGrid>
      <w:tr w:rsidR="007F2143" w:rsidRPr="00E6213D" w14:paraId="3712004C" w14:textId="77777777" w:rsidTr="00531399">
        <w:trPr>
          <w:cantSplit/>
          <w:trHeight w:val="284"/>
        </w:trPr>
        <w:tc>
          <w:tcPr>
            <w:tcW w:w="4678" w:type="dxa"/>
          </w:tcPr>
          <w:p w14:paraId="126B2BBC" w14:textId="7081F64E" w:rsidR="007F2143" w:rsidRPr="00E6213D" w:rsidRDefault="007F2143" w:rsidP="00EB0064">
            <w:pPr>
              <w:pStyle w:val="ChartMainHeading"/>
              <w:spacing w:before="0"/>
            </w:pPr>
            <w:r w:rsidRPr="00BD41F4">
              <w:lastRenderedPageBreak/>
              <w:t>Housing price growth, by</w:t>
            </w:r>
            <w:r w:rsidR="0099326B">
              <w:t> </w:t>
            </w:r>
            <w:r w:rsidRPr="00BD41F4">
              <w:t>region</w:t>
            </w:r>
          </w:p>
        </w:tc>
        <w:tc>
          <w:tcPr>
            <w:tcW w:w="4679" w:type="dxa"/>
          </w:tcPr>
          <w:p w14:paraId="3479933B" w14:textId="3D4DC84F" w:rsidR="007F2143" w:rsidRPr="00BD41F4" w:rsidRDefault="007F2143" w:rsidP="00EB0064">
            <w:pPr>
              <w:pStyle w:val="ChartMainHeading"/>
              <w:spacing w:before="0"/>
            </w:pPr>
            <w:r w:rsidRPr="00E6213D">
              <w:t>Housing price</w:t>
            </w:r>
            <w:r w:rsidRPr="009B1204">
              <w:t xml:space="preserve"> </w:t>
            </w:r>
            <w:r>
              <w:t xml:space="preserve">growth, </w:t>
            </w:r>
            <w:r w:rsidRPr="00E6213D">
              <w:t>by</w:t>
            </w:r>
            <w:r w:rsidR="0099326B">
              <w:t> </w:t>
            </w:r>
            <w:r w:rsidR="00E54038">
              <w:t>price</w:t>
            </w:r>
            <w:r w:rsidR="0099326B">
              <w:t> </w:t>
            </w:r>
            <w:r w:rsidRPr="00E6213D">
              <w:t>segment</w:t>
            </w:r>
            <w:r w:rsidRPr="00E6213D" w:rsidDel="0016297F">
              <w:t xml:space="preserve"> </w:t>
            </w:r>
          </w:p>
        </w:tc>
      </w:tr>
      <w:tr w:rsidR="007F2143" w:rsidRPr="00E6213D" w14:paraId="509113C4" w14:textId="77777777" w:rsidTr="00531399">
        <w:trPr>
          <w:cantSplit/>
          <w:trHeight w:val="3503"/>
        </w:trPr>
        <w:tc>
          <w:tcPr>
            <w:tcW w:w="4678" w:type="dxa"/>
          </w:tcPr>
          <w:p w14:paraId="48A2307C" w14:textId="065284FB" w:rsidR="007F2143" w:rsidRPr="000C648F" w:rsidRDefault="003D7C7E" w:rsidP="0099326B">
            <w:pPr>
              <w:pStyle w:val="ChartGraphic"/>
            </w:pPr>
            <w:r w:rsidRPr="003D7C7E">
              <w:rPr>
                <w:noProof/>
              </w:rPr>
              <w:drawing>
                <wp:inline distT="0" distB="0" distL="0" distR="0" wp14:anchorId="7B503580" wp14:editId="79482CAC">
                  <wp:extent cx="2742565" cy="2742565"/>
                  <wp:effectExtent l="0" t="0" r="0" b="0"/>
                  <wp:docPr id="193027041" name="Picture 15" descr="Chart 2.7 is a line chart that shows through-the-year price growth in the capital cities and regional areas between March 2020 to March 2025. Price growth in both regions picked up strongly in the first two years of the period, reaching a peak of 29 per cent for regional dwellings in January 2022 and 24 per cent for capital cities in October 2021, before declining to negative growth rates in early 2023. Price growth then rose to another peak in early 2024, but has since declined slightly in late 2024 and 2025. Through the year to March 2025, prices in capital cities grew by 2.8 per cent, while regional areas grew by 5.3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7041" name="Picture 15" descr="Chart 2.7 is a line chart that shows through-the-year price growth in the capital cities and regional areas between March 2020 to March 2025. Price growth in both regions picked up strongly in the first two years of the period, reaching a peak of 29 per cent for regional dwellings in January 2022 and 24 per cent for capital cities in October 2021, before declining to negative growth rates in early 2023. Price growth then rose to another peak in early 2024, but has since declined slightly in late 2024 and 2025. Through the year to March 2025, prices in capital cities grew by 2.8 per cent, while regional areas grew by 5.3 per ce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2565" cy="2742565"/>
                          </a:xfrm>
                          <a:prstGeom prst="rect">
                            <a:avLst/>
                          </a:prstGeom>
                          <a:noFill/>
                          <a:ln>
                            <a:noFill/>
                          </a:ln>
                        </pic:spPr>
                      </pic:pic>
                    </a:graphicData>
                  </a:graphic>
                </wp:inline>
              </w:drawing>
            </w:r>
          </w:p>
        </w:tc>
        <w:tc>
          <w:tcPr>
            <w:tcW w:w="4679" w:type="dxa"/>
          </w:tcPr>
          <w:p w14:paraId="36CC2415" w14:textId="26C435AD" w:rsidR="007F2143" w:rsidRPr="00AB5551" w:rsidRDefault="00D955CF" w:rsidP="0099326B">
            <w:pPr>
              <w:pStyle w:val="ChartGraphic"/>
            </w:pPr>
            <w:r w:rsidRPr="00D955CF">
              <w:rPr>
                <w:noProof/>
              </w:rPr>
              <w:drawing>
                <wp:inline distT="0" distB="0" distL="0" distR="0" wp14:anchorId="7E10D396" wp14:editId="08BD9DC7">
                  <wp:extent cx="2742565" cy="2735580"/>
                  <wp:effectExtent l="0" t="0" r="0" b="0"/>
                  <wp:docPr id="779373413" name="Picture 16" descr="Chart 2.8 is a line chart that shows through-the-year housing price growth over March 2020 to March 2025 for the top quartile, lower quartile, and middle two quartile values for dwellings, denoted high, low and mid segments, respectively. Price growth across the three segments increased strongly in the first two years of the period, reaching peaks of between 20 and 29 per cent in late 2021. Housing price growth declined sharply over late 2022 to early 2023 and was negative for the mid and high segments. Price growth recovered in 2024, but declined over late 2024 to 2025. Through the year to March 2025, housing prices in the high segment was up by 0.8 per cent, up by 5.1 per cent for the mid segment and up by 8.5 per cent for the low seg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73413" name="Picture 16" descr="Chart 2.8 is a line chart that shows through-the-year housing price growth over March 2020 to March 2025 for the top quartile, lower quartile, and middle two quartile values for dwellings, denoted high, low and mid segments, respectively. Price growth across the three segments increased strongly in the first two years of the period, reaching peaks of between 20 and 29 per cent in late 2021. Housing price growth declined sharply over late 2022 to early 2023 and was negative for the mid and high segments. Price growth recovered in 2024, but declined over late 2024 to 2025. Through the year to March 2025, housing prices in the high segment was up by 0.8 per cent, up by 5.1 per cent for the mid segment and up by 8.5 per cent for the low segment.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42565" cy="2735580"/>
                          </a:xfrm>
                          <a:prstGeom prst="rect">
                            <a:avLst/>
                          </a:prstGeom>
                          <a:noFill/>
                          <a:ln>
                            <a:noFill/>
                          </a:ln>
                        </pic:spPr>
                      </pic:pic>
                    </a:graphicData>
                  </a:graphic>
                </wp:inline>
              </w:drawing>
            </w:r>
            <w:r w:rsidR="007F2143">
              <w:t xml:space="preserve"> </w:t>
            </w:r>
          </w:p>
        </w:tc>
      </w:tr>
      <w:tr w:rsidR="0099326B" w:rsidRPr="00E6213D" w14:paraId="3675334A" w14:textId="77777777" w:rsidTr="00531399">
        <w:trPr>
          <w:cantSplit/>
          <w:trHeight w:val="74"/>
        </w:trPr>
        <w:tc>
          <w:tcPr>
            <w:tcW w:w="4678" w:type="dxa"/>
          </w:tcPr>
          <w:p w14:paraId="2A001D78" w14:textId="2250CE2A" w:rsidR="0099326B" w:rsidRPr="0099326B" w:rsidRDefault="0099326B" w:rsidP="00DB6DE6">
            <w:pPr>
              <w:pStyle w:val="ChartorTableNoteandSource"/>
            </w:pPr>
            <w:r w:rsidRPr="0099326B">
              <w:t>Source:</w:t>
            </w:r>
            <w:r w:rsidR="00DB6DE6">
              <w:tab/>
            </w:r>
            <w:r w:rsidRPr="0099326B">
              <w:t>CoreLogic 2025</w:t>
            </w:r>
          </w:p>
        </w:tc>
        <w:tc>
          <w:tcPr>
            <w:tcW w:w="4679" w:type="dxa"/>
          </w:tcPr>
          <w:p w14:paraId="5C754CD5" w14:textId="2891E4BA" w:rsidR="00D34CBB" w:rsidRDefault="00D34CBB" w:rsidP="00DB6DE6">
            <w:pPr>
              <w:pStyle w:val="ChartorTableNoteandSource"/>
            </w:pPr>
            <w:r w:rsidRPr="0099326B">
              <w:t>Note:</w:t>
            </w:r>
            <w:r>
              <w:tab/>
              <w:t>‘</w:t>
            </w:r>
            <w:r w:rsidRPr="0099326B">
              <w:t>Low</w:t>
            </w:r>
            <w:r>
              <w:t>’</w:t>
            </w:r>
            <w:r w:rsidRPr="0099326B">
              <w:t xml:space="preserve">, </w:t>
            </w:r>
            <w:r>
              <w:t>‘</w:t>
            </w:r>
            <w:r w:rsidRPr="0099326B">
              <w:t>Mid</w:t>
            </w:r>
            <w:r>
              <w:t>’</w:t>
            </w:r>
            <w:r w:rsidRPr="0099326B">
              <w:t xml:space="preserve"> and </w:t>
            </w:r>
            <w:r>
              <w:t>‘</w:t>
            </w:r>
            <w:r w:rsidRPr="0099326B">
              <w:t>High</w:t>
            </w:r>
            <w:r>
              <w:t>’</w:t>
            </w:r>
            <w:r w:rsidRPr="0099326B">
              <w:t xml:space="preserve"> refer to the lower, middle,</w:t>
            </w:r>
            <w:r w:rsidRPr="0099326B" w:rsidDel="00915C72">
              <w:t xml:space="preserve"> </w:t>
            </w:r>
            <w:r w:rsidRPr="0099326B">
              <w:t>and upper</w:t>
            </w:r>
            <w:r>
              <w:noBreakHyphen/>
            </w:r>
            <w:r w:rsidRPr="0099326B">
              <w:t>value hedonic quartiles, respectively.</w:t>
            </w:r>
          </w:p>
          <w:p w14:paraId="61773D3D" w14:textId="05629240" w:rsidR="0099326B" w:rsidRPr="0099326B" w:rsidRDefault="0099326B" w:rsidP="00D34CBB">
            <w:pPr>
              <w:pStyle w:val="ChartorTableNoteandSource"/>
            </w:pPr>
            <w:r w:rsidRPr="0099326B">
              <w:t>Source:</w:t>
            </w:r>
            <w:r w:rsidR="00DB6DE6">
              <w:tab/>
            </w:r>
            <w:r w:rsidRPr="0099326B">
              <w:t>CoreLogic 2025</w:t>
            </w:r>
          </w:p>
        </w:tc>
      </w:tr>
    </w:tbl>
    <w:p w14:paraId="4ABE15A8" w14:textId="77777777" w:rsidR="007F2143" w:rsidRPr="00E6213D" w:rsidRDefault="007F2143" w:rsidP="00744F72">
      <w:pPr>
        <w:pStyle w:val="Heading3Numbered"/>
        <w:spacing w:line="240" w:lineRule="auto"/>
      </w:pPr>
      <w:r w:rsidRPr="00E6213D">
        <w:t>Rents and vacancy rates</w:t>
      </w:r>
    </w:p>
    <w:p w14:paraId="79519DC0" w14:textId="5706A848" w:rsidR="007F2143" w:rsidRDefault="007F2143">
      <w:r w:rsidRPr="00E6213D">
        <w:t xml:space="preserve">While </w:t>
      </w:r>
      <w:r>
        <w:t>rents</w:t>
      </w:r>
      <w:r w:rsidRPr="00E6213D">
        <w:t xml:space="preserve"> </w:t>
      </w:r>
      <w:r w:rsidR="00BA101E">
        <w:t>rose</w:t>
      </w:r>
      <w:r>
        <w:t xml:space="preserve"> to a new record high in </w:t>
      </w:r>
      <w:r w:rsidR="00D40B6E">
        <w:t>the</w:t>
      </w:r>
      <w:r w:rsidR="00016D89">
        <w:t xml:space="preserve"> first quarter of </w:t>
      </w:r>
      <w:r>
        <w:t>2025</w:t>
      </w:r>
      <w:r w:rsidRPr="00E6213D">
        <w:t xml:space="preserve">, </w:t>
      </w:r>
      <w:r>
        <w:t xml:space="preserve">the rate of </w:t>
      </w:r>
      <w:r w:rsidRPr="00E6213D">
        <w:t>growth slowed (</w:t>
      </w:r>
      <w:r w:rsidR="00092E96">
        <w:t>s</w:t>
      </w:r>
      <w:r w:rsidR="00BA101E">
        <w:t>ee c</w:t>
      </w:r>
      <w:r w:rsidRPr="00E6213D">
        <w:t>hart</w:t>
      </w:r>
      <w:r w:rsidR="00BA101E">
        <w:t>s</w:t>
      </w:r>
      <w:r>
        <w:t> 2</w:t>
      </w:r>
      <w:r w:rsidRPr="00E6213D">
        <w:t>.</w:t>
      </w:r>
      <w:r w:rsidR="00AC44B1">
        <w:t>9</w:t>
      </w:r>
      <w:r w:rsidRPr="00E6213D">
        <w:t xml:space="preserve"> and</w:t>
      </w:r>
      <w:r>
        <w:t xml:space="preserve"> 2</w:t>
      </w:r>
      <w:r w:rsidRPr="00E6213D">
        <w:t>.</w:t>
      </w:r>
      <w:r w:rsidR="00AC44B1">
        <w:t>10</w:t>
      </w:r>
      <w:r w:rsidRPr="00E6213D">
        <w:t>). Advertised rents</w:t>
      </w:r>
      <w:r>
        <w:t xml:space="preserve">, which refer to </w:t>
      </w:r>
      <w:r w:rsidR="009D12D9">
        <w:t>rents</w:t>
      </w:r>
      <w:r>
        <w:t xml:space="preserve"> for currently listed rental properties, </w:t>
      </w:r>
      <w:r w:rsidRPr="00E6213D">
        <w:t xml:space="preserve">rose by </w:t>
      </w:r>
      <w:r w:rsidR="00252A47" w:rsidRPr="00D76278">
        <w:rPr>
          <w:szCs w:val="22"/>
        </w:rPr>
        <w:t>4</w:t>
      </w:r>
      <w:r>
        <w:t>.8</w:t>
      </w:r>
      <w:r w:rsidR="0099326B">
        <w:rPr>
          <w:szCs w:val="22"/>
        </w:rPr>
        <w:t> per cent</w:t>
      </w:r>
      <w:r>
        <w:t xml:space="preserve"> </w:t>
      </w:r>
      <w:r w:rsidR="009E06F0">
        <w:rPr>
          <w:szCs w:val="22"/>
        </w:rPr>
        <w:t>over</w:t>
      </w:r>
      <w:r w:rsidR="009E06F0" w:rsidRPr="00D76278">
        <w:rPr>
          <w:szCs w:val="22"/>
        </w:rPr>
        <w:t xml:space="preserve"> </w:t>
      </w:r>
      <w:r w:rsidR="00252A47" w:rsidRPr="00D76278">
        <w:rPr>
          <w:szCs w:val="22"/>
        </w:rPr>
        <w:t>2024, and a further 1.7</w:t>
      </w:r>
      <w:r w:rsidR="0099326B">
        <w:rPr>
          <w:szCs w:val="22"/>
        </w:rPr>
        <w:t> per cent</w:t>
      </w:r>
      <w:r w:rsidR="00252A47" w:rsidRPr="00D76278">
        <w:rPr>
          <w:szCs w:val="22"/>
        </w:rPr>
        <w:t xml:space="preserve"> </w:t>
      </w:r>
      <w:r w:rsidR="009E06F0">
        <w:rPr>
          <w:szCs w:val="22"/>
        </w:rPr>
        <w:t xml:space="preserve">over </w:t>
      </w:r>
      <w:r>
        <w:t xml:space="preserve">the </w:t>
      </w:r>
      <w:r w:rsidR="00252A47" w:rsidRPr="00D76278">
        <w:rPr>
          <w:szCs w:val="22"/>
        </w:rPr>
        <w:t xml:space="preserve">first quarter of 2025. </w:t>
      </w:r>
      <w:r w:rsidR="00252A47">
        <w:rPr>
          <w:szCs w:val="22"/>
        </w:rPr>
        <w:t>Over the 12months</w:t>
      </w:r>
      <w:r>
        <w:t xml:space="preserve"> to March 2025</w:t>
      </w:r>
      <w:r w:rsidRPr="00E6213D">
        <w:t xml:space="preserve">, </w:t>
      </w:r>
      <w:r w:rsidR="00252A47">
        <w:t>a</w:t>
      </w:r>
      <w:r w:rsidRPr="00E6213D">
        <w:t>dvertised rents</w:t>
      </w:r>
      <w:r w:rsidR="00252A47">
        <w:t xml:space="preserve"> </w:t>
      </w:r>
      <w:r w:rsidRPr="00E6213D">
        <w:t xml:space="preserve">rose by </w:t>
      </w:r>
      <w:r>
        <w:t>3.8</w:t>
      </w:r>
      <w:r w:rsidR="0099326B">
        <w:t> per cent</w:t>
      </w:r>
      <w:r w:rsidRPr="00E6213D">
        <w:t xml:space="preserve">, easing from </w:t>
      </w:r>
      <w:r>
        <w:t xml:space="preserve">a rise of </w:t>
      </w:r>
      <w:r w:rsidRPr="00E6213D">
        <w:t>8.</w:t>
      </w:r>
      <w:r>
        <w:t>3</w:t>
      </w:r>
      <w:r w:rsidR="0099326B">
        <w:t> per cent</w:t>
      </w:r>
      <w:r w:rsidRPr="00E6213D" w:rsidDel="004C2883">
        <w:t xml:space="preserve"> </w:t>
      </w:r>
      <w:r w:rsidR="004C2883">
        <w:t>over the year to March 2024</w:t>
      </w:r>
      <w:r w:rsidRPr="00E6213D">
        <w:t xml:space="preserve">. </w:t>
      </w:r>
    </w:p>
    <w:p w14:paraId="4B1DD924" w14:textId="5992E6D5" w:rsidR="007F2143" w:rsidRPr="00E6213D" w:rsidRDefault="007F2143">
      <w:r>
        <w:t xml:space="preserve">Growth in </w:t>
      </w:r>
      <w:r w:rsidR="007C1CE9">
        <w:t xml:space="preserve">Consumer Price </w:t>
      </w:r>
      <w:r w:rsidR="007C1CE9" w:rsidRPr="002949B5">
        <w:t>Index (</w:t>
      </w:r>
      <w:r w:rsidRPr="002949B5">
        <w:t>CPI</w:t>
      </w:r>
      <w:r w:rsidR="007C1CE9" w:rsidRPr="002949B5">
        <w:t>)</w:t>
      </w:r>
      <w:r w:rsidRPr="002949B5">
        <w:t xml:space="preserve"> rents, which measure</w:t>
      </w:r>
      <w:r w:rsidR="00B10E5F" w:rsidRPr="002949B5">
        <w:t>s</w:t>
      </w:r>
      <w:r w:rsidRPr="002949B5">
        <w:t xml:space="preserve"> rent</w:t>
      </w:r>
      <w:r w:rsidR="008168AA" w:rsidRPr="002949B5">
        <w:t>al cost</w:t>
      </w:r>
      <w:r w:rsidRPr="002949B5">
        <w:t xml:space="preserve">s paid </w:t>
      </w:r>
      <w:r w:rsidR="00570215" w:rsidRPr="002949B5">
        <w:t>by existing tenants</w:t>
      </w:r>
      <w:r w:rsidRPr="002949B5">
        <w:t xml:space="preserve">, </w:t>
      </w:r>
      <w:r w:rsidRPr="002949B5" w:rsidDel="005D1E28">
        <w:t>ha</w:t>
      </w:r>
      <w:r w:rsidR="00A12145" w:rsidRPr="002949B5">
        <w:t>s</w:t>
      </w:r>
      <w:r w:rsidRPr="002949B5" w:rsidDel="005D1E28">
        <w:t xml:space="preserve"> </w:t>
      </w:r>
      <w:r w:rsidRPr="002949B5">
        <w:t>also eased, rising by 6.4</w:t>
      </w:r>
      <w:r w:rsidR="0099326B" w:rsidRPr="002949B5">
        <w:t> per cent</w:t>
      </w:r>
      <w:r w:rsidRPr="002949B5">
        <w:t xml:space="preserve"> over 2024 (</w:t>
      </w:r>
      <w:r w:rsidR="008C6D5D" w:rsidRPr="002949B5">
        <w:t xml:space="preserve">see </w:t>
      </w:r>
      <w:r w:rsidRPr="002949B5">
        <w:t>Chart 2.</w:t>
      </w:r>
      <w:r w:rsidR="000A0E2E" w:rsidRPr="002949B5">
        <w:t>10</w:t>
      </w:r>
      <w:r w:rsidRPr="002949B5">
        <w:t xml:space="preserve">). Lower growth in advertised rents should continue to pass through to lower growth </w:t>
      </w:r>
      <w:r w:rsidRPr="002949B5" w:rsidDel="00555B09">
        <w:t xml:space="preserve">in </w:t>
      </w:r>
      <w:r w:rsidRPr="002949B5">
        <w:t>CPI</w:t>
      </w:r>
      <w:r w:rsidR="00555B09" w:rsidRPr="002949B5">
        <w:t xml:space="preserve"> rents over time</w:t>
      </w:r>
      <w:r w:rsidRPr="002949B5">
        <w:t xml:space="preserve">. Increases in Commonwealth Rent Assistance </w:t>
      </w:r>
      <w:r w:rsidR="00AB3A96" w:rsidRPr="002949B5">
        <w:t xml:space="preserve">(CRA) </w:t>
      </w:r>
      <w:r w:rsidRPr="002949B5">
        <w:t>in 2023 and 2024 have also weighed on CPI rents (see section 3.</w:t>
      </w:r>
      <w:r w:rsidR="00703709" w:rsidRPr="002949B5">
        <w:t>5</w:t>
      </w:r>
      <w:r w:rsidR="00721895" w:rsidRPr="002949B5">
        <w:t xml:space="preserve">, </w:t>
      </w:r>
      <w:r w:rsidR="00703709" w:rsidRPr="002949B5">
        <w:rPr>
          <w:rStyle w:val="Emphasis"/>
        </w:rPr>
        <w:t>Housing assistance</w:t>
      </w:r>
      <w:r w:rsidR="009E299D">
        <w:rPr>
          <w:rStyle w:val="Emphasis"/>
        </w:rPr>
        <w:t xml:space="preserve"> for renters and home b</w:t>
      </w:r>
      <w:r w:rsidR="00B715B4">
        <w:rPr>
          <w:rStyle w:val="Emphasis"/>
        </w:rPr>
        <w:t>uyers is expanding</w:t>
      </w:r>
      <w:r w:rsidRPr="002949B5">
        <w:t xml:space="preserve">). </w:t>
      </w:r>
      <w:r w:rsidR="00703709" w:rsidRPr="002949B5">
        <w:t>Without CRA, CPI rents would have risen by 7.8</w:t>
      </w:r>
      <w:r w:rsidR="0099326B" w:rsidRPr="002949B5">
        <w:t> per cent</w:t>
      </w:r>
      <w:r w:rsidR="00703709" w:rsidRPr="002949B5">
        <w:t xml:space="preserve"> over 2024 (ABS 2025</w:t>
      </w:r>
      <w:r w:rsidR="005E1F0E" w:rsidRPr="002949B5">
        <w:t>d</w:t>
      </w:r>
      <w:r w:rsidR="00703709" w:rsidRPr="002949B5">
        <w:t>).</w:t>
      </w:r>
      <w:r w:rsidR="00703709">
        <w:t xml:space="preserve"> </w:t>
      </w:r>
    </w:p>
    <w:p w14:paraId="2F6DFCE9" w14:textId="00FD2C96" w:rsidR="007F2143" w:rsidRPr="00E6213D" w:rsidRDefault="007F2143" w:rsidP="002D209A">
      <w:r>
        <w:t>Slowing</w:t>
      </w:r>
      <w:r w:rsidRPr="00404652">
        <w:t xml:space="preserve"> rent</w:t>
      </w:r>
      <w:r>
        <w:t xml:space="preserve"> </w:t>
      </w:r>
      <w:r w:rsidRPr="00404652">
        <w:t xml:space="preserve">growth has been driven by </w:t>
      </w:r>
      <w:r>
        <w:t xml:space="preserve">an </w:t>
      </w:r>
      <w:r w:rsidRPr="00404652">
        <w:t xml:space="preserve">easing </w:t>
      </w:r>
      <w:r>
        <w:t xml:space="preserve">in </w:t>
      </w:r>
      <w:r w:rsidRPr="00404652">
        <w:t>population growth</w:t>
      </w:r>
      <w:r>
        <w:t xml:space="preserve"> over the past year, </w:t>
      </w:r>
      <w:r w:rsidRPr="00404652">
        <w:t>which has weighed on demand for rental</w:t>
      </w:r>
      <w:r>
        <w:t>s</w:t>
      </w:r>
      <w:r w:rsidRPr="00404652">
        <w:t xml:space="preserve"> (see </w:t>
      </w:r>
      <w:r w:rsidRPr="00A12145">
        <w:t xml:space="preserve">section </w:t>
      </w:r>
      <w:r w:rsidRPr="00751D2E">
        <w:t>2.4.1</w:t>
      </w:r>
      <w:r w:rsidR="00721895">
        <w:t>,</w:t>
      </w:r>
      <w:r w:rsidDel="00A12145">
        <w:t xml:space="preserve"> </w:t>
      </w:r>
      <w:r w:rsidRPr="004118A2" w:rsidDel="00A12145">
        <w:rPr>
          <w:rStyle w:val="Emphasis"/>
        </w:rPr>
        <w:t>Population</w:t>
      </w:r>
      <w:r w:rsidRPr="00A12145">
        <w:t>).</w:t>
      </w:r>
      <w:r>
        <w:t xml:space="preserve"> </w:t>
      </w:r>
      <w:r w:rsidRPr="009628A8">
        <w:t>At the same time, the supply of available rentals has risen due to strong investor borrowing activity in most jurisdictions (</w:t>
      </w:r>
      <w:r w:rsidR="00AE295E" w:rsidRPr="00AE295E">
        <w:t xml:space="preserve">Moore </w:t>
      </w:r>
      <w:r w:rsidR="008219E1">
        <w:t>and</w:t>
      </w:r>
      <w:r w:rsidR="00AE295E" w:rsidRPr="00AE295E">
        <w:t xml:space="preserve"> Lieu </w:t>
      </w:r>
      <w:r w:rsidRPr="009628A8">
        <w:t>2025).</w:t>
      </w:r>
      <w:r w:rsidR="002A4085">
        <w:br w:type="page"/>
      </w:r>
    </w:p>
    <w:tbl>
      <w:tblPr>
        <w:tblStyle w:val="SidebySideChartTable"/>
        <w:tblpPr w:leftFromText="180" w:rightFromText="180" w:vertAnchor="text" w:horzAnchor="margin" w:tblpY="101"/>
        <w:tblW w:w="5000" w:type="pct"/>
        <w:tblLayout w:type="fixed"/>
        <w:tblCellMar>
          <w:left w:w="108" w:type="dxa"/>
          <w:right w:w="108" w:type="dxa"/>
        </w:tblCellMar>
        <w:tblLook w:val="0020" w:firstRow="1" w:lastRow="0" w:firstColumn="0" w:lastColumn="0" w:noHBand="0" w:noVBand="0"/>
      </w:tblPr>
      <w:tblGrid>
        <w:gridCol w:w="4535"/>
        <w:gridCol w:w="4535"/>
      </w:tblGrid>
      <w:tr w:rsidR="007F2143" w:rsidRPr="00E6213D" w14:paraId="4EC724C5" w14:textId="77777777" w:rsidTr="001B4AF5">
        <w:trPr>
          <w:trHeight w:val="492"/>
        </w:trPr>
        <w:tc>
          <w:tcPr>
            <w:tcW w:w="4535" w:type="dxa"/>
          </w:tcPr>
          <w:p w14:paraId="232AC846" w14:textId="590EE5E4" w:rsidR="007F2143" w:rsidRPr="00E6213D" w:rsidRDefault="007F2143" w:rsidP="00493879">
            <w:pPr>
              <w:pStyle w:val="ChartMainHeading"/>
              <w:spacing w:before="0"/>
            </w:pPr>
            <w:bookmarkStart w:id="90" w:name="_Ref185437268"/>
            <w:r>
              <w:lastRenderedPageBreak/>
              <w:t>Median a</w:t>
            </w:r>
            <w:r w:rsidRPr="00E6213D">
              <w:t>dvertised</w:t>
            </w:r>
            <w:r w:rsidR="00DB6DE6">
              <w:t xml:space="preserve"> </w:t>
            </w:r>
            <w:r>
              <w:t>weekly</w:t>
            </w:r>
            <w:r w:rsidR="0099326B">
              <w:t> </w:t>
            </w:r>
            <w:r w:rsidRPr="00E6213D">
              <w:t>rents</w:t>
            </w:r>
            <w:bookmarkEnd w:id="90"/>
          </w:p>
        </w:tc>
        <w:tc>
          <w:tcPr>
            <w:tcW w:w="4535" w:type="dxa"/>
          </w:tcPr>
          <w:p w14:paraId="3B51DE3A" w14:textId="6F936CD8" w:rsidR="007F2143" w:rsidRPr="00E6213D" w:rsidRDefault="0036280B" w:rsidP="00493879">
            <w:pPr>
              <w:pStyle w:val="ChartMainHeading"/>
              <w:spacing w:before="0"/>
            </w:pPr>
            <w:r>
              <w:t>Advertised rents</w:t>
            </w:r>
            <w:r w:rsidR="007F2143">
              <w:t xml:space="preserve"> </w:t>
            </w:r>
            <w:r w:rsidR="00D578DD">
              <w:t xml:space="preserve">growth </w:t>
            </w:r>
            <w:r w:rsidR="007F2143">
              <w:t>and</w:t>
            </w:r>
            <w:r w:rsidR="00493879">
              <w:t> </w:t>
            </w:r>
            <w:r w:rsidR="007F2143">
              <w:t>CPI</w:t>
            </w:r>
            <w:r w:rsidR="0099326B">
              <w:t> </w:t>
            </w:r>
            <w:r w:rsidR="007F2143">
              <w:t>rents</w:t>
            </w:r>
            <w:r w:rsidR="00D578DD">
              <w:t xml:space="preserve"> growth</w:t>
            </w:r>
          </w:p>
        </w:tc>
      </w:tr>
      <w:tr w:rsidR="007F2143" w:rsidRPr="00E6213D" w14:paraId="5AEB95E4" w14:textId="77777777" w:rsidTr="001B4AF5">
        <w:trPr>
          <w:trHeight w:val="74"/>
        </w:trPr>
        <w:tc>
          <w:tcPr>
            <w:tcW w:w="4535" w:type="dxa"/>
          </w:tcPr>
          <w:p w14:paraId="2407774E" w14:textId="2B9638AA" w:rsidR="007F2143" w:rsidRPr="00CA7018" w:rsidRDefault="00B81437" w:rsidP="00CA7018">
            <w:pPr>
              <w:pStyle w:val="ChartGraphic"/>
            </w:pPr>
            <w:r w:rsidRPr="00B81437">
              <w:rPr>
                <w:noProof/>
              </w:rPr>
              <w:drawing>
                <wp:inline distT="0" distB="0" distL="0" distR="0" wp14:anchorId="43115BE7" wp14:editId="44343231">
                  <wp:extent cx="2742565" cy="2742565"/>
                  <wp:effectExtent l="0" t="0" r="635" b="0"/>
                  <wp:docPr id="1000834548" name="Picture 17" descr="Chart 2.9 is a line chart showing the 3-month rolling average of median advertised weekly rents between March 2020 and March 2025. Median advertised weekly rents have increased from $420 in March 2020 to $625 in March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4548" name="Picture 17" descr="Chart 2.9 is a line chart showing the 3-month rolling average of median advertised weekly rents between March 2020 and March 2025. Median advertised weekly rents have increased from $420 in March 2020 to $625 in March 2025.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42565" cy="2742565"/>
                          </a:xfrm>
                          <a:prstGeom prst="rect">
                            <a:avLst/>
                          </a:prstGeom>
                          <a:noFill/>
                          <a:ln>
                            <a:noFill/>
                          </a:ln>
                        </pic:spPr>
                      </pic:pic>
                    </a:graphicData>
                  </a:graphic>
                </wp:inline>
              </w:drawing>
            </w:r>
          </w:p>
        </w:tc>
        <w:tc>
          <w:tcPr>
            <w:tcW w:w="4535" w:type="dxa"/>
          </w:tcPr>
          <w:p w14:paraId="2D2AB842" w14:textId="3D08AD9F" w:rsidR="007F2143" w:rsidRPr="0099326B" w:rsidRDefault="004C2DE9" w:rsidP="0099326B">
            <w:pPr>
              <w:pStyle w:val="ChartGraphic"/>
            </w:pPr>
            <w:r w:rsidRPr="004C2DE9">
              <w:rPr>
                <w:noProof/>
              </w:rPr>
              <w:drawing>
                <wp:inline distT="0" distB="0" distL="0" distR="0" wp14:anchorId="552C7ADD" wp14:editId="0D1B79C3">
                  <wp:extent cx="2742565" cy="2742565"/>
                  <wp:effectExtent l="0" t="0" r="0" b="0"/>
                  <wp:docPr id="1019001248" name="Picture 18" descr="Chart 2.10 is a line chart showing annual growth in advertised rents and annual growth in CPI rents from March 2020 to March 2025. Annual growth in advertised rents rose to a peak in November 2021 at 9.7 per cent, and has since eased to 3.8 per cent in March 2025. For CPI rents, growth peaked later, at 7.8 per cent in March 2024, and has decreased slightly to 6.4 per cent in Decem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001248" name="Picture 18" descr="Chart 2.10 is a line chart showing annual growth in advertised rents and annual growth in CPI rents from March 2020 to March 2025. Annual growth in advertised rents rose to a peak in November 2021 at 9.7 per cent, and has since eased to 3.8 per cent in March 2025. For CPI rents, growth peaked later, at 7.8 per cent in March 2024, and has decreased slightly to 6.4 per cent in December 20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2565" cy="2742565"/>
                          </a:xfrm>
                          <a:prstGeom prst="rect">
                            <a:avLst/>
                          </a:prstGeom>
                          <a:noFill/>
                          <a:ln>
                            <a:noFill/>
                          </a:ln>
                        </pic:spPr>
                      </pic:pic>
                    </a:graphicData>
                  </a:graphic>
                </wp:inline>
              </w:drawing>
            </w:r>
          </w:p>
        </w:tc>
      </w:tr>
      <w:tr w:rsidR="0099326B" w:rsidRPr="00E6213D" w14:paraId="6B4934AC" w14:textId="77777777" w:rsidTr="001B4AF5">
        <w:trPr>
          <w:trHeight w:val="74"/>
        </w:trPr>
        <w:tc>
          <w:tcPr>
            <w:tcW w:w="4535" w:type="dxa"/>
          </w:tcPr>
          <w:p w14:paraId="7BE3CD23" w14:textId="4C1D4427" w:rsidR="00DA707A" w:rsidRDefault="00DA707A" w:rsidP="00DB6DE6">
            <w:pPr>
              <w:pStyle w:val="ChartorTableNoteandSource"/>
            </w:pPr>
            <w:r w:rsidRPr="0099326B">
              <w:t>Note:</w:t>
            </w:r>
            <w:r>
              <w:tab/>
            </w:r>
            <w:r w:rsidRPr="0099326B">
              <w:t xml:space="preserve">The national median </w:t>
            </w:r>
            <w:r w:rsidR="00D578DD">
              <w:t xml:space="preserve">weekly </w:t>
            </w:r>
            <w:r w:rsidRPr="0099326B">
              <w:t>rent</w:t>
            </w:r>
            <w:r w:rsidR="00D578DD">
              <w:t xml:space="preserve">, </w:t>
            </w:r>
            <w:r w:rsidRPr="0099326B">
              <w:t>over a rolling 3</w:t>
            </w:r>
            <w:r>
              <w:noBreakHyphen/>
            </w:r>
            <w:r w:rsidRPr="0099326B">
              <w:t>month period.</w:t>
            </w:r>
          </w:p>
          <w:p w14:paraId="71E0E76C" w14:textId="7E746BD1" w:rsidR="0099326B" w:rsidRDefault="0099326B" w:rsidP="00DB6DE6">
            <w:pPr>
              <w:pStyle w:val="ChartorTableNoteandSource"/>
            </w:pPr>
            <w:r w:rsidRPr="0099326B">
              <w:t>Source:</w:t>
            </w:r>
            <w:r w:rsidR="00DB6DE6">
              <w:tab/>
            </w:r>
            <w:r w:rsidRPr="0099326B">
              <w:t>CoreLogic 2025</w:t>
            </w:r>
          </w:p>
          <w:p w14:paraId="14267BCD" w14:textId="40C1B4E1" w:rsidR="0099326B" w:rsidRPr="0099326B" w:rsidRDefault="0099326B" w:rsidP="00DB6DE6">
            <w:pPr>
              <w:pStyle w:val="ChartorTableNoteandSource"/>
            </w:pPr>
          </w:p>
        </w:tc>
        <w:tc>
          <w:tcPr>
            <w:tcW w:w="4535" w:type="dxa"/>
          </w:tcPr>
          <w:p w14:paraId="6E3B19D2" w14:textId="38DEA156" w:rsidR="0099326B" w:rsidRPr="002949B5" w:rsidRDefault="0099326B" w:rsidP="00DB6DE6">
            <w:pPr>
              <w:pStyle w:val="ChartorTableNoteandSource"/>
            </w:pPr>
            <w:r w:rsidRPr="0099326B">
              <w:t>Note:</w:t>
            </w:r>
            <w:r w:rsidR="00DB6DE6">
              <w:tab/>
            </w:r>
            <w:r w:rsidRPr="0099326B">
              <w:t>The CPI measures out</w:t>
            </w:r>
            <w:r w:rsidR="00A15C79">
              <w:noBreakHyphen/>
            </w:r>
            <w:r w:rsidRPr="0099326B">
              <w:t>of</w:t>
            </w:r>
            <w:r w:rsidR="00A15C79">
              <w:noBreakHyphen/>
            </w:r>
            <w:r w:rsidRPr="0099326B">
              <w:t xml:space="preserve">pocket rental costs and is therefore be impacted by changes in rental </w:t>
            </w:r>
            <w:r w:rsidRPr="002949B5">
              <w:t>subsidies</w:t>
            </w:r>
            <w:r w:rsidR="00AF7328" w:rsidRPr="002949B5">
              <w:t>.</w:t>
            </w:r>
          </w:p>
          <w:p w14:paraId="2368170E" w14:textId="7EE73F6D" w:rsidR="00DA707A" w:rsidRPr="00DA707A" w:rsidRDefault="00DA707A" w:rsidP="00DB6DE6">
            <w:pPr>
              <w:pStyle w:val="ChartorTableNoteandSource"/>
            </w:pPr>
            <w:r w:rsidRPr="002949B5">
              <w:t>Source:</w:t>
            </w:r>
            <w:r w:rsidRPr="002949B5">
              <w:tab/>
              <w:t xml:space="preserve">ABS </w:t>
            </w:r>
            <w:r w:rsidR="00E059D8" w:rsidRPr="002949B5">
              <w:t>Consumer Price Index</w:t>
            </w:r>
            <w:r w:rsidRPr="002949B5">
              <w:t xml:space="preserve"> 2025; CoreLogic</w:t>
            </w:r>
            <w:r w:rsidRPr="0099326B">
              <w:t xml:space="preserve"> 2025</w:t>
            </w:r>
          </w:p>
        </w:tc>
      </w:tr>
    </w:tbl>
    <w:p w14:paraId="1AE22479" w14:textId="2C729613" w:rsidR="007F2143" w:rsidRDefault="007F2143">
      <w:r>
        <w:t>Advertised rents rose at a slower pace in capital cities (up 3.1</w:t>
      </w:r>
      <w:r w:rsidR="0099326B">
        <w:t> per cent</w:t>
      </w:r>
      <w:r>
        <w:t xml:space="preserve">) than </w:t>
      </w:r>
      <w:r w:rsidR="00015BBA">
        <w:t xml:space="preserve">in </w:t>
      </w:r>
      <w:r w:rsidRPr="00CB4467">
        <w:t>region</w:t>
      </w:r>
      <w:r w:rsidR="00184C37">
        <w:t>al areas</w:t>
      </w:r>
      <w:r w:rsidRPr="00CB4467">
        <w:t xml:space="preserve"> (up</w:t>
      </w:r>
      <w:r w:rsidR="00DB6DE6">
        <w:t> </w:t>
      </w:r>
      <w:r w:rsidRPr="00CB4467">
        <w:t>5.6</w:t>
      </w:r>
      <w:r w:rsidR="0099326B">
        <w:t> per cent</w:t>
      </w:r>
      <w:r w:rsidRPr="00CB4467">
        <w:t>)</w:t>
      </w:r>
      <w:r>
        <w:t xml:space="preserve"> over the year to March 2025. </w:t>
      </w:r>
      <w:r w:rsidRPr="00DC2DF5">
        <w:t>Slower</w:t>
      </w:r>
      <w:r w:rsidRPr="00C63CBF">
        <w:t xml:space="preserve"> rent growth in </w:t>
      </w:r>
      <w:r>
        <w:t xml:space="preserve">capital </w:t>
      </w:r>
      <w:r w:rsidRPr="00C63CBF">
        <w:t xml:space="preserve">cities </w:t>
      </w:r>
      <w:r>
        <w:t xml:space="preserve">partly </w:t>
      </w:r>
      <w:r w:rsidRPr="00C63CBF">
        <w:t>reflects the slowing rate of net overseas migration</w:t>
      </w:r>
      <w:r>
        <w:t xml:space="preserve">, as new migrants tend to reside in capital cities </w:t>
      </w:r>
      <w:r w:rsidRPr="00E6213D">
        <w:t xml:space="preserve">(see </w:t>
      </w:r>
      <w:r>
        <w:t xml:space="preserve">section </w:t>
      </w:r>
      <w:r w:rsidRPr="00D223A4">
        <w:t>2.4.1</w:t>
      </w:r>
      <w:r w:rsidR="00721895">
        <w:t xml:space="preserve">, </w:t>
      </w:r>
      <w:r w:rsidR="00721895" w:rsidRPr="00DB6DE6">
        <w:rPr>
          <w:rStyle w:val="Emphasis"/>
        </w:rPr>
        <w:t>Population</w:t>
      </w:r>
      <w:r w:rsidRPr="00184C37">
        <w:t>).</w:t>
      </w:r>
      <w:r w:rsidRPr="00E6213D">
        <w:t xml:space="preserve"> </w:t>
      </w:r>
    </w:p>
    <w:p w14:paraId="7461C0E2" w14:textId="385ECF5E" w:rsidR="007F2143" w:rsidRPr="00E6213D" w:rsidRDefault="007F2143" w:rsidP="009628A8">
      <w:r w:rsidRPr="00E6213D">
        <w:t xml:space="preserve">Across the </w:t>
      </w:r>
      <w:r>
        <w:t>capital cities</w:t>
      </w:r>
      <w:r w:rsidRPr="00E6213D">
        <w:t xml:space="preserve">, Perth saw the largest </w:t>
      </w:r>
      <w:r>
        <w:t xml:space="preserve">rise </w:t>
      </w:r>
      <w:r w:rsidRPr="00E6213D">
        <w:t xml:space="preserve">in </w:t>
      </w:r>
      <w:r>
        <w:t xml:space="preserve">CPI </w:t>
      </w:r>
      <w:r w:rsidRPr="00E6213D">
        <w:t>rents ov</w:t>
      </w:r>
      <w:r>
        <w:t xml:space="preserve">er 2024 </w:t>
      </w:r>
      <w:r w:rsidRPr="00E6213D">
        <w:t>(</w:t>
      </w:r>
      <w:r w:rsidR="00674C61">
        <w:t>see</w:t>
      </w:r>
      <w:r w:rsidR="00DB6DE6">
        <w:t> </w:t>
      </w:r>
      <w:r>
        <w:t>Chart 2.</w:t>
      </w:r>
      <w:r w:rsidR="00C23F8C">
        <w:t>11</w:t>
      </w:r>
      <w:r w:rsidRPr="00E6213D">
        <w:t>). As with housing prices, strong population growth in Western Australia has driven demand</w:t>
      </w:r>
      <w:r>
        <w:t xml:space="preserve"> </w:t>
      </w:r>
      <w:r w:rsidRPr="00E6213D">
        <w:t>for rentals</w:t>
      </w:r>
      <w:r>
        <w:t xml:space="preserve"> </w:t>
      </w:r>
      <w:r w:rsidRPr="00E6213D">
        <w:t>(see</w:t>
      </w:r>
      <w:r>
        <w:t> </w:t>
      </w:r>
      <w:r w:rsidRPr="00015BBA">
        <w:t xml:space="preserve">section </w:t>
      </w:r>
      <w:r w:rsidRPr="00D223A4">
        <w:t>2.4.1</w:t>
      </w:r>
      <w:r w:rsidR="00721895">
        <w:t>,</w:t>
      </w:r>
      <w:r>
        <w:t xml:space="preserve"> </w:t>
      </w:r>
      <w:r w:rsidRPr="00DB6DE6" w:rsidDel="00015BBA">
        <w:rPr>
          <w:rStyle w:val="Emphasis"/>
        </w:rPr>
        <w:t>Population</w:t>
      </w:r>
      <w:r w:rsidRPr="00E6213D">
        <w:t>). The rental market has been extremely tight, with Perth recording its lowest vacancy rate on record in 2024</w:t>
      </w:r>
      <w:r w:rsidR="00DD23A1">
        <w:t xml:space="preserve">, although </w:t>
      </w:r>
      <w:r w:rsidR="00126A36">
        <w:t>its</w:t>
      </w:r>
      <w:r w:rsidR="00DD23A1">
        <w:t xml:space="preserve"> vacancy rate has since risen</w:t>
      </w:r>
      <w:r w:rsidRPr="00E6213D" w:rsidDel="00DD23A1">
        <w:t xml:space="preserve"> </w:t>
      </w:r>
      <w:r>
        <w:t>(</w:t>
      </w:r>
      <w:r w:rsidR="00674C61">
        <w:t xml:space="preserve">see </w:t>
      </w:r>
      <w:r>
        <w:t>Chart 2.1</w:t>
      </w:r>
      <w:r w:rsidR="00C23F8C">
        <w:t>3</w:t>
      </w:r>
      <w:r>
        <w:t>)</w:t>
      </w:r>
      <w:r w:rsidRPr="00E6213D">
        <w:t xml:space="preserve">. In contrast, </w:t>
      </w:r>
      <w:r>
        <w:t xml:space="preserve">CPI </w:t>
      </w:r>
      <w:r w:rsidRPr="00E6213D">
        <w:t xml:space="preserve">rents </w:t>
      </w:r>
      <w:r>
        <w:t xml:space="preserve">fell in </w:t>
      </w:r>
      <w:r w:rsidRPr="002949B5">
        <w:t xml:space="preserve">Hobart over </w:t>
      </w:r>
      <w:r w:rsidR="00AC62D1" w:rsidRPr="002949B5">
        <w:t>2024</w:t>
      </w:r>
      <w:r w:rsidRPr="002949B5">
        <w:t>, while</w:t>
      </w:r>
      <w:r w:rsidRPr="00E6213D">
        <w:t xml:space="preserve"> </w:t>
      </w:r>
      <w:r>
        <w:t xml:space="preserve">rental growth was weak in </w:t>
      </w:r>
      <w:r w:rsidRPr="00E6213D">
        <w:t xml:space="preserve">Darwin and Canberra </w:t>
      </w:r>
      <w:r>
        <w:t>(</w:t>
      </w:r>
      <w:r w:rsidR="005B74B8">
        <w:t xml:space="preserve">see </w:t>
      </w:r>
      <w:r>
        <w:t>Chart 2.</w:t>
      </w:r>
      <w:r w:rsidR="00C23F8C">
        <w:t>11</w:t>
      </w:r>
      <w:r>
        <w:t>)</w:t>
      </w:r>
      <w:r w:rsidRPr="00E6213D">
        <w:t xml:space="preserve">. </w:t>
      </w:r>
      <w:r>
        <w:t xml:space="preserve">In level terms, </w:t>
      </w:r>
      <w:r w:rsidR="00334793">
        <w:t xml:space="preserve">among the capital cities, advertised rents </w:t>
      </w:r>
      <w:r w:rsidR="00937018">
        <w:t xml:space="preserve">were </w:t>
      </w:r>
      <w:r w:rsidR="00334793">
        <w:t>most expensive in Sydney, and least expensive in Hobart (Chart 2.1</w:t>
      </w:r>
      <w:r w:rsidR="00C23F8C">
        <w:t>2</w:t>
      </w:r>
      <w:r w:rsidR="00334793">
        <w:t xml:space="preserve">). </w:t>
      </w:r>
    </w:p>
    <w:tbl>
      <w:tblPr>
        <w:tblW w:w="5000" w:type="pct"/>
        <w:tblLayout w:type="fixed"/>
        <w:tblLook w:val="0000" w:firstRow="0" w:lastRow="0" w:firstColumn="0" w:lastColumn="0" w:noHBand="0" w:noVBand="0"/>
      </w:tblPr>
      <w:tblGrid>
        <w:gridCol w:w="4399"/>
        <w:gridCol w:w="4671"/>
      </w:tblGrid>
      <w:tr w:rsidR="007F2143" w:rsidRPr="00E6213D" w14:paraId="41818392" w14:textId="77777777">
        <w:trPr>
          <w:cantSplit/>
          <w:trHeight w:val="510"/>
        </w:trPr>
        <w:tc>
          <w:tcPr>
            <w:tcW w:w="4399" w:type="dxa"/>
          </w:tcPr>
          <w:p w14:paraId="65318CC5" w14:textId="48F25E8E" w:rsidR="007F2143" w:rsidRPr="0099326B" w:rsidRDefault="007F2143" w:rsidP="00EB0064">
            <w:pPr>
              <w:pStyle w:val="ChartMainHeading"/>
              <w:spacing w:before="0"/>
            </w:pPr>
            <w:bookmarkStart w:id="91" w:name="_Ref189130539"/>
            <w:r w:rsidRPr="0099326B">
              <w:lastRenderedPageBreak/>
              <w:t xml:space="preserve">Annual growth in CPI rents, by capital city, December 2024 </w:t>
            </w:r>
            <w:bookmarkEnd w:id="91"/>
          </w:p>
        </w:tc>
        <w:tc>
          <w:tcPr>
            <w:tcW w:w="4671" w:type="dxa"/>
          </w:tcPr>
          <w:p w14:paraId="38F24659" w14:textId="77416E5D" w:rsidR="007F2143" w:rsidRPr="0099326B" w:rsidRDefault="007F2143" w:rsidP="00EB0064">
            <w:pPr>
              <w:pStyle w:val="ChartMainHeading"/>
              <w:spacing w:before="0"/>
            </w:pPr>
            <w:r w:rsidRPr="0099326B">
              <w:t>Median advertised weekly rents, by capital city, March 2025</w:t>
            </w:r>
          </w:p>
        </w:tc>
      </w:tr>
      <w:tr w:rsidR="007F2143" w:rsidRPr="00E6213D" w14:paraId="7114C3B5" w14:textId="77777777">
        <w:trPr>
          <w:cantSplit/>
        </w:trPr>
        <w:tc>
          <w:tcPr>
            <w:tcW w:w="4399" w:type="dxa"/>
          </w:tcPr>
          <w:p w14:paraId="3CB87A7A" w14:textId="28461AD2" w:rsidR="007F2143" w:rsidRPr="00E6213D" w:rsidRDefault="00370A94" w:rsidP="0099326B">
            <w:pPr>
              <w:pStyle w:val="ChartGraphic"/>
            </w:pPr>
            <w:r w:rsidRPr="00370A94">
              <w:rPr>
                <w:noProof/>
              </w:rPr>
              <w:drawing>
                <wp:inline distT="0" distB="0" distL="0" distR="0" wp14:anchorId="05A10CE0" wp14:editId="0838F636">
                  <wp:extent cx="2655570" cy="2713990"/>
                  <wp:effectExtent l="0" t="0" r="0" b="0"/>
                  <wp:docPr id="1293061172" name="Picture 26" descr="Chart 2.11 is a bar chart showing annual growth in CPI rents by capital city. Through the year to December 2024, rents have increased in Perth by 10.1 per cent, Brisbane 6.9 per cent, Sydney 6.4 per cent, Melbourne 6.4 per cent, Adelaide 6.1 per cent, Darwin 2.7 per cent, and Canberra 0.6 per cent. Hobart CPI rents have decreased over the year by 1.1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61172" name="Picture 26" descr="Chart 2.11 is a bar chart showing annual growth in CPI rents by capital city. Through the year to December 2024, rents have increased in Perth by 10.1 per cent, Brisbane 6.9 per cent, Sydney 6.4 per cent, Melbourne 6.4 per cent, Adelaide 6.1 per cent, Darwin 2.7 per cent, and Canberra 0.6 per cent. Hobart CPI rents have decreased over the year by 1.1 per cen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55570" cy="2713990"/>
                          </a:xfrm>
                          <a:prstGeom prst="rect">
                            <a:avLst/>
                          </a:prstGeom>
                          <a:noFill/>
                          <a:ln>
                            <a:noFill/>
                          </a:ln>
                        </pic:spPr>
                      </pic:pic>
                    </a:graphicData>
                  </a:graphic>
                </wp:inline>
              </w:drawing>
            </w:r>
          </w:p>
        </w:tc>
        <w:tc>
          <w:tcPr>
            <w:tcW w:w="4671" w:type="dxa"/>
          </w:tcPr>
          <w:p w14:paraId="7A9CEBF3" w14:textId="247FC3AE" w:rsidR="007F2143" w:rsidRPr="00E6213D" w:rsidRDefault="00370A94" w:rsidP="0099326B">
            <w:pPr>
              <w:pStyle w:val="ChartGraphic"/>
            </w:pPr>
            <w:r w:rsidRPr="00370A94">
              <w:rPr>
                <w:noProof/>
              </w:rPr>
              <w:drawing>
                <wp:inline distT="0" distB="0" distL="0" distR="0" wp14:anchorId="2F8E218B" wp14:editId="6C598901">
                  <wp:extent cx="2828925" cy="2778125"/>
                  <wp:effectExtent l="0" t="0" r="9525" b="0"/>
                  <wp:docPr id="234160528" name="Picture 28" descr="Chart 2.12 is a bar chart showing median advertised weekly rents by capital city as of March 2025. Sydney has the highest median advertised weekly rent at $740, followed by Perth at $680 and Brisbane at $640. Hobart and Melbourne have the lowest advertised rents, at $550 and $580,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60528" name="Picture 28" descr="Chart 2.12 is a bar chart showing median advertised weekly rents by capital city as of March 2025. Sydney has the highest median advertised weekly rent at $740, followed by Perth at $680 and Brisbane at $640. Hobart and Melbourne have the lowest advertised rents, at $550 and $580, respectivel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28925" cy="2778125"/>
                          </a:xfrm>
                          <a:prstGeom prst="rect">
                            <a:avLst/>
                          </a:prstGeom>
                          <a:noFill/>
                          <a:ln>
                            <a:noFill/>
                          </a:ln>
                        </pic:spPr>
                      </pic:pic>
                    </a:graphicData>
                  </a:graphic>
                </wp:inline>
              </w:drawing>
            </w:r>
          </w:p>
        </w:tc>
      </w:tr>
      <w:tr w:rsidR="0099326B" w:rsidRPr="00E6213D" w14:paraId="47248998" w14:textId="77777777">
        <w:trPr>
          <w:cantSplit/>
        </w:trPr>
        <w:tc>
          <w:tcPr>
            <w:tcW w:w="4399" w:type="dxa"/>
          </w:tcPr>
          <w:p w14:paraId="5A77DC38" w14:textId="18AF0847" w:rsidR="0099326B" w:rsidRPr="00E6213D" w:rsidRDefault="0099326B" w:rsidP="00DB6DE6">
            <w:pPr>
              <w:pStyle w:val="ChartorTableNoteandSource"/>
              <w:rPr>
                <w:noProof/>
              </w:rPr>
            </w:pPr>
            <w:r w:rsidRPr="00090931">
              <w:t>Source:</w:t>
            </w:r>
            <w:r w:rsidR="00DB6DE6">
              <w:tab/>
            </w:r>
            <w:r w:rsidRPr="00E6213D">
              <w:t>ABS</w:t>
            </w:r>
            <w:r w:rsidR="00314E92">
              <w:t xml:space="preserve"> </w:t>
            </w:r>
            <w:r w:rsidR="00DB76D4" w:rsidRPr="002949B5">
              <w:t xml:space="preserve">Consumer Price Index </w:t>
            </w:r>
            <w:r w:rsidRPr="002949B5">
              <w:t>2025</w:t>
            </w:r>
          </w:p>
        </w:tc>
        <w:tc>
          <w:tcPr>
            <w:tcW w:w="4671" w:type="dxa"/>
          </w:tcPr>
          <w:p w14:paraId="5BD7BB31" w14:textId="77777777" w:rsidR="0099326B" w:rsidRDefault="0099326B" w:rsidP="00DB6DE6">
            <w:pPr>
              <w:pStyle w:val="ChartorTableNoteandSource"/>
            </w:pPr>
            <w:r w:rsidRPr="00F81F35">
              <w:t xml:space="preserve">Note: </w:t>
            </w:r>
            <w:r w:rsidR="00DB6DE6">
              <w:tab/>
            </w:r>
            <w:r>
              <w:t>The n</w:t>
            </w:r>
            <w:r w:rsidRPr="00F81F35">
              <w:t>ational median rent over a rolling 3</w:t>
            </w:r>
            <w:r w:rsidR="00A15C79">
              <w:noBreakHyphen/>
            </w:r>
            <w:r w:rsidRPr="00F81F35">
              <w:t>month period</w:t>
            </w:r>
            <w:r w:rsidRPr="00090931">
              <w:t>.</w:t>
            </w:r>
          </w:p>
          <w:p w14:paraId="434848FA" w14:textId="749CE422" w:rsidR="00AF7328" w:rsidRPr="00744357" w:rsidRDefault="00AF7328" w:rsidP="00AF7328">
            <w:pPr>
              <w:pStyle w:val="ChartorTableNoteandSource"/>
            </w:pPr>
            <w:r w:rsidRPr="00E6213D">
              <w:t>Source:</w:t>
            </w:r>
            <w:r>
              <w:tab/>
            </w:r>
            <w:r w:rsidRPr="00090931">
              <w:t>CoreLogic 2025</w:t>
            </w:r>
          </w:p>
        </w:tc>
      </w:tr>
    </w:tbl>
    <w:p w14:paraId="44A4EF77" w14:textId="358EAE1B" w:rsidR="007F2143" w:rsidRDefault="007F2143" w:rsidP="00EB0064">
      <w:pPr>
        <w:spacing w:before="120" w:after="120"/>
      </w:pPr>
      <w:r>
        <w:t xml:space="preserve">Overall, </w:t>
      </w:r>
      <w:r w:rsidRPr="00E6213D">
        <w:t>rental market</w:t>
      </w:r>
      <w:r>
        <w:t>s</w:t>
      </w:r>
      <w:r w:rsidRPr="00E6213D">
        <w:t xml:space="preserve"> remain tight, </w:t>
      </w:r>
      <w:r>
        <w:t>with v</w:t>
      </w:r>
      <w:r w:rsidRPr="00AC3C37">
        <w:t xml:space="preserve">acancy rates across most capital cities </w:t>
      </w:r>
      <w:r>
        <w:t xml:space="preserve">remaining </w:t>
      </w:r>
      <w:r w:rsidRPr="00AC3C37">
        <w:t>below</w:t>
      </w:r>
      <w:r>
        <w:t xml:space="preserve"> </w:t>
      </w:r>
      <w:r w:rsidRPr="00AC3C37">
        <w:t>long</w:t>
      </w:r>
      <w:r w:rsidR="00A15C79">
        <w:noBreakHyphen/>
      </w:r>
      <w:r w:rsidRPr="00AC3C37">
        <w:t>run average</w:t>
      </w:r>
      <w:r>
        <w:t xml:space="preserve"> levels (</w:t>
      </w:r>
      <w:r w:rsidR="005864CA">
        <w:t xml:space="preserve">see </w:t>
      </w:r>
      <w:r>
        <w:t>Chart 2.1</w:t>
      </w:r>
      <w:r w:rsidR="00C23F8C">
        <w:t>3</w:t>
      </w:r>
      <w:r>
        <w:t>). However, there are signs</w:t>
      </w:r>
      <w:r w:rsidR="005864CA">
        <w:t xml:space="preserve"> that</w:t>
      </w:r>
      <w:r>
        <w:t xml:space="preserve"> pressures are easing, with the </w:t>
      </w:r>
      <w:r w:rsidRPr="00E6213D">
        <w:t xml:space="preserve">national </w:t>
      </w:r>
      <w:r w:rsidRPr="00AC3C37">
        <w:t xml:space="preserve">vacancy rate </w:t>
      </w:r>
      <w:r>
        <w:t>rising slightly from recent</w:t>
      </w:r>
      <w:r w:rsidRPr="00AC3C37">
        <w:t xml:space="preserve"> record lows </w:t>
      </w:r>
      <w:r>
        <w:t>to 1.8</w:t>
      </w:r>
      <w:r w:rsidR="0099326B">
        <w:t> per cent</w:t>
      </w:r>
      <w:r w:rsidRPr="00AC3C37">
        <w:t xml:space="preserve"> </w:t>
      </w:r>
      <w:r>
        <w:t>in Decembe</w:t>
      </w:r>
      <w:r w:rsidRPr="00AC3C37">
        <w:t xml:space="preserve">r 2024 </w:t>
      </w:r>
      <w:r>
        <w:t>(</w:t>
      </w:r>
      <w:r w:rsidR="003B5F65">
        <w:t>see</w:t>
      </w:r>
      <w:r w:rsidR="00DB6DE6">
        <w:t> </w:t>
      </w:r>
      <w:r w:rsidRPr="00AC3C37">
        <w:fldChar w:fldCharType="begin"/>
      </w:r>
      <w:r w:rsidRPr="00AC3C37">
        <w:fldChar w:fldCharType="separate"/>
      </w:r>
      <w:r w:rsidRPr="00AC3C37">
        <w:t>Chart</w:t>
      </w:r>
      <w:r w:rsidRPr="00AC3C37">
        <w:fldChar w:fldCharType="end"/>
      </w:r>
      <w:r w:rsidRPr="00AC3C37">
        <w:t>Chart 2.1</w:t>
      </w:r>
      <w:r w:rsidR="00C23F8C">
        <w:t>4</w:t>
      </w:r>
      <w:r w:rsidRPr="00AC3C37">
        <w:t>).</w:t>
      </w:r>
      <w:r w:rsidRPr="00AC3C37" w:rsidDel="0084121E">
        <w:t xml:space="preserve"> </w:t>
      </w:r>
      <w:r w:rsidR="001F38F3">
        <w:t>Over the medium term</w:t>
      </w:r>
      <w:r w:rsidRPr="00AC3C37">
        <w:t>, slowing population</w:t>
      </w:r>
      <w:r w:rsidRPr="00E6213D">
        <w:t xml:space="preserve"> growth and a</w:t>
      </w:r>
      <w:r w:rsidR="001F38F3">
        <w:t>n increase</w:t>
      </w:r>
      <w:r w:rsidRPr="00E6213D">
        <w:t xml:space="preserve"> in </w:t>
      </w:r>
      <w:r>
        <w:t xml:space="preserve">new housing </w:t>
      </w:r>
      <w:r w:rsidRPr="00E6213D">
        <w:t xml:space="preserve">supply should </w:t>
      </w:r>
      <w:r>
        <w:t xml:space="preserve">support a continued rise in </w:t>
      </w:r>
      <w:r w:rsidRPr="00E6213D">
        <w:t>vacancy rates</w:t>
      </w:r>
      <w:r>
        <w:t xml:space="preserve"> and eas</w:t>
      </w:r>
      <w:r w:rsidR="00BC0A72">
        <w:t>e</w:t>
      </w:r>
      <w:r>
        <w:t xml:space="preserve"> rent growth</w:t>
      </w:r>
      <w:r w:rsidRPr="00E6213D">
        <w:t xml:space="preserve"> (see </w:t>
      </w:r>
      <w:r w:rsidRPr="00650795">
        <w:t>Chapter 5</w:t>
      </w:r>
      <w:r w:rsidR="009632F2" w:rsidRPr="00650795">
        <w:t>,</w:t>
      </w:r>
      <w:r>
        <w:rPr>
          <w:i/>
          <w:iCs/>
        </w:rPr>
        <w:t xml:space="preserve"> </w:t>
      </w:r>
      <w:bookmarkStart w:id="92" w:name="_Hlk195281578"/>
      <w:r w:rsidRPr="00DB6DE6">
        <w:rPr>
          <w:rStyle w:val="Emphasis"/>
        </w:rPr>
        <w:t>Housing system outlook</w:t>
      </w:r>
      <w:bookmarkEnd w:id="92"/>
      <w:r w:rsidRPr="00E6213D">
        <w:t>).</w:t>
      </w:r>
    </w:p>
    <w:tbl>
      <w:tblPr>
        <w:tblW w:w="5000" w:type="pct"/>
        <w:tblLayout w:type="fixed"/>
        <w:tblLook w:val="0000" w:firstRow="0" w:lastRow="0" w:firstColumn="0" w:lastColumn="0" w:noHBand="0" w:noVBand="0"/>
      </w:tblPr>
      <w:tblGrid>
        <w:gridCol w:w="4535"/>
        <w:gridCol w:w="4535"/>
      </w:tblGrid>
      <w:tr w:rsidR="007F2143" w14:paraId="3ABB8C00" w14:textId="77777777" w:rsidTr="00531399">
        <w:trPr>
          <w:cantSplit/>
          <w:trHeight w:val="57"/>
        </w:trPr>
        <w:tc>
          <w:tcPr>
            <w:tcW w:w="4535" w:type="dxa"/>
          </w:tcPr>
          <w:p w14:paraId="068373B0" w14:textId="6E68A21C" w:rsidR="007F2143" w:rsidRPr="00780A40" w:rsidRDefault="007F2143" w:rsidP="00780A40">
            <w:pPr>
              <w:pStyle w:val="ChartMainHeading"/>
            </w:pPr>
            <w:r w:rsidRPr="00780A40">
              <w:t>Rental vacancy rate, by</w:t>
            </w:r>
            <w:r w:rsidR="00531399" w:rsidRPr="00780A40">
              <w:t> </w:t>
            </w:r>
            <w:r w:rsidRPr="00780A40">
              <w:t>capital city, December 2024</w:t>
            </w:r>
          </w:p>
        </w:tc>
        <w:tc>
          <w:tcPr>
            <w:tcW w:w="4535" w:type="dxa"/>
          </w:tcPr>
          <w:p w14:paraId="7BF9D70A" w14:textId="324696DF" w:rsidR="007F2143" w:rsidRPr="00780A40" w:rsidRDefault="007F2143" w:rsidP="00780A40">
            <w:pPr>
              <w:pStyle w:val="ChartMainHeading"/>
            </w:pPr>
            <w:r w:rsidRPr="00780A40">
              <w:t xml:space="preserve">Rental vacancy rate, weighted average of capital cities </w:t>
            </w:r>
          </w:p>
        </w:tc>
      </w:tr>
      <w:tr w:rsidR="007F2143" w14:paraId="657AAB77" w14:textId="77777777" w:rsidTr="00531399">
        <w:trPr>
          <w:cantSplit/>
          <w:trHeight w:val="1973"/>
        </w:trPr>
        <w:tc>
          <w:tcPr>
            <w:tcW w:w="4535" w:type="dxa"/>
          </w:tcPr>
          <w:p w14:paraId="5DA8166A" w14:textId="26A07E40" w:rsidR="007F2143" w:rsidRPr="0099326B" w:rsidRDefault="0014368D" w:rsidP="0099326B">
            <w:pPr>
              <w:pStyle w:val="ChartGraphic"/>
            </w:pPr>
            <w:r w:rsidRPr="0014368D">
              <w:rPr>
                <w:noProof/>
              </w:rPr>
              <w:drawing>
                <wp:inline distT="0" distB="0" distL="0" distR="0" wp14:anchorId="73BF324B" wp14:editId="618FED75">
                  <wp:extent cx="2714110" cy="2719137"/>
                  <wp:effectExtent l="0" t="0" r="0" b="5080"/>
                  <wp:docPr id="2095511832" name="Picture 2" descr="Chart 2.13 is a bar chart showing the rental vacancy rates for each state and territory capital city as of December 2024, compared to their 15-year average. All cities currently sit at, or well below, their 15-year average. &#10;&#10;Darwin had a rental vacancy rate of 3.0 per cent, Melbourne 2.4 per cent, Sydney, Perth, Hobart and Canberra all on 1.9 per cent, Brisbane 1.1 per cent and Adelaide 0.7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511832" name="Picture 2" descr="Chart 2.13 is a bar chart showing the rental vacancy rates for each state and territory capital city as of December 2024, compared to their 15-year average. All cities currently sit at, or well below, their 15-year average. &#10;&#10;Darwin had a rental vacancy rate of 3.0 per cent, Melbourne 2.4 per cent, Sydney, Perth, Hobart and Canberra all on 1.9 per cent, Brisbane 1.1 per cent and Adelaide 0.7 per cent.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22336" cy="2727379"/>
                          </a:xfrm>
                          <a:prstGeom prst="rect">
                            <a:avLst/>
                          </a:prstGeom>
                          <a:noFill/>
                          <a:ln>
                            <a:noFill/>
                          </a:ln>
                        </pic:spPr>
                      </pic:pic>
                    </a:graphicData>
                  </a:graphic>
                </wp:inline>
              </w:drawing>
            </w:r>
          </w:p>
        </w:tc>
        <w:tc>
          <w:tcPr>
            <w:tcW w:w="4535" w:type="dxa"/>
          </w:tcPr>
          <w:p w14:paraId="1DBC8D05" w14:textId="4EA000FA" w:rsidR="007F2143" w:rsidRPr="00C93701" w:rsidRDefault="00B77E38" w:rsidP="0099326B">
            <w:pPr>
              <w:pStyle w:val="ChartGraphic"/>
            </w:pPr>
            <w:r w:rsidRPr="00B77E38">
              <w:rPr>
                <w:noProof/>
              </w:rPr>
              <w:drawing>
                <wp:inline distT="0" distB="0" distL="0" distR="0" wp14:anchorId="204E1894" wp14:editId="26248A54">
                  <wp:extent cx="2742565" cy="2734945"/>
                  <wp:effectExtent l="0" t="0" r="0" b="0"/>
                  <wp:docPr id="826137122" name="Picture 30" descr="Chart 2.14 is a line chart showing the weighted average rental vacancy rate of the eight capital cities, between December 2009 and December 2024 against a 15 year average of 2.5 per cent. &#10;The rental vacancy rate has generally varied by half a percentage point on either side of this average, but has fallen since early 2021 to reach a low of 1.4 per cent in March 2023, Since then it has increased slightly to 1.8 per cent in December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137122" name="Picture 30" descr="Chart 2.14 is a line chart showing the weighted average rental vacancy rate of the eight capital cities, between December 2009 and December 2024 against a 15 year average of 2.5 per cent. &#10;The rental vacancy rate has generally varied by half a percentage point on either side of this average, but has fallen since early 2021 to reach a low of 1.4 per cent in March 2023, Since then it has increased slightly to 1.8 per cent in December 2024.&#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42565" cy="2734945"/>
                          </a:xfrm>
                          <a:prstGeom prst="rect">
                            <a:avLst/>
                          </a:prstGeom>
                          <a:noFill/>
                          <a:ln>
                            <a:noFill/>
                          </a:ln>
                        </pic:spPr>
                      </pic:pic>
                    </a:graphicData>
                  </a:graphic>
                </wp:inline>
              </w:drawing>
            </w:r>
          </w:p>
        </w:tc>
      </w:tr>
      <w:tr w:rsidR="0099326B" w14:paraId="4B08E7C9" w14:textId="77777777" w:rsidTr="00531399">
        <w:trPr>
          <w:cantSplit/>
          <w:trHeight w:val="80"/>
        </w:trPr>
        <w:tc>
          <w:tcPr>
            <w:tcW w:w="4535" w:type="dxa"/>
          </w:tcPr>
          <w:p w14:paraId="58CD5106" w14:textId="14A516B9" w:rsidR="00805D68" w:rsidRDefault="0099326B" w:rsidP="00805D68">
            <w:pPr>
              <w:pStyle w:val="ChartorTableNoteandSource"/>
            </w:pPr>
            <w:r w:rsidRPr="001A7B9E">
              <w:t>Note:</w:t>
            </w:r>
            <w:r w:rsidR="00DB6DE6">
              <w:tab/>
            </w:r>
            <w:r>
              <w:t>The w</w:t>
            </w:r>
            <w:r w:rsidRPr="001A7B9E">
              <w:t>eighted average capital city vacancy rate.</w:t>
            </w:r>
          </w:p>
          <w:p w14:paraId="309AAD5A" w14:textId="5CFB89B8" w:rsidR="00805D68" w:rsidRPr="00805D68" w:rsidRDefault="00805D68" w:rsidP="00805D68">
            <w:pPr>
              <w:pStyle w:val="ChartorTableNoteandSource"/>
            </w:pPr>
            <w:r w:rsidRPr="006E4363">
              <w:t>Source:</w:t>
            </w:r>
            <w:r>
              <w:tab/>
            </w:r>
            <w:r w:rsidRPr="0004617A">
              <w:t xml:space="preserve">Real Estate Institute </w:t>
            </w:r>
            <w:r>
              <w:t>of</w:t>
            </w:r>
            <w:r w:rsidRPr="0004617A">
              <w:t xml:space="preserve"> Australia</w:t>
            </w:r>
            <w:r>
              <w:t xml:space="preserve"> </w:t>
            </w:r>
            <w:r w:rsidR="005928E8">
              <w:t xml:space="preserve">(REIA) </w:t>
            </w:r>
            <w:r w:rsidDel="00F25F6F">
              <w:t>202</w:t>
            </w:r>
            <w:r>
              <w:t>5</w:t>
            </w:r>
          </w:p>
        </w:tc>
        <w:tc>
          <w:tcPr>
            <w:tcW w:w="4535" w:type="dxa"/>
          </w:tcPr>
          <w:p w14:paraId="3EEC68C7" w14:textId="3503ABCA" w:rsidR="0099326B" w:rsidRDefault="0099326B" w:rsidP="00DB6DE6">
            <w:pPr>
              <w:pStyle w:val="ChartorTableNoteandSource"/>
            </w:pPr>
            <w:r w:rsidRPr="007A16B3">
              <w:t>Note:</w:t>
            </w:r>
            <w:r w:rsidR="00DB6DE6">
              <w:tab/>
            </w:r>
            <w:r>
              <w:t>The w</w:t>
            </w:r>
            <w:r w:rsidRPr="007A16B3">
              <w:t>eighted average capital city vacancy rate.</w:t>
            </w:r>
          </w:p>
          <w:p w14:paraId="38F9323C" w14:textId="63974B9F" w:rsidR="00805D68" w:rsidRPr="00744357" w:rsidRDefault="00805D68" w:rsidP="00805D68">
            <w:pPr>
              <w:pStyle w:val="ChartorTableNoteandSource"/>
            </w:pPr>
            <w:r w:rsidRPr="006E4363">
              <w:t>Source:</w:t>
            </w:r>
            <w:r>
              <w:tab/>
            </w:r>
            <w:r w:rsidR="005928E8">
              <w:t>REIA</w:t>
            </w:r>
            <w:r w:rsidRPr="009628A8">
              <w:t xml:space="preserve"> </w:t>
            </w:r>
            <w:r w:rsidRPr="009628A8" w:rsidDel="00F25F6F">
              <w:t>202</w:t>
            </w:r>
            <w:r>
              <w:t>5</w:t>
            </w:r>
          </w:p>
        </w:tc>
      </w:tr>
    </w:tbl>
    <w:p w14:paraId="73E54C58" w14:textId="780F50D9" w:rsidR="007F2143" w:rsidRPr="000C3C00" w:rsidRDefault="007F2143" w:rsidP="00744F72">
      <w:pPr>
        <w:pStyle w:val="Heading2Numbered"/>
      </w:pPr>
      <w:bookmarkStart w:id="93" w:name="_Toc195026591"/>
      <w:bookmarkStart w:id="94" w:name="_Toc196395882"/>
      <w:bookmarkStart w:id="95" w:name="_Ref185598618"/>
      <w:r>
        <w:lastRenderedPageBreak/>
        <w:t>Dwelling construction activity remains weak</w:t>
      </w:r>
      <w:bookmarkEnd w:id="93"/>
      <w:bookmarkEnd w:id="94"/>
    </w:p>
    <w:bookmarkEnd w:id="95"/>
    <w:p w14:paraId="3EAEC67A" w14:textId="77777777" w:rsidR="007F2143" w:rsidRDefault="007F2143" w:rsidP="00744F72">
      <w:pPr>
        <w:pStyle w:val="Heading3Numbered"/>
        <w:spacing w:before="0" w:line="240" w:lineRule="auto"/>
      </w:pPr>
      <w:r>
        <w:t>New housing supply</w:t>
      </w:r>
      <w:r w:rsidRPr="00DD44C5">
        <w:t>, by dwelling type</w:t>
      </w:r>
    </w:p>
    <w:p w14:paraId="0DBEC79B" w14:textId="47FCCAF5" w:rsidR="007F2143" w:rsidRPr="002949B5" w:rsidRDefault="007F2143">
      <w:r>
        <w:t xml:space="preserve">Housing construction </w:t>
      </w:r>
      <w:r w:rsidRPr="002F6D08">
        <w:t xml:space="preserve">activity </w:t>
      </w:r>
      <w:r w:rsidRPr="002949B5">
        <w:t xml:space="preserve">remained weak in 2024, with </w:t>
      </w:r>
      <w:r w:rsidR="00F71F5A" w:rsidRPr="0041126E">
        <w:t xml:space="preserve">177,000 </w:t>
      </w:r>
      <w:r w:rsidRPr="002949B5">
        <w:t xml:space="preserve">dwellings completed in the year. While slightly higher than in 2023, completions </w:t>
      </w:r>
      <w:r w:rsidR="00D97FE0" w:rsidRPr="002949B5">
        <w:t xml:space="preserve">in 2024 </w:t>
      </w:r>
      <w:r w:rsidRPr="002949B5">
        <w:t>remain</w:t>
      </w:r>
      <w:r w:rsidR="00D97FE0" w:rsidRPr="002949B5">
        <w:t>ed</w:t>
      </w:r>
      <w:r w:rsidRPr="002949B5">
        <w:t xml:space="preserve"> near their lowest level in more than a decade, </w:t>
      </w:r>
      <w:r w:rsidRPr="002949B5" w:rsidDel="0077320F">
        <w:t xml:space="preserve">and </w:t>
      </w:r>
      <w:r w:rsidRPr="002949B5">
        <w:t xml:space="preserve">well below their </w:t>
      </w:r>
      <w:r w:rsidR="005F2293" w:rsidRPr="0041126E">
        <w:t xml:space="preserve">financial-year peak </w:t>
      </w:r>
      <w:r w:rsidRPr="002949B5">
        <w:t>of 219,000 in 2016</w:t>
      </w:r>
      <w:r w:rsidR="00AD2A1F" w:rsidRPr="002949B5">
        <w:t>–</w:t>
      </w:r>
      <w:r w:rsidRPr="002949B5">
        <w:t>17</w:t>
      </w:r>
      <w:r w:rsidRPr="002949B5" w:rsidDel="00202DFB">
        <w:t xml:space="preserve"> </w:t>
      </w:r>
      <w:r w:rsidRPr="002949B5">
        <w:t>(</w:t>
      </w:r>
      <w:r w:rsidR="00AD2A1F" w:rsidRPr="002949B5">
        <w:t xml:space="preserve">see </w:t>
      </w:r>
      <w:r w:rsidRPr="002949B5">
        <w:t>Chart 2.1</w:t>
      </w:r>
      <w:r w:rsidR="00C23F8C" w:rsidRPr="002949B5">
        <w:t>5</w:t>
      </w:r>
      <w:r w:rsidRPr="002949B5">
        <w:t xml:space="preserve">). </w:t>
      </w:r>
    </w:p>
    <w:p w14:paraId="6AFC32F0" w14:textId="7A24D3C5" w:rsidR="007F2143" w:rsidRPr="002949B5" w:rsidRDefault="007F2143">
      <w:r w:rsidRPr="002949B5">
        <w:t>Low rates of higher</w:t>
      </w:r>
      <w:r w:rsidR="00A15C79" w:rsidRPr="002949B5">
        <w:noBreakHyphen/>
      </w:r>
      <w:r w:rsidRPr="002949B5">
        <w:t xml:space="preserve">density dwelling completions have been the main reason for the overall weakness in new housing supply. Only </w:t>
      </w:r>
      <w:r w:rsidR="00D17AAF" w:rsidRPr="0041126E">
        <w:t>65,000</w:t>
      </w:r>
      <w:r w:rsidRPr="002949B5">
        <w:t xml:space="preserve"> higher</w:t>
      </w:r>
      <w:r w:rsidR="00A15C79" w:rsidRPr="002949B5">
        <w:noBreakHyphen/>
      </w:r>
      <w:r w:rsidRPr="002949B5">
        <w:t>density dwellings were completed in 2024, around 40</w:t>
      </w:r>
      <w:r w:rsidR="0099326B" w:rsidRPr="002949B5">
        <w:t> per cent</w:t>
      </w:r>
      <w:r w:rsidRPr="002949B5">
        <w:t xml:space="preserve"> below the peak of 106,000 completions in the year to September 2017 (</w:t>
      </w:r>
      <w:r w:rsidR="00731752" w:rsidRPr="002949B5">
        <w:t xml:space="preserve">see </w:t>
      </w:r>
      <w:r w:rsidRPr="002949B5">
        <w:t>Chart 2.1</w:t>
      </w:r>
      <w:r w:rsidR="00C23F8C" w:rsidRPr="002949B5">
        <w:t>5</w:t>
      </w:r>
      <w:r w:rsidRPr="002949B5">
        <w:t xml:space="preserve">). In contrast, detached house completions remain consistent with historical levels, at around </w:t>
      </w:r>
      <w:r w:rsidR="008612D5" w:rsidRPr="0041126E">
        <w:t xml:space="preserve">111,000 </w:t>
      </w:r>
      <w:r w:rsidRPr="002949B5">
        <w:t>completions in 2024.</w:t>
      </w:r>
    </w:p>
    <w:tbl>
      <w:tblPr>
        <w:tblW w:w="4880" w:type="pct"/>
        <w:tblLayout w:type="fixed"/>
        <w:tblLook w:val="0000" w:firstRow="0" w:lastRow="0" w:firstColumn="0" w:lastColumn="0" w:noHBand="0" w:noVBand="0"/>
      </w:tblPr>
      <w:tblGrid>
        <w:gridCol w:w="4426"/>
        <w:gridCol w:w="4426"/>
      </w:tblGrid>
      <w:tr w:rsidR="007F2143" w14:paraId="31E1EFB6" w14:textId="77777777">
        <w:trPr>
          <w:cantSplit/>
          <w:trHeight w:val="57"/>
        </w:trPr>
        <w:tc>
          <w:tcPr>
            <w:tcW w:w="4427" w:type="dxa"/>
          </w:tcPr>
          <w:p w14:paraId="683B12C7" w14:textId="69E95EA2" w:rsidR="007F2143" w:rsidRPr="002949B5" w:rsidRDefault="004F4E75" w:rsidP="00EB0064">
            <w:pPr>
              <w:pStyle w:val="ChartMainHeading"/>
            </w:pPr>
            <w:r w:rsidRPr="002949B5">
              <w:t xml:space="preserve">Dwelling completions, </w:t>
            </w:r>
            <w:r w:rsidRPr="0041126E">
              <w:br/>
            </w:r>
            <w:r w:rsidRPr="002949B5">
              <w:t>by type</w:t>
            </w:r>
          </w:p>
        </w:tc>
        <w:tc>
          <w:tcPr>
            <w:tcW w:w="4426" w:type="dxa"/>
          </w:tcPr>
          <w:p w14:paraId="3D4C4438" w14:textId="039E54E1" w:rsidR="007F2143" w:rsidRPr="002949B5" w:rsidRDefault="004F4E75" w:rsidP="00EB0064">
            <w:pPr>
              <w:pStyle w:val="ChartMainHeading"/>
            </w:pPr>
            <w:r w:rsidRPr="0041126E">
              <w:t xml:space="preserve">Dwelling approvals, </w:t>
            </w:r>
            <w:r w:rsidRPr="0041126E">
              <w:br/>
              <w:t xml:space="preserve">by </w:t>
            </w:r>
            <w:r w:rsidR="007F2143" w:rsidRPr="002949B5">
              <w:t>type</w:t>
            </w:r>
          </w:p>
        </w:tc>
      </w:tr>
      <w:tr w:rsidR="007F2143" w14:paraId="38B257D4" w14:textId="77777777" w:rsidTr="0099326B">
        <w:trPr>
          <w:cantSplit/>
          <w:trHeight w:val="2350"/>
        </w:trPr>
        <w:tc>
          <w:tcPr>
            <w:tcW w:w="4427" w:type="dxa"/>
          </w:tcPr>
          <w:p w14:paraId="43B5EB04" w14:textId="6C2AFCD9" w:rsidR="007F2143" w:rsidRDefault="00EA03C8" w:rsidP="0099326B">
            <w:pPr>
              <w:pStyle w:val="ChartGraphic"/>
            </w:pPr>
            <w:r w:rsidRPr="00EA03C8">
              <w:rPr>
                <w:noProof/>
              </w:rPr>
              <w:drawing>
                <wp:inline distT="0" distB="0" distL="0" distR="0" wp14:anchorId="1DA4C02D" wp14:editId="52F5A3DB">
                  <wp:extent cx="2670175" cy="2662555"/>
                  <wp:effectExtent l="0" t="0" r="0" b="0"/>
                  <wp:docPr id="753529601" name="Picture 31" descr="Chart 2.15 is a line chart showing the annual rolling total number of completions for houses, units and total dwellings between December 2009 and December 2024. Total completions peaked at 224,000 in March 2017, comprised of 116,000 houses and 105,000 units. Since then, completions have declined to around 177,000 in total in the year to December 2024, comprised of 111,000 houses and 65,000 un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29601" name="Picture 31" descr="Chart 2.15 is a line chart showing the annual rolling total number of completions for houses, units and total dwellings between December 2009 and December 2024. Total completions peaked at 224,000 in March 2017, comprised of 116,000 houses and 105,000 units. Since then, completions have declined to around 177,000 in total in the year to December 2024, comprised of 111,000 houses and 65,000 units.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70175" cy="2662555"/>
                          </a:xfrm>
                          <a:prstGeom prst="rect">
                            <a:avLst/>
                          </a:prstGeom>
                          <a:noFill/>
                          <a:ln>
                            <a:noFill/>
                          </a:ln>
                        </pic:spPr>
                      </pic:pic>
                    </a:graphicData>
                  </a:graphic>
                </wp:inline>
              </w:drawing>
            </w:r>
            <w:r w:rsidR="007F2143">
              <w:t xml:space="preserve"> </w:t>
            </w:r>
          </w:p>
        </w:tc>
        <w:tc>
          <w:tcPr>
            <w:tcW w:w="4426" w:type="dxa"/>
          </w:tcPr>
          <w:p w14:paraId="3505C063" w14:textId="48330B1D" w:rsidR="007F2143" w:rsidRPr="005852D1" w:rsidRDefault="00BA024E" w:rsidP="0099326B">
            <w:pPr>
              <w:pStyle w:val="ChartGraphic"/>
            </w:pPr>
            <w:r w:rsidRPr="00BA024E">
              <w:rPr>
                <w:noProof/>
              </w:rPr>
              <w:drawing>
                <wp:inline distT="0" distB="0" distL="0" distR="0" wp14:anchorId="19AB7BBD" wp14:editId="49AD47A7">
                  <wp:extent cx="2670175" cy="2662555"/>
                  <wp:effectExtent l="0" t="0" r="0" b="0"/>
                  <wp:docPr id="121079137" name="Picture 5" descr="Chart 2.16 is a line chart showing the annual rolling number of approvals for detached houses, higher-density dwellings and total dwellings between February 2010 to February 2025. Total approvals peaked at 243,000 in August 2016, comprised of 120,000 detached houses and 123,000 higher density dwellings.&#10;In February 2025 there were 179,000 total annual approvals, comprised of 112,000 detached houses and 67,000 higher-density dwelling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9137" name="Picture 5" descr="Chart 2.16 is a line chart showing the annual rolling number of approvals for detached houses, higher-density dwellings and total dwellings between February 2010 to February 2025. Total approvals peaked at 243,000 in August 2016, comprised of 120,000 detached houses and 123,000 higher density dwellings.&#10;In February 2025 there were 179,000 total annual approvals, comprised of 112,000 detached houses and 67,000 higher-density dwellings.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70175" cy="2662555"/>
                          </a:xfrm>
                          <a:prstGeom prst="rect">
                            <a:avLst/>
                          </a:prstGeom>
                          <a:noFill/>
                          <a:ln>
                            <a:noFill/>
                          </a:ln>
                        </pic:spPr>
                      </pic:pic>
                    </a:graphicData>
                  </a:graphic>
                </wp:inline>
              </w:drawing>
            </w:r>
          </w:p>
        </w:tc>
      </w:tr>
      <w:tr w:rsidR="0099326B" w14:paraId="282F54B3" w14:textId="77777777" w:rsidTr="0099326B">
        <w:trPr>
          <w:cantSplit/>
          <w:trHeight w:val="80"/>
        </w:trPr>
        <w:tc>
          <w:tcPr>
            <w:tcW w:w="4427" w:type="dxa"/>
          </w:tcPr>
          <w:p w14:paraId="76FB4922" w14:textId="02382A98" w:rsidR="0099326B" w:rsidRDefault="0099326B" w:rsidP="00DB6DE6">
            <w:pPr>
              <w:pStyle w:val="ChartorTableNoteandSource"/>
            </w:pPr>
            <w:r w:rsidRPr="00BD41F4">
              <w:t>Note:</w:t>
            </w:r>
            <w:r w:rsidR="00DB6DE6">
              <w:tab/>
            </w:r>
            <w:r w:rsidR="001B6D12">
              <w:t>A</w:t>
            </w:r>
            <w:r w:rsidRPr="00BD41F4">
              <w:t>nnual rolling sum</w:t>
            </w:r>
            <w:r>
              <w:t xml:space="preserve"> </w:t>
            </w:r>
            <w:r w:rsidR="001B6D12">
              <w:t xml:space="preserve">of dwelling completions </w:t>
            </w:r>
            <w:r>
              <w:t>in the private and public sectors.</w:t>
            </w:r>
          </w:p>
          <w:p w14:paraId="2B459088" w14:textId="284CC32D" w:rsidR="00D223C9" w:rsidRPr="00744357" w:rsidRDefault="00D223C9" w:rsidP="00D223C9">
            <w:pPr>
              <w:pStyle w:val="ChartorTableNoteandSource"/>
            </w:pPr>
            <w:r w:rsidRPr="00BD41F4">
              <w:t>Source:</w:t>
            </w:r>
            <w:r>
              <w:tab/>
            </w:r>
            <w:r w:rsidRPr="00BD41F4">
              <w:t>ABS</w:t>
            </w:r>
            <w:r w:rsidR="00314E92">
              <w:t xml:space="preserve"> </w:t>
            </w:r>
            <w:r>
              <w:t>B</w:t>
            </w:r>
            <w:r w:rsidRPr="00BD41F4">
              <w:t xml:space="preserve">uilding </w:t>
            </w:r>
            <w:r>
              <w:t>A</w:t>
            </w:r>
            <w:r w:rsidRPr="00BD41F4">
              <w:t>ctivity</w:t>
            </w:r>
            <w:r w:rsidRPr="00BD41F4" w:rsidDel="00F25F6F">
              <w:t xml:space="preserve"> </w:t>
            </w:r>
            <w:r>
              <w:t>2025</w:t>
            </w:r>
          </w:p>
        </w:tc>
        <w:tc>
          <w:tcPr>
            <w:tcW w:w="4426" w:type="dxa"/>
          </w:tcPr>
          <w:p w14:paraId="4D74B4D7" w14:textId="786444F6" w:rsidR="0099326B" w:rsidRDefault="0099326B" w:rsidP="00DB6DE6">
            <w:pPr>
              <w:pStyle w:val="ChartorTableNoteandSource"/>
            </w:pPr>
            <w:r>
              <w:t>Note:</w:t>
            </w:r>
            <w:r w:rsidR="00DB6DE6">
              <w:tab/>
            </w:r>
            <w:r>
              <w:t xml:space="preserve">The annual rolling sum </w:t>
            </w:r>
            <w:r w:rsidR="00A850C5">
              <w:t>of dwelling approvals</w:t>
            </w:r>
            <w:r>
              <w:t xml:space="preserve"> in the private and public sectors.</w:t>
            </w:r>
          </w:p>
          <w:p w14:paraId="26C68028" w14:textId="63712DB4" w:rsidR="00D223C9" w:rsidRPr="00744357" w:rsidRDefault="00D223C9" w:rsidP="00D223C9">
            <w:pPr>
              <w:pStyle w:val="ChartorTableNoteandSource"/>
            </w:pPr>
            <w:r w:rsidRPr="00BD41F4">
              <w:t>Source:</w:t>
            </w:r>
            <w:r>
              <w:tab/>
            </w:r>
            <w:r w:rsidRPr="00BD41F4">
              <w:t>ABS</w:t>
            </w:r>
            <w:r w:rsidR="00314E92">
              <w:t xml:space="preserve"> </w:t>
            </w:r>
            <w:r>
              <w:t>Building Approvals</w:t>
            </w:r>
            <w:r w:rsidRPr="00BD41F4" w:rsidDel="00F25F6F">
              <w:t xml:space="preserve"> </w:t>
            </w:r>
            <w:r>
              <w:t>2025</w:t>
            </w:r>
          </w:p>
        </w:tc>
      </w:tr>
    </w:tbl>
    <w:p w14:paraId="2F270E9B" w14:textId="49501F81" w:rsidR="007F2143" w:rsidRDefault="007F2143">
      <w:r w:rsidRPr="009B225D">
        <w:t xml:space="preserve">Renovation activity remained robust over 2024, </w:t>
      </w:r>
      <w:r w:rsidR="009C1DBE">
        <w:t xml:space="preserve">declining </w:t>
      </w:r>
      <w:r w:rsidRPr="009B225D">
        <w:t xml:space="preserve">slightly from its </w:t>
      </w:r>
      <w:r w:rsidR="006841D3">
        <w:t>P</w:t>
      </w:r>
      <w:r w:rsidRPr="009B225D">
        <w:t>andemic</w:t>
      </w:r>
      <w:r w:rsidR="00A15C79">
        <w:noBreakHyphen/>
      </w:r>
      <w:r w:rsidRPr="009B225D">
        <w:t>related peak in</w:t>
      </w:r>
      <w:r w:rsidR="00DB6DE6">
        <w:t> </w:t>
      </w:r>
      <w:r w:rsidRPr="009B225D">
        <w:t>2021. Although renovations do not directly add to housing</w:t>
      </w:r>
      <w:r w:rsidR="00014046">
        <w:t xml:space="preserve"> supply</w:t>
      </w:r>
      <w:r w:rsidRPr="009B225D">
        <w:t>, they are a large component of residential construction, accounting for around 40</w:t>
      </w:r>
      <w:r w:rsidR="0099326B">
        <w:t> per cent</w:t>
      </w:r>
      <w:r w:rsidRPr="009B225D">
        <w:t xml:space="preserve"> of activity (ABS 2024</w:t>
      </w:r>
      <w:r w:rsidR="00421642">
        <w:t>a</w:t>
      </w:r>
      <w:r w:rsidRPr="009B225D">
        <w:t>).</w:t>
      </w:r>
    </w:p>
    <w:p w14:paraId="086819BE" w14:textId="3D596D59" w:rsidR="007F2143" w:rsidRPr="002949B5" w:rsidRDefault="00C7064F" w:rsidP="00102ABC">
      <w:pPr>
        <w:rPr>
          <w:rFonts w:ascii="Calibri" w:hAnsi="Calibri" w:cs="Calibri"/>
          <w:color w:val="000000"/>
          <w:szCs w:val="22"/>
          <w:shd w:val="clear" w:color="auto" w:fill="FFFFFF"/>
        </w:rPr>
      </w:pPr>
      <w:r>
        <w:rPr>
          <w:rFonts w:ascii="Calibri" w:hAnsi="Calibri" w:cs="Calibri"/>
          <w:color w:val="000000"/>
          <w:szCs w:val="22"/>
          <w:shd w:val="clear" w:color="auto" w:fill="FFFFFF"/>
        </w:rPr>
        <w:t>In recent years,</w:t>
      </w:r>
      <w:r w:rsidR="007F2143">
        <w:rPr>
          <w:rFonts w:ascii="Calibri" w:hAnsi="Calibri" w:cs="Calibri"/>
          <w:color w:val="000000"/>
          <w:szCs w:val="22"/>
          <w:shd w:val="clear" w:color="auto" w:fill="FFFFFF"/>
        </w:rPr>
        <w:t xml:space="preserve"> elevated construction costs and tight household financing conditions </w:t>
      </w:r>
      <w:r>
        <w:rPr>
          <w:rFonts w:ascii="Calibri" w:hAnsi="Calibri" w:cs="Calibri"/>
          <w:color w:val="000000"/>
          <w:szCs w:val="22"/>
          <w:shd w:val="clear" w:color="auto" w:fill="FFFFFF"/>
        </w:rPr>
        <w:t xml:space="preserve">have constrained the </w:t>
      </w:r>
      <w:r w:rsidRPr="002949B5">
        <w:rPr>
          <w:rFonts w:ascii="Calibri" w:hAnsi="Calibri" w:cs="Calibri"/>
          <w:color w:val="000000"/>
          <w:szCs w:val="22"/>
          <w:shd w:val="clear" w:color="auto" w:fill="FFFFFF"/>
        </w:rPr>
        <w:t>supply of new housing, particularly higher</w:t>
      </w:r>
      <w:r w:rsidR="00A15C79" w:rsidRPr="002949B5">
        <w:rPr>
          <w:rFonts w:ascii="Calibri" w:hAnsi="Calibri" w:cs="Calibri"/>
          <w:color w:val="000000"/>
          <w:szCs w:val="22"/>
          <w:shd w:val="clear" w:color="auto" w:fill="FFFFFF"/>
        </w:rPr>
        <w:noBreakHyphen/>
      </w:r>
      <w:r w:rsidRPr="002949B5">
        <w:rPr>
          <w:rFonts w:ascii="Calibri" w:hAnsi="Calibri" w:cs="Calibri"/>
          <w:color w:val="000000"/>
          <w:szCs w:val="22"/>
          <w:shd w:val="clear" w:color="auto" w:fill="FFFFFF"/>
        </w:rPr>
        <w:t>density dwelling</w:t>
      </w:r>
      <w:r w:rsidR="007F2143" w:rsidRPr="002949B5">
        <w:rPr>
          <w:rFonts w:ascii="Calibri" w:hAnsi="Calibri" w:cs="Calibri"/>
          <w:color w:val="000000"/>
          <w:szCs w:val="22"/>
          <w:shd w:val="clear" w:color="auto" w:fill="FFFFFF"/>
        </w:rPr>
        <w:t>s (see section 2.3.1</w:t>
      </w:r>
      <w:r w:rsidR="00080C99" w:rsidRPr="002949B5">
        <w:rPr>
          <w:rFonts w:ascii="Calibri" w:hAnsi="Calibri" w:cs="Calibri"/>
          <w:color w:val="000000"/>
          <w:szCs w:val="22"/>
          <w:shd w:val="clear" w:color="auto" w:fill="FFFFFF"/>
        </w:rPr>
        <w:t>,</w:t>
      </w:r>
      <w:r w:rsidR="007F2143" w:rsidRPr="002949B5" w:rsidDel="00F1143C">
        <w:rPr>
          <w:rFonts w:ascii="Calibri" w:hAnsi="Calibri" w:cs="Calibri"/>
          <w:color w:val="000000"/>
          <w:szCs w:val="22"/>
          <w:shd w:val="clear" w:color="auto" w:fill="FFFFFF"/>
        </w:rPr>
        <w:t xml:space="preserve"> </w:t>
      </w:r>
      <w:r w:rsidR="007F2143" w:rsidRPr="00D304DE" w:rsidDel="00F1143C">
        <w:rPr>
          <w:rStyle w:val="Emphasis"/>
        </w:rPr>
        <w:t>Construction costs</w:t>
      </w:r>
      <w:r w:rsidR="008C28F0" w:rsidRPr="00D304DE">
        <w:rPr>
          <w:rStyle w:val="Emphasis"/>
        </w:rPr>
        <w:t>, by dwelling type</w:t>
      </w:r>
      <w:r w:rsidR="007F2143" w:rsidRPr="002949B5">
        <w:rPr>
          <w:rFonts w:ascii="Calibri" w:hAnsi="Calibri" w:cs="Calibri"/>
          <w:color w:val="000000"/>
          <w:szCs w:val="22"/>
          <w:shd w:val="clear" w:color="auto" w:fill="FFFFFF"/>
        </w:rPr>
        <w:t xml:space="preserve">). These factors have </w:t>
      </w:r>
      <w:r w:rsidR="00102ABC" w:rsidRPr="002949B5">
        <w:rPr>
          <w:rFonts w:ascii="Calibri" w:hAnsi="Calibri" w:cs="Calibri"/>
          <w:color w:val="000000"/>
          <w:szCs w:val="22"/>
          <w:shd w:val="clear" w:color="auto" w:fill="FFFFFF"/>
        </w:rPr>
        <w:t xml:space="preserve">reduced the feasibility of projects as developers have not been able to recover standard profit </w:t>
      </w:r>
      <w:r w:rsidRPr="002949B5" w:rsidDel="00102ABC">
        <w:rPr>
          <w:rFonts w:ascii="Calibri" w:hAnsi="Calibri" w:cs="Calibri"/>
          <w:color w:val="000000"/>
          <w:szCs w:val="22"/>
          <w:shd w:val="clear" w:color="auto" w:fill="FFFFFF"/>
        </w:rPr>
        <w:t>margin</w:t>
      </w:r>
      <w:r w:rsidR="007F2143" w:rsidRPr="002949B5" w:rsidDel="00102ABC">
        <w:rPr>
          <w:rFonts w:ascii="Calibri" w:hAnsi="Calibri" w:cs="Calibri"/>
          <w:color w:val="000000"/>
          <w:szCs w:val="22"/>
          <w:shd w:val="clear" w:color="auto" w:fill="FFFFFF"/>
        </w:rPr>
        <w:t xml:space="preserve">s </w:t>
      </w:r>
      <w:r w:rsidR="007F2143" w:rsidRPr="002949B5">
        <w:rPr>
          <w:rFonts w:ascii="Calibri" w:hAnsi="Calibri" w:cs="Calibri"/>
          <w:color w:val="000000"/>
          <w:szCs w:val="22"/>
          <w:shd w:val="clear" w:color="auto" w:fill="FFFFFF"/>
        </w:rPr>
        <w:t>(see section 2.3.8</w:t>
      </w:r>
      <w:r w:rsidR="00080C99" w:rsidRPr="002949B5">
        <w:rPr>
          <w:rFonts w:ascii="Calibri" w:hAnsi="Calibri" w:cs="Calibri"/>
          <w:color w:val="000000"/>
          <w:szCs w:val="22"/>
          <w:shd w:val="clear" w:color="auto" w:fill="FFFFFF"/>
        </w:rPr>
        <w:t xml:space="preserve">, </w:t>
      </w:r>
      <w:r w:rsidR="00080C99" w:rsidRPr="002949B5">
        <w:rPr>
          <w:rStyle w:val="Emphasis"/>
        </w:rPr>
        <w:t xml:space="preserve">Project </w:t>
      </w:r>
      <w:r w:rsidR="00380DEE" w:rsidRPr="002949B5">
        <w:rPr>
          <w:rStyle w:val="Emphasis"/>
        </w:rPr>
        <w:t>feasibility</w:t>
      </w:r>
      <w:r w:rsidR="007F2143" w:rsidRPr="002949B5">
        <w:rPr>
          <w:rFonts w:ascii="Calibri" w:hAnsi="Calibri" w:cs="Calibri"/>
          <w:color w:val="000000"/>
          <w:szCs w:val="22"/>
          <w:shd w:val="clear" w:color="auto" w:fill="FFFFFF"/>
        </w:rPr>
        <w:t>).</w:t>
      </w:r>
    </w:p>
    <w:p w14:paraId="07D1CA34" w14:textId="77777777" w:rsidR="00493879" w:rsidRDefault="00493879" w:rsidP="006430BD">
      <w:pPr>
        <w:rPr>
          <w:rFonts w:ascii="Calibri" w:hAnsi="Calibri" w:cs="Calibri"/>
          <w:color w:val="000000"/>
          <w:szCs w:val="22"/>
          <w:shd w:val="clear" w:color="auto" w:fill="FFFFFF"/>
        </w:rPr>
      </w:pPr>
      <w:r>
        <w:rPr>
          <w:rFonts w:ascii="Calibri" w:hAnsi="Calibri" w:cs="Calibri"/>
          <w:color w:val="000000"/>
          <w:szCs w:val="22"/>
          <w:shd w:val="clear" w:color="auto" w:fill="FFFFFF"/>
        </w:rPr>
        <w:br w:type="page"/>
      </w:r>
    </w:p>
    <w:p w14:paraId="3ED7AF75" w14:textId="3FED25D9" w:rsidR="006430BD" w:rsidRPr="002949B5" w:rsidRDefault="007F2143" w:rsidP="006430BD">
      <w:r w:rsidRPr="002949B5">
        <w:rPr>
          <w:rFonts w:ascii="Calibri" w:hAnsi="Calibri" w:cs="Calibri"/>
          <w:color w:val="000000"/>
          <w:szCs w:val="22"/>
          <w:shd w:val="clear" w:color="auto" w:fill="FFFFFF"/>
        </w:rPr>
        <w:lastRenderedPageBreak/>
        <w:t>These same factors have weighed on dwelling approvals. As a result, new housing supply is expected to remain weak in the near term (see Chapter 5</w:t>
      </w:r>
      <w:r w:rsidR="009632F2" w:rsidRPr="002949B5">
        <w:rPr>
          <w:rFonts w:ascii="Calibri" w:hAnsi="Calibri" w:cs="Calibri"/>
          <w:color w:val="000000"/>
          <w:szCs w:val="22"/>
          <w:shd w:val="clear" w:color="auto" w:fill="FFFFFF"/>
        </w:rPr>
        <w:t>,</w:t>
      </w:r>
      <w:r w:rsidRPr="002949B5">
        <w:rPr>
          <w:rFonts w:ascii="Calibri" w:hAnsi="Calibri" w:cs="Calibri"/>
          <w:i/>
          <w:color w:val="000000"/>
          <w:szCs w:val="22"/>
          <w:shd w:val="clear" w:color="auto" w:fill="FFFFFF"/>
        </w:rPr>
        <w:t xml:space="preserve"> </w:t>
      </w:r>
      <w:r w:rsidRPr="00D304DE">
        <w:rPr>
          <w:rStyle w:val="Emphasis"/>
        </w:rPr>
        <w:t>Housing system outlook</w:t>
      </w:r>
      <w:r w:rsidRPr="002949B5">
        <w:rPr>
          <w:rFonts w:ascii="Calibri" w:hAnsi="Calibri" w:cs="Calibri"/>
          <w:color w:val="000000"/>
          <w:szCs w:val="22"/>
          <w:shd w:val="clear" w:color="auto" w:fill="FFFFFF"/>
        </w:rPr>
        <w:t xml:space="preserve">). </w:t>
      </w:r>
      <w:r w:rsidR="006430BD" w:rsidRPr="002949B5">
        <w:rPr>
          <w:rFonts w:ascii="Calibri" w:hAnsi="Calibri" w:cs="Calibri"/>
          <w:color w:val="000000"/>
          <w:szCs w:val="22"/>
          <w:shd w:val="clear" w:color="auto" w:fill="FFFFFF"/>
        </w:rPr>
        <w:t xml:space="preserve">Dwelling approvals rose by </w:t>
      </w:r>
      <w:r w:rsidR="00CC2D07" w:rsidRPr="002949B5">
        <w:rPr>
          <w:rFonts w:ascii="Calibri" w:hAnsi="Calibri" w:cs="Calibri"/>
          <w:color w:val="000000"/>
          <w:szCs w:val="22"/>
          <w:shd w:val="clear" w:color="auto" w:fill="FFFFFF"/>
        </w:rPr>
        <w:t>8.4</w:t>
      </w:r>
      <w:r w:rsidR="0099326B" w:rsidRPr="002949B5">
        <w:rPr>
          <w:rFonts w:ascii="Calibri" w:hAnsi="Calibri" w:cs="Calibri"/>
          <w:color w:val="000000"/>
          <w:szCs w:val="22"/>
          <w:shd w:val="clear" w:color="auto" w:fill="FFFFFF"/>
        </w:rPr>
        <w:t> per cent</w:t>
      </w:r>
      <w:r w:rsidR="006430BD" w:rsidRPr="002949B5">
        <w:rPr>
          <w:rFonts w:ascii="Calibri" w:hAnsi="Calibri" w:cs="Calibri"/>
          <w:color w:val="000000"/>
          <w:szCs w:val="22"/>
          <w:shd w:val="clear" w:color="auto" w:fill="FFFFFF"/>
        </w:rPr>
        <w:t xml:space="preserve"> to around 17</w:t>
      </w:r>
      <w:r w:rsidR="00CC2D07" w:rsidRPr="0041126E">
        <w:rPr>
          <w:rFonts w:ascii="Calibri" w:hAnsi="Calibri" w:cs="Calibri"/>
          <w:color w:val="000000"/>
          <w:szCs w:val="22"/>
          <w:shd w:val="clear" w:color="auto" w:fill="FFFFFF"/>
        </w:rPr>
        <w:t>9</w:t>
      </w:r>
      <w:r w:rsidR="006430BD" w:rsidRPr="002949B5">
        <w:rPr>
          <w:rFonts w:ascii="Calibri" w:hAnsi="Calibri" w:cs="Calibri"/>
          <w:color w:val="000000"/>
          <w:szCs w:val="22"/>
          <w:shd w:val="clear" w:color="auto" w:fill="FFFFFF"/>
        </w:rPr>
        <w:t>,000 in the</w:t>
      </w:r>
      <w:r w:rsidR="006430BD">
        <w:rPr>
          <w:rFonts w:ascii="Calibri" w:hAnsi="Calibri" w:cs="Calibri"/>
          <w:color w:val="000000"/>
          <w:szCs w:val="22"/>
          <w:shd w:val="clear" w:color="auto" w:fill="FFFFFF"/>
        </w:rPr>
        <w:t xml:space="preserve"> year to February 2025, driven by both higher</w:t>
      </w:r>
      <w:r w:rsidR="00A15C79">
        <w:rPr>
          <w:rFonts w:ascii="Calibri" w:hAnsi="Calibri" w:cs="Calibri"/>
          <w:color w:val="000000"/>
          <w:szCs w:val="22"/>
          <w:shd w:val="clear" w:color="auto" w:fill="FFFFFF"/>
        </w:rPr>
        <w:noBreakHyphen/>
      </w:r>
      <w:r w:rsidR="006430BD">
        <w:rPr>
          <w:rFonts w:ascii="Calibri" w:hAnsi="Calibri" w:cs="Calibri"/>
          <w:color w:val="000000"/>
          <w:szCs w:val="22"/>
          <w:shd w:val="clear" w:color="auto" w:fill="FFFFFF"/>
        </w:rPr>
        <w:t xml:space="preserve">density dwellings </w:t>
      </w:r>
      <w:r w:rsidR="006430BD" w:rsidRPr="002949B5">
        <w:rPr>
          <w:rFonts w:ascii="Calibri" w:hAnsi="Calibri" w:cs="Calibri"/>
          <w:color w:val="000000"/>
          <w:szCs w:val="22"/>
          <w:shd w:val="clear" w:color="auto" w:fill="FFFFFF"/>
        </w:rPr>
        <w:t>and detached houses. Higher</w:t>
      </w:r>
      <w:r w:rsidR="00A15C79" w:rsidRPr="002949B5">
        <w:rPr>
          <w:rFonts w:ascii="Calibri" w:hAnsi="Calibri" w:cs="Calibri"/>
          <w:color w:val="000000"/>
          <w:szCs w:val="22"/>
          <w:shd w:val="clear" w:color="auto" w:fill="FFFFFF"/>
        </w:rPr>
        <w:noBreakHyphen/>
      </w:r>
      <w:r w:rsidR="006430BD" w:rsidRPr="002949B5">
        <w:rPr>
          <w:rFonts w:ascii="Calibri" w:hAnsi="Calibri" w:cs="Calibri"/>
          <w:color w:val="000000"/>
          <w:szCs w:val="22"/>
          <w:shd w:val="clear" w:color="auto" w:fill="FFFFFF"/>
        </w:rPr>
        <w:t>density dwelling approvals were around 6</w:t>
      </w:r>
      <w:r w:rsidR="00EB0E9E" w:rsidRPr="002949B5">
        <w:rPr>
          <w:rFonts w:ascii="Calibri" w:hAnsi="Calibri" w:cs="Calibri"/>
          <w:color w:val="000000"/>
          <w:szCs w:val="22"/>
          <w:shd w:val="clear" w:color="auto" w:fill="FFFFFF"/>
        </w:rPr>
        <w:t>7</w:t>
      </w:r>
      <w:r w:rsidR="006430BD" w:rsidRPr="002949B5">
        <w:rPr>
          <w:rFonts w:ascii="Calibri" w:hAnsi="Calibri" w:cs="Calibri"/>
          <w:color w:val="000000"/>
          <w:szCs w:val="22"/>
          <w:shd w:val="clear" w:color="auto" w:fill="FFFFFF"/>
        </w:rPr>
        <w:t>,000 in the year to February</w:t>
      </w:r>
      <w:r w:rsidR="00DB6DE6" w:rsidRPr="002949B5">
        <w:rPr>
          <w:rFonts w:ascii="Calibri" w:hAnsi="Calibri" w:cs="Calibri"/>
          <w:color w:val="000000"/>
          <w:szCs w:val="22"/>
          <w:shd w:val="clear" w:color="auto" w:fill="FFFFFF"/>
        </w:rPr>
        <w:t> </w:t>
      </w:r>
      <w:r w:rsidR="006430BD" w:rsidRPr="002949B5">
        <w:rPr>
          <w:rFonts w:ascii="Calibri" w:hAnsi="Calibri" w:cs="Calibri"/>
          <w:color w:val="000000"/>
          <w:szCs w:val="22"/>
          <w:shd w:val="clear" w:color="auto" w:fill="FFFFFF"/>
        </w:rPr>
        <w:t xml:space="preserve">2025, which is almost </w:t>
      </w:r>
      <w:r w:rsidRPr="002949B5">
        <w:t>50</w:t>
      </w:r>
      <w:r w:rsidR="0099326B" w:rsidRPr="002949B5">
        <w:t> per cent</w:t>
      </w:r>
      <w:r w:rsidRPr="002949B5">
        <w:t xml:space="preserve"> below their peak </w:t>
      </w:r>
      <w:r w:rsidR="006430BD" w:rsidRPr="002949B5">
        <w:t>of 12</w:t>
      </w:r>
      <w:r w:rsidR="00EB0E9E" w:rsidRPr="002949B5">
        <w:t>3</w:t>
      </w:r>
      <w:r w:rsidR="006430BD" w:rsidRPr="002949B5">
        <w:t>,000 recorded in the year to August 2016 (Chart 2.1</w:t>
      </w:r>
      <w:r w:rsidR="00C23F8C" w:rsidRPr="002949B5">
        <w:t>6</w:t>
      </w:r>
      <w:r w:rsidR="006430BD" w:rsidRPr="002949B5">
        <w:t xml:space="preserve">). </w:t>
      </w:r>
      <w:r w:rsidR="00C43881" w:rsidRPr="002949B5">
        <w:t>Nevertheless, higher</w:t>
      </w:r>
      <w:r w:rsidR="00A15C79" w:rsidRPr="002949B5">
        <w:noBreakHyphen/>
      </w:r>
      <w:r w:rsidR="00C43881" w:rsidRPr="002949B5">
        <w:t>density dwelling approvals have picked up over the past year. Detached house approvals also picked up to around 11</w:t>
      </w:r>
      <w:r w:rsidR="00EE7975" w:rsidRPr="002949B5">
        <w:t>2</w:t>
      </w:r>
      <w:r w:rsidR="00C43881" w:rsidRPr="002949B5">
        <w:t xml:space="preserve">,000 over the same period, but remain below their </w:t>
      </w:r>
      <w:r w:rsidR="00352CD5" w:rsidRPr="002949B5">
        <w:t>P</w:t>
      </w:r>
      <w:r w:rsidR="00C43881" w:rsidRPr="002949B5">
        <w:t>andemic</w:t>
      </w:r>
      <w:r w:rsidR="00A15C79" w:rsidRPr="002949B5">
        <w:noBreakHyphen/>
      </w:r>
      <w:r w:rsidR="00C43881" w:rsidRPr="002949B5">
        <w:t xml:space="preserve">related peak recorded in </w:t>
      </w:r>
      <w:r w:rsidR="00325C54" w:rsidRPr="0041126E">
        <w:t>September</w:t>
      </w:r>
      <w:r w:rsidR="00325C54" w:rsidRPr="002949B5">
        <w:t xml:space="preserve"> </w:t>
      </w:r>
      <w:r w:rsidR="00C43881" w:rsidRPr="002949B5">
        <w:t>2021</w:t>
      </w:r>
      <w:r w:rsidR="00843F6A" w:rsidRPr="002949B5">
        <w:t>,</w:t>
      </w:r>
      <w:r w:rsidR="00D52B60" w:rsidRPr="002949B5">
        <w:t xml:space="preserve"> and slightly below long</w:t>
      </w:r>
      <w:r w:rsidR="00A15C79" w:rsidRPr="002949B5">
        <w:noBreakHyphen/>
      </w:r>
      <w:r w:rsidR="00D52B60" w:rsidRPr="002949B5">
        <w:t>term</w:t>
      </w:r>
      <w:r w:rsidR="00A63BB7" w:rsidRPr="002949B5">
        <w:t xml:space="preserve"> average levels. </w:t>
      </w:r>
    </w:p>
    <w:p w14:paraId="04DACC1A" w14:textId="77777777" w:rsidR="007F2143" w:rsidRPr="002949B5" w:rsidRDefault="007F2143" w:rsidP="00744F72">
      <w:pPr>
        <w:pStyle w:val="Heading3Numbered"/>
        <w:spacing w:before="0" w:line="240" w:lineRule="auto"/>
      </w:pPr>
      <w:r w:rsidRPr="002949B5">
        <w:t>New housing supply, by state and territory</w:t>
      </w:r>
    </w:p>
    <w:p w14:paraId="58D4B243" w14:textId="702189DD" w:rsidR="007F2143" w:rsidRPr="00BD41F4" w:rsidRDefault="00877271">
      <w:r w:rsidRPr="002949B5">
        <w:t>The</w:t>
      </w:r>
      <w:r w:rsidR="007F2143" w:rsidRPr="002949B5">
        <w:t xml:space="preserve"> rate of new housing supply</w:t>
      </w:r>
      <w:r w:rsidRPr="002949B5">
        <w:t xml:space="preserve"> has varied across the states and territories</w:t>
      </w:r>
      <w:r w:rsidR="00E6574D" w:rsidRPr="002949B5">
        <w:t xml:space="preserve"> </w:t>
      </w:r>
      <w:r w:rsidR="007F2143" w:rsidRPr="002949B5">
        <w:t>(</w:t>
      </w:r>
      <w:r w:rsidR="00B16BC7" w:rsidRPr="002949B5">
        <w:t>see c</w:t>
      </w:r>
      <w:r w:rsidR="007F2143" w:rsidRPr="002949B5">
        <w:t>hart</w:t>
      </w:r>
      <w:r w:rsidR="00B16BC7" w:rsidRPr="002949B5">
        <w:t>s</w:t>
      </w:r>
      <w:r w:rsidR="007F2143" w:rsidRPr="002949B5">
        <w:t xml:space="preserve"> 2.1</w:t>
      </w:r>
      <w:r w:rsidR="00770A35" w:rsidRPr="002949B5">
        <w:t>7</w:t>
      </w:r>
      <w:r w:rsidR="007F2143" w:rsidRPr="002949B5">
        <w:t xml:space="preserve"> and 2.1</w:t>
      </w:r>
      <w:r w:rsidR="00770A35" w:rsidRPr="002949B5">
        <w:t>8</w:t>
      </w:r>
      <w:r w:rsidR="007F2143" w:rsidRPr="002949B5">
        <w:t>), reflecting different economic and demographic conditions across the country. Most notably, Western</w:t>
      </w:r>
      <w:r w:rsidR="00DB6DE6" w:rsidRPr="002949B5">
        <w:t> </w:t>
      </w:r>
      <w:r w:rsidR="007F2143" w:rsidRPr="002949B5">
        <w:t xml:space="preserve">Australia </w:t>
      </w:r>
      <w:r w:rsidR="00FB1727" w:rsidRPr="002949B5">
        <w:t xml:space="preserve">saw </w:t>
      </w:r>
      <w:r w:rsidR="0000330D" w:rsidRPr="002949B5">
        <w:t>a</w:t>
      </w:r>
      <w:r w:rsidR="00FB1727" w:rsidRPr="002949B5">
        <w:t xml:space="preserve"> </w:t>
      </w:r>
      <w:r w:rsidR="006307C5" w:rsidRPr="0041126E">
        <w:t xml:space="preserve">17 </w:t>
      </w:r>
      <w:r w:rsidR="0099326B" w:rsidRPr="002949B5">
        <w:t>per cent</w:t>
      </w:r>
      <w:r w:rsidR="007F2143" w:rsidRPr="002949B5">
        <w:t xml:space="preserve"> </w:t>
      </w:r>
      <w:r w:rsidR="001006F5" w:rsidRPr="002949B5">
        <w:t>rise</w:t>
      </w:r>
      <w:r w:rsidR="007F2143" w:rsidRPr="002949B5">
        <w:t xml:space="preserve"> in annual dwelling completions </w:t>
      </w:r>
      <w:r w:rsidR="00B50DDB" w:rsidRPr="002949B5">
        <w:t xml:space="preserve">in </w:t>
      </w:r>
      <w:r w:rsidR="007F2143" w:rsidRPr="002949B5">
        <w:t xml:space="preserve">2024, building on the </w:t>
      </w:r>
      <w:r w:rsidR="00C659DD" w:rsidRPr="0041126E">
        <w:t>24</w:t>
      </w:r>
      <w:r w:rsidR="00D304DE">
        <w:t> </w:t>
      </w:r>
      <w:r w:rsidR="0099326B" w:rsidRPr="002949B5">
        <w:t>per cent</w:t>
      </w:r>
      <w:r w:rsidR="007F2143" w:rsidRPr="002949B5">
        <w:t xml:space="preserve"> </w:t>
      </w:r>
      <w:r w:rsidR="00C8557C" w:rsidRPr="002949B5">
        <w:t xml:space="preserve">rise </w:t>
      </w:r>
      <w:r w:rsidR="007F2143" w:rsidRPr="002949B5" w:rsidDel="009E4E92">
        <w:t xml:space="preserve">in </w:t>
      </w:r>
      <w:r w:rsidR="007F2143" w:rsidRPr="002949B5">
        <w:t xml:space="preserve">the </w:t>
      </w:r>
      <w:r w:rsidR="00FB1727" w:rsidRPr="002949B5">
        <w:t xml:space="preserve">prior </w:t>
      </w:r>
      <w:r w:rsidR="007F2143" w:rsidRPr="002949B5">
        <w:t xml:space="preserve">year. Nevertheless, completions in Western Australia remain </w:t>
      </w:r>
      <w:r w:rsidR="00C659DD" w:rsidRPr="002949B5">
        <w:t xml:space="preserve">around </w:t>
      </w:r>
      <w:r w:rsidR="007F2143" w:rsidRPr="002949B5">
        <w:t>their long</w:t>
      </w:r>
      <w:r w:rsidR="00A15C79" w:rsidRPr="002949B5">
        <w:noBreakHyphen/>
      </w:r>
      <w:r w:rsidR="007F2143" w:rsidRPr="002949B5">
        <w:t xml:space="preserve">run average, reflecting the </w:t>
      </w:r>
      <w:r w:rsidR="004049D2" w:rsidRPr="002949B5">
        <w:t xml:space="preserve">state’s recovery from </w:t>
      </w:r>
      <w:r w:rsidR="007F2143" w:rsidRPr="002949B5">
        <w:t xml:space="preserve">the building downturn that followed the </w:t>
      </w:r>
      <w:r w:rsidR="004049D2" w:rsidRPr="002949B5">
        <w:t xml:space="preserve">end of the </w:t>
      </w:r>
      <w:r w:rsidR="007F2143" w:rsidRPr="002949B5">
        <w:t>mining boom</w:t>
      </w:r>
      <w:r w:rsidR="007F2143" w:rsidRPr="002949B5" w:rsidDel="00B22098">
        <w:t>.</w:t>
      </w:r>
      <w:r w:rsidR="007F2143" w:rsidRPr="002949B5" w:rsidDel="00437273">
        <w:t xml:space="preserve"> </w:t>
      </w:r>
      <w:r w:rsidR="007F2143" w:rsidRPr="002949B5">
        <w:t xml:space="preserve">Victoria (up </w:t>
      </w:r>
      <w:r w:rsidR="00A562C4" w:rsidRPr="0041126E">
        <w:t>7 per cent</w:t>
      </w:r>
      <w:r w:rsidR="007F2143" w:rsidRPr="002949B5">
        <w:t xml:space="preserve">) and South Australia (up </w:t>
      </w:r>
      <w:r w:rsidR="00871B7E" w:rsidRPr="0041126E">
        <w:t>11 per cent</w:t>
      </w:r>
      <w:r w:rsidR="007F2143" w:rsidRPr="002949B5">
        <w:t xml:space="preserve">) also reported a solid rise in completions </w:t>
      </w:r>
      <w:r w:rsidR="00871B7E" w:rsidRPr="002949B5">
        <w:t xml:space="preserve">in </w:t>
      </w:r>
      <w:r w:rsidR="007F2143" w:rsidRPr="002949B5">
        <w:t>2024.</w:t>
      </w:r>
      <w:r w:rsidR="007F2143" w:rsidRPr="00B047F8">
        <w:t xml:space="preserve"> </w:t>
      </w:r>
    </w:p>
    <w:tbl>
      <w:tblPr>
        <w:tblW w:w="5000" w:type="pct"/>
        <w:tblLayout w:type="fixed"/>
        <w:tblLook w:val="0000" w:firstRow="0" w:lastRow="0" w:firstColumn="0" w:lastColumn="0" w:noHBand="0" w:noVBand="0"/>
      </w:tblPr>
      <w:tblGrid>
        <w:gridCol w:w="4535"/>
        <w:gridCol w:w="4535"/>
      </w:tblGrid>
      <w:tr w:rsidR="007F2143" w:rsidRPr="006E27C6" w14:paraId="391D7519" w14:textId="77777777">
        <w:trPr>
          <w:cantSplit/>
        </w:trPr>
        <w:tc>
          <w:tcPr>
            <w:tcW w:w="4535" w:type="dxa"/>
          </w:tcPr>
          <w:p w14:paraId="72C787FF" w14:textId="6831F4F5" w:rsidR="007F2143" w:rsidRPr="00780A40" w:rsidRDefault="00C62C46" w:rsidP="00780A40">
            <w:pPr>
              <w:pStyle w:val="ChartMainHeading"/>
            </w:pPr>
            <w:r w:rsidRPr="00780A40">
              <w:t xml:space="preserve">Dwelling completions, </w:t>
            </w:r>
            <w:r w:rsidRPr="00780A40">
              <w:br/>
              <w:t>by state</w:t>
            </w:r>
          </w:p>
        </w:tc>
        <w:tc>
          <w:tcPr>
            <w:tcW w:w="4535" w:type="dxa"/>
          </w:tcPr>
          <w:p w14:paraId="6BB92716" w14:textId="5F8F579C" w:rsidR="007F2143" w:rsidRPr="00780A40" w:rsidRDefault="00C62C46" w:rsidP="00780A40">
            <w:pPr>
              <w:pStyle w:val="ChartMainHeading"/>
            </w:pPr>
            <w:r w:rsidRPr="00780A40">
              <w:t xml:space="preserve">Dwelling completions, </w:t>
            </w:r>
            <w:r w:rsidRPr="00780A40">
              <w:br/>
              <w:t>by state</w:t>
            </w:r>
          </w:p>
        </w:tc>
      </w:tr>
      <w:tr w:rsidR="007F2143" w:rsidRPr="00E93D87" w14:paraId="32998C49" w14:textId="77777777">
        <w:trPr>
          <w:cantSplit/>
          <w:trHeight w:val="175"/>
        </w:trPr>
        <w:tc>
          <w:tcPr>
            <w:tcW w:w="4535" w:type="dxa"/>
          </w:tcPr>
          <w:p w14:paraId="47945810" w14:textId="1920D823" w:rsidR="007F2143" w:rsidRPr="00E93D87" w:rsidRDefault="005E3893" w:rsidP="0099326B">
            <w:pPr>
              <w:pStyle w:val="ChartGraphic"/>
            </w:pPr>
            <w:r w:rsidRPr="005E3893">
              <w:rPr>
                <w:noProof/>
              </w:rPr>
              <w:drawing>
                <wp:inline distT="0" distB="0" distL="0" distR="0" wp14:anchorId="17B2BAE1" wp14:editId="3747D49E">
                  <wp:extent cx="2742565" cy="2734945"/>
                  <wp:effectExtent l="0" t="0" r="0" b="0"/>
                  <wp:docPr id="1688869218" name="Picture 32" descr="Chart 2.17 is a line chart showing the annual rolling number of dwelling completions for New South Wales, Victoria, Queensland and Western Australia. between December 2009 and December 2024. &#10;&#10;In all four states, completions are currently below their peak levels achieved in 2016-2018. In December 2024, completions ranged from  around 60,000 in Victoria, down to around 20,000 in Western Austral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869218" name="Picture 32" descr="Chart 2.17 is a line chart showing the annual rolling number of dwelling completions for New South Wales, Victoria, Queensland and Western Australia. between December 2009 and December 2024. &#10;&#10;In all four states, completions are currently below their peak levels achieved in 2016-2018. In December 2024, completions ranged from  around 60,000 in Victoria, down to around 20,000 in Western Australia.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42565" cy="2734945"/>
                          </a:xfrm>
                          <a:prstGeom prst="rect">
                            <a:avLst/>
                          </a:prstGeom>
                          <a:noFill/>
                          <a:ln>
                            <a:noFill/>
                          </a:ln>
                        </pic:spPr>
                      </pic:pic>
                    </a:graphicData>
                  </a:graphic>
                </wp:inline>
              </w:drawing>
            </w:r>
          </w:p>
        </w:tc>
        <w:tc>
          <w:tcPr>
            <w:tcW w:w="4535" w:type="dxa"/>
          </w:tcPr>
          <w:p w14:paraId="154C7E64" w14:textId="1C106FBD" w:rsidR="007F2143" w:rsidRPr="00E93D87" w:rsidRDefault="003235A5" w:rsidP="0099326B">
            <w:pPr>
              <w:pStyle w:val="ChartGraphic"/>
            </w:pPr>
            <w:r w:rsidRPr="003235A5">
              <w:rPr>
                <w:noProof/>
              </w:rPr>
              <w:drawing>
                <wp:inline distT="0" distB="0" distL="0" distR="0" wp14:anchorId="59580C6F" wp14:editId="157DAC99">
                  <wp:extent cx="2742565" cy="2742565"/>
                  <wp:effectExtent l="0" t="0" r="0" b="0"/>
                  <wp:docPr id="1157894907" name="Picture 8" descr="Chart 2.18 is a line chart showing the annual rolling number of dwelling completions for South Australia, the Australian Capital Territory, Tasmania and the Northern Territory between December 2009 and December 2024. &#10;&#10;Completions in South Australia and Australian Capital Territory are volatile but remain around their historical ranges of between 8,300 and 12,500, and; between 3,200 and 5,900.&#10;&#10;The Northern Territory has trended slightly downwards since their peak in March 2015, to around 400 in December 2024. Tasmania has generally trended upwards from a low point in March 2014, to around 2,800 in December 202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894907" name="Picture 8" descr="Chart 2.18 is a line chart showing the annual rolling number of dwelling completions for South Australia, the Australian Capital Territory, Tasmania and the Northern Territory between December 2009 and December 2024. &#10;&#10;Completions in South Australia and Australian Capital Territory are volatile but remain around their historical ranges of between 8,300 and 12,500, and; between 3,200 and 5,900.&#10;&#10;The Northern Territory has trended slightly downwards since their peak in March 2015, to around 400 in December 2024. Tasmania has generally trended upwards from a low point in March 2014, to around 2,800 in December 2024.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42565" cy="2742565"/>
                          </a:xfrm>
                          <a:prstGeom prst="rect">
                            <a:avLst/>
                          </a:prstGeom>
                          <a:noFill/>
                          <a:ln>
                            <a:noFill/>
                          </a:ln>
                        </pic:spPr>
                      </pic:pic>
                    </a:graphicData>
                  </a:graphic>
                </wp:inline>
              </w:drawing>
            </w:r>
            <w:r w:rsidR="0083143E" w:rsidRPr="0083143E" w:rsidDel="00B32102">
              <w:rPr>
                <w:noProof/>
              </w:rPr>
              <w:t xml:space="preserve"> </w:t>
            </w:r>
          </w:p>
        </w:tc>
      </w:tr>
      <w:tr w:rsidR="0099326B" w:rsidRPr="00E93D87" w14:paraId="63AB0AE8" w14:textId="77777777">
        <w:trPr>
          <w:cantSplit/>
          <w:trHeight w:val="175"/>
        </w:trPr>
        <w:tc>
          <w:tcPr>
            <w:tcW w:w="4535" w:type="dxa"/>
          </w:tcPr>
          <w:p w14:paraId="297F5659" w14:textId="58FECF47" w:rsidR="00BA6322" w:rsidRPr="002949B5" w:rsidRDefault="00BA6322" w:rsidP="00BA6322">
            <w:pPr>
              <w:pStyle w:val="ChartorTableNoteandSource"/>
            </w:pPr>
            <w:r w:rsidRPr="002949B5">
              <w:t>Note:</w:t>
            </w:r>
            <w:r w:rsidRPr="002949B5">
              <w:tab/>
              <w:t>Annual rolling sum of dwelling completions in the private and public sectors.</w:t>
            </w:r>
          </w:p>
          <w:p w14:paraId="12FBAE5A" w14:textId="3959DA40" w:rsidR="0099326B" w:rsidRPr="0041126E" w:rsidRDefault="0099326B" w:rsidP="00DB6DE6">
            <w:pPr>
              <w:pStyle w:val="ChartorTableNoteandSource"/>
            </w:pPr>
            <w:r w:rsidRPr="002949B5">
              <w:t>Source:</w:t>
            </w:r>
            <w:r w:rsidR="00DB6DE6" w:rsidRPr="002949B5">
              <w:tab/>
            </w:r>
            <w:r w:rsidRPr="002949B5">
              <w:t>ABS</w:t>
            </w:r>
            <w:r w:rsidR="00314E92" w:rsidRPr="002949B5">
              <w:t xml:space="preserve"> </w:t>
            </w:r>
            <w:r w:rsidRPr="002949B5">
              <w:t>Building Activity 2025</w:t>
            </w:r>
          </w:p>
        </w:tc>
        <w:tc>
          <w:tcPr>
            <w:tcW w:w="4535" w:type="dxa"/>
          </w:tcPr>
          <w:p w14:paraId="3E370B8E" w14:textId="25F4B458" w:rsidR="00BA6322" w:rsidRPr="002949B5" w:rsidRDefault="00BA6322" w:rsidP="00BA6322">
            <w:pPr>
              <w:pStyle w:val="ChartorTableNoteandSource"/>
            </w:pPr>
            <w:r w:rsidRPr="002949B5">
              <w:t>Note:</w:t>
            </w:r>
            <w:r w:rsidRPr="002949B5">
              <w:tab/>
              <w:t>Annual rolling sum of dwelling completions in the private and public sectors.</w:t>
            </w:r>
          </w:p>
          <w:p w14:paraId="5C5C8018" w14:textId="36B84E36" w:rsidR="0099326B" w:rsidRPr="0041126E" w:rsidRDefault="0099326B" w:rsidP="00DB6DE6">
            <w:pPr>
              <w:pStyle w:val="ChartorTableNoteandSource"/>
            </w:pPr>
            <w:r w:rsidRPr="002949B5">
              <w:t>Source:</w:t>
            </w:r>
            <w:r w:rsidR="00DB6DE6" w:rsidRPr="002949B5">
              <w:tab/>
            </w:r>
            <w:r w:rsidRPr="002949B5">
              <w:t>ABS</w:t>
            </w:r>
            <w:r w:rsidR="00314E92" w:rsidRPr="002949B5">
              <w:t xml:space="preserve"> </w:t>
            </w:r>
            <w:r w:rsidRPr="002949B5">
              <w:t>Building Activity</w:t>
            </w:r>
            <w:r w:rsidRPr="002949B5" w:rsidDel="005A5B8B">
              <w:t xml:space="preserve"> </w:t>
            </w:r>
            <w:r w:rsidRPr="002949B5">
              <w:t>2025</w:t>
            </w:r>
          </w:p>
        </w:tc>
      </w:tr>
    </w:tbl>
    <w:p w14:paraId="47A78AB6" w14:textId="23343927" w:rsidR="007F2143" w:rsidRPr="00E93D87" w:rsidRDefault="007F2143" w:rsidP="001E6D60">
      <w:r>
        <w:t xml:space="preserve">Dwelling </w:t>
      </w:r>
      <w:r w:rsidRPr="002949B5">
        <w:t xml:space="preserve">approvals are the key leading indicator for dwelling completions. </w:t>
      </w:r>
      <w:r w:rsidRPr="002949B5" w:rsidDel="00D46263">
        <w:t>Western Australia</w:t>
      </w:r>
      <w:r w:rsidR="007645A7" w:rsidRPr="002949B5">
        <w:t xml:space="preserve"> and</w:t>
      </w:r>
      <w:r w:rsidRPr="002949B5" w:rsidDel="00D46263">
        <w:t xml:space="preserve"> South</w:t>
      </w:r>
      <w:r w:rsidR="00DB6DE6" w:rsidRPr="002949B5">
        <w:t> </w:t>
      </w:r>
      <w:r w:rsidRPr="002949B5" w:rsidDel="00D46263">
        <w:t xml:space="preserve">Australia </w:t>
      </w:r>
      <w:r w:rsidRPr="002949B5" w:rsidDel="003A29B1">
        <w:t xml:space="preserve">reported </w:t>
      </w:r>
      <w:r w:rsidR="001E6D60" w:rsidRPr="002949B5" w:rsidDel="003A29B1">
        <w:t>the</w:t>
      </w:r>
      <w:r w:rsidR="001E6D60" w:rsidRPr="002949B5">
        <w:t xml:space="preserve"> </w:t>
      </w:r>
      <w:r w:rsidR="001E6D60" w:rsidRPr="002949B5" w:rsidDel="00E95EBC">
        <w:t>largest</w:t>
      </w:r>
      <w:r w:rsidRPr="002949B5" w:rsidDel="00E95EBC">
        <w:t xml:space="preserve"> </w:t>
      </w:r>
      <w:r w:rsidR="00795BED" w:rsidRPr="002949B5">
        <w:t xml:space="preserve">percentage </w:t>
      </w:r>
      <w:r w:rsidR="00E95EBC" w:rsidRPr="002949B5">
        <w:t>increase in</w:t>
      </w:r>
      <w:r w:rsidRPr="002949B5">
        <w:t xml:space="preserve"> dwelling approvals </w:t>
      </w:r>
      <w:r w:rsidR="00EC4C01" w:rsidRPr="0041126E">
        <w:t>over</w:t>
      </w:r>
      <w:r w:rsidR="00EC4C01" w:rsidRPr="002949B5">
        <w:t xml:space="preserve"> </w:t>
      </w:r>
      <w:r w:rsidR="001E6D60" w:rsidRPr="002949B5">
        <w:t>the year to February 2</w:t>
      </w:r>
      <w:r w:rsidRPr="002949B5">
        <w:t>02</w:t>
      </w:r>
      <w:r w:rsidR="001E6D60" w:rsidRPr="002949B5">
        <w:t>5</w:t>
      </w:r>
      <w:r w:rsidRPr="002949B5">
        <w:t xml:space="preserve"> (</w:t>
      </w:r>
      <w:r w:rsidR="005A2C40" w:rsidRPr="002949B5">
        <w:t>see c</w:t>
      </w:r>
      <w:r w:rsidRPr="002949B5">
        <w:t>hart</w:t>
      </w:r>
      <w:r w:rsidR="005A2C40" w:rsidRPr="002949B5">
        <w:t>s</w:t>
      </w:r>
      <w:r w:rsidRPr="002949B5">
        <w:t xml:space="preserve"> 2.1</w:t>
      </w:r>
      <w:r w:rsidR="003D4F10" w:rsidRPr="002949B5">
        <w:t>9</w:t>
      </w:r>
      <w:r w:rsidRPr="002949B5">
        <w:t xml:space="preserve"> and 2.</w:t>
      </w:r>
      <w:r w:rsidR="003D4F10" w:rsidRPr="002949B5">
        <w:t>20</w:t>
      </w:r>
      <w:r w:rsidRPr="002949B5">
        <w:t xml:space="preserve">). </w:t>
      </w:r>
      <w:r w:rsidR="001E6D60" w:rsidRPr="002949B5">
        <w:t>D</w:t>
      </w:r>
      <w:r w:rsidRPr="002949B5">
        <w:t xml:space="preserve">welling approvals </w:t>
      </w:r>
      <w:r w:rsidR="001E6D60" w:rsidRPr="002949B5">
        <w:t xml:space="preserve">also </w:t>
      </w:r>
      <w:r w:rsidR="001E6D60" w:rsidRPr="002949B5" w:rsidDel="003A29B1">
        <w:t xml:space="preserve">increased </w:t>
      </w:r>
      <w:r w:rsidR="001E6D60" w:rsidRPr="002949B5">
        <w:t xml:space="preserve">in </w:t>
      </w:r>
      <w:r w:rsidR="003A29B1" w:rsidRPr="002949B5">
        <w:t>Victoria</w:t>
      </w:r>
      <w:r w:rsidR="007645A7" w:rsidRPr="002949B5">
        <w:t xml:space="preserve">, Queensland </w:t>
      </w:r>
      <w:r w:rsidR="003A29B1" w:rsidRPr="002949B5">
        <w:t xml:space="preserve">and </w:t>
      </w:r>
      <w:r w:rsidR="001F24D5" w:rsidRPr="002949B5">
        <w:t>the Northern Territory</w:t>
      </w:r>
      <w:r w:rsidR="001E6D60" w:rsidRPr="002949B5">
        <w:t xml:space="preserve">. In contrast, </w:t>
      </w:r>
      <w:r w:rsidR="00E95EBC" w:rsidRPr="002949B5">
        <w:t xml:space="preserve">annual </w:t>
      </w:r>
      <w:r w:rsidR="001E6D60" w:rsidRPr="002949B5">
        <w:t xml:space="preserve">dwelling approvals </w:t>
      </w:r>
      <w:r w:rsidR="001E6D60" w:rsidRPr="002949B5" w:rsidDel="003A29B1">
        <w:t xml:space="preserve">declined </w:t>
      </w:r>
      <w:r w:rsidR="001E6D60" w:rsidRPr="002949B5" w:rsidDel="00002775">
        <w:t>in</w:t>
      </w:r>
      <w:r w:rsidR="001E6D60" w:rsidRPr="002949B5">
        <w:t xml:space="preserve"> the Australian Capital Territory, Tasmania and</w:t>
      </w:r>
      <w:r w:rsidR="001E6D60" w:rsidRPr="0041126E">
        <w:t xml:space="preserve"> </w:t>
      </w:r>
      <w:r w:rsidR="00002775" w:rsidRPr="002949B5">
        <w:t>New South Wales</w:t>
      </w:r>
      <w:r w:rsidR="00FA1EC3" w:rsidRPr="002949B5">
        <w:t>.</w:t>
      </w:r>
      <w:r w:rsidR="00FA1EC3">
        <w:t xml:space="preserve"> </w:t>
      </w:r>
    </w:p>
    <w:tbl>
      <w:tblPr>
        <w:tblW w:w="5000" w:type="pct"/>
        <w:tblLayout w:type="fixed"/>
        <w:tblLook w:val="0000" w:firstRow="0" w:lastRow="0" w:firstColumn="0" w:lastColumn="0" w:noHBand="0" w:noVBand="0"/>
      </w:tblPr>
      <w:tblGrid>
        <w:gridCol w:w="4535"/>
        <w:gridCol w:w="4535"/>
      </w:tblGrid>
      <w:tr w:rsidR="007F2143" w:rsidRPr="00E93D87" w14:paraId="633FC093" w14:textId="77777777">
        <w:trPr>
          <w:cantSplit/>
        </w:trPr>
        <w:tc>
          <w:tcPr>
            <w:tcW w:w="4535" w:type="dxa"/>
          </w:tcPr>
          <w:p w14:paraId="018138D2" w14:textId="2581594C" w:rsidR="007F2143" w:rsidRPr="002949B5" w:rsidRDefault="00A850C5" w:rsidP="00780A40">
            <w:pPr>
              <w:pStyle w:val="ChartMainHeading"/>
              <w:spacing w:before="100" w:beforeAutospacing="1"/>
            </w:pPr>
            <w:r w:rsidRPr="002949B5">
              <w:lastRenderedPageBreak/>
              <w:t>Dwelling approvals, by state</w:t>
            </w:r>
          </w:p>
        </w:tc>
        <w:tc>
          <w:tcPr>
            <w:tcW w:w="4535" w:type="dxa"/>
          </w:tcPr>
          <w:p w14:paraId="556D7574" w14:textId="6E4B8110" w:rsidR="007F2143" w:rsidRPr="002949B5" w:rsidRDefault="00A850C5" w:rsidP="00780A40">
            <w:pPr>
              <w:pStyle w:val="ChartMainHeading"/>
              <w:spacing w:before="100" w:beforeAutospacing="1"/>
            </w:pPr>
            <w:r w:rsidRPr="002949B5">
              <w:t>Dwelling approvals, by state</w:t>
            </w:r>
          </w:p>
        </w:tc>
      </w:tr>
      <w:tr w:rsidR="007F2143" w:rsidRPr="00E93D87" w14:paraId="1F555782" w14:textId="77777777">
        <w:trPr>
          <w:cantSplit/>
        </w:trPr>
        <w:tc>
          <w:tcPr>
            <w:tcW w:w="4535" w:type="dxa"/>
          </w:tcPr>
          <w:p w14:paraId="1FCBC01D" w14:textId="61A33573" w:rsidR="007F2143" w:rsidRPr="0099326B" w:rsidRDefault="008F1EFE" w:rsidP="0099326B">
            <w:pPr>
              <w:pStyle w:val="ChartGraphic"/>
            </w:pPr>
            <w:r w:rsidRPr="008F1EFE">
              <w:rPr>
                <w:noProof/>
              </w:rPr>
              <w:drawing>
                <wp:inline distT="0" distB="0" distL="0" distR="0" wp14:anchorId="3D106FC9" wp14:editId="0614225E">
                  <wp:extent cx="2742565" cy="2742565"/>
                  <wp:effectExtent l="0" t="0" r="635" b="0"/>
                  <wp:docPr id="591444428" name="Picture 6" descr="Chart 2.19 is a line chart showing the rolling annual number of dwelling approvals for New South Wales, Victoria, Queensland and Western Australia between February 2010 and February 2025. Dwelling approvals increased in each state during 2013-2016 as part of the higher-density housing boom, with approvals rising particularly sharply in New South Wales, from around 34,000 in February 2012 to around 78,000 in September 2016. Approvals for all four states have since trended down, although picked up again temporarily in 2021, coinciding with pandemic-related support programs. Over the year to February 2025, approvals have once again picked up slightly across most st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44428" name="Picture 6" descr="Chart 2.19 is a line chart showing the rolling annual number of dwelling approvals for New South Wales, Victoria, Queensland and Western Australia between February 2010 and February 2025. Dwelling approvals increased in each state during 2013-2016 as part of the higher-density housing boom, with approvals rising particularly sharply in New South Wales, from around 34,000 in February 2012 to around 78,000 in September 2016. Approvals for all four states have since trended down, although picked up again temporarily in 2021, coinciding with pandemic-related support programs. Over the year to February 2025, approvals have once again picked up slightly across most states.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42565" cy="2742565"/>
                          </a:xfrm>
                          <a:prstGeom prst="rect">
                            <a:avLst/>
                          </a:prstGeom>
                          <a:noFill/>
                          <a:ln>
                            <a:noFill/>
                          </a:ln>
                        </pic:spPr>
                      </pic:pic>
                    </a:graphicData>
                  </a:graphic>
                </wp:inline>
              </w:drawing>
            </w:r>
          </w:p>
        </w:tc>
        <w:tc>
          <w:tcPr>
            <w:tcW w:w="4535" w:type="dxa"/>
          </w:tcPr>
          <w:p w14:paraId="6695E3E9" w14:textId="4D4679AF" w:rsidR="007F2143" w:rsidRPr="0099326B" w:rsidRDefault="00902303" w:rsidP="0099326B">
            <w:pPr>
              <w:pStyle w:val="ChartGraphic"/>
            </w:pPr>
            <w:r w:rsidRPr="00902303">
              <w:rPr>
                <w:noProof/>
              </w:rPr>
              <w:drawing>
                <wp:inline distT="0" distB="0" distL="0" distR="0" wp14:anchorId="4F758B50" wp14:editId="4563F23F">
                  <wp:extent cx="2742565" cy="2734945"/>
                  <wp:effectExtent l="0" t="0" r="635" b="0"/>
                  <wp:docPr id="2054606985" name="Picture 10" descr="Chart 2.20 is a line chart showing the rolling annual number of dwelling approvals for South Australia, the Australian Capital Territory, Tasmania and the Northern Territory between February 2010 and February 2025. Approvals fluctuated across each state and territory over the period, with approvals fluctuating around an average of 12,200 in South Australia, around 5,000 in the Australian Capital Territory, around 3,000 in Tasmania and around 800 in the Northern Territory. Over the year to February 2025, approvals rose sharply in South Australia, and fell sharply in the Australian Capital Terri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06985" name="Picture 10" descr="Chart 2.20 is a line chart showing the rolling annual number of dwelling approvals for South Australia, the Australian Capital Territory, Tasmania and the Northern Territory between February 2010 and February 2025. Approvals fluctuated across each state and territory over the period, with approvals fluctuating around an average of 12,200 in South Australia, around 5,000 in the Australian Capital Territory, around 3,000 in Tasmania and around 800 in the Northern Territory. Over the year to February 2025, approvals rose sharply in South Australia, and fell sharply in the Australian Capital Territory.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42565" cy="2734945"/>
                          </a:xfrm>
                          <a:prstGeom prst="rect">
                            <a:avLst/>
                          </a:prstGeom>
                          <a:noFill/>
                          <a:ln>
                            <a:noFill/>
                          </a:ln>
                        </pic:spPr>
                      </pic:pic>
                    </a:graphicData>
                  </a:graphic>
                </wp:inline>
              </w:drawing>
            </w:r>
            <w:r w:rsidRPr="00902303" w:rsidDel="00902303">
              <w:rPr>
                <w:noProof/>
              </w:rPr>
              <w:t xml:space="preserve"> </w:t>
            </w:r>
          </w:p>
        </w:tc>
      </w:tr>
      <w:tr w:rsidR="007F2143" w:rsidRPr="002949B5" w14:paraId="320170DC" w14:textId="77777777">
        <w:trPr>
          <w:cantSplit/>
          <w:trHeight w:val="175"/>
        </w:trPr>
        <w:tc>
          <w:tcPr>
            <w:tcW w:w="4535" w:type="dxa"/>
          </w:tcPr>
          <w:p w14:paraId="1A15C441" w14:textId="330E499E" w:rsidR="00A850C5" w:rsidRPr="002949B5" w:rsidRDefault="00A850C5" w:rsidP="00A850C5">
            <w:pPr>
              <w:pStyle w:val="ChartorTableNoteandSource"/>
            </w:pPr>
            <w:r w:rsidRPr="002949B5">
              <w:t>Note:</w:t>
            </w:r>
            <w:r w:rsidRPr="002949B5">
              <w:tab/>
              <w:t>Annual rolling sum of dwelling approvals in the private and public sectors.</w:t>
            </w:r>
          </w:p>
          <w:p w14:paraId="280AE55A" w14:textId="6BCC32F7" w:rsidR="007F2143" w:rsidRPr="002949B5" w:rsidRDefault="007F2143" w:rsidP="00DB6DE6">
            <w:pPr>
              <w:pStyle w:val="ChartorTableNoteandSource"/>
            </w:pPr>
            <w:r w:rsidRPr="002949B5">
              <w:t>Source:</w:t>
            </w:r>
            <w:r w:rsidR="00DB6DE6" w:rsidRPr="002949B5">
              <w:tab/>
            </w:r>
            <w:r w:rsidRPr="002949B5">
              <w:t>ABS</w:t>
            </w:r>
            <w:r w:rsidR="009B5275" w:rsidRPr="002949B5">
              <w:t xml:space="preserve"> </w:t>
            </w:r>
            <w:r w:rsidRPr="002949B5">
              <w:t>Building Approvals 2025</w:t>
            </w:r>
          </w:p>
        </w:tc>
        <w:tc>
          <w:tcPr>
            <w:tcW w:w="4535" w:type="dxa"/>
          </w:tcPr>
          <w:p w14:paraId="0FA66672" w14:textId="2CAF0D8F" w:rsidR="00A850C5" w:rsidRPr="0041126E" w:rsidRDefault="00A850C5" w:rsidP="00A850C5">
            <w:pPr>
              <w:pStyle w:val="ChartorTableNoteandSource"/>
            </w:pPr>
            <w:r w:rsidRPr="002949B5">
              <w:t>Note:</w:t>
            </w:r>
            <w:r w:rsidRPr="002949B5">
              <w:tab/>
            </w:r>
            <w:r w:rsidRPr="0041126E">
              <w:t>Annual rolling sum of dwelling approvals in the private and public sectors.</w:t>
            </w:r>
            <w:r w:rsidRPr="002949B5">
              <w:t xml:space="preserve"> Original data used for NT and ACT.</w:t>
            </w:r>
          </w:p>
          <w:p w14:paraId="450D8057" w14:textId="22BCC9FA" w:rsidR="007F2143" w:rsidRPr="002949B5" w:rsidRDefault="007F2143" w:rsidP="00996727">
            <w:pPr>
              <w:pStyle w:val="ChartorTableNoteandSource"/>
            </w:pPr>
            <w:r w:rsidRPr="002949B5">
              <w:t>Source:</w:t>
            </w:r>
            <w:r w:rsidR="00DB6DE6" w:rsidRPr="002949B5">
              <w:tab/>
            </w:r>
            <w:r w:rsidRPr="002949B5">
              <w:t>ABS</w:t>
            </w:r>
            <w:r w:rsidR="009B5275" w:rsidRPr="002949B5">
              <w:t xml:space="preserve"> </w:t>
            </w:r>
            <w:r w:rsidRPr="002949B5">
              <w:t>Building Approvals 2025</w:t>
            </w:r>
          </w:p>
        </w:tc>
      </w:tr>
    </w:tbl>
    <w:p w14:paraId="7C5366EF" w14:textId="654E4168" w:rsidR="007F2143" w:rsidRPr="002949B5" w:rsidRDefault="00A853F7" w:rsidP="009628A8">
      <w:r w:rsidRPr="0041126E">
        <w:t>Growth in dwelling approvals</w:t>
      </w:r>
      <w:r w:rsidR="00144FDB" w:rsidRPr="0041126E">
        <w:t xml:space="preserve"> </w:t>
      </w:r>
      <w:r w:rsidR="007F2143" w:rsidRPr="0041126E">
        <w:t xml:space="preserve">has tended to be positively associated with growth in </w:t>
      </w:r>
      <w:r w:rsidRPr="0041126E">
        <w:t>housing prices</w:t>
      </w:r>
      <w:r w:rsidR="007F2143" w:rsidRPr="002949B5">
        <w:t xml:space="preserve"> across the states and territories (</w:t>
      </w:r>
      <w:r w:rsidR="003414FD" w:rsidRPr="002949B5">
        <w:t xml:space="preserve">see </w:t>
      </w:r>
      <w:r w:rsidR="007F2143" w:rsidRPr="002949B5">
        <w:t>Chart 2.</w:t>
      </w:r>
      <w:r w:rsidR="00C23F8C" w:rsidRPr="002949B5">
        <w:t>21</w:t>
      </w:r>
      <w:r w:rsidR="007F2143" w:rsidRPr="002949B5">
        <w:t xml:space="preserve">). In particular, Western Australia, South Australia and Queensland reported strong </w:t>
      </w:r>
      <w:r w:rsidR="00B25AAF" w:rsidRPr="002949B5">
        <w:t xml:space="preserve">growth </w:t>
      </w:r>
      <w:r w:rsidR="00F610BB" w:rsidRPr="002949B5">
        <w:t xml:space="preserve">in </w:t>
      </w:r>
      <w:r w:rsidR="004B2F54" w:rsidRPr="002949B5">
        <w:t xml:space="preserve">both </w:t>
      </w:r>
      <w:r w:rsidR="00387633" w:rsidRPr="002949B5">
        <w:t>dwelling approvals and housing prices</w:t>
      </w:r>
      <w:r w:rsidR="007F2143" w:rsidRPr="002949B5">
        <w:t xml:space="preserve"> </w:t>
      </w:r>
      <w:r w:rsidR="001300EC" w:rsidRPr="002949B5">
        <w:t xml:space="preserve">in </w:t>
      </w:r>
      <w:r w:rsidR="007F2143" w:rsidRPr="002949B5">
        <w:t xml:space="preserve">the year to </w:t>
      </w:r>
      <w:r w:rsidR="00F21BD2" w:rsidRPr="002949B5">
        <w:t>February</w:t>
      </w:r>
      <w:r w:rsidR="0099326B" w:rsidRPr="002949B5">
        <w:t> </w:t>
      </w:r>
      <w:r w:rsidR="007F2143" w:rsidRPr="002949B5">
        <w:t>202</w:t>
      </w:r>
      <w:r w:rsidR="007F2143" w:rsidRPr="002949B5" w:rsidDel="00A877DB">
        <w:t>5</w:t>
      </w:r>
      <w:r w:rsidR="00BA1D31" w:rsidRPr="002949B5">
        <w:t>.</w:t>
      </w:r>
      <w:r w:rsidR="007F2143" w:rsidRPr="002949B5">
        <w:t xml:space="preserve"> </w:t>
      </w:r>
    </w:p>
    <w:p w14:paraId="66A58A44" w14:textId="7D58364F" w:rsidR="0099326B" w:rsidRPr="002949B5" w:rsidRDefault="00B80F7F" w:rsidP="00780A40">
      <w:pPr>
        <w:pStyle w:val="ChartMainHeading"/>
      </w:pPr>
      <w:r w:rsidRPr="0041126E">
        <w:t>Growth in</w:t>
      </w:r>
      <w:r w:rsidR="0099326B" w:rsidRPr="0041126E">
        <w:t xml:space="preserve"> </w:t>
      </w:r>
      <w:r w:rsidRPr="0041126E">
        <w:t>housing prices</w:t>
      </w:r>
      <w:r w:rsidR="0099326B" w:rsidRPr="002949B5">
        <w:t xml:space="preserve"> and dwelling approvals, by </w:t>
      </w:r>
      <w:r w:rsidR="0099326B" w:rsidRPr="00780A40">
        <w:t>state</w:t>
      </w:r>
    </w:p>
    <w:p w14:paraId="6F85474A" w14:textId="3B406EA2" w:rsidR="0099326B" w:rsidRDefault="00BF7E3E" w:rsidP="00AF5044">
      <w:pPr>
        <w:pStyle w:val="ChartGraphic"/>
        <w:rPr>
          <w:bCs/>
        </w:rPr>
      </w:pPr>
      <w:r w:rsidRPr="00AF5044">
        <w:rPr>
          <w:noProof/>
        </w:rPr>
        <w:drawing>
          <wp:inline distT="0" distB="0" distL="0" distR="0" wp14:anchorId="7CCF0FE4" wp14:editId="3F4D7492">
            <wp:extent cx="5607050" cy="2587625"/>
            <wp:effectExtent l="0" t="0" r="0" b="0"/>
            <wp:docPr id="1015693852" name="Picture 2" descr="Chart 2.21 is a scatter plot comparing the growth in annual dwelling approvals with growth in dwelling prices over the year to February 2025 for each state and territory. The chart indicates that growth in approvals tends to be positively associated with growth in prices with a best fit line passing through the price growth intercept at 3.9 per cent and a positive slope of 0.16. Western Australia, South Australia, Queensland and the Northern Territory all recorded positive growth in annual approvals and prices over the year, with Western Australia recording a 14 per cent increase in prices and 47 per cent increase in annual approv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93852" name="Picture 2" descr="Chart 2.21 is a scatter plot comparing the growth in annual dwelling approvals with growth in dwelling prices over the year to February 2025 for each state and territory. The chart indicates that growth in approvals tends to be positively associated with growth in prices with a best fit line passing through the price growth intercept at 3.9 per cent and a positive slope of 0.16. Western Australia, South Australia, Queensland and the Northern Territory all recorded positive growth in annual approvals and prices over the year, with Western Australia recording a 14 per cent increase in prices and 47 per cent increase in annual approvals.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07050" cy="2587625"/>
                    </a:xfrm>
                    <a:prstGeom prst="rect">
                      <a:avLst/>
                    </a:prstGeom>
                    <a:noFill/>
                    <a:ln>
                      <a:noFill/>
                    </a:ln>
                  </pic:spPr>
                </pic:pic>
              </a:graphicData>
            </a:graphic>
          </wp:inline>
        </w:drawing>
      </w:r>
    </w:p>
    <w:p w14:paraId="150D252E" w14:textId="023F8153" w:rsidR="00592A0E" w:rsidRDefault="0099326B" w:rsidP="00592A0E">
      <w:pPr>
        <w:pStyle w:val="ChartorTableNoteandSource"/>
      </w:pPr>
      <w:r>
        <w:t>Note:</w:t>
      </w:r>
      <w:r w:rsidR="00DF006C">
        <w:tab/>
      </w:r>
      <w:r>
        <w:t>The through</w:t>
      </w:r>
      <w:r w:rsidR="00A15C79">
        <w:noBreakHyphen/>
      </w:r>
      <w:r>
        <w:t>the</w:t>
      </w:r>
      <w:r w:rsidR="00A15C79">
        <w:noBreakHyphen/>
      </w:r>
      <w:r>
        <w:t xml:space="preserve">year growth in annual </w:t>
      </w:r>
      <w:r w:rsidR="00B80F7F">
        <w:t xml:space="preserve">dwelling </w:t>
      </w:r>
      <w:r>
        <w:t xml:space="preserve">approvals and </w:t>
      </w:r>
      <w:r w:rsidR="00B80F7F">
        <w:t>housing p</w:t>
      </w:r>
      <w:r>
        <w:t>rices to February 2025.</w:t>
      </w:r>
      <w:r w:rsidR="00592A0E" w:rsidRPr="00592A0E">
        <w:t xml:space="preserve"> </w:t>
      </w:r>
    </w:p>
    <w:p w14:paraId="6EDD08A1" w14:textId="5924F4CB" w:rsidR="0099326B" w:rsidRPr="0099326B" w:rsidRDefault="00592A0E" w:rsidP="00AF5044">
      <w:pPr>
        <w:pStyle w:val="ChartorTableNoteandSource"/>
      </w:pPr>
      <w:r w:rsidRPr="00E93D87">
        <w:t>Source:</w:t>
      </w:r>
      <w:r w:rsidR="00DF006C">
        <w:tab/>
      </w:r>
      <w:r w:rsidRPr="00E6213D">
        <w:t xml:space="preserve">CoreLogic </w:t>
      </w:r>
      <w:r>
        <w:t xml:space="preserve">2025; </w:t>
      </w:r>
      <w:r w:rsidRPr="00E93D87">
        <w:t>ABS</w:t>
      </w:r>
      <w:r>
        <w:t xml:space="preserve"> Building Approvals 2025</w:t>
      </w:r>
      <w:r w:rsidR="00A373D7">
        <w:t>b</w:t>
      </w:r>
      <w:r w:rsidRPr="00E93D87" w:rsidDel="00D103EC">
        <w:t xml:space="preserve"> </w:t>
      </w:r>
    </w:p>
    <w:p w14:paraId="3071BAB0" w14:textId="0ED61DCF" w:rsidR="007F2143" w:rsidRPr="000F0E8C" w:rsidRDefault="007F2143" w:rsidP="0099326B">
      <w:pPr>
        <w:pStyle w:val="Heading2Numbered"/>
      </w:pPr>
      <w:bookmarkStart w:id="96" w:name="_Toc195026592"/>
      <w:bookmarkStart w:id="97" w:name="_Toc196395883"/>
      <w:r>
        <w:lastRenderedPageBreak/>
        <w:t>Adverse supply</w:t>
      </w:r>
      <w:r w:rsidR="00A15C79">
        <w:noBreakHyphen/>
      </w:r>
      <w:r>
        <w:t xml:space="preserve">side conditions are limiting housing </w:t>
      </w:r>
      <w:r w:rsidRPr="0099326B">
        <w:t>construction</w:t>
      </w:r>
      <w:r>
        <w:t xml:space="preserve"> activity</w:t>
      </w:r>
      <w:bookmarkEnd w:id="96"/>
      <w:bookmarkEnd w:id="97"/>
      <w:r>
        <w:t xml:space="preserve"> </w:t>
      </w:r>
    </w:p>
    <w:p w14:paraId="1613CCFA" w14:textId="77777777" w:rsidR="007F2143" w:rsidRPr="0099326B" w:rsidRDefault="007F2143" w:rsidP="0099326B">
      <w:pPr>
        <w:pStyle w:val="Heading3Numbered"/>
      </w:pPr>
      <w:r w:rsidRPr="0099326B">
        <w:t>Construction costs, by dwelling type</w:t>
      </w:r>
    </w:p>
    <w:p w14:paraId="10AB60E6" w14:textId="501E973E" w:rsidR="007F2143" w:rsidRPr="009628A8" w:rsidRDefault="007F2143">
      <w:r w:rsidRPr="00BD41F4">
        <w:rPr>
          <w:rFonts w:ascii="Calibri" w:hAnsi="Calibri" w:cs="Calibri"/>
          <w:color w:val="000000"/>
          <w:szCs w:val="22"/>
          <w:shd w:val="clear" w:color="auto" w:fill="FFFFFF"/>
        </w:rPr>
        <w:t xml:space="preserve">Dwelling construction costs continued to </w:t>
      </w:r>
      <w:r>
        <w:rPr>
          <w:rFonts w:ascii="Calibri" w:hAnsi="Calibri" w:cs="Calibri"/>
          <w:color w:val="000000"/>
          <w:szCs w:val="22"/>
          <w:shd w:val="clear" w:color="auto" w:fill="FFFFFF"/>
        </w:rPr>
        <w:t xml:space="preserve">rise </w:t>
      </w:r>
      <w:r w:rsidRPr="00BD41F4">
        <w:rPr>
          <w:rFonts w:ascii="Calibri" w:hAnsi="Calibri" w:cs="Calibri"/>
          <w:color w:val="000000"/>
          <w:szCs w:val="22"/>
          <w:shd w:val="clear" w:color="auto" w:fill="FFFFFF"/>
        </w:rPr>
        <w:t>over 2024</w:t>
      </w:r>
      <w:r>
        <w:rPr>
          <w:rFonts w:ascii="Calibri" w:hAnsi="Calibri" w:cs="Calibri"/>
          <w:color w:val="000000"/>
          <w:szCs w:val="22"/>
          <w:shd w:val="clear" w:color="auto" w:fill="FFFFFF"/>
        </w:rPr>
        <w:t>, although at a slower pace than in 2021 and 2022 (</w:t>
      </w:r>
      <w:r w:rsidR="008C0132">
        <w:rPr>
          <w:rFonts w:ascii="Calibri" w:hAnsi="Calibri" w:cs="Calibri"/>
          <w:color w:val="000000"/>
          <w:szCs w:val="22"/>
          <w:shd w:val="clear" w:color="auto" w:fill="FFFFFF"/>
        </w:rPr>
        <w:t>see c</w:t>
      </w:r>
      <w:r>
        <w:rPr>
          <w:rFonts w:ascii="Calibri" w:hAnsi="Calibri" w:cs="Calibri"/>
          <w:color w:val="000000"/>
          <w:szCs w:val="22"/>
          <w:shd w:val="clear" w:color="auto" w:fill="FFFFFF"/>
        </w:rPr>
        <w:t>hart</w:t>
      </w:r>
      <w:r w:rsidR="008C0132">
        <w:rPr>
          <w:rFonts w:ascii="Calibri" w:hAnsi="Calibri" w:cs="Calibri"/>
          <w:color w:val="000000"/>
          <w:szCs w:val="22"/>
          <w:shd w:val="clear" w:color="auto" w:fill="FFFFFF"/>
        </w:rPr>
        <w:t>s</w:t>
      </w:r>
      <w:r>
        <w:rPr>
          <w:rFonts w:ascii="Calibri" w:hAnsi="Calibri" w:cs="Calibri"/>
          <w:color w:val="000000"/>
          <w:szCs w:val="22"/>
          <w:shd w:val="clear" w:color="auto" w:fill="FFFFFF"/>
        </w:rPr>
        <w:t xml:space="preserve"> 2.2</w:t>
      </w:r>
      <w:r w:rsidR="00F13AEF">
        <w:rPr>
          <w:rFonts w:ascii="Calibri" w:hAnsi="Calibri" w:cs="Calibri"/>
          <w:color w:val="000000"/>
          <w:szCs w:val="22"/>
          <w:shd w:val="clear" w:color="auto" w:fill="FFFFFF"/>
        </w:rPr>
        <w:t>2</w:t>
      </w:r>
      <w:r>
        <w:rPr>
          <w:rFonts w:ascii="Calibri" w:hAnsi="Calibri" w:cs="Calibri"/>
          <w:color w:val="000000"/>
          <w:szCs w:val="22"/>
          <w:shd w:val="clear" w:color="auto" w:fill="FFFFFF"/>
        </w:rPr>
        <w:t xml:space="preserve"> and 2.2</w:t>
      </w:r>
      <w:r w:rsidR="00F13AEF">
        <w:rPr>
          <w:rFonts w:ascii="Calibri" w:hAnsi="Calibri" w:cs="Calibri"/>
          <w:color w:val="000000"/>
          <w:szCs w:val="22"/>
          <w:shd w:val="clear" w:color="auto" w:fill="FFFFFF"/>
        </w:rPr>
        <w:t>3</w:t>
      </w:r>
      <w:r>
        <w:rPr>
          <w:rFonts w:ascii="Calibri" w:hAnsi="Calibri" w:cs="Calibri"/>
          <w:color w:val="000000"/>
          <w:szCs w:val="22"/>
          <w:shd w:val="clear" w:color="auto" w:fill="FFFFFF"/>
        </w:rPr>
        <w:t>)</w:t>
      </w:r>
      <w:bookmarkStart w:id="98" w:name="_Hlk187392245"/>
      <w:r>
        <w:rPr>
          <w:rFonts w:ascii="Calibri" w:hAnsi="Calibri" w:cs="Calibri"/>
          <w:color w:val="000000"/>
          <w:szCs w:val="22"/>
          <w:shd w:val="clear" w:color="auto" w:fill="FFFFFF"/>
        </w:rPr>
        <w:t xml:space="preserve">. </w:t>
      </w:r>
      <w:r w:rsidR="0029579F">
        <w:rPr>
          <w:rFonts w:ascii="Calibri" w:hAnsi="Calibri" w:cs="Calibri"/>
          <w:color w:val="000000"/>
          <w:szCs w:val="22"/>
          <w:shd w:val="clear" w:color="auto" w:fill="FFFFFF"/>
        </w:rPr>
        <w:t xml:space="preserve">These </w:t>
      </w:r>
      <w:r>
        <w:t xml:space="preserve">costs reflect a range of factors, including the costs of inputs (materials, capital and labour) and the efficiency with which </w:t>
      </w:r>
      <w:r w:rsidR="00B77731">
        <w:t xml:space="preserve">they </w:t>
      </w:r>
      <w:r>
        <w:t xml:space="preserve">are used. </w:t>
      </w:r>
      <w:r>
        <w:rPr>
          <w:rFonts w:ascii="Calibri" w:hAnsi="Calibri" w:cs="Calibri"/>
          <w:color w:val="000000"/>
          <w:szCs w:val="22"/>
          <w:shd w:val="clear" w:color="auto" w:fill="FFFFFF"/>
        </w:rPr>
        <w:t xml:space="preserve">Slower growth in construction costs broadly reflects slower growth in the cost of many of these inputs. </w:t>
      </w:r>
    </w:p>
    <w:p w14:paraId="19B11560" w14:textId="6B98DA12" w:rsidR="007F2143" w:rsidRDefault="007F2143">
      <w:pPr>
        <w:rPr>
          <w:rFonts w:ascii="Calibri" w:hAnsi="Calibri" w:cs="Calibri"/>
          <w:szCs w:val="22"/>
        </w:rPr>
      </w:pPr>
      <w:r w:rsidRPr="00BD41F4">
        <w:rPr>
          <w:rFonts w:ascii="Calibri" w:hAnsi="Calibri" w:cs="Calibri"/>
          <w:color w:val="000000"/>
          <w:szCs w:val="22"/>
          <w:shd w:val="clear" w:color="auto" w:fill="FFFFFF"/>
        </w:rPr>
        <w:t xml:space="preserve">Construction </w:t>
      </w:r>
      <w:r>
        <w:rPr>
          <w:rFonts w:ascii="Calibri" w:hAnsi="Calibri" w:cs="Calibri"/>
          <w:color w:val="000000"/>
          <w:szCs w:val="22"/>
          <w:shd w:val="clear" w:color="auto" w:fill="FFFFFF"/>
        </w:rPr>
        <w:t xml:space="preserve">output </w:t>
      </w:r>
      <w:r w:rsidRPr="00BD41F4">
        <w:rPr>
          <w:rFonts w:ascii="Calibri" w:hAnsi="Calibri" w:cs="Calibri"/>
          <w:color w:val="000000"/>
          <w:szCs w:val="22"/>
          <w:shd w:val="clear" w:color="auto" w:fill="FFFFFF"/>
        </w:rPr>
        <w:t>costs</w:t>
      </w:r>
      <w:r w:rsidRPr="00BD41F4">
        <w:rPr>
          <w:rFonts w:ascii="Calibri" w:hAnsi="Calibri" w:cs="Calibri"/>
          <w:szCs w:val="22"/>
        </w:rPr>
        <w:t xml:space="preserve"> for detached houses</w:t>
      </w:r>
      <w:r>
        <w:rPr>
          <w:rFonts w:ascii="Calibri" w:hAnsi="Calibri" w:cs="Calibri"/>
          <w:szCs w:val="22"/>
        </w:rPr>
        <w:t>, which include material costs, labour costs and profit margins,</w:t>
      </w:r>
      <w:r w:rsidRPr="00BD41F4">
        <w:rPr>
          <w:rFonts w:ascii="Calibri" w:hAnsi="Calibri" w:cs="Calibri"/>
          <w:szCs w:val="22"/>
        </w:rPr>
        <w:t xml:space="preserve"> rose </w:t>
      </w:r>
      <w:r w:rsidRPr="00F13C7B">
        <w:rPr>
          <w:rFonts w:ascii="Calibri" w:hAnsi="Calibri" w:cs="Calibri"/>
          <w:szCs w:val="22"/>
        </w:rPr>
        <w:t xml:space="preserve">by </w:t>
      </w:r>
      <w:r w:rsidRPr="002E508F">
        <w:rPr>
          <w:rFonts w:ascii="Calibri" w:hAnsi="Calibri" w:cs="Calibri"/>
          <w:szCs w:val="22"/>
        </w:rPr>
        <w:t>2.8</w:t>
      </w:r>
      <w:r w:rsidR="0099326B">
        <w:rPr>
          <w:rFonts w:ascii="Calibri" w:hAnsi="Calibri" w:cs="Calibri"/>
          <w:szCs w:val="22"/>
        </w:rPr>
        <w:t> per cent</w:t>
      </w:r>
      <w:r w:rsidRPr="002E508F">
        <w:rPr>
          <w:rFonts w:ascii="Calibri" w:hAnsi="Calibri" w:cs="Calibri"/>
          <w:szCs w:val="22"/>
        </w:rPr>
        <w:t xml:space="preserve"> over 2024</w:t>
      </w:r>
      <w:r>
        <w:rPr>
          <w:rFonts w:ascii="Calibri" w:hAnsi="Calibri" w:cs="Calibri"/>
          <w:szCs w:val="22"/>
        </w:rPr>
        <w:t>. This</w:t>
      </w:r>
      <w:r w:rsidRPr="002E508F">
        <w:rPr>
          <w:rFonts w:ascii="Calibri" w:hAnsi="Calibri" w:cs="Calibri"/>
          <w:szCs w:val="22"/>
        </w:rPr>
        <w:t xml:space="preserve"> represent</w:t>
      </w:r>
      <w:r>
        <w:rPr>
          <w:rFonts w:ascii="Calibri" w:hAnsi="Calibri" w:cs="Calibri"/>
          <w:szCs w:val="22"/>
        </w:rPr>
        <w:t xml:space="preserve">s a significant deceleration from </w:t>
      </w:r>
      <w:r w:rsidR="000F4A4B">
        <w:rPr>
          <w:rFonts w:ascii="Calibri" w:hAnsi="Calibri" w:cs="Calibri"/>
          <w:szCs w:val="22"/>
        </w:rPr>
        <w:t xml:space="preserve">their </w:t>
      </w:r>
      <w:r w:rsidR="003A37E4">
        <w:rPr>
          <w:rFonts w:ascii="Calibri" w:hAnsi="Calibri" w:cs="Calibri"/>
          <w:szCs w:val="22"/>
        </w:rPr>
        <w:t>P</w:t>
      </w:r>
      <w:r>
        <w:rPr>
          <w:rFonts w:ascii="Calibri" w:hAnsi="Calibri" w:cs="Calibri"/>
          <w:szCs w:val="22"/>
        </w:rPr>
        <w:t>andemic</w:t>
      </w:r>
      <w:r w:rsidR="00A15C79">
        <w:rPr>
          <w:rFonts w:ascii="Calibri" w:hAnsi="Calibri" w:cs="Calibri"/>
          <w:szCs w:val="22"/>
        </w:rPr>
        <w:noBreakHyphen/>
      </w:r>
      <w:r>
        <w:rPr>
          <w:rFonts w:ascii="Calibri" w:hAnsi="Calibri" w:cs="Calibri"/>
          <w:szCs w:val="22"/>
        </w:rPr>
        <w:t>related peak of 20.5</w:t>
      </w:r>
      <w:r w:rsidR="0099326B">
        <w:rPr>
          <w:rFonts w:ascii="Calibri" w:hAnsi="Calibri" w:cs="Calibri"/>
          <w:szCs w:val="22"/>
        </w:rPr>
        <w:t> per cent</w:t>
      </w:r>
      <w:r>
        <w:rPr>
          <w:rFonts w:ascii="Calibri" w:hAnsi="Calibri" w:cs="Calibri"/>
          <w:szCs w:val="22"/>
        </w:rPr>
        <w:t xml:space="preserve"> growth over the year to September 2022 (</w:t>
      </w:r>
      <w:r w:rsidR="003A37E4">
        <w:rPr>
          <w:rFonts w:ascii="Calibri" w:hAnsi="Calibri" w:cs="Calibri"/>
          <w:szCs w:val="22"/>
        </w:rPr>
        <w:t xml:space="preserve">see </w:t>
      </w:r>
      <w:r>
        <w:rPr>
          <w:rFonts w:ascii="Calibri" w:hAnsi="Calibri" w:cs="Calibri"/>
          <w:szCs w:val="22"/>
        </w:rPr>
        <w:t>Chart 2.2</w:t>
      </w:r>
      <w:r w:rsidR="00392ACC">
        <w:rPr>
          <w:rFonts w:ascii="Calibri" w:hAnsi="Calibri" w:cs="Calibri"/>
          <w:szCs w:val="22"/>
        </w:rPr>
        <w:t>3</w:t>
      </w:r>
      <w:r>
        <w:rPr>
          <w:rFonts w:ascii="Calibri" w:hAnsi="Calibri" w:cs="Calibri"/>
          <w:szCs w:val="22"/>
        </w:rPr>
        <w:t xml:space="preserve">). Lower demand for house construction and greater promotion activity to attract customers have contributed to lower </w:t>
      </w:r>
      <w:r w:rsidR="00914F52">
        <w:rPr>
          <w:rFonts w:ascii="Calibri" w:hAnsi="Calibri" w:cs="Calibri"/>
          <w:szCs w:val="22"/>
        </w:rPr>
        <w:t>growth in output prices for</w:t>
      </w:r>
      <w:r>
        <w:rPr>
          <w:rFonts w:ascii="Calibri" w:hAnsi="Calibri" w:cs="Calibri"/>
          <w:szCs w:val="22"/>
        </w:rPr>
        <w:t xml:space="preserve"> detached house</w:t>
      </w:r>
      <w:r w:rsidR="00914F52">
        <w:rPr>
          <w:rFonts w:ascii="Calibri" w:hAnsi="Calibri" w:cs="Calibri"/>
          <w:szCs w:val="22"/>
        </w:rPr>
        <w:t xml:space="preserve"> construction</w:t>
      </w:r>
      <w:r w:rsidR="00C812E4">
        <w:rPr>
          <w:rFonts w:ascii="Calibri" w:hAnsi="Calibri" w:cs="Calibri"/>
          <w:szCs w:val="22"/>
        </w:rPr>
        <w:t xml:space="preserve"> </w:t>
      </w:r>
      <w:r>
        <w:rPr>
          <w:rFonts w:ascii="Calibri" w:hAnsi="Calibri" w:cs="Calibri"/>
          <w:szCs w:val="22"/>
        </w:rPr>
        <w:t>over the past year (ABS 2025</w:t>
      </w:r>
      <w:r w:rsidR="006C1B9C">
        <w:rPr>
          <w:rFonts w:ascii="Calibri" w:hAnsi="Calibri" w:cs="Calibri"/>
          <w:szCs w:val="22"/>
        </w:rPr>
        <w:t>k</w:t>
      </w:r>
      <w:r>
        <w:rPr>
          <w:rFonts w:ascii="Calibri" w:hAnsi="Calibri" w:cs="Calibri"/>
          <w:szCs w:val="22"/>
        </w:rPr>
        <w:t>).</w:t>
      </w:r>
    </w:p>
    <w:p w14:paraId="0BE83312" w14:textId="305A0195" w:rsidR="007F2143" w:rsidRPr="006A4067" w:rsidRDefault="007F2143">
      <w:pPr>
        <w:rPr>
          <w:rFonts w:ascii="Calibri" w:hAnsi="Calibri" w:cs="Calibri"/>
          <w:szCs w:val="22"/>
        </w:rPr>
      </w:pPr>
      <w:r w:rsidRPr="002949B5">
        <w:rPr>
          <w:rFonts w:ascii="Calibri" w:hAnsi="Calibri" w:cs="Calibri"/>
          <w:color w:val="000000"/>
          <w:szCs w:val="22"/>
          <w:shd w:val="clear" w:color="auto" w:fill="FFFFFF"/>
        </w:rPr>
        <w:t>Construction costs</w:t>
      </w:r>
      <w:r w:rsidRPr="002949B5">
        <w:rPr>
          <w:rFonts w:ascii="Calibri" w:hAnsi="Calibri" w:cs="Calibri"/>
          <w:szCs w:val="22"/>
        </w:rPr>
        <w:t xml:space="preserve"> for </w:t>
      </w:r>
      <w:r w:rsidR="00F14F1E" w:rsidRPr="002949B5">
        <w:rPr>
          <w:rFonts w:ascii="Calibri" w:hAnsi="Calibri" w:cs="Calibri"/>
          <w:szCs w:val="22"/>
        </w:rPr>
        <w:t>higher</w:t>
      </w:r>
      <w:r w:rsidR="0089071C" w:rsidRPr="002949B5">
        <w:rPr>
          <w:rFonts w:ascii="Calibri" w:hAnsi="Calibri" w:cs="Calibri"/>
          <w:szCs w:val="22"/>
        </w:rPr>
        <w:t>-</w:t>
      </w:r>
      <w:r w:rsidR="00F14F1E" w:rsidRPr="002949B5">
        <w:rPr>
          <w:rFonts w:ascii="Calibri" w:hAnsi="Calibri" w:cs="Calibri"/>
          <w:szCs w:val="22"/>
        </w:rPr>
        <w:t>density dwellings</w:t>
      </w:r>
      <w:r w:rsidR="0089071C" w:rsidRPr="002949B5">
        <w:rPr>
          <w:rFonts w:ascii="Calibri" w:hAnsi="Calibri" w:cs="Calibri"/>
          <w:szCs w:val="22"/>
        </w:rPr>
        <w:t xml:space="preserve"> </w:t>
      </w:r>
      <w:r w:rsidRPr="002949B5">
        <w:rPr>
          <w:rFonts w:ascii="Calibri" w:hAnsi="Calibri" w:cs="Calibri"/>
          <w:szCs w:val="22"/>
        </w:rPr>
        <w:t>rose by 5.1</w:t>
      </w:r>
      <w:r w:rsidR="0099326B" w:rsidRPr="002949B5">
        <w:rPr>
          <w:rFonts w:ascii="Calibri" w:hAnsi="Calibri" w:cs="Calibri"/>
          <w:szCs w:val="22"/>
        </w:rPr>
        <w:t> per cent</w:t>
      </w:r>
      <w:r w:rsidRPr="002949B5">
        <w:rPr>
          <w:rFonts w:ascii="Calibri" w:hAnsi="Calibri" w:cs="Calibri"/>
          <w:szCs w:val="22"/>
        </w:rPr>
        <w:t xml:space="preserve"> over 2024 (</w:t>
      </w:r>
      <w:r w:rsidR="00672EB7" w:rsidRPr="002949B5">
        <w:rPr>
          <w:rFonts w:ascii="Calibri" w:hAnsi="Calibri" w:cs="Calibri"/>
          <w:szCs w:val="22"/>
        </w:rPr>
        <w:t xml:space="preserve">see </w:t>
      </w:r>
      <w:r w:rsidRPr="002949B5">
        <w:rPr>
          <w:rFonts w:ascii="Calibri" w:hAnsi="Calibri" w:cs="Calibri"/>
          <w:szCs w:val="22"/>
        </w:rPr>
        <w:t>Chart 2.2</w:t>
      </w:r>
      <w:r w:rsidR="00C5798D" w:rsidRPr="002949B5">
        <w:rPr>
          <w:rFonts w:ascii="Calibri" w:hAnsi="Calibri" w:cs="Calibri"/>
          <w:szCs w:val="22"/>
        </w:rPr>
        <w:t>3</w:t>
      </w:r>
      <w:r w:rsidRPr="002949B5">
        <w:rPr>
          <w:rFonts w:ascii="Calibri" w:hAnsi="Calibri" w:cs="Calibri"/>
          <w:szCs w:val="22"/>
        </w:rPr>
        <w:t xml:space="preserve">). The rise in construction costs </w:t>
      </w:r>
      <w:r w:rsidR="00634AA9" w:rsidRPr="002949B5">
        <w:rPr>
          <w:rFonts w:ascii="Calibri" w:hAnsi="Calibri" w:cs="Calibri"/>
          <w:szCs w:val="22"/>
        </w:rPr>
        <w:t xml:space="preserve">partly </w:t>
      </w:r>
      <w:r w:rsidRPr="002949B5">
        <w:rPr>
          <w:rFonts w:ascii="Calibri" w:hAnsi="Calibri" w:cs="Calibri"/>
          <w:szCs w:val="22"/>
        </w:rPr>
        <w:t>reflect</w:t>
      </w:r>
      <w:r w:rsidR="00504EB1" w:rsidRPr="002949B5">
        <w:rPr>
          <w:rFonts w:ascii="Calibri" w:hAnsi="Calibri" w:cs="Calibri"/>
          <w:szCs w:val="22"/>
        </w:rPr>
        <w:t>s</w:t>
      </w:r>
      <w:r w:rsidRPr="002949B5">
        <w:rPr>
          <w:rFonts w:ascii="Calibri" w:hAnsi="Calibri" w:cs="Calibri"/>
          <w:szCs w:val="22"/>
        </w:rPr>
        <w:t xml:space="preserve"> competition for labour from non</w:t>
      </w:r>
      <w:r w:rsidR="00A15C79" w:rsidRPr="002949B5">
        <w:rPr>
          <w:rFonts w:ascii="Calibri" w:hAnsi="Calibri" w:cs="Calibri"/>
          <w:szCs w:val="22"/>
        </w:rPr>
        <w:noBreakHyphen/>
      </w:r>
      <w:r w:rsidRPr="002949B5">
        <w:rPr>
          <w:rFonts w:ascii="Calibri" w:hAnsi="Calibri" w:cs="Calibri"/>
          <w:szCs w:val="22"/>
        </w:rPr>
        <w:t>residential infrastructure projects (see section 2.3.4</w:t>
      </w:r>
      <w:r w:rsidR="007641D1" w:rsidRPr="002949B5">
        <w:rPr>
          <w:rFonts w:ascii="Calibri" w:hAnsi="Calibri" w:cs="Calibri"/>
          <w:szCs w:val="22"/>
        </w:rPr>
        <w:t>,</w:t>
      </w:r>
      <w:r w:rsidRPr="002949B5" w:rsidDel="005B7667">
        <w:rPr>
          <w:rFonts w:ascii="Calibri" w:hAnsi="Calibri" w:cs="Calibri"/>
          <w:szCs w:val="22"/>
        </w:rPr>
        <w:t xml:space="preserve"> </w:t>
      </w:r>
      <w:r w:rsidRPr="009144C6" w:rsidDel="005B7667">
        <w:rPr>
          <w:rStyle w:val="Emphasis"/>
        </w:rPr>
        <w:t>Labour</w:t>
      </w:r>
      <w:bookmarkEnd w:id="98"/>
      <w:r w:rsidRPr="002949B5">
        <w:rPr>
          <w:rFonts w:ascii="Calibri" w:hAnsi="Calibri" w:cs="Calibri"/>
          <w:szCs w:val="22"/>
        </w:rPr>
        <w:t xml:space="preserve">). Overall, the cumulative increase in construction costs for </w:t>
      </w:r>
      <w:r w:rsidR="0089071C" w:rsidRPr="002949B5">
        <w:rPr>
          <w:rFonts w:ascii="Calibri" w:hAnsi="Calibri" w:cs="Calibri"/>
          <w:szCs w:val="22"/>
        </w:rPr>
        <w:t>higher</w:t>
      </w:r>
      <w:r w:rsidR="009144C6">
        <w:rPr>
          <w:rFonts w:ascii="Calibri" w:hAnsi="Calibri" w:cs="Calibri"/>
          <w:szCs w:val="22"/>
        </w:rPr>
        <w:noBreakHyphen/>
      </w:r>
      <w:r w:rsidR="0089071C" w:rsidRPr="002949B5">
        <w:rPr>
          <w:rFonts w:ascii="Calibri" w:hAnsi="Calibri" w:cs="Calibri"/>
          <w:szCs w:val="22"/>
        </w:rPr>
        <w:t xml:space="preserve">density dwellings </w:t>
      </w:r>
      <w:r w:rsidRPr="002949B5">
        <w:rPr>
          <w:rFonts w:ascii="Calibri" w:hAnsi="Calibri" w:cs="Calibri"/>
          <w:szCs w:val="22"/>
        </w:rPr>
        <w:t xml:space="preserve">has been much </w:t>
      </w:r>
      <w:r w:rsidR="00E523FD" w:rsidRPr="002949B5">
        <w:rPr>
          <w:rFonts w:ascii="Calibri" w:hAnsi="Calibri" w:cs="Calibri"/>
          <w:szCs w:val="22"/>
        </w:rPr>
        <w:t xml:space="preserve">lower </w:t>
      </w:r>
      <w:r w:rsidRPr="002949B5">
        <w:rPr>
          <w:rFonts w:ascii="Calibri" w:hAnsi="Calibri" w:cs="Calibri"/>
          <w:szCs w:val="22"/>
        </w:rPr>
        <w:t>than for detached housing in recent years (</w:t>
      </w:r>
      <w:r w:rsidR="00E523FD" w:rsidRPr="002949B5">
        <w:rPr>
          <w:rFonts w:ascii="Calibri" w:hAnsi="Calibri" w:cs="Calibri"/>
          <w:szCs w:val="22"/>
        </w:rPr>
        <w:t xml:space="preserve">see </w:t>
      </w:r>
      <w:r w:rsidRPr="002949B5">
        <w:rPr>
          <w:rFonts w:ascii="Calibri" w:hAnsi="Calibri" w:cs="Calibri"/>
          <w:szCs w:val="22"/>
        </w:rPr>
        <w:t>Chart</w:t>
      </w:r>
      <w:r w:rsidR="00B66D73" w:rsidRPr="002949B5">
        <w:rPr>
          <w:rFonts w:ascii="Calibri" w:hAnsi="Calibri" w:cs="Calibri"/>
          <w:szCs w:val="22"/>
        </w:rPr>
        <w:t> </w:t>
      </w:r>
      <w:r w:rsidRPr="002949B5">
        <w:rPr>
          <w:rFonts w:ascii="Calibri" w:hAnsi="Calibri" w:cs="Calibri"/>
          <w:szCs w:val="22"/>
        </w:rPr>
        <w:t>2.2</w:t>
      </w:r>
      <w:r w:rsidR="00C5798D" w:rsidRPr="002949B5">
        <w:rPr>
          <w:rFonts w:ascii="Calibri" w:hAnsi="Calibri" w:cs="Calibri"/>
          <w:szCs w:val="22"/>
        </w:rPr>
        <w:t>2</w:t>
      </w:r>
      <w:r w:rsidRPr="002949B5">
        <w:rPr>
          <w:rFonts w:ascii="Calibri" w:hAnsi="Calibri" w:cs="Calibri"/>
          <w:szCs w:val="22"/>
        </w:rPr>
        <w:t>).</w:t>
      </w:r>
    </w:p>
    <w:tbl>
      <w:tblPr>
        <w:tblW w:w="5000" w:type="pct"/>
        <w:tblLayout w:type="fixed"/>
        <w:tblLook w:val="0000" w:firstRow="0" w:lastRow="0" w:firstColumn="0" w:lastColumn="0" w:noHBand="0" w:noVBand="0"/>
      </w:tblPr>
      <w:tblGrid>
        <w:gridCol w:w="4535"/>
        <w:gridCol w:w="4535"/>
      </w:tblGrid>
      <w:tr w:rsidR="007F2143" w14:paraId="38ED1C80" w14:textId="77777777">
        <w:trPr>
          <w:cantSplit/>
        </w:trPr>
        <w:tc>
          <w:tcPr>
            <w:tcW w:w="4535" w:type="dxa"/>
          </w:tcPr>
          <w:p w14:paraId="65FBEEBC" w14:textId="74EE0DDF" w:rsidR="007F2143" w:rsidRDefault="007F2143" w:rsidP="001B4EAF">
            <w:pPr>
              <w:pStyle w:val="ChartMainHeading"/>
            </w:pPr>
            <w:r w:rsidRPr="006A4067">
              <w:t>Construction costs</w:t>
            </w:r>
            <w:r w:rsidR="00E523FD">
              <w:t>,</w:t>
            </w:r>
            <w:r w:rsidRPr="006A4067">
              <w:t xml:space="preserve"> </w:t>
            </w:r>
            <w:r>
              <w:t>by</w:t>
            </w:r>
            <w:r w:rsidR="00531399">
              <w:t> </w:t>
            </w:r>
            <w:r>
              <w:t>dwelling type</w:t>
            </w:r>
          </w:p>
        </w:tc>
        <w:tc>
          <w:tcPr>
            <w:tcW w:w="4535" w:type="dxa"/>
          </w:tcPr>
          <w:p w14:paraId="0D02A127" w14:textId="75E98FFC" w:rsidR="007F2143" w:rsidRDefault="007F2143" w:rsidP="001B4EAF">
            <w:pPr>
              <w:pStyle w:val="ChartMainHeading"/>
            </w:pPr>
            <w:r w:rsidRPr="00C60357">
              <w:t xml:space="preserve">Construction </w:t>
            </w:r>
            <w:r w:rsidRPr="00B6008B">
              <w:t>cost</w:t>
            </w:r>
            <w:r>
              <w:t xml:space="preserve"> growth</w:t>
            </w:r>
            <w:r w:rsidR="00E523FD">
              <w:t>,</w:t>
            </w:r>
            <w:r>
              <w:t xml:space="preserve"> by</w:t>
            </w:r>
            <w:r w:rsidR="00531399">
              <w:t> </w:t>
            </w:r>
            <w:r>
              <w:t>dwelling type</w:t>
            </w:r>
          </w:p>
        </w:tc>
      </w:tr>
      <w:tr w:rsidR="007F2143" w14:paraId="36B437BF" w14:textId="77777777">
        <w:trPr>
          <w:cantSplit/>
        </w:trPr>
        <w:tc>
          <w:tcPr>
            <w:tcW w:w="4535" w:type="dxa"/>
          </w:tcPr>
          <w:p w14:paraId="5A50C473" w14:textId="491627C7" w:rsidR="007F2143" w:rsidRPr="0027761C" w:rsidRDefault="0056569E" w:rsidP="0099326B">
            <w:pPr>
              <w:pStyle w:val="ChartGraphic"/>
            </w:pPr>
            <w:r w:rsidRPr="0056569E">
              <w:rPr>
                <w:noProof/>
              </w:rPr>
              <w:drawing>
                <wp:inline distT="0" distB="0" distL="0" distR="0" wp14:anchorId="2B7F5F00" wp14:editId="2DB5E898">
                  <wp:extent cx="2742565" cy="2782570"/>
                  <wp:effectExtent l="0" t="0" r="0" b="0"/>
                  <wp:docPr id="2081394395" name="Picture 1" descr="Chart 2.22 is a line chart showing the level of output construction costs for detached houses and higher- density dwellings, indexed to December 2019, over the five years to December 2024. The index level for detached house construction costs rose sharply in 2021 and 2022, before rising at a slower pace in 2023 and 2024. The index level of higher density dwelling construction costs rose at a much slower, but more consistent, pace than detached houses over the entire period. Overall, construction costs for detached houses rose 43 per cent over the five years to December 2024, while for higher-density dwellings, costs grew by 27  per cent over the sa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394395" name="Picture 1" descr="Chart 2.22 is a line chart showing the level of output construction costs for detached houses and higher- density dwellings, indexed to December 2019, over the five years to December 2024. The index level for detached house construction costs rose sharply in 2021 and 2022, before rising at a slower pace in 2023 and 2024. The index level of higher density dwelling construction costs rose at a much slower, but more consistent, pace than detached houses over the entire period. Overall, construction costs for detached houses rose 43 per cent over the five years to December 2024, while for higher-density dwellings, costs grew by 27  per cent over the same perio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42565" cy="2782570"/>
                          </a:xfrm>
                          <a:prstGeom prst="rect">
                            <a:avLst/>
                          </a:prstGeom>
                          <a:noFill/>
                          <a:ln>
                            <a:noFill/>
                          </a:ln>
                        </pic:spPr>
                      </pic:pic>
                    </a:graphicData>
                  </a:graphic>
                </wp:inline>
              </w:drawing>
            </w:r>
          </w:p>
        </w:tc>
        <w:tc>
          <w:tcPr>
            <w:tcW w:w="4535" w:type="dxa"/>
          </w:tcPr>
          <w:p w14:paraId="33F770EE" w14:textId="25A600E3" w:rsidR="007F2143" w:rsidRPr="00EA4D75" w:rsidRDefault="009059FF" w:rsidP="0099326B">
            <w:pPr>
              <w:pStyle w:val="ChartGraphic"/>
            </w:pPr>
            <w:r w:rsidRPr="009059FF">
              <w:rPr>
                <w:noProof/>
              </w:rPr>
              <w:drawing>
                <wp:inline distT="0" distB="0" distL="0" distR="0" wp14:anchorId="2288761A" wp14:editId="0453F7FA">
                  <wp:extent cx="2739390" cy="2790190"/>
                  <wp:effectExtent l="0" t="0" r="0" b="0"/>
                  <wp:docPr id="339413233" name="Picture 2" descr="Chart 2.23 is a line chart showing the through-the-year growth in output construction costs for detached houses, and higher-density dwellings, over the five years to December 2024. The growth rate for detached house construction costs rose sharply to peak at 20.5 per cent in September 2022, before decelerating to be 2.8 per cent in December 2024. The growth rate of higher-density dwelling construction costs also rose over 2021 and 2022, although peaking at a lower rate of 8.4 per cent in September 2022. It has since declined to 5.1 per cent in December 2024, despite a temporary pick up in earl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13233" name="Picture 2" descr="Chart 2.23 is a line chart showing the through-the-year growth in output construction costs for detached houses, and higher-density dwellings, over the five years to December 2024. The growth rate for detached house construction costs rose sharply to peak at 20.5 per cent in September 2022, before decelerating to be 2.8 per cent in December 2024. The growth rate of higher-density dwelling construction costs also rose over 2021 and 2022, although peaking at a lower rate of 8.4 per cent in September 2022. It has since declined to 5.1 per cent in December 2024, despite a temporary pick up in early 20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39390" cy="2790190"/>
                          </a:xfrm>
                          <a:prstGeom prst="rect">
                            <a:avLst/>
                          </a:prstGeom>
                          <a:noFill/>
                          <a:ln>
                            <a:noFill/>
                          </a:ln>
                        </pic:spPr>
                      </pic:pic>
                    </a:graphicData>
                  </a:graphic>
                </wp:inline>
              </w:drawing>
            </w:r>
          </w:p>
        </w:tc>
      </w:tr>
      <w:tr w:rsidR="0099326B" w14:paraId="2679812C" w14:textId="77777777">
        <w:trPr>
          <w:cantSplit/>
        </w:trPr>
        <w:tc>
          <w:tcPr>
            <w:tcW w:w="4535" w:type="dxa"/>
          </w:tcPr>
          <w:p w14:paraId="02F52877" w14:textId="3EEC82E8" w:rsidR="0099326B" w:rsidRPr="00A10A77" w:rsidRDefault="0099326B" w:rsidP="00DB6DE6">
            <w:pPr>
              <w:pStyle w:val="ChartorTableNoteandSource"/>
              <w:rPr>
                <w:noProof/>
              </w:rPr>
            </w:pPr>
            <w:r w:rsidRPr="00BD41F4">
              <w:t>Source:</w:t>
            </w:r>
            <w:r w:rsidR="00DB6DE6">
              <w:tab/>
            </w:r>
            <w:r w:rsidRPr="00BD41F4">
              <w:t>ABS</w:t>
            </w:r>
            <w:r w:rsidR="008B03B4">
              <w:t xml:space="preserve"> </w:t>
            </w:r>
            <w:r w:rsidRPr="00BD41F4">
              <w:t>P</w:t>
            </w:r>
            <w:r>
              <w:t>roducer Price Indexes</w:t>
            </w:r>
            <w:r w:rsidRPr="00BD41F4">
              <w:t xml:space="preserve"> </w:t>
            </w:r>
            <w:r>
              <w:t>2025</w:t>
            </w:r>
          </w:p>
        </w:tc>
        <w:tc>
          <w:tcPr>
            <w:tcW w:w="4535" w:type="dxa"/>
          </w:tcPr>
          <w:p w14:paraId="121E10DC" w14:textId="2D374059" w:rsidR="0099326B" w:rsidRPr="00F51DBC" w:rsidRDefault="0099326B" w:rsidP="00DB6DE6">
            <w:pPr>
              <w:pStyle w:val="ChartorTableNoteandSource"/>
              <w:rPr>
                <w:noProof/>
              </w:rPr>
            </w:pPr>
            <w:r w:rsidRPr="00071F37">
              <w:t>Source:</w:t>
            </w:r>
            <w:r w:rsidR="00DB6DE6">
              <w:tab/>
            </w:r>
            <w:r w:rsidRPr="00071F37">
              <w:t>ABS</w:t>
            </w:r>
            <w:r w:rsidR="008B03B4">
              <w:t xml:space="preserve"> </w:t>
            </w:r>
            <w:r w:rsidRPr="00BD41F4">
              <w:t>P</w:t>
            </w:r>
            <w:r>
              <w:t>roducer Price Indexes</w:t>
            </w:r>
            <w:r w:rsidRPr="00071F37">
              <w:t xml:space="preserve"> </w:t>
            </w:r>
            <w:r>
              <w:t>2025</w:t>
            </w:r>
          </w:p>
        </w:tc>
      </w:tr>
    </w:tbl>
    <w:p w14:paraId="454DC0F8" w14:textId="111D0309" w:rsidR="00EB0064" w:rsidRDefault="00EB0064" w:rsidP="00AF5044"/>
    <w:p w14:paraId="3ACB79B2" w14:textId="2724AEAC" w:rsidR="007F2143" w:rsidRPr="0099326B" w:rsidRDefault="007F2143" w:rsidP="0099326B">
      <w:pPr>
        <w:pStyle w:val="Heading3Numbered"/>
      </w:pPr>
      <w:r w:rsidRPr="0099326B">
        <w:lastRenderedPageBreak/>
        <w:t>Construction costs, by state and territory</w:t>
      </w:r>
    </w:p>
    <w:p w14:paraId="2B087D4E" w14:textId="0D3F0987" w:rsidR="007F2143" w:rsidRPr="009628A8" w:rsidRDefault="007F2143">
      <w:pPr>
        <w:rPr>
          <w:rFonts w:ascii="Calibri" w:hAnsi="Calibri" w:cs="Calibri"/>
          <w:color w:val="auto"/>
          <w:szCs w:val="22"/>
        </w:rPr>
      </w:pPr>
      <w:r w:rsidRPr="00A34D17">
        <w:rPr>
          <w:rFonts w:ascii="Calibri" w:hAnsi="Calibri" w:cs="Calibri"/>
          <w:szCs w:val="22"/>
        </w:rPr>
        <w:t xml:space="preserve">The moderation in </w:t>
      </w:r>
      <w:r w:rsidRPr="009628A8">
        <w:rPr>
          <w:rFonts w:ascii="Calibri" w:hAnsi="Calibri" w:cs="Calibri"/>
          <w:szCs w:val="22"/>
        </w:rPr>
        <w:t>detached house construction costs at a national level in</w:t>
      </w:r>
      <w:r w:rsidRPr="00A34D17">
        <w:rPr>
          <w:rFonts w:ascii="Calibri" w:hAnsi="Calibri" w:cs="Calibri"/>
          <w:szCs w:val="22"/>
        </w:rPr>
        <w:t xml:space="preserve"> 2024 masked some variation among states and territories. Most notably, Western Australia recorded a significant</w:t>
      </w:r>
      <w:r w:rsidRPr="009628A8">
        <w:rPr>
          <w:rFonts w:ascii="Calibri" w:hAnsi="Calibri" w:cs="Calibri"/>
          <w:szCs w:val="22"/>
        </w:rPr>
        <w:t xml:space="preserve"> rise of </w:t>
      </w:r>
      <w:r w:rsidRPr="00A34D17">
        <w:rPr>
          <w:rFonts w:ascii="Calibri" w:hAnsi="Calibri" w:cs="Calibri"/>
          <w:szCs w:val="22"/>
        </w:rPr>
        <w:t>14.4</w:t>
      </w:r>
      <w:r w:rsidR="0099326B">
        <w:rPr>
          <w:rFonts w:ascii="Calibri" w:hAnsi="Calibri" w:cs="Calibri"/>
          <w:szCs w:val="22"/>
        </w:rPr>
        <w:t> per cent</w:t>
      </w:r>
      <w:r w:rsidRPr="00A34D17">
        <w:rPr>
          <w:rFonts w:ascii="Calibri" w:hAnsi="Calibri" w:cs="Calibri"/>
          <w:szCs w:val="22"/>
        </w:rPr>
        <w:t xml:space="preserve"> over the year, </w:t>
      </w:r>
      <w:r w:rsidRPr="009628A8">
        <w:rPr>
          <w:rFonts w:ascii="Calibri" w:hAnsi="Calibri" w:cs="Calibri"/>
          <w:szCs w:val="22"/>
        </w:rPr>
        <w:t>which is more than</w:t>
      </w:r>
      <w:r w:rsidRPr="00A34D17">
        <w:rPr>
          <w:rFonts w:ascii="Calibri" w:hAnsi="Calibri" w:cs="Calibri"/>
          <w:szCs w:val="22"/>
        </w:rPr>
        <w:t xml:space="preserve"> </w:t>
      </w:r>
      <w:r w:rsidRPr="009628A8">
        <w:rPr>
          <w:rFonts w:ascii="Calibri" w:hAnsi="Calibri" w:cs="Calibri"/>
          <w:szCs w:val="22"/>
        </w:rPr>
        <w:t>5</w:t>
      </w:r>
      <w:r w:rsidRPr="00A34D17">
        <w:rPr>
          <w:rFonts w:ascii="Calibri" w:hAnsi="Calibri" w:cs="Calibri"/>
          <w:szCs w:val="22"/>
        </w:rPr>
        <w:t xml:space="preserve"> times the national growth rate (see Chart 2.2</w:t>
      </w:r>
      <w:r w:rsidR="00C5798D">
        <w:rPr>
          <w:rFonts w:ascii="Calibri" w:hAnsi="Calibri" w:cs="Calibri"/>
          <w:szCs w:val="22"/>
        </w:rPr>
        <w:t>4</w:t>
      </w:r>
      <w:r w:rsidRPr="00A34D17">
        <w:rPr>
          <w:rFonts w:ascii="Calibri" w:hAnsi="Calibri" w:cs="Calibri"/>
          <w:szCs w:val="22"/>
        </w:rPr>
        <w:t xml:space="preserve">). This </w:t>
      </w:r>
      <w:r w:rsidRPr="009628A8">
        <w:rPr>
          <w:rFonts w:ascii="Calibri" w:hAnsi="Calibri" w:cs="Calibri"/>
          <w:szCs w:val="22"/>
        </w:rPr>
        <w:t>was</w:t>
      </w:r>
      <w:r w:rsidRPr="00A34D17">
        <w:rPr>
          <w:rFonts w:ascii="Calibri" w:hAnsi="Calibri" w:cs="Calibri"/>
          <w:szCs w:val="22"/>
        </w:rPr>
        <w:t xml:space="preserve"> driven by relatively high demand for house construction in </w:t>
      </w:r>
      <w:r w:rsidR="00373A1F">
        <w:rPr>
          <w:rFonts w:ascii="Calibri" w:hAnsi="Calibri" w:cs="Calibri"/>
          <w:szCs w:val="22"/>
        </w:rPr>
        <w:t>the state</w:t>
      </w:r>
      <w:r w:rsidRPr="00A34D17">
        <w:rPr>
          <w:rFonts w:ascii="Calibri" w:hAnsi="Calibri" w:cs="Calibri"/>
          <w:szCs w:val="22"/>
        </w:rPr>
        <w:t>, along</w:t>
      </w:r>
      <w:r w:rsidRPr="009628A8">
        <w:rPr>
          <w:rFonts w:ascii="Calibri" w:hAnsi="Calibri" w:cs="Calibri"/>
          <w:szCs w:val="22"/>
        </w:rPr>
        <w:t xml:space="preserve"> with </w:t>
      </w:r>
      <w:r w:rsidRPr="00A34D17">
        <w:rPr>
          <w:rFonts w:ascii="Calibri" w:hAnsi="Calibri" w:cs="Calibri"/>
          <w:szCs w:val="22"/>
        </w:rPr>
        <w:t xml:space="preserve">upward pressure on labour costs due to competition for labour within the resources sector </w:t>
      </w:r>
      <w:r w:rsidRPr="00A34D17">
        <w:rPr>
          <w:rFonts w:ascii="Calibri" w:hAnsi="Calibri" w:cs="Calibri"/>
          <w:color w:val="auto"/>
          <w:szCs w:val="22"/>
        </w:rPr>
        <w:t>(</w:t>
      </w:r>
      <w:r w:rsidR="0010195E" w:rsidRPr="00FB0E39">
        <w:rPr>
          <w:rFonts w:ascii="Calibri" w:hAnsi="Calibri" w:cs="Calibri"/>
          <w:szCs w:val="22"/>
        </w:rPr>
        <w:t>Crowe et al.</w:t>
      </w:r>
      <w:r w:rsidRPr="00FB0E39">
        <w:rPr>
          <w:rFonts w:ascii="Calibri" w:hAnsi="Calibri" w:cs="Calibri"/>
          <w:szCs w:val="22"/>
        </w:rPr>
        <w:t xml:space="preserve"> 2024</w:t>
      </w:r>
      <w:r w:rsidRPr="00A34D17">
        <w:rPr>
          <w:rFonts w:ascii="Calibri" w:hAnsi="Calibri" w:cs="Calibri"/>
          <w:color w:val="auto"/>
          <w:szCs w:val="22"/>
        </w:rPr>
        <w:t>). Capacity constraints have also been</w:t>
      </w:r>
      <w:r w:rsidRPr="009628A8">
        <w:rPr>
          <w:rFonts w:ascii="Calibri" w:hAnsi="Calibri" w:cs="Calibri"/>
          <w:color w:val="auto"/>
          <w:szCs w:val="22"/>
        </w:rPr>
        <w:t xml:space="preserve"> </w:t>
      </w:r>
      <w:r w:rsidRPr="00A34D17">
        <w:rPr>
          <w:rFonts w:ascii="Calibri" w:hAnsi="Calibri" w:cs="Calibri"/>
          <w:color w:val="auto"/>
          <w:szCs w:val="22"/>
        </w:rPr>
        <w:t>enduring in Western Australia (</w:t>
      </w:r>
      <w:r w:rsidR="002F767E">
        <w:rPr>
          <w:rFonts w:ascii="Calibri" w:hAnsi="Calibri" w:cs="Calibri"/>
          <w:color w:val="auto"/>
          <w:szCs w:val="22"/>
        </w:rPr>
        <w:t xml:space="preserve">Housing Industry </w:t>
      </w:r>
      <w:r w:rsidR="00195E12">
        <w:rPr>
          <w:rFonts w:ascii="Calibri" w:hAnsi="Calibri" w:cs="Calibri"/>
          <w:color w:val="auto"/>
          <w:szCs w:val="22"/>
        </w:rPr>
        <w:t>Forecasting</w:t>
      </w:r>
      <w:r w:rsidR="002F767E">
        <w:rPr>
          <w:rFonts w:ascii="Calibri" w:hAnsi="Calibri" w:cs="Calibri"/>
          <w:color w:val="auto"/>
          <w:szCs w:val="22"/>
        </w:rPr>
        <w:t xml:space="preserve"> </w:t>
      </w:r>
      <w:r w:rsidR="00195E12">
        <w:rPr>
          <w:rFonts w:ascii="Calibri" w:hAnsi="Calibri" w:cs="Calibri"/>
          <w:color w:val="auto"/>
          <w:szCs w:val="22"/>
        </w:rPr>
        <w:t>Group</w:t>
      </w:r>
      <w:r w:rsidR="005B2701">
        <w:rPr>
          <w:rFonts w:ascii="Calibri" w:hAnsi="Calibri" w:cs="Calibri"/>
          <w:color w:val="auto"/>
          <w:szCs w:val="22"/>
        </w:rPr>
        <w:t xml:space="preserve"> </w:t>
      </w:r>
      <w:r w:rsidR="002F767E">
        <w:rPr>
          <w:rFonts w:ascii="Calibri" w:hAnsi="Calibri" w:cs="Calibri"/>
          <w:color w:val="auto"/>
          <w:szCs w:val="22"/>
        </w:rPr>
        <w:t>[</w:t>
      </w:r>
      <w:r w:rsidRPr="009628A8">
        <w:rPr>
          <w:rFonts w:ascii="Calibri" w:hAnsi="Calibri" w:cs="Calibri"/>
          <w:color w:val="auto"/>
          <w:szCs w:val="22"/>
        </w:rPr>
        <w:t>HIFG</w:t>
      </w:r>
      <w:r w:rsidR="002F767E">
        <w:rPr>
          <w:rFonts w:ascii="Calibri" w:hAnsi="Calibri" w:cs="Calibri"/>
          <w:color w:val="auto"/>
          <w:szCs w:val="22"/>
        </w:rPr>
        <w:t>]</w:t>
      </w:r>
      <w:r w:rsidRPr="009628A8">
        <w:rPr>
          <w:rFonts w:ascii="Calibri" w:hAnsi="Calibri" w:cs="Calibri"/>
          <w:color w:val="auto"/>
          <w:szCs w:val="22"/>
        </w:rPr>
        <w:t xml:space="preserve"> 2024). By</w:t>
      </w:r>
      <w:r w:rsidRPr="00A34D17">
        <w:rPr>
          <w:rFonts w:ascii="Calibri" w:hAnsi="Calibri" w:cs="Calibri"/>
          <w:color w:val="auto"/>
          <w:szCs w:val="22"/>
        </w:rPr>
        <w:t xml:space="preserve"> contrast, </w:t>
      </w:r>
      <w:r w:rsidRPr="00A34D17">
        <w:rPr>
          <w:color w:val="auto"/>
        </w:rPr>
        <w:t xml:space="preserve">construction cost </w:t>
      </w:r>
      <w:r w:rsidRPr="002949B5">
        <w:rPr>
          <w:color w:val="auto"/>
        </w:rPr>
        <w:t xml:space="preserve">growth for </w:t>
      </w:r>
      <w:r w:rsidR="00484267" w:rsidRPr="002949B5">
        <w:rPr>
          <w:color w:val="auto"/>
        </w:rPr>
        <w:t>higher-density dwellings</w:t>
      </w:r>
      <w:r w:rsidR="00484267">
        <w:rPr>
          <w:color w:val="auto"/>
        </w:rPr>
        <w:t xml:space="preserve"> </w:t>
      </w:r>
      <w:r w:rsidRPr="00A34D17">
        <w:rPr>
          <w:color w:val="auto"/>
        </w:rPr>
        <w:t>was</w:t>
      </w:r>
      <w:r w:rsidRPr="00A34D17">
        <w:t xml:space="preserve"> </w:t>
      </w:r>
      <w:r>
        <w:t>less varied</w:t>
      </w:r>
      <w:r w:rsidRPr="00A34D17">
        <w:t xml:space="preserve"> across states</w:t>
      </w:r>
      <w:r w:rsidR="00CE06E0">
        <w:t xml:space="preserve"> </w:t>
      </w:r>
      <w:r w:rsidRPr="00A34D17">
        <w:t>and above long</w:t>
      </w:r>
      <w:r w:rsidR="00A15C79">
        <w:noBreakHyphen/>
      </w:r>
      <w:r w:rsidRPr="00A34D17">
        <w:t>run averages for most states</w:t>
      </w:r>
      <w:r w:rsidRPr="009628A8">
        <w:t xml:space="preserve"> in</w:t>
      </w:r>
      <w:r w:rsidR="00283E4A">
        <w:t> </w:t>
      </w:r>
      <w:r w:rsidRPr="009628A8">
        <w:t>2024</w:t>
      </w:r>
      <w:r w:rsidRPr="00A34D17">
        <w:t xml:space="preserve"> (see Chart 2.2</w:t>
      </w:r>
      <w:r w:rsidR="00C5798D">
        <w:t>5</w:t>
      </w:r>
      <w:r w:rsidRPr="00A34D17">
        <w:t>).</w:t>
      </w:r>
    </w:p>
    <w:tbl>
      <w:tblPr>
        <w:tblW w:w="5000" w:type="pct"/>
        <w:tblLayout w:type="fixed"/>
        <w:tblLook w:val="0000" w:firstRow="0" w:lastRow="0" w:firstColumn="0" w:lastColumn="0" w:noHBand="0" w:noVBand="0"/>
      </w:tblPr>
      <w:tblGrid>
        <w:gridCol w:w="4535"/>
        <w:gridCol w:w="4535"/>
      </w:tblGrid>
      <w:tr w:rsidR="007F2143" w14:paraId="744EF20F" w14:textId="77777777">
        <w:trPr>
          <w:cantSplit/>
        </w:trPr>
        <w:tc>
          <w:tcPr>
            <w:tcW w:w="4535" w:type="dxa"/>
          </w:tcPr>
          <w:p w14:paraId="7FBBD26E" w14:textId="1F9DCA63" w:rsidR="007F2143" w:rsidRPr="003F7D7D" w:rsidRDefault="007F2143" w:rsidP="001B4EAF">
            <w:pPr>
              <w:pStyle w:val="ChartMainHeading"/>
            </w:pPr>
            <w:bookmarkStart w:id="99" w:name="_Ref188979746"/>
            <w:r w:rsidRPr="00BD41F4">
              <w:t>Detached housing construction prices</w:t>
            </w:r>
            <w:r w:rsidRPr="00BD41F4" w:rsidDel="00326563">
              <w:t xml:space="preserve">, </w:t>
            </w:r>
            <w:r w:rsidRPr="00BD41F4">
              <w:t>by state</w:t>
            </w:r>
            <w:bookmarkEnd w:id="99"/>
          </w:p>
        </w:tc>
        <w:tc>
          <w:tcPr>
            <w:tcW w:w="4535" w:type="dxa"/>
          </w:tcPr>
          <w:p w14:paraId="6384AF88" w14:textId="198BA4AE" w:rsidR="007F2143" w:rsidRPr="003F7D7D" w:rsidRDefault="00F14F1E" w:rsidP="001B4EAF">
            <w:pPr>
              <w:pStyle w:val="ChartMainHeading"/>
            </w:pPr>
            <w:bookmarkStart w:id="100" w:name="_Ref188979760"/>
            <w:r>
              <w:t>Higher-density dwellings</w:t>
            </w:r>
            <w:r w:rsidR="007F2143" w:rsidRPr="00BD41F4">
              <w:t xml:space="preserve"> construction prices</w:t>
            </w:r>
            <w:r w:rsidR="007F2143" w:rsidRPr="00BD41F4" w:rsidDel="00326563">
              <w:t xml:space="preserve">, </w:t>
            </w:r>
            <w:r w:rsidR="007F2143" w:rsidRPr="00BD41F4">
              <w:t>by state</w:t>
            </w:r>
            <w:bookmarkEnd w:id="100"/>
          </w:p>
        </w:tc>
      </w:tr>
      <w:tr w:rsidR="007F2143" w14:paraId="4A6B3CAF" w14:textId="77777777" w:rsidTr="0099326B">
        <w:trPr>
          <w:cantSplit/>
          <w:trHeight w:val="3626"/>
        </w:trPr>
        <w:tc>
          <w:tcPr>
            <w:tcW w:w="4535" w:type="dxa"/>
          </w:tcPr>
          <w:p w14:paraId="79582B82" w14:textId="1D396986" w:rsidR="007F2143" w:rsidRPr="00326563" w:rsidRDefault="002B4BE7" w:rsidP="0099326B">
            <w:pPr>
              <w:pStyle w:val="ChartGraphic"/>
            </w:pPr>
            <w:r w:rsidRPr="002B4BE7">
              <w:rPr>
                <w:noProof/>
              </w:rPr>
              <w:drawing>
                <wp:inline distT="0" distB="0" distL="0" distR="0" wp14:anchorId="23F8042E" wp14:editId="03C8A059">
                  <wp:extent cx="2742565" cy="2742565"/>
                  <wp:effectExtent l="0" t="0" r="635" b="635"/>
                  <wp:docPr id="1035461819" name="Picture 3" descr="Chart 2.24 is a bar chart showing the through-the-year growth to December 2024 in detached housing construction output prices for Australia and the states and territories. The annual growth figures are compared to the 15-year average of each series. &#10;&#10;While construction cost growth for nearly all locations is at, or below, its 15-year average, Western Australia recorded cost growth of 14.4 per cent, well above its 15-year average of 5.1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461819" name="Picture 3" descr="Chart 2.24 is a bar chart showing the through-the-year growth to December 2024 in detached housing construction output prices for Australia and the states and territories. The annual growth figures are compared to the 15-year average of each series. &#10;&#10;While construction cost growth for nearly all locations is at, or below, its 15-year average, Western Australia recorded cost growth of 14.4 per cent, well above its 15-year average of 5.1 per cent.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42565" cy="2742565"/>
                          </a:xfrm>
                          <a:prstGeom prst="rect">
                            <a:avLst/>
                          </a:prstGeom>
                          <a:noFill/>
                          <a:ln>
                            <a:noFill/>
                          </a:ln>
                        </pic:spPr>
                      </pic:pic>
                    </a:graphicData>
                  </a:graphic>
                </wp:inline>
              </w:drawing>
            </w:r>
          </w:p>
        </w:tc>
        <w:tc>
          <w:tcPr>
            <w:tcW w:w="4535" w:type="dxa"/>
          </w:tcPr>
          <w:p w14:paraId="63FBB568" w14:textId="3E920A01" w:rsidR="007F2143" w:rsidRDefault="00A617FE" w:rsidP="0099326B">
            <w:pPr>
              <w:pStyle w:val="ChartGraphic"/>
            </w:pPr>
            <w:r w:rsidRPr="00A617FE">
              <w:rPr>
                <w:noProof/>
              </w:rPr>
              <w:drawing>
                <wp:inline distT="0" distB="0" distL="0" distR="0" wp14:anchorId="4CBC4C9C" wp14:editId="3471B59C">
                  <wp:extent cx="2742565" cy="2742565"/>
                  <wp:effectExtent l="0" t="0" r="635" b="635"/>
                  <wp:docPr id="1459425574" name="Picture 40" descr="Chart 2.25 is a bar chart showing the through-the-year growth to December 2024 in higher density dwelling construction output prices for Australia and the states and territories. The annual growth figures are compared to the 15-year average of each series. &#10;&#10;In Australia, higher-density dwelling construction output prices grew by 5.1 per cent over 2024, nearly twice the 15-year average of 2.6 per cent. Most states and territories recorded output cost growth above 15-year averages, except for Tasmania, Northern Territory and the Australian Capital Territo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425574" name="Picture 40" descr="Chart 2.25 is a bar chart showing the through-the-year growth to December 2024 in higher density dwelling construction output prices for Australia and the states and territories. The annual growth figures are compared to the 15-year average of each series. &#10;&#10;In Australia, higher-density dwelling construction output prices grew by 5.1 per cent over 2024, nearly twice the 15-year average of 2.6 per cent. Most states and territories recorded output cost growth above 15-year averages, except for Tasmania, Northern Territory and the Australian Capital Territory.&#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42565" cy="2742565"/>
                          </a:xfrm>
                          <a:prstGeom prst="rect">
                            <a:avLst/>
                          </a:prstGeom>
                          <a:noFill/>
                          <a:ln>
                            <a:noFill/>
                          </a:ln>
                        </pic:spPr>
                      </pic:pic>
                    </a:graphicData>
                  </a:graphic>
                </wp:inline>
              </w:drawing>
            </w:r>
          </w:p>
        </w:tc>
      </w:tr>
      <w:tr w:rsidR="0099326B" w14:paraId="646F03FD" w14:textId="77777777" w:rsidTr="0099326B">
        <w:trPr>
          <w:cantSplit/>
          <w:trHeight w:val="136"/>
        </w:trPr>
        <w:tc>
          <w:tcPr>
            <w:tcW w:w="4535" w:type="dxa"/>
          </w:tcPr>
          <w:p w14:paraId="71168B49" w14:textId="5286A620" w:rsidR="0099326B" w:rsidRDefault="0099326B" w:rsidP="00DB6DE6">
            <w:pPr>
              <w:pStyle w:val="ChartorTableNoteandSource"/>
            </w:pPr>
            <w:r w:rsidRPr="0099326B">
              <w:t>Note:</w:t>
            </w:r>
            <w:r w:rsidR="00DB6DE6">
              <w:tab/>
            </w:r>
            <w:r w:rsidRPr="0099326B">
              <w:t>The through</w:t>
            </w:r>
            <w:r w:rsidR="00A15C79">
              <w:noBreakHyphen/>
            </w:r>
            <w:r w:rsidRPr="0099326B">
              <w:t>the</w:t>
            </w:r>
            <w:r w:rsidR="00A15C79">
              <w:noBreakHyphen/>
            </w:r>
            <w:r w:rsidRPr="0099326B">
              <w:t>year growth rate to December</w:t>
            </w:r>
            <w:r>
              <w:t> </w:t>
            </w:r>
            <w:r w:rsidRPr="0099326B">
              <w:t xml:space="preserve">2024. </w:t>
            </w:r>
          </w:p>
          <w:p w14:paraId="4EC21259" w14:textId="74BC693D" w:rsidR="005B3D59" w:rsidRPr="005B3D59" w:rsidRDefault="005B3D59" w:rsidP="005B3D59">
            <w:pPr>
              <w:pStyle w:val="ChartorTableNoteandSource"/>
            </w:pPr>
            <w:r w:rsidRPr="0099326B">
              <w:t>Source:</w:t>
            </w:r>
            <w:r>
              <w:tab/>
            </w:r>
            <w:r w:rsidRPr="0099326B">
              <w:t>ABS</w:t>
            </w:r>
            <w:r w:rsidR="008B03B4">
              <w:t xml:space="preserve"> </w:t>
            </w:r>
            <w:r w:rsidRPr="0099326B">
              <w:t>Producer Price Indexes 2025</w:t>
            </w:r>
          </w:p>
        </w:tc>
        <w:tc>
          <w:tcPr>
            <w:tcW w:w="4535" w:type="dxa"/>
          </w:tcPr>
          <w:p w14:paraId="44E7EC71" w14:textId="7A3DF469" w:rsidR="0099326B" w:rsidRDefault="0099326B" w:rsidP="00DB6DE6">
            <w:pPr>
              <w:pStyle w:val="ChartorTableNoteandSource"/>
            </w:pPr>
            <w:r w:rsidRPr="0099326B">
              <w:t>Note:</w:t>
            </w:r>
            <w:r w:rsidR="00DB6DE6">
              <w:tab/>
            </w:r>
            <w:r w:rsidRPr="0099326B">
              <w:t>The through</w:t>
            </w:r>
            <w:r w:rsidR="00A15C79">
              <w:noBreakHyphen/>
            </w:r>
            <w:r w:rsidRPr="0099326B">
              <w:t>the</w:t>
            </w:r>
            <w:r w:rsidR="00A15C79">
              <w:noBreakHyphen/>
            </w:r>
            <w:r w:rsidRPr="0099326B">
              <w:t xml:space="preserve">year growth rate to December 2024. </w:t>
            </w:r>
          </w:p>
          <w:p w14:paraId="0646C7E3" w14:textId="3D4E43D0" w:rsidR="005B3D59" w:rsidRPr="005B3D59" w:rsidRDefault="005B3D59" w:rsidP="005B3D59">
            <w:pPr>
              <w:pStyle w:val="ChartorTableNoteandSource"/>
            </w:pPr>
            <w:r w:rsidRPr="0099326B">
              <w:t>Source</w:t>
            </w:r>
            <w:r w:rsidR="008F3214">
              <w:t>:</w:t>
            </w:r>
            <w:r>
              <w:tab/>
            </w:r>
            <w:r w:rsidRPr="0099326B">
              <w:t>ABS</w:t>
            </w:r>
            <w:r w:rsidR="008B03B4">
              <w:t xml:space="preserve"> </w:t>
            </w:r>
            <w:r w:rsidRPr="0099326B">
              <w:t>Producer Price Indexes 2025</w:t>
            </w:r>
          </w:p>
        </w:tc>
      </w:tr>
    </w:tbl>
    <w:p w14:paraId="1D36CCF3" w14:textId="77777777" w:rsidR="007F2143" w:rsidRPr="00BD41F4" w:rsidRDefault="007F2143" w:rsidP="0099326B">
      <w:pPr>
        <w:pStyle w:val="Heading3Numbered"/>
      </w:pPr>
      <w:r w:rsidRPr="0099326B">
        <w:t>Materials</w:t>
      </w:r>
    </w:p>
    <w:p w14:paraId="5BB073CF" w14:textId="0B6EB2CF" w:rsidR="007F2143" w:rsidRDefault="007F2143" w:rsidP="0028695D">
      <w:r>
        <w:t>Materials are a key component in the construction of dwellings. Growth in material costs slowed</w:t>
      </w:r>
      <w:r w:rsidR="0028695D">
        <w:t xml:space="preserve"> to 1.6</w:t>
      </w:r>
      <w:r w:rsidR="0099326B">
        <w:t> per cent</w:t>
      </w:r>
      <w:r w:rsidR="0028695D">
        <w:t xml:space="preserve"> over 2024</w:t>
      </w:r>
      <w:r w:rsidDel="0028695D">
        <w:t xml:space="preserve"> </w:t>
      </w:r>
      <w:r>
        <w:t>(</w:t>
      </w:r>
      <w:r w:rsidR="001256A7">
        <w:t xml:space="preserve">see </w:t>
      </w:r>
      <w:r>
        <w:t>Chart 2.2</w:t>
      </w:r>
      <w:r w:rsidR="00C5798D">
        <w:t>6</w:t>
      </w:r>
      <w:r>
        <w:t xml:space="preserve">). This followed a sharp fall in the rate of material cost growth in 2023, as disruptions associated with the </w:t>
      </w:r>
      <w:r w:rsidR="00EF306D">
        <w:t>P</w:t>
      </w:r>
      <w:r>
        <w:t>andemic dissipated (ABS 2024</w:t>
      </w:r>
      <w:r w:rsidR="00404AF2">
        <w:t>c</w:t>
      </w:r>
      <w:r>
        <w:t>)</w:t>
      </w:r>
      <w:r w:rsidR="008E4210">
        <w:t xml:space="preserve">. </w:t>
      </w:r>
    </w:p>
    <w:p w14:paraId="070374F1" w14:textId="727985D4" w:rsidR="007F2143" w:rsidRDefault="007F2143">
      <w:r w:rsidRPr="00667939">
        <w:t>Growth in material input prices varied by component (</w:t>
      </w:r>
      <w:r w:rsidR="00EF306D">
        <w:t xml:space="preserve">see </w:t>
      </w:r>
      <w:r w:rsidRPr="00667939">
        <w:t>Chart 2.2</w:t>
      </w:r>
      <w:r w:rsidR="00C5798D">
        <w:t>7</w:t>
      </w:r>
      <w:r w:rsidRPr="00667939">
        <w:t>). Steel product prices declined by 3.7</w:t>
      </w:r>
      <w:r w:rsidR="0099326B">
        <w:t> per cent</w:t>
      </w:r>
      <w:r w:rsidRPr="00667939">
        <w:t xml:space="preserve"> over 2024, reflecting reduced global demand, particularly from China (</w:t>
      </w:r>
      <w:r w:rsidR="00235AEC">
        <w:t>McSweeney et al.</w:t>
      </w:r>
      <w:r w:rsidRPr="00667939">
        <w:t xml:space="preserve"> 2024). Likewise, structural timber prices fell by 3.2</w:t>
      </w:r>
      <w:r w:rsidR="0099326B">
        <w:t> per cent</w:t>
      </w:r>
      <w:r w:rsidRPr="00667939">
        <w:t>, reflecting a slowdown in housing construction activity (</w:t>
      </w:r>
      <w:r w:rsidR="00235AEC">
        <w:t>McSweeney et al.</w:t>
      </w:r>
      <w:r w:rsidRPr="00667939">
        <w:t xml:space="preserve"> 2024). In contrast, electrical equipment prices rose the fastest among the sub</w:t>
      </w:r>
      <w:r w:rsidR="00A15C79">
        <w:noBreakHyphen/>
      </w:r>
      <w:r w:rsidRPr="00667939">
        <w:t>components over the year (up 6.0</w:t>
      </w:r>
      <w:r w:rsidR="0099326B">
        <w:t> per cent</w:t>
      </w:r>
      <w:r w:rsidR="002A6BB3">
        <w:t>)</w:t>
      </w:r>
      <w:r w:rsidRPr="00667939">
        <w:t xml:space="preserve"> (</w:t>
      </w:r>
      <w:r w:rsidR="005B2701" w:rsidRPr="00005B0F">
        <w:t>ABS</w:t>
      </w:r>
      <w:r w:rsidRPr="00667939">
        <w:t xml:space="preserve"> 202</w:t>
      </w:r>
      <w:r w:rsidR="00907E07">
        <w:t>5k</w:t>
      </w:r>
      <w:r w:rsidRPr="00667939">
        <w:t>). Concrete, cement and sand prices also rose over the year (up 5.2</w:t>
      </w:r>
      <w:r w:rsidR="0099326B">
        <w:t> per cent</w:t>
      </w:r>
      <w:r w:rsidRPr="00667939">
        <w:t>) due to strong demand from non</w:t>
      </w:r>
      <w:r w:rsidR="00A15C79">
        <w:noBreakHyphen/>
      </w:r>
      <w:r w:rsidRPr="00667939">
        <w:t>residential construction (</w:t>
      </w:r>
      <w:r w:rsidR="005B2701" w:rsidRPr="00005B0F">
        <w:t>ABS</w:t>
      </w:r>
      <w:r w:rsidRPr="00667939">
        <w:t xml:space="preserve"> 202</w:t>
      </w:r>
      <w:r w:rsidR="00907E07">
        <w:t>5k</w:t>
      </w:r>
      <w:r w:rsidRPr="00667939">
        <w:t>). Installed gas and electrical appliances prices remained relatively steady, rising by 1.2</w:t>
      </w:r>
      <w:r w:rsidR="0099326B">
        <w:t> per cent</w:t>
      </w:r>
      <w:r w:rsidRPr="00667939">
        <w:t xml:space="preserve"> over the year.</w:t>
      </w:r>
      <w:r w:rsidRPr="00D37BB2">
        <w:t xml:space="preserve"> </w:t>
      </w:r>
    </w:p>
    <w:tbl>
      <w:tblPr>
        <w:tblW w:w="5000" w:type="pct"/>
        <w:tblLayout w:type="fixed"/>
        <w:tblLook w:val="0000" w:firstRow="0" w:lastRow="0" w:firstColumn="0" w:lastColumn="0" w:noHBand="0" w:noVBand="0"/>
      </w:tblPr>
      <w:tblGrid>
        <w:gridCol w:w="4535"/>
        <w:gridCol w:w="4535"/>
      </w:tblGrid>
      <w:tr w:rsidR="007F2143" w14:paraId="5C55D245" w14:textId="77777777">
        <w:trPr>
          <w:cantSplit/>
          <w:trHeight w:val="554"/>
        </w:trPr>
        <w:tc>
          <w:tcPr>
            <w:tcW w:w="2500" w:type="pct"/>
          </w:tcPr>
          <w:p w14:paraId="2AA9E764" w14:textId="77777777" w:rsidR="007F2143" w:rsidRDefault="007F2143" w:rsidP="00EB0064">
            <w:pPr>
              <w:pStyle w:val="ChartMainHeading"/>
              <w:spacing w:before="0"/>
            </w:pPr>
            <w:r>
              <w:lastRenderedPageBreak/>
              <w:t xml:space="preserve">Material costs for house construction </w:t>
            </w:r>
          </w:p>
        </w:tc>
        <w:tc>
          <w:tcPr>
            <w:tcW w:w="2500" w:type="pct"/>
          </w:tcPr>
          <w:p w14:paraId="531EB6C0" w14:textId="0F8D27D1" w:rsidR="007F2143" w:rsidRPr="006A4067" w:rsidRDefault="007F2143" w:rsidP="00EB0064">
            <w:pPr>
              <w:pStyle w:val="ChartMainHeading"/>
              <w:spacing w:before="0"/>
            </w:pPr>
            <w:r>
              <w:t>M</w:t>
            </w:r>
            <w:r w:rsidRPr="006A4067">
              <w:t xml:space="preserve">aterial </w:t>
            </w:r>
            <w:r>
              <w:t xml:space="preserve">costs for house construction, </w:t>
            </w:r>
            <w:r w:rsidRPr="006A4067">
              <w:t xml:space="preserve">by </w:t>
            </w:r>
            <w:r>
              <w:t>selected components</w:t>
            </w:r>
          </w:p>
        </w:tc>
      </w:tr>
      <w:tr w:rsidR="007F2143" w14:paraId="11D97FFA" w14:textId="77777777">
        <w:trPr>
          <w:cantSplit/>
          <w:trHeight w:val="3213"/>
        </w:trPr>
        <w:tc>
          <w:tcPr>
            <w:tcW w:w="2500" w:type="pct"/>
          </w:tcPr>
          <w:p w14:paraId="05B35F84" w14:textId="3B101D69" w:rsidR="007F2143" w:rsidRDefault="00B71F6E" w:rsidP="0099326B">
            <w:pPr>
              <w:pStyle w:val="ChartGraphic"/>
              <w:rPr>
                <w:noProof/>
              </w:rPr>
            </w:pPr>
            <w:r w:rsidRPr="00B71F6E">
              <w:rPr>
                <w:noProof/>
              </w:rPr>
              <w:drawing>
                <wp:inline distT="0" distB="0" distL="0" distR="0" wp14:anchorId="722023A9" wp14:editId="0FB68F9D">
                  <wp:extent cx="2742565" cy="2727960"/>
                  <wp:effectExtent l="0" t="0" r="635" b="0"/>
                  <wp:docPr id="1663765573" name="Picture 43" descr="Chart 2.26 is a line chart showing the through-the-year growth rate in material input costs to house construction from December 2019 to December 2024. Annual cost growth accelerated sharply over 2021 and 2022, to reach a peak of 17 per cent in June 2022. Annual cost growth then decelerated, broadly mirroring the acceleration. Annual growth was 1.6 per cent in Decem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765573" name="Picture 43" descr="Chart 2.26 is a line chart showing the through-the-year growth rate in material input costs to house construction from December 2019 to December 2024. Annual cost growth accelerated sharply over 2021 and 2022, to reach a peak of 17 per cent in June 2022. Annual cost growth then decelerated, broadly mirroring the acceleration. Annual growth was 1.6 per cent in December 20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42565" cy="2727960"/>
                          </a:xfrm>
                          <a:prstGeom prst="rect">
                            <a:avLst/>
                          </a:prstGeom>
                          <a:noFill/>
                          <a:ln>
                            <a:noFill/>
                          </a:ln>
                        </pic:spPr>
                      </pic:pic>
                    </a:graphicData>
                  </a:graphic>
                </wp:inline>
              </w:drawing>
            </w:r>
          </w:p>
        </w:tc>
        <w:tc>
          <w:tcPr>
            <w:tcW w:w="2500" w:type="pct"/>
          </w:tcPr>
          <w:p w14:paraId="4D6409D1" w14:textId="744527AC" w:rsidR="007F2143" w:rsidRPr="001610BE" w:rsidRDefault="000F1E57" w:rsidP="0099326B">
            <w:pPr>
              <w:pStyle w:val="ChartGraphic"/>
            </w:pPr>
            <w:r w:rsidRPr="000F1E57">
              <w:rPr>
                <w:noProof/>
              </w:rPr>
              <w:drawing>
                <wp:inline distT="0" distB="0" distL="0" distR="0" wp14:anchorId="46F3BF5A" wp14:editId="05472CB0">
                  <wp:extent cx="2742565" cy="2742565"/>
                  <wp:effectExtent l="0" t="0" r="635" b="0"/>
                  <wp:docPr id="1676439697" name="Picture 44" descr="Chart 2.27 is a line chart showing the through-the-year growth rate in the cost of selected material inputs to house construction from December 2019 to December 2024. Annual cost growth accelerated sharply for structural timber and steel products from early 2021, to a peak of around 40 per cent growth in mid-2022, before easing sharply to report negative growth in 2023 and 2024. Growth in other inputs – including electrical equipment; installed gas and electrical appliances, and; concrete, cement and sand – ranged between -1.6 and 16.2 per cent over the five-year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439697" name="Picture 44" descr="Chart 2.27 is a line chart showing the through-the-year growth rate in the cost of selected material inputs to house construction from December 2019 to December 2024. Annual cost growth accelerated sharply for structural timber and steel products from early 2021, to a peak of around 40 per cent growth in mid-2022, before easing sharply to report negative growth in 2023 and 2024. Growth in other inputs – including electrical equipment; installed gas and electrical appliances, and; concrete, cement and sand – ranged between -1.6 and 16.2 per cent over the five-year perio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42565" cy="2742565"/>
                          </a:xfrm>
                          <a:prstGeom prst="rect">
                            <a:avLst/>
                          </a:prstGeom>
                          <a:noFill/>
                          <a:ln>
                            <a:noFill/>
                          </a:ln>
                        </pic:spPr>
                      </pic:pic>
                    </a:graphicData>
                  </a:graphic>
                </wp:inline>
              </w:drawing>
            </w:r>
            <w:r w:rsidR="007F2143">
              <w:t xml:space="preserve"> </w:t>
            </w:r>
          </w:p>
        </w:tc>
      </w:tr>
      <w:tr w:rsidR="0099326B" w14:paraId="5A8D25DC" w14:textId="77777777" w:rsidTr="0099326B">
        <w:trPr>
          <w:cantSplit/>
          <w:trHeight w:val="80"/>
        </w:trPr>
        <w:tc>
          <w:tcPr>
            <w:tcW w:w="2500" w:type="pct"/>
          </w:tcPr>
          <w:p w14:paraId="6A007BB7" w14:textId="77777777" w:rsidR="0099326B" w:rsidRDefault="0099326B" w:rsidP="00DB6DE6">
            <w:pPr>
              <w:pStyle w:val="ChartorTableNoteandSource"/>
            </w:pPr>
            <w:r w:rsidRPr="0099326B">
              <w:t>Note:</w:t>
            </w:r>
            <w:r w:rsidR="00531399">
              <w:tab/>
            </w:r>
            <w:r w:rsidRPr="0099326B">
              <w:t>The weighted average growth over the 6 state capital cities.</w:t>
            </w:r>
          </w:p>
          <w:p w14:paraId="13FA1B88" w14:textId="1458C6DD" w:rsidR="00646474" w:rsidRPr="00646474" w:rsidRDefault="00646474" w:rsidP="00646474">
            <w:pPr>
              <w:pStyle w:val="ChartorTableNoteandSource"/>
            </w:pPr>
            <w:r w:rsidRPr="0099326B">
              <w:t>Source:</w:t>
            </w:r>
            <w:r>
              <w:tab/>
            </w:r>
            <w:r w:rsidRPr="0099326B">
              <w:t>ABS</w:t>
            </w:r>
            <w:r w:rsidR="008B03B4">
              <w:t xml:space="preserve"> </w:t>
            </w:r>
            <w:r w:rsidRPr="0099326B">
              <w:t>Producer Price Indexes 2025</w:t>
            </w:r>
          </w:p>
        </w:tc>
        <w:tc>
          <w:tcPr>
            <w:tcW w:w="2500" w:type="pct"/>
          </w:tcPr>
          <w:p w14:paraId="5E316AAC" w14:textId="393970DE" w:rsidR="0099326B" w:rsidRDefault="0099326B" w:rsidP="00DB6DE6">
            <w:pPr>
              <w:pStyle w:val="ChartorTableNoteandSource"/>
            </w:pPr>
            <w:r w:rsidRPr="0099326B">
              <w:t>Note:</w:t>
            </w:r>
            <w:r w:rsidR="00531399">
              <w:tab/>
            </w:r>
            <w:r w:rsidRPr="0099326B">
              <w:t>The subset inputs to the house construction price index.</w:t>
            </w:r>
          </w:p>
          <w:p w14:paraId="7CFEEB13" w14:textId="709CA0F4" w:rsidR="00646474" w:rsidRPr="00646474" w:rsidRDefault="00646474" w:rsidP="00646474">
            <w:pPr>
              <w:pStyle w:val="ChartorTableNoteandSource"/>
            </w:pPr>
            <w:r w:rsidRPr="0099326B">
              <w:t>Source:</w:t>
            </w:r>
            <w:r>
              <w:tab/>
            </w:r>
            <w:r w:rsidRPr="0099326B">
              <w:t>ABS</w:t>
            </w:r>
            <w:r w:rsidR="008B03B4">
              <w:t xml:space="preserve"> </w:t>
            </w:r>
            <w:r w:rsidRPr="0099326B">
              <w:t>Producer Price Indexes 2025</w:t>
            </w:r>
          </w:p>
        </w:tc>
      </w:tr>
    </w:tbl>
    <w:p w14:paraId="399E77D0" w14:textId="7A8850E5" w:rsidR="007F2143" w:rsidRPr="0099326B" w:rsidRDefault="007F2143" w:rsidP="00DB6DE6">
      <w:pPr>
        <w:pStyle w:val="Heading3Numbered"/>
      </w:pPr>
      <w:r w:rsidRPr="00DB6DE6">
        <w:t>Labour</w:t>
      </w:r>
      <w:r w:rsidRPr="0099326B">
        <w:t xml:space="preserve"> </w:t>
      </w:r>
    </w:p>
    <w:p w14:paraId="0F6735EA" w14:textId="09C96F24" w:rsidR="007F2143" w:rsidRDefault="007F2143" w:rsidP="00DB6DE6">
      <w:r>
        <w:t xml:space="preserve">Like materials, labour is a critical component </w:t>
      </w:r>
      <w:r w:rsidR="00BE18DC">
        <w:t xml:space="preserve">of </w:t>
      </w:r>
      <w:r>
        <w:t xml:space="preserve">the dwelling construction process. </w:t>
      </w:r>
      <w:r w:rsidR="004D7C40">
        <w:t>In 2024, t</w:t>
      </w:r>
      <w:r>
        <w:t xml:space="preserve">he residential construction sector continued to report </w:t>
      </w:r>
      <w:r w:rsidR="004D7C40">
        <w:t>labour shortage</w:t>
      </w:r>
      <w:r w:rsidR="00D51365">
        <w:t>s</w:t>
      </w:r>
      <w:r>
        <w:t>, with demand for skilled trades outpacing supply across the sector</w:t>
      </w:r>
      <w:r w:rsidR="004D7C40">
        <w:t xml:space="preserve">. However, </w:t>
      </w:r>
      <w:r>
        <w:t xml:space="preserve">there are signs </w:t>
      </w:r>
      <w:r w:rsidR="004D7C40">
        <w:t xml:space="preserve">that </w:t>
      </w:r>
      <w:r>
        <w:t xml:space="preserve">some labour </w:t>
      </w:r>
      <w:r w:rsidR="00D51365">
        <w:t xml:space="preserve">supply </w:t>
      </w:r>
      <w:r>
        <w:t xml:space="preserve">conditions have improved. </w:t>
      </w:r>
    </w:p>
    <w:p w14:paraId="058C1333" w14:textId="1F6D4309" w:rsidR="007F2143" w:rsidRDefault="007F2143" w:rsidP="00DB6DE6">
      <w:r w:rsidRPr="00D6310E">
        <w:t>Labour shortages have been driven by low rates of worker entries</w:t>
      </w:r>
      <w:r>
        <w:t xml:space="preserve">, high rates of worker exits </w:t>
      </w:r>
      <w:r w:rsidRPr="00D6310E">
        <w:t xml:space="preserve">and strong competition </w:t>
      </w:r>
      <w:r w:rsidRPr="00E570BC">
        <w:t xml:space="preserve">in the broader construction </w:t>
      </w:r>
      <w:r>
        <w:t>sector</w:t>
      </w:r>
      <w:r w:rsidR="007B5D21">
        <w:t xml:space="preserve">. </w:t>
      </w:r>
      <w:r w:rsidR="008419AD">
        <w:t>M</w:t>
      </w:r>
      <w:r w:rsidR="007B5D21">
        <w:t>aster Builders Australia (</w:t>
      </w:r>
      <w:r w:rsidR="008419AD">
        <w:t>MBA</w:t>
      </w:r>
      <w:r w:rsidR="007B5D21">
        <w:t>)</w:t>
      </w:r>
      <w:r>
        <w:t xml:space="preserve"> </w:t>
      </w:r>
      <w:r w:rsidRPr="00DC5236">
        <w:t>estimate</w:t>
      </w:r>
      <w:r>
        <w:t>s</w:t>
      </w:r>
      <w:r w:rsidRPr="00DC5236">
        <w:t xml:space="preserve"> the building and construction industry has a natural attrition rate of about 8</w:t>
      </w:r>
      <w:r w:rsidR="0099326B">
        <w:t> per cent</w:t>
      </w:r>
      <w:r>
        <w:t xml:space="preserve">, </w:t>
      </w:r>
      <w:r w:rsidRPr="00DC5236">
        <w:t>or 110,000 workers per year (MBA 2024). While the overall building and construction workforce grew by 3.9</w:t>
      </w:r>
      <w:r w:rsidR="0099326B">
        <w:t> per cent</w:t>
      </w:r>
      <w:r w:rsidRPr="00DC5236">
        <w:t xml:space="preserve"> in the year to May 2024, worker exits led to a contraction in 2019, 2020 and 2021</w:t>
      </w:r>
      <w:r w:rsidR="008D57BE">
        <w:t xml:space="preserve"> </w:t>
      </w:r>
      <w:r w:rsidR="008D57BE" w:rsidRPr="00DC5236">
        <w:t>(MBA 2024)</w:t>
      </w:r>
      <w:r w:rsidR="003923FD">
        <w:t>.</w:t>
      </w:r>
    </w:p>
    <w:p w14:paraId="68AB1939" w14:textId="4A1C8DE2" w:rsidR="007F2143" w:rsidRPr="00524F64" w:rsidRDefault="007F2143" w:rsidP="00DB6DE6">
      <w:r w:rsidRPr="00B67D90">
        <w:t>The H</w:t>
      </w:r>
      <w:r w:rsidR="00F61161">
        <w:t xml:space="preserve">ousing </w:t>
      </w:r>
      <w:r w:rsidRPr="00B67D90">
        <w:t>I</w:t>
      </w:r>
      <w:r w:rsidR="00F61161">
        <w:t xml:space="preserve">ndustry </w:t>
      </w:r>
      <w:r w:rsidRPr="00B67D90">
        <w:t>A</w:t>
      </w:r>
      <w:r w:rsidR="00F61161">
        <w:t>ustralia (HIA)</w:t>
      </w:r>
      <w:r w:rsidR="002B0FA9">
        <w:t xml:space="preserve"> </w:t>
      </w:r>
      <w:r w:rsidRPr="00B67D90">
        <w:t>Trade</w:t>
      </w:r>
      <w:r>
        <w:t>s</w:t>
      </w:r>
      <w:r w:rsidRPr="00B67D90">
        <w:t xml:space="preserve"> Availability Index</w:t>
      </w:r>
      <w:r>
        <w:t>, which measures the industry</w:t>
      </w:r>
      <w:r w:rsidR="00A15C79">
        <w:t>’</w:t>
      </w:r>
      <w:r>
        <w:t xml:space="preserve">s perception of the availability of skilled trades, </w:t>
      </w:r>
      <w:r w:rsidRPr="00B67D90">
        <w:t xml:space="preserve">remained negative </w:t>
      </w:r>
      <w:r>
        <w:t>and below its long</w:t>
      </w:r>
      <w:r w:rsidR="00A15C79">
        <w:noBreakHyphen/>
      </w:r>
      <w:r>
        <w:t>run average in</w:t>
      </w:r>
      <w:r w:rsidR="00DB6DE6">
        <w:t> </w:t>
      </w:r>
      <w:r>
        <w:t xml:space="preserve">2024 </w:t>
      </w:r>
      <w:r w:rsidRPr="00B67D90">
        <w:t>(</w:t>
      </w:r>
      <w:r w:rsidR="00E508BB">
        <w:t xml:space="preserve">see </w:t>
      </w:r>
      <w:r w:rsidRPr="00BD41F4">
        <w:t xml:space="preserve">Chart </w:t>
      </w:r>
      <w:r>
        <w:t>2</w:t>
      </w:r>
      <w:r w:rsidRPr="00BD41F4">
        <w:t>.2</w:t>
      </w:r>
      <w:r w:rsidR="00C5798D">
        <w:t>8</w:t>
      </w:r>
      <w:r w:rsidRPr="00B67D90">
        <w:t>).</w:t>
      </w:r>
      <w:r>
        <w:t xml:space="preserve"> </w:t>
      </w:r>
      <w:r>
        <w:rPr>
          <w:color w:val="auto"/>
        </w:rPr>
        <w:t>L</w:t>
      </w:r>
      <w:r w:rsidRPr="001A52B5">
        <w:rPr>
          <w:color w:val="auto"/>
        </w:rPr>
        <w:t xml:space="preserve">abour shortages </w:t>
      </w:r>
      <w:r>
        <w:rPr>
          <w:color w:val="auto"/>
        </w:rPr>
        <w:t>were</w:t>
      </w:r>
      <w:r w:rsidRPr="001A52B5">
        <w:rPr>
          <w:color w:val="auto"/>
        </w:rPr>
        <w:t xml:space="preserve"> </w:t>
      </w:r>
      <w:r>
        <w:rPr>
          <w:color w:val="auto"/>
        </w:rPr>
        <w:t>most</w:t>
      </w:r>
      <w:r w:rsidRPr="001A52B5">
        <w:rPr>
          <w:color w:val="auto"/>
        </w:rPr>
        <w:t xml:space="preserve"> severe </w:t>
      </w:r>
      <w:r>
        <w:rPr>
          <w:color w:val="auto"/>
        </w:rPr>
        <w:t xml:space="preserve">for </w:t>
      </w:r>
      <w:r w:rsidRPr="001A52B5">
        <w:rPr>
          <w:color w:val="auto"/>
        </w:rPr>
        <w:t xml:space="preserve">bricklayers, tilers, </w:t>
      </w:r>
      <w:r>
        <w:rPr>
          <w:color w:val="auto"/>
        </w:rPr>
        <w:t xml:space="preserve">roofers and carpenters, as measured by the number of quarters in which </w:t>
      </w:r>
      <w:r w:rsidR="00DC1590">
        <w:rPr>
          <w:color w:val="auto"/>
        </w:rPr>
        <w:t xml:space="preserve">these </w:t>
      </w:r>
      <w:r>
        <w:rPr>
          <w:color w:val="auto"/>
        </w:rPr>
        <w:t>trades have been in shortage</w:t>
      </w:r>
      <w:r w:rsidRPr="001A52B5">
        <w:rPr>
          <w:color w:val="auto"/>
        </w:rPr>
        <w:t xml:space="preserve"> (see</w:t>
      </w:r>
      <w:r w:rsidR="00DB6DE6">
        <w:rPr>
          <w:color w:val="auto"/>
        </w:rPr>
        <w:t> </w:t>
      </w:r>
      <w:r>
        <w:rPr>
          <w:color w:val="auto"/>
        </w:rPr>
        <w:t>Chart 2.2</w:t>
      </w:r>
      <w:r w:rsidR="00C5798D">
        <w:rPr>
          <w:color w:val="auto"/>
        </w:rPr>
        <w:t>9</w:t>
      </w:r>
      <w:r w:rsidRPr="001A52B5">
        <w:rPr>
          <w:color w:val="auto"/>
        </w:rPr>
        <w:t>).</w:t>
      </w:r>
      <w:r>
        <w:rPr>
          <w:color w:val="auto"/>
        </w:rPr>
        <w:t xml:space="preserve"> Nevertheless, the HIA Trade</w:t>
      </w:r>
      <w:r w:rsidR="0058034A">
        <w:rPr>
          <w:color w:val="auto"/>
        </w:rPr>
        <w:t>s</w:t>
      </w:r>
      <w:r>
        <w:rPr>
          <w:color w:val="auto"/>
        </w:rPr>
        <w:t xml:space="preserve"> Availability Index rose slightly in 2024, indicating a reduction in the shortage of skilled trades. </w:t>
      </w:r>
    </w:p>
    <w:tbl>
      <w:tblPr>
        <w:tblW w:w="5000" w:type="pct"/>
        <w:tblLayout w:type="fixed"/>
        <w:tblLook w:val="0000" w:firstRow="0" w:lastRow="0" w:firstColumn="0" w:lastColumn="0" w:noHBand="0" w:noVBand="0"/>
      </w:tblPr>
      <w:tblGrid>
        <w:gridCol w:w="4535"/>
        <w:gridCol w:w="4535"/>
      </w:tblGrid>
      <w:tr w:rsidR="007F2143" w:rsidRPr="00D6310E" w14:paraId="4B65ECAE" w14:textId="77777777">
        <w:trPr>
          <w:cantSplit/>
        </w:trPr>
        <w:tc>
          <w:tcPr>
            <w:tcW w:w="4535" w:type="dxa"/>
          </w:tcPr>
          <w:p w14:paraId="06F38C22" w14:textId="617C042A" w:rsidR="007F2143" w:rsidRPr="00D6310E" w:rsidRDefault="007F2143" w:rsidP="00EB0064">
            <w:pPr>
              <w:pStyle w:val="ChartMainHeading"/>
              <w:spacing w:before="0"/>
            </w:pPr>
            <w:r w:rsidRPr="00D6310E">
              <w:lastRenderedPageBreak/>
              <w:t>HIA Trade</w:t>
            </w:r>
            <w:r w:rsidR="0058034A">
              <w:t>s</w:t>
            </w:r>
            <w:r w:rsidRPr="00D6310E">
              <w:t xml:space="preserve"> Availability Index</w:t>
            </w:r>
          </w:p>
        </w:tc>
        <w:tc>
          <w:tcPr>
            <w:tcW w:w="4535" w:type="dxa"/>
          </w:tcPr>
          <w:p w14:paraId="4853A175" w14:textId="4778B154" w:rsidR="007F2143" w:rsidRPr="001A52B5" w:rsidRDefault="007F2143" w:rsidP="00EB0064">
            <w:pPr>
              <w:pStyle w:val="ChartMainHeading"/>
              <w:spacing w:before="0"/>
            </w:pPr>
            <w:r w:rsidRPr="001A52B5">
              <w:t>Duration of labour shortage</w:t>
            </w:r>
          </w:p>
        </w:tc>
      </w:tr>
      <w:tr w:rsidR="007F2143" w:rsidRPr="00D6310E" w14:paraId="779ADED1" w14:textId="77777777">
        <w:trPr>
          <w:cantSplit/>
        </w:trPr>
        <w:tc>
          <w:tcPr>
            <w:tcW w:w="4535" w:type="dxa"/>
          </w:tcPr>
          <w:p w14:paraId="46528181" w14:textId="3DB165D8" w:rsidR="007F2143" w:rsidRPr="0099326B" w:rsidRDefault="00945C85" w:rsidP="0099326B">
            <w:pPr>
              <w:pStyle w:val="ChartGraphic"/>
            </w:pPr>
            <w:r w:rsidRPr="00945C85">
              <w:rPr>
                <w:noProof/>
              </w:rPr>
              <w:drawing>
                <wp:inline distT="0" distB="0" distL="0" distR="0" wp14:anchorId="0854E623" wp14:editId="02DE6A2F">
                  <wp:extent cx="2742565" cy="2734945"/>
                  <wp:effectExtent l="0" t="0" r="0" b="0"/>
                  <wp:docPr id="656688577" name="Picture 45" descr="Chart 2.28 is a line chart showing the HIA Trade Availability Index from December 2016 to December 2024. The Index has generally remained negative across this eight-year period, indicating an ongoing perceived skill shortage.  The Index decreased rapidly from its peak of 0.1 in September 2020 to -0.9 in June 2022, before rebounding to reach -0.5 to December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88577" name="Picture 45" descr="Chart 2.28 is a line chart showing the HIA Trade Availability Index from December 2016 to December 2024. The Index has generally remained negative across this eight-year period, indicating an ongoing perceived skill shortage.  The Index decreased rapidly from its peak of 0.1 in September 2020 to -0.9 in June 2022, before rebounding to reach -0.5 to December 2024.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42565" cy="2734945"/>
                          </a:xfrm>
                          <a:prstGeom prst="rect">
                            <a:avLst/>
                          </a:prstGeom>
                          <a:noFill/>
                          <a:ln>
                            <a:noFill/>
                          </a:ln>
                        </pic:spPr>
                      </pic:pic>
                    </a:graphicData>
                  </a:graphic>
                </wp:inline>
              </w:drawing>
            </w:r>
          </w:p>
        </w:tc>
        <w:tc>
          <w:tcPr>
            <w:tcW w:w="4535" w:type="dxa"/>
          </w:tcPr>
          <w:p w14:paraId="1E31CD3A" w14:textId="599CE470" w:rsidR="007F2143" w:rsidRPr="0099326B" w:rsidRDefault="00945C85" w:rsidP="0099326B">
            <w:pPr>
              <w:pStyle w:val="ChartGraphic"/>
              <w:rPr>
                <w:sz w:val="18"/>
                <w:szCs w:val="18"/>
              </w:rPr>
            </w:pPr>
            <w:r w:rsidRPr="00945C85">
              <w:rPr>
                <w:noProof/>
              </w:rPr>
              <w:drawing>
                <wp:inline distT="0" distB="0" distL="0" distR="0" wp14:anchorId="48A9E6D9" wp14:editId="3506274F">
                  <wp:extent cx="2742565" cy="2734945"/>
                  <wp:effectExtent l="0" t="0" r="0" b="0"/>
                  <wp:docPr id="761773176" name="Picture 46" descr="Chart 2.29 is a bar chart showing the number of quarters in which HIA’s Trades Availability Survey has identified a labour shortage in each occupation across the past 20 years. Bricklaying and ceramic tiling top the list, recording shortages of 78 and 77 quarters, respectively. Shortage of roofing have been reported for 71 quarters, and carpentry trades for 65. Other trades have exhibited shortages for between 48 and 63 quar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773176" name="Picture 46" descr="Chart 2.29 is a bar chart showing the number of quarters in which HIA’s Trades Availability Survey has identified a labour shortage in each occupation across the past 20 years. Bricklaying and ceramic tiling top the list, recording shortages of 78 and 77 quarters, respectively. Shortage of roofing have been reported for 71 quarters, and carpentry trades for 65. Other trades have exhibited shortages for between 48 and 63 quarters.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42565" cy="2734945"/>
                          </a:xfrm>
                          <a:prstGeom prst="rect">
                            <a:avLst/>
                          </a:prstGeom>
                          <a:noFill/>
                          <a:ln>
                            <a:noFill/>
                          </a:ln>
                        </pic:spPr>
                      </pic:pic>
                    </a:graphicData>
                  </a:graphic>
                </wp:inline>
              </w:drawing>
            </w:r>
          </w:p>
        </w:tc>
      </w:tr>
      <w:tr w:rsidR="0099326B" w:rsidRPr="00D6310E" w14:paraId="0B7B25B0" w14:textId="77777777" w:rsidTr="00B46BA7">
        <w:trPr>
          <w:cantSplit/>
          <w:trHeight w:val="653"/>
        </w:trPr>
        <w:tc>
          <w:tcPr>
            <w:tcW w:w="4535" w:type="dxa"/>
          </w:tcPr>
          <w:p w14:paraId="13C9B729" w14:textId="41300337" w:rsidR="0099326B" w:rsidRDefault="0099326B" w:rsidP="00EB0064">
            <w:pPr>
              <w:pStyle w:val="ChartorTableNoteandSource"/>
              <w:spacing w:before="0" w:after="0"/>
            </w:pPr>
            <w:r>
              <w:t>Note:</w:t>
            </w:r>
            <w:r w:rsidR="00DB6DE6">
              <w:tab/>
            </w:r>
            <w:r>
              <w:t>The Trade</w:t>
            </w:r>
            <w:r w:rsidR="0058034A">
              <w:t xml:space="preserve">s </w:t>
            </w:r>
            <w:r>
              <w:t xml:space="preserve">Availability Index </w:t>
            </w:r>
            <w:r w:rsidRPr="002B64ED">
              <w:t>measures the industry</w:t>
            </w:r>
            <w:r w:rsidR="00A15C79">
              <w:t>’</w:t>
            </w:r>
            <w:r w:rsidRPr="002B64ED">
              <w:t>s perception of the availability of skilled trade</w:t>
            </w:r>
            <w:r>
              <w:t>s.</w:t>
            </w:r>
          </w:p>
          <w:p w14:paraId="52DBC9DB" w14:textId="70AF47DE" w:rsidR="007931D5" w:rsidRPr="00744357" w:rsidRDefault="007931D5" w:rsidP="00390CCC">
            <w:pPr>
              <w:pStyle w:val="ChartorTableNoteandSource"/>
              <w:spacing w:before="0" w:after="0"/>
            </w:pPr>
            <w:r w:rsidRPr="00D6310E">
              <w:t>Source:</w:t>
            </w:r>
            <w:r>
              <w:tab/>
              <w:t>HIA 202</w:t>
            </w:r>
            <w:r w:rsidR="00B958D8">
              <w:t>5</w:t>
            </w:r>
            <w:r w:rsidR="004C2B98">
              <w:t>b</w:t>
            </w:r>
          </w:p>
        </w:tc>
        <w:tc>
          <w:tcPr>
            <w:tcW w:w="4535" w:type="dxa"/>
          </w:tcPr>
          <w:p w14:paraId="30A59452" w14:textId="6155A129" w:rsidR="0099326B" w:rsidRDefault="0099326B" w:rsidP="00EB0064">
            <w:pPr>
              <w:pStyle w:val="ChartorTableNoteandSource"/>
              <w:spacing w:before="0" w:after="0"/>
            </w:pPr>
            <w:r>
              <w:t>Note:</w:t>
            </w:r>
            <w:r w:rsidR="00DB6DE6">
              <w:tab/>
            </w:r>
            <w:r>
              <w:t>The number of quarters in which the Trade</w:t>
            </w:r>
            <w:r w:rsidR="0058034A">
              <w:t>s</w:t>
            </w:r>
            <w:r>
              <w:t xml:space="preserve"> Availability Index has identified a labour shortage in each occupation.</w:t>
            </w:r>
          </w:p>
          <w:p w14:paraId="54DBB352" w14:textId="3EB6B6C9" w:rsidR="00390CCC" w:rsidRPr="00744357" w:rsidRDefault="00390CCC" w:rsidP="00390CCC">
            <w:pPr>
              <w:pStyle w:val="ChartorTableNoteandSource"/>
              <w:spacing w:before="0" w:after="0"/>
            </w:pPr>
            <w:r w:rsidRPr="00D6310E">
              <w:t>Source:</w:t>
            </w:r>
            <w:r>
              <w:tab/>
              <w:t>HIA</w:t>
            </w:r>
            <w:r w:rsidR="008B03B4">
              <w:t xml:space="preserve"> </w:t>
            </w:r>
            <w:r w:rsidRPr="00E671BB">
              <w:t>All Hands on Deck</w:t>
            </w:r>
            <w:r w:rsidRPr="00EA28F7">
              <w:t xml:space="preserve"> </w:t>
            </w:r>
            <w:r w:rsidR="008B03B4">
              <w:t>R</w:t>
            </w:r>
            <w:r>
              <w:t>eport 2024</w:t>
            </w:r>
          </w:p>
        </w:tc>
      </w:tr>
    </w:tbl>
    <w:p w14:paraId="0B62F356" w14:textId="2B617F67" w:rsidR="007F2143" w:rsidRDefault="007F2143" w:rsidP="0041126E">
      <w:r w:rsidRPr="002949B5">
        <w:t xml:space="preserve">Recruitment difficulty in the construction sector </w:t>
      </w:r>
      <w:r w:rsidR="007B325E" w:rsidRPr="002949B5">
        <w:t xml:space="preserve">has </w:t>
      </w:r>
      <w:r w:rsidR="00ED19D1" w:rsidRPr="0041126E">
        <w:t xml:space="preserve">also </w:t>
      </w:r>
      <w:r w:rsidR="007B325E" w:rsidRPr="002949B5">
        <w:t>begun to ease</w:t>
      </w:r>
      <w:r w:rsidRPr="002949B5">
        <w:t xml:space="preserve"> (</w:t>
      </w:r>
      <w:r w:rsidR="00024B19" w:rsidRPr="002949B5">
        <w:t xml:space="preserve">see </w:t>
      </w:r>
      <w:r w:rsidRPr="002949B5">
        <w:t>Chart 2.</w:t>
      </w:r>
      <w:r w:rsidR="00C5798D" w:rsidRPr="002949B5">
        <w:t>30</w:t>
      </w:r>
      <w:r w:rsidRPr="002949B5">
        <w:t xml:space="preserve">). </w:t>
      </w:r>
      <w:r w:rsidR="00352753" w:rsidRPr="002949B5">
        <w:t>T</w:t>
      </w:r>
      <w:r w:rsidRPr="002949B5">
        <w:t xml:space="preserve">he share of recruiting employers who had difficulty hiring employees in the construction sector </w:t>
      </w:r>
      <w:r w:rsidR="00352753" w:rsidRPr="002949B5">
        <w:t xml:space="preserve">has returned to a similar rate to </w:t>
      </w:r>
      <w:r w:rsidR="00992D7C" w:rsidRPr="002949B5">
        <w:t xml:space="preserve">the </w:t>
      </w:r>
      <w:r w:rsidRPr="002949B5">
        <w:t xml:space="preserve">overall economy. </w:t>
      </w:r>
      <w:r w:rsidR="00352753" w:rsidRPr="002949B5">
        <w:t>Nonetheless</w:t>
      </w:r>
      <w:r w:rsidRPr="002949B5">
        <w:t>, recruitment in the construction sector was more difficult in regional areas than in the capital cities (see Chart</w:t>
      </w:r>
      <w:r w:rsidR="0036085D" w:rsidRPr="002949B5">
        <w:t> </w:t>
      </w:r>
      <w:r w:rsidRPr="002949B5">
        <w:t>2.</w:t>
      </w:r>
      <w:r w:rsidR="00C5798D" w:rsidRPr="002949B5">
        <w:t>31</w:t>
      </w:r>
      <w:r w:rsidRPr="002949B5">
        <w:t>).</w:t>
      </w:r>
      <w:r w:rsidRPr="00CC3B78">
        <w:t xml:space="preserve"> </w:t>
      </w:r>
    </w:p>
    <w:tbl>
      <w:tblPr>
        <w:tblW w:w="5000" w:type="pct"/>
        <w:tblLayout w:type="fixed"/>
        <w:tblLook w:val="0000" w:firstRow="0" w:lastRow="0" w:firstColumn="0" w:lastColumn="0" w:noHBand="0" w:noVBand="0"/>
      </w:tblPr>
      <w:tblGrid>
        <w:gridCol w:w="4535"/>
        <w:gridCol w:w="4535"/>
      </w:tblGrid>
      <w:tr w:rsidR="007F2143" w14:paraId="0B5B3950" w14:textId="77777777">
        <w:trPr>
          <w:cantSplit/>
        </w:trPr>
        <w:tc>
          <w:tcPr>
            <w:tcW w:w="4535" w:type="dxa"/>
          </w:tcPr>
          <w:p w14:paraId="6E1DE402" w14:textId="6CD7EFDA" w:rsidR="007F2143" w:rsidRPr="00EB0064" w:rsidRDefault="007F2143" w:rsidP="00EB0064">
            <w:pPr>
              <w:pStyle w:val="ChartMainHeading"/>
            </w:pPr>
            <w:r w:rsidRPr="002949B5">
              <w:t>Recruitment difficulty, by</w:t>
            </w:r>
            <w:r w:rsidR="0099326B" w:rsidRPr="002949B5">
              <w:t> </w:t>
            </w:r>
            <w:r w:rsidRPr="002949B5">
              <w:t>industry</w:t>
            </w:r>
          </w:p>
        </w:tc>
        <w:tc>
          <w:tcPr>
            <w:tcW w:w="4535" w:type="dxa"/>
          </w:tcPr>
          <w:p w14:paraId="0BC122A8" w14:textId="55756653" w:rsidR="007F2143" w:rsidRPr="00EB0064" w:rsidRDefault="007F2143" w:rsidP="00EB0064">
            <w:pPr>
              <w:pStyle w:val="ChartMainHeading"/>
            </w:pPr>
            <w:r w:rsidRPr="00EB0064">
              <w:t>Recruitment difficulty, by</w:t>
            </w:r>
            <w:r w:rsidR="0099326B" w:rsidRPr="00EB0064">
              <w:t> </w:t>
            </w:r>
            <w:r w:rsidRPr="00EB0064">
              <w:t>region</w:t>
            </w:r>
            <w:r w:rsidR="003D7DC7" w:rsidRPr="00EB0064">
              <w:t xml:space="preserve"> type</w:t>
            </w:r>
            <w:r w:rsidRPr="00EB0064">
              <w:t xml:space="preserve">, </w:t>
            </w:r>
            <w:r w:rsidR="00A57F18" w:rsidRPr="00EB0064">
              <w:t>2023</w:t>
            </w:r>
            <w:r w:rsidR="006C3AEC">
              <w:t>–</w:t>
            </w:r>
            <w:r w:rsidR="00A57F18" w:rsidRPr="00EB0064">
              <w:t>24</w:t>
            </w:r>
          </w:p>
        </w:tc>
      </w:tr>
      <w:tr w:rsidR="007F2143" w14:paraId="718BEAED" w14:textId="77777777">
        <w:trPr>
          <w:cantSplit/>
        </w:trPr>
        <w:tc>
          <w:tcPr>
            <w:tcW w:w="4535" w:type="dxa"/>
          </w:tcPr>
          <w:p w14:paraId="673ED8B1" w14:textId="6D55CD44" w:rsidR="007F2143" w:rsidRDefault="00E42551" w:rsidP="0099326B">
            <w:pPr>
              <w:pStyle w:val="ChartGraphic"/>
            </w:pPr>
            <w:r w:rsidRPr="00E42551">
              <w:rPr>
                <w:noProof/>
              </w:rPr>
              <w:drawing>
                <wp:inline distT="0" distB="0" distL="0" distR="0" wp14:anchorId="38BFE070" wp14:editId="6972C4C0">
                  <wp:extent cx="2742565" cy="2742565"/>
                  <wp:effectExtent l="0" t="0" r="0" b="635"/>
                  <wp:docPr id="1111235752" name="Picture 1" descr="Chart 2.30 is a line chart showing the proportion of recruiting employers who reported difficulty recruiting between September 2020 and March 2025, for both the construction industry and amongst all recruiting employers. The proportion of construction industry employers who reported difficulty recruiting rose to a peak of 80 per cent in December 2022, while for all employers, difficulty peaked at 72 per cent in September 2022. Both series have declined to approximately 42 per cent in March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235752" name="Picture 1" descr="Chart 2.30 is a line chart showing the proportion of recruiting employers who reported difficulty recruiting between September 2020 and March 2025, for both the construction industry and amongst all recruiting employers. The proportion of construction industry employers who reported difficulty recruiting rose to a peak of 80 per cent in December 2022, while for all employers, difficulty peaked at 72 per cent in September 2022. Both series have declined to approximately 42 per cent in March 2025.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42565" cy="2742565"/>
                          </a:xfrm>
                          <a:prstGeom prst="rect">
                            <a:avLst/>
                          </a:prstGeom>
                          <a:noFill/>
                          <a:ln>
                            <a:noFill/>
                          </a:ln>
                        </pic:spPr>
                      </pic:pic>
                    </a:graphicData>
                  </a:graphic>
                </wp:inline>
              </w:drawing>
            </w:r>
            <w:r w:rsidRPr="00E42551" w:rsidDel="00E42551">
              <w:t xml:space="preserve"> </w:t>
            </w:r>
            <w:r w:rsidR="007F2143">
              <w:t xml:space="preserve"> </w:t>
            </w:r>
          </w:p>
        </w:tc>
        <w:tc>
          <w:tcPr>
            <w:tcW w:w="4535" w:type="dxa"/>
          </w:tcPr>
          <w:p w14:paraId="710BECE4" w14:textId="0FB0971A" w:rsidR="007F2143" w:rsidRDefault="008C5BCD" w:rsidP="0099326B">
            <w:pPr>
              <w:pStyle w:val="ChartGraphic"/>
            </w:pPr>
            <w:r w:rsidRPr="008C5BCD">
              <w:rPr>
                <w:noProof/>
              </w:rPr>
              <w:drawing>
                <wp:inline distT="0" distB="0" distL="0" distR="0" wp14:anchorId="5F9A245F" wp14:editId="073FBE0D">
                  <wp:extent cx="2742565" cy="2742565"/>
                  <wp:effectExtent l="0" t="0" r="635" b="635"/>
                  <wp:docPr id="1137666531" name="Picture 48" descr="Chart 2.31 is a bar chart showing the proportion of recruiting employers who reported difficulty recruiting in 2023-24, in both the construction industry and amongst all industries, and across capital city and rest-of-state regions. Recruitment was more difficult in rest of state regions compared to capital city regions for both the construction industry and the economy as a whole. In capital cities, 56 per cent of construction industry employers reported recruitment difficulty, compared to 53 per cent for all industries. In rest-of-state regions, 63 per cent of construction industry employers reported recruitment difficulty, compared to 60 per cent across all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666531" name="Picture 48" descr="Chart 2.31 is a bar chart showing the proportion of recruiting employers who reported difficulty recruiting in 2023-24, in both the construction industry and amongst all industries, and across capital city and rest-of-state regions. Recruitment was more difficult in rest of state regions compared to capital city regions for both the construction industry and the economy as a whole. In capital cities, 56 per cent of construction industry employers reported recruitment difficulty, compared to 53 per cent for all industries. In rest-of-state regions, 63 per cent of construction industry employers reported recruitment difficulty, compared to 60 per cent across all industrie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42565" cy="2742565"/>
                          </a:xfrm>
                          <a:prstGeom prst="rect">
                            <a:avLst/>
                          </a:prstGeom>
                          <a:noFill/>
                          <a:ln>
                            <a:noFill/>
                          </a:ln>
                        </pic:spPr>
                      </pic:pic>
                    </a:graphicData>
                  </a:graphic>
                </wp:inline>
              </w:drawing>
            </w:r>
          </w:p>
        </w:tc>
      </w:tr>
      <w:tr w:rsidR="0099326B" w14:paraId="79DA9292" w14:textId="77777777">
        <w:trPr>
          <w:cantSplit/>
        </w:trPr>
        <w:tc>
          <w:tcPr>
            <w:tcW w:w="4535" w:type="dxa"/>
          </w:tcPr>
          <w:p w14:paraId="7761BF13" w14:textId="56DB9493" w:rsidR="0099326B" w:rsidRDefault="0099326B" w:rsidP="00EB0064">
            <w:pPr>
              <w:pStyle w:val="ChartorTableNoteandSource"/>
              <w:spacing w:before="0" w:after="0"/>
            </w:pPr>
            <w:r w:rsidRPr="001A7B9E">
              <w:t>Note:</w:t>
            </w:r>
            <w:r w:rsidR="00531399">
              <w:tab/>
            </w:r>
            <w:r>
              <w:t xml:space="preserve">The share </w:t>
            </w:r>
            <w:r w:rsidRPr="001A7B9E">
              <w:t xml:space="preserve">of recruiting employers </w:t>
            </w:r>
            <w:r>
              <w:t>that</w:t>
            </w:r>
            <w:r w:rsidRPr="001A7B9E">
              <w:t xml:space="preserve"> report difficulty recruiting.</w:t>
            </w:r>
          </w:p>
          <w:p w14:paraId="4639D8B8" w14:textId="7BFF0071" w:rsidR="00C94F37" w:rsidRPr="0041126E" w:rsidRDefault="00C94F37" w:rsidP="00C94F37">
            <w:pPr>
              <w:pStyle w:val="ChartorTableNoteandSource"/>
              <w:spacing w:before="0" w:after="0"/>
              <w:rPr>
                <w:rFonts w:asciiTheme="minorHAnsi" w:hAnsiTheme="minorHAnsi"/>
                <w:color w:val="000000" w:themeColor="text1"/>
                <w:szCs w:val="18"/>
              </w:rPr>
            </w:pPr>
            <w:r w:rsidRPr="001A7B9E">
              <w:rPr>
                <w:rFonts w:asciiTheme="minorHAnsi" w:hAnsiTheme="minorHAnsi"/>
                <w:color w:val="000000" w:themeColor="text1"/>
                <w:szCs w:val="18"/>
              </w:rPr>
              <w:t>Source:</w:t>
            </w:r>
            <w:r>
              <w:rPr>
                <w:rFonts w:asciiTheme="minorHAnsi" w:hAnsiTheme="minorHAnsi"/>
                <w:color w:val="000000" w:themeColor="text1"/>
                <w:szCs w:val="18"/>
              </w:rPr>
              <w:tab/>
            </w:r>
            <w:r w:rsidRPr="001A7B9E">
              <w:rPr>
                <w:rFonts w:asciiTheme="minorHAnsi" w:hAnsiTheme="minorHAnsi"/>
                <w:color w:val="000000" w:themeColor="text1"/>
                <w:szCs w:val="18"/>
              </w:rPr>
              <w:t>Jobs and Skills Australia 202</w:t>
            </w:r>
            <w:r w:rsidR="00216D5F">
              <w:rPr>
                <w:rFonts w:asciiTheme="minorHAnsi" w:hAnsiTheme="minorHAnsi"/>
                <w:color w:val="000000" w:themeColor="text1"/>
                <w:szCs w:val="18"/>
              </w:rPr>
              <w:t>5</w:t>
            </w:r>
          </w:p>
        </w:tc>
        <w:tc>
          <w:tcPr>
            <w:tcW w:w="4535" w:type="dxa"/>
          </w:tcPr>
          <w:p w14:paraId="343BEC07" w14:textId="1EA94395" w:rsidR="0099326B" w:rsidRPr="00055D97" w:rsidRDefault="0099326B" w:rsidP="00EB0064">
            <w:pPr>
              <w:pStyle w:val="ChartorTableNoteandSource"/>
              <w:spacing w:before="0" w:after="0"/>
              <w:rPr>
                <w:noProof/>
              </w:rPr>
            </w:pPr>
            <w:r w:rsidRPr="001A7B9E">
              <w:rPr>
                <w:color w:val="000000" w:themeColor="text1"/>
                <w:szCs w:val="18"/>
              </w:rPr>
              <w:t>Source:</w:t>
            </w:r>
            <w:r w:rsidR="00531399">
              <w:rPr>
                <w:color w:val="000000" w:themeColor="text1"/>
                <w:szCs w:val="18"/>
              </w:rPr>
              <w:tab/>
            </w:r>
            <w:r w:rsidRPr="001A7B9E">
              <w:rPr>
                <w:color w:val="000000" w:themeColor="text1"/>
                <w:szCs w:val="18"/>
              </w:rPr>
              <w:t>Jobs and Skills Australia 2024</w:t>
            </w:r>
          </w:p>
        </w:tc>
      </w:tr>
    </w:tbl>
    <w:p w14:paraId="1B665413" w14:textId="77777777" w:rsidR="00493879" w:rsidRDefault="00493879" w:rsidP="00C9157E">
      <w:r>
        <w:br w:type="page"/>
      </w:r>
    </w:p>
    <w:p w14:paraId="33863C6B" w14:textId="7B3AD766" w:rsidR="007F2143" w:rsidRPr="0018727B" w:rsidRDefault="00ED19D1" w:rsidP="00C9157E">
      <w:pPr>
        <w:rPr>
          <w:bCs/>
        </w:rPr>
      </w:pPr>
      <w:r w:rsidRPr="002949B5">
        <w:lastRenderedPageBreak/>
        <w:t xml:space="preserve">Consistent </w:t>
      </w:r>
      <w:r w:rsidR="00DC2353" w:rsidRPr="002949B5">
        <w:t xml:space="preserve">with the </w:t>
      </w:r>
      <w:r w:rsidR="00546C8C" w:rsidRPr="002949B5">
        <w:t>recent improvement in labour shortages, construction sector wages growth has slowed</w:t>
      </w:r>
      <w:r w:rsidR="007F2143" w:rsidRPr="002949B5">
        <w:t xml:space="preserve">. Construction sector wages </w:t>
      </w:r>
      <w:r w:rsidR="007F2143" w:rsidRPr="002949B5" w:rsidDel="0018727B">
        <w:t>rose by 3.</w:t>
      </w:r>
      <w:r w:rsidR="007F2143" w:rsidRPr="002949B5">
        <w:t>4</w:t>
      </w:r>
      <w:r w:rsidR="0099326B" w:rsidRPr="002949B5">
        <w:t> per cent</w:t>
      </w:r>
      <w:r w:rsidR="007F2143" w:rsidRPr="002949B5" w:rsidDel="0018727B">
        <w:t xml:space="preserve"> over the year to </w:t>
      </w:r>
      <w:r w:rsidR="007F2143" w:rsidRPr="002949B5">
        <w:t>December 2024,</w:t>
      </w:r>
      <w:r w:rsidR="007F2143" w:rsidRPr="002949B5" w:rsidDel="0018727B">
        <w:t xml:space="preserve"> after</w:t>
      </w:r>
      <w:r w:rsidR="007F2143" w:rsidRPr="00CF1CC5" w:rsidDel="0018727B">
        <w:t xml:space="preserve"> peaking at 4.3</w:t>
      </w:r>
      <w:r w:rsidR="0099326B">
        <w:t> per cent</w:t>
      </w:r>
      <w:r w:rsidR="007F2143" w:rsidRPr="00CF1CC5" w:rsidDel="0018727B">
        <w:t xml:space="preserve"> </w:t>
      </w:r>
      <w:r w:rsidR="007F2143">
        <w:t xml:space="preserve">over the year to </w:t>
      </w:r>
      <w:r w:rsidR="007F2143" w:rsidRPr="00CF1CC5" w:rsidDel="0018727B">
        <w:t>September 2023</w:t>
      </w:r>
      <w:r w:rsidR="007F2143">
        <w:t xml:space="preserve"> (</w:t>
      </w:r>
      <w:r w:rsidR="002A0D42">
        <w:t xml:space="preserve">see </w:t>
      </w:r>
      <w:r w:rsidR="007F2143">
        <w:t>Chart 2.</w:t>
      </w:r>
      <w:r w:rsidR="007F2143" w:rsidRPr="00CF1CC5">
        <w:t>3</w:t>
      </w:r>
      <w:r w:rsidR="00C5798D">
        <w:t>2</w:t>
      </w:r>
      <w:r w:rsidR="007F2143">
        <w:t>)</w:t>
      </w:r>
      <w:r w:rsidR="007F2143" w:rsidRPr="00897C9A" w:rsidDel="0018727B">
        <w:t>.</w:t>
      </w:r>
      <w:r w:rsidR="007F2143" w:rsidRPr="00897C9A" w:rsidDel="005F06C8">
        <w:t xml:space="preserve"> </w:t>
      </w:r>
      <w:r w:rsidR="007F2143">
        <w:t xml:space="preserve">Construction sector wage growth </w:t>
      </w:r>
      <w:r w:rsidR="007F2143" w:rsidRPr="00CF1CC5">
        <w:t>remains</w:t>
      </w:r>
      <w:r w:rsidR="007F2143">
        <w:t xml:space="preserve"> in line with average wage growth across the economy</w:t>
      </w:r>
      <w:r w:rsidR="007F2143" w:rsidRPr="00CF1CC5">
        <w:t xml:space="preserve">, having </w:t>
      </w:r>
      <w:r w:rsidR="007F2143">
        <w:t xml:space="preserve">grown at a slightly faster rate in the preceding </w:t>
      </w:r>
      <w:r w:rsidR="002A0D42">
        <w:t xml:space="preserve">2 </w:t>
      </w:r>
      <w:r w:rsidR="007F2143">
        <w:t>years. Despite</w:t>
      </w:r>
      <w:r w:rsidR="007F2143" w:rsidRPr="00CF1CC5">
        <w:t xml:space="preserve"> decelerat</w:t>
      </w:r>
      <w:r w:rsidR="007F2143">
        <w:t xml:space="preserve">ing slightly, construction sector wage growth remains above </w:t>
      </w:r>
      <w:r w:rsidR="007F2143" w:rsidRPr="00CF1CC5">
        <w:t>its 15</w:t>
      </w:r>
      <w:r w:rsidR="00A15C79">
        <w:noBreakHyphen/>
      </w:r>
      <w:r w:rsidR="007F2143" w:rsidRPr="00CF1CC5">
        <w:t xml:space="preserve">year </w:t>
      </w:r>
      <w:r w:rsidR="007F2143" w:rsidRPr="009628A8">
        <w:t xml:space="preserve">annual </w:t>
      </w:r>
      <w:r w:rsidR="007F2143" w:rsidRPr="00CF1CC5">
        <w:t xml:space="preserve">average </w:t>
      </w:r>
      <w:r w:rsidR="007F2143">
        <w:t xml:space="preserve">rate </w:t>
      </w:r>
      <w:r w:rsidR="007F2143" w:rsidRPr="00CF1CC5">
        <w:t>of 2.7</w:t>
      </w:r>
      <w:r w:rsidR="0099326B">
        <w:t> per cent</w:t>
      </w:r>
      <w:r w:rsidR="007F2143">
        <w:t xml:space="preserve">, </w:t>
      </w:r>
      <w:r w:rsidR="00D50C92">
        <w:t>reflecting</w:t>
      </w:r>
      <w:r w:rsidR="007F2143">
        <w:t xml:space="preserve"> tight labour market conditions across </w:t>
      </w:r>
      <w:r w:rsidR="007F2143" w:rsidRPr="00CF1CC5">
        <w:t xml:space="preserve">both the industry and the overall economy. </w:t>
      </w:r>
    </w:p>
    <w:tbl>
      <w:tblPr>
        <w:tblW w:w="5158" w:type="pct"/>
        <w:tblLayout w:type="fixed"/>
        <w:tblLook w:val="0000" w:firstRow="0" w:lastRow="0" w:firstColumn="0" w:lastColumn="0" w:noHBand="0" w:noVBand="0"/>
      </w:tblPr>
      <w:tblGrid>
        <w:gridCol w:w="4678"/>
        <w:gridCol w:w="4679"/>
      </w:tblGrid>
      <w:tr w:rsidR="007F2143" w14:paraId="07AD761F" w14:textId="77777777">
        <w:trPr>
          <w:cantSplit/>
          <w:trHeight w:val="554"/>
        </w:trPr>
        <w:tc>
          <w:tcPr>
            <w:tcW w:w="4678" w:type="dxa"/>
          </w:tcPr>
          <w:p w14:paraId="3FC89310" w14:textId="4FE0B140" w:rsidR="007F2143" w:rsidRPr="006A4067" w:rsidRDefault="00100176" w:rsidP="001B4EAF">
            <w:pPr>
              <w:pStyle w:val="ChartMainHeading"/>
            </w:pPr>
            <w:bookmarkStart w:id="101" w:name="_Ref189476066"/>
            <w:r w:rsidRPr="002949B5">
              <w:t>W</w:t>
            </w:r>
            <w:r w:rsidR="007F2143" w:rsidRPr="002949B5">
              <w:t>age</w:t>
            </w:r>
            <w:bookmarkEnd w:id="101"/>
            <w:r w:rsidR="007F2143" w:rsidRPr="002949B5">
              <w:t xml:space="preserve"> growth</w:t>
            </w:r>
            <w:r w:rsidR="007F2143">
              <w:t xml:space="preserve"> </w:t>
            </w:r>
          </w:p>
        </w:tc>
        <w:tc>
          <w:tcPr>
            <w:tcW w:w="4679" w:type="dxa"/>
          </w:tcPr>
          <w:p w14:paraId="0CBE9D84" w14:textId="01818B0F" w:rsidR="007F2143" w:rsidRDefault="007F2143" w:rsidP="001B4EAF">
            <w:pPr>
              <w:pStyle w:val="ChartMainHeading"/>
            </w:pPr>
            <w:r>
              <w:t xml:space="preserve">Public sector engineering construction </w:t>
            </w:r>
            <w:r w:rsidR="00A66323">
              <w:t>work done</w:t>
            </w:r>
          </w:p>
        </w:tc>
      </w:tr>
      <w:tr w:rsidR="007F2143" w14:paraId="0808F97D" w14:textId="77777777">
        <w:trPr>
          <w:cantSplit/>
          <w:trHeight w:val="3213"/>
        </w:trPr>
        <w:tc>
          <w:tcPr>
            <w:tcW w:w="4678" w:type="dxa"/>
          </w:tcPr>
          <w:p w14:paraId="255FBC20" w14:textId="79FCD204" w:rsidR="007F2143" w:rsidRPr="0099326B" w:rsidRDefault="003F629D" w:rsidP="0099326B">
            <w:pPr>
              <w:pStyle w:val="ChartGraphic"/>
              <w:rPr>
                <w:szCs w:val="18"/>
              </w:rPr>
            </w:pPr>
            <w:r w:rsidRPr="003F629D">
              <w:rPr>
                <w:noProof/>
              </w:rPr>
              <w:drawing>
                <wp:inline distT="0" distB="0" distL="0" distR="0" wp14:anchorId="318F669A" wp14:editId="1E7EE37B">
                  <wp:extent cx="2830830" cy="2823845"/>
                  <wp:effectExtent l="0" t="0" r="0" b="0"/>
                  <wp:docPr id="1236207035" name="Picture 49" descr="Chart 2.32 is a line chart showing through the year wage growth rates for both the construction industry and all industries from December 2016 to December 2024. Both series exhibit broadly similar trends, remaining steady at around 2 per cent through the year growth between December 2016 and March 2020 before declining sharply between March 2020 and June 2020. The growth rate for wages in both series then accelerated to reach a peak of just over 4 per cent in late-2023, before decelerating to 3.4 per cent for the construction industry, and 3.2 per cent for all industries, in Decem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207035" name="Picture 49" descr="Chart 2.32 is a line chart showing through the year wage growth rates for both the construction industry and all industries from December 2016 to December 2024. Both series exhibit broadly similar trends, remaining steady at around 2 per cent through the year growth between December 2016 and March 2020 before declining sharply between March 2020 and June 2020. The growth rate for wages in both series then accelerated to reach a peak of just over 4 per cent in late-2023, before decelerating to 3.4 per cent for the construction industry, and 3.2 per cent for all industries, in December 20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30830" cy="2823845"/>
                          </a:xfrm>
                          <a:prstGeom prst="rect">
                            <a:avLst/>
                          </a:prstGeom>
                          <a:noFill/>
                          <a:ln>
                            <a:noFill/>
                          </a:ln>
                        </pic:spPr>
                      </pic:pic>
                    </a:graphicData>
                  </a:graphic>
                </wp:inline>
              </w:drawing>
            </w:r>
            <w:r w:rsidR="007F2143">
              <w:t xml:space="preserve"> </w:t>
            </w:r>
          </w:p>
        </w:tc>
        <w:tc>
          <w:tcPr>
            <w:tcW w:w="4679" w:type="dxa"/>
          </w:tcPr>
          <w:p w14:paraId="52B86BB6" w14:textId="7311E7A0" w:rsidR="007F2143" w:rsidRDefault="008328EF" w:rsidP="0099326B">
            <w:pPr>
              <w:pStyle w:val="ChartGraphic"/>
            </w:pPr>
            <w:r w:rsidRPr="008328EF">
              <w:rPr>
                <w:noProof/>
              </w:rPr>
              <w:drawing>
                <wp:inline distT="0" distB="0" distL="0" distR="0" wp14:anchorId="34D8A2AB" wp14:editId="5F059FB0">
                  <wp:extent cx="2830830" cy="2838450"/>
                  <wp:effectExtent l="0" t="0" r="0" b="0"/>
                  <wp:docPr id="1368832037" name="Picture 51" descr="Chart 2.33 is a line chart showing the chain volume measure of engineering construction activity undertaken for the public sector in Australia between December 2016 and December 2024. The value of engineering construction activity remained relatively stable between December 2016 and March 2021, increasing from $7.9 billion to $8.7 billion over this period. The value of activity has increased significantly since March 2021, reaching $18.2 billion in Decem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32037" name="Picture 51" descr="Chart 2.33 is a line chart showing the chain volume measure of engineering construction activity undertaken for the public sector in Australia between December 2016 and December 2024. The value of engineering construction activity remained relatively stable between December 2016 and March 2021, increasing from $7.9 billion to $8.7 billion over this period. The value of activity has increased significantly since March 2021, reaching $18.2 billion in December 202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30830" cy="2838450"/>
                          </a:xfrm>
                          <a:prstGeom prst="rect">
                            <a:avLst/>
                          </a:prstGeom>
                          <a:noFill/>
                          <a:ln>
                            <a:noFill/>
                          </a:ln>
                        </pic:spPr>
                      </pic:pic>
                    </a:graphicData>
                  </a:graphic>
                </wp:inline>
              </w:drawing>
            </w:r>
            <w:r w:rsidR="007F2143" w:rsidRPr="00271DE1" w:rsidDel="001E6701">
              <w:t xml:space="preserve"> </w:t>
            </w:r>
          </w:p>
        </w:tc>
      </w:tr>
      <w:tr w:rsidR="0099326B" w14:paraId="2AA0B025" w14:textId="77777777" w:rsidTr="0099326B">
        <w:trPr>
          <w:cantSplit/>
          <w:trHeight w:val="80"/>
        </w:trPr>
        <w:tc>
          <w:tcPr>
            <w:tcW w:w="4678" w:type="dxa"/>
          </w:tcPr>
          <w:p w14:paraId="248EA043" w14:textId="44B75AD0" w:rsidR="0099326B" w:rsidRDefault="0099326B" w:rsidP="00DB6DE6">
            <w:pPr>
              <w:pStyle w:val="ChartorTableNoteandSource"/>
            </w:pPr>
            <w:r w:rsidRPr="00AA4169">
              <w:t>Note:</w:t>
            </w:r>
            <w:r w:rsidR="00DB6DE6">
              <w:tab/>
            </w:r>
            <w:r w:rsidR="00BC52B3">
              <w:t>R</w:t>
            </w:r>
            <w:r w:rsidRPr="00AA4169">
              <w:t>olling annual growth rate</w:t>
            </w:r>
            <w:r>
              <w:t>;</w:t>
            </w:r>
            <w:r w:rsidRPr="00AA4169">
              <w:t xml:space="preserve"> total hourly rates of pay excluding bonuses</w:t>
            </w:r>
            <w:r>
              <w:t xml:space="preserve">, </w:t>
            </w:r>
            <w:r w:rsidRPr="00AA4169">
              <w:t>private and public sectors</w:t>
            </w:r>
            <w:r w:rsidR="009B3ED5">
              <w:t>.</w:t>
            </w:r>
          </w:p>
          <w:p w14:paraId="07F4861B" w14:textId="7070794C" w:rsidR="00617D13" w:rsidRPr="00E0704F" w:rsidRDefault="00617D13" w:rsidP="008A5E6B">
            <w:pPr>
              <w:pStyle w:val="ChartorTableNoteandSource"/>
            </w:pPr>
            <w:r w:rsidRPr="0041126E">
              <w:rPr>
                <w:color w:val="auto"/>
              </w:rPr>
              <w:t>Source:</w:t>
            </w:r>
            <w:r w:rsidRPr="0041126E">
              <w:rPr>
                <w:color w:val="auto"/>
              </w:rPr>
              <w:tab/>
              <w:t>ABS Wage Price Index 202</w:t>
            </w:r>
            <w:r w:rsidR="00216D5F">
              <w:rPr>
                <w:color w:val="auto"/>
              </w:rPr>
              <w:t>5</w:t>
            </w:r>
          </w:p>
        </w:tc>
        <w:tc>
          <w:tcPr>
            <w:tcW w:w="4679" w:type="dxa"/>
          </w:tcPr>
          <w:p w14:paraId="3E776D2C" w14:textId="0430253B" w:rsidR="0099326B" w:rsidRPr="0041126E" w:rsidRDefault="0099326B" w:rsidP="00DB6DE6">
            <w:pPr>
              <w:pStyle w:val="ChartorTableNoteandSource"/>
              <w:rPr>
                <w:color w:val="auto"/>
              </w:rPr>
            </w:pPr>
            <w:r w:rsidRPr="0041126E">
              <w:rPr>
                <w:color w:val="auto"/>
              </w:rPr>
              <w:t>Note:</w:t>
            </w:r>
            <w:r w:rsidR="00617D13" w:rsidRPr="0041126E">
              <w:rPr>
                <w:color w:val="auto"/>
              </w:rPr>
              <w:tab/>
            </w:r>
            <w:r w:rsidR="009B3ED5">
              <w:rPr>
                <w:color w:val="auto"/>
              </w:rPr>
              <w:t>E</w:t>
            </w:r>
            <w:r w:rsidRPr="0041126E">
              <w:rPr>
                <w:color w:val="auto"/>
              </w:rPr>
              <w:t>ngineering construction activity, value of work done for the public sector</w:t>
            </w:r>
            <w:r w:rsidR="009B3ED5">
              <w:rPr>
                <w:color w:val="auto"/>
              </w:rPr>
              <w:t>.</w:t>
            </w:r>
          </w:p>
          <w:p w14:paraId="4AC96125" w14:textId="62C466C6" w:rsidR="007F4B69" w:rsidRPr="007F4B69" w:rsidRDefault="007F4B69" w:rsidP="007F4B69">
            <w:pPr>
              <w:pStyle w:val="ChartorTableNoteandSource"/>
            </w:pPr>
            <w:r w:rsidRPr="0041126E">
              <w:rPr>
                <w:color w:val="auto"/>
              </w:rPr>
              <w:t>Source:</w:t>
            </w:r>
            <w:r w:rsidR="00617D13" w:rsidRPr="0041126E">
              <w:rPr>
                <w:color w:val="auto"/>
              </w:rPr>
              <w:tab/>
            </w:r>
            <w:r w:rsidRPr="0041126E">
              <w:rPr>
                <w:color w:val="auto"/>
              </w:rPr>
              <w:t>ABS Engineering Construction Activity 2025</w:t>
            </w:r>
          </w:p>
        </w:tc>
      </w:tr>
    </w:tbl>
    <w:p w14:paraId="5B57F81D" w14:textId="6C9F82D9" w:rsidR="007F2143" w:rsidRPr="00C039B2" w:rsidRDefault="007F2143">
      <w:pPr>
        <w:pStyle w:val="Heading4"/>
      </w:pPr>
      <w:r>
        <w:t>Competition with other construction sectors</w:t>
      </w:r>
    </w:p>
    <w:p w14:paraId="58D66A38" w14:textId="33183DA9" w:rsidR="007F2143" w:rsidRPr="00090931" w:rsidRDefault="007F2143">
      <w:pPr>
        <w:rPr>
          <w:color w:val="auto"/>
        </w:rPr>
      </w:pPr>
      <w:r w:rsidRPr="009628A8">
        <w:rPr>
          <w:color w:val="auto"/>
        </w:rPr>
        <w:t>Industry feedback</w:t>
      </w:r>
      <w:r w:rsidRPr="00090931">
        <w:rPr>
          <w:color w:val="auto"/>
        </w:rPr>
        <w:t xml:space="preserve"> suggests that the current </w:t>
      </w:r>
      <w:r>
        <w:rPr>
          <w:color w:val="auto"/>
        </w:rPr>
        <w:t>labour</w:t>
      </w:r>
      <w:r w:rsidR="00EE3DC6">
        <w:rPr>
          <w:color w:val="auto"/>
        </w:rPr>
        <w:t xml:space="preserve"> shortage</w:t>
      </w:r>
      <w:r w:rsidRPr="00090931">
        <w:t xml:space="preserve"> in </w:t>
      </w:r>
      <w:r>
        <w:t xml:space="preserve">the </w:t>
      </w:r>
      <w:r w:rsidRPr="00090931">
        <w:t xml:space="preserve">residential construction </w:t>
      </w:r>
      <w:r>
        <w:t>sector partly</w:t>
      </w:r>
      <w:r w:rsidRPr="00090931">
        <w:t xml:space="preserve"> reflect</w:t>
      </w:r>
      <w:r>
        <w:t>s</w:t>
      </w:r>
      <w:r w:rsidRPr="00090931">
        <w:t xml:space="preserve"> competition for</w:t>
      </w:r>
      <w:r w:rsidRPr="00BD41F4">
        <w:t xml:space="preserve"> skills from </w:t>
      </w:r>
      <w:r w:rsidRPr="00090931">
        <w:t>non</w:t>
      </w:r>
      <w:r w:rsidR="00A15C79">
        <w:noBreakHyphen/>
      </w:r>
      <w:r w:rsidRPr="00090931">
        <w:t>residential</w:t>
      </w:r>
      <w:r>
        <w:t xml:space="preserve"> </w:t>
      </w:r>
      <w:r w:rsidRPr="00090931">
        <w:t xml:space="preserve">construction projects, including </w:t>
      </w:r>
      <w:r>
        <w:t>in</w:t>
      </w:r>
      <w:r w:rsidRPr="00090931">
        <w:t xml:space="preserve"> </w:t>
      </w:r>
      <w:r>
        <w:t xml:space="preserve">the </w:t>
      </w:r>
      <w:r w:rsidRPr="00090931">
        <w:t>civil construction sector.</w:t>
      </w:r>
      <w:r>
        <w:t xml:space="preserve"> Many construction worker skills are transferable </w:t>
      </w:r>
      <w:r w:rsidRPr="009628A8">
        <w:rPr>
          <w:color w:val="auto"/>
        </w:rPr>
        <w:t xml:space="preserve">across a </w:t>
      </w:r>
      <w:r>
        <w:rPr>
          <w:color w:val="auto"/>
        </w:rPr>
        <w:t xml:space="preserve">wide </w:t>
      </w:r>
      <w:r w:rsidRPr="009628A8">
        <w:rPr>
          <w:color w:val="auto"/>
        </w:rPr>
        <w:t xml:space="preserve">range of projects, enabling skilled </w:t>
      </w:r>
      <w:r>
        <w:rPr>
          <w:color w:val="auto"/>
        </w:rPr>
        <w:t xml:space="preserve">construction </w:t>
      </w:r>
      <w:r w:rsidRPr="009628A8">
        <w:rPr>
          <w:color w:val="auto"/>
        </w:rPr>
        <w:t xml:space="preserve">workers to </w:t>
      </w:r>
      <w:r>
        <w:rPr>
          <w:color w:val="auto"/>
        </w:rPr>
        <w:t xml:space="preserve">move between jobs </w:t>
      </w:r>
      <w:r w:rsidR="00EE3DC6">
        <w:rPr>
          <w:color w:val="auto"/>
        </w:rPr>
        <w:t>to</w:t>
      </w:r>
      <w:r w:rsidR="00EE3DC6" w:rsidRPr="009628A8">
        <w:rPr>
          <w:color w:val="auto"/>
        </w:rPr>
        <w:t xml:space="preserve"> </w:t>
      </w:r>
      <w:r w:rsidRPr="009628A8">
        <w:rPr>
          <w:color w:val="auto"/>
        </w:rPr>
        <w:t>respon</w:t>
      </w:r>
      <w:r w:rsidR="00EE3DC6">
        <w:rPr>
          <w:color w:val="auto"/>
        </w:rPr>
        <w:t>d</w:t>
      </w:r>
      <w:r w:rsidRPr="009628A8">
        <w:rPr>
          <w:color w:val="auto"/>
        </w:rPr>
        <w:t xml:space="preserve"> to demand (</w:t>
      </w:r>
      <w:r w:rsidR="0044201F">
        <w:rPr>
          <w:color w:val="auto"/>
        </w:rPr>
        <w:t>Housing Industry Association [</w:t>
      </w:r>
      <w:r w:rsidR="00FE59B1" w:rsidRPr="00005B0F">
        <w:t>HIA</w:t>
      </w:r>
      <w:r w:rsidR="0044201F">
        <w:t>]</w:t>
      </w:r>
      <w:r w:rsidRPr="009628A8">
        <w:rPr>
          <w:color w:val="auto"/>
        </w:rPr>
        <w:t xml:space="preserve"> 2024</w:t>
      </w:r>
      <w:r w:rsidR="00584189">
        <w:rPr>
          <w:color w:val="auto"/>
        </w:rPr>
        <w:t>a</w:t>
      </w:r>
      <w:r w:rsidRPr="009628A8">
        <w:rPr>
          <w:color w:val="auto"/>
        </w:rPr>
        <w:t xml:space="preserve">). </w:t>
      </w:r>
    </w:p>
    <w:p w14:paraId="3B839DC8" w14:textId="7C676A2B" w:rsidR="007F2143" w:rsidRDefault="007F2143">
      <w:pPr>
        <w:rPr>
          <w:color w:val="auto"/>
        </w:rPr>
      </w:pPr>
      <w:r>
        <w:rPr>
          <w:color w:val="auto"/>
        </w:rPr>
        <w:t>The v</w:t>
      </w:r>
      <w:r w:rsidR="00E6008D">
        <w:rPr>
          <w:color w:val="auto"/>
        </w:rPr>
        <w:t>alue</w:t>
      </w:r>
      <w:r>
        <w:rPr>
          <w:color w:val="auto"/>
        </w:rPr>
        <w:t xml:space="preserve"> of engineering construction </w:t>
      </w:r>
      <w:r w:rsidR="007A765F">
        <w:rPr>
          <w:color w:val="auto"/>
        </w:rPr>
        <w:t>work done</w:t>
      </w:r>
      <w:r>
        <w:rPr>
          <w:color w:val="auto"/>
        </w:rPr>
        <w:t xml:space="preserve"> for the public sector,</w:t>
      </w:r>
      <w:r w:rsidRPr="003A2E0A">
        <w:rPr>
          <w:color w:val="auto"/>
        </w:rPr>
        <w:t xml:space="preserve"> </w:t>
      </w:r>
      <w:r>
        <w:rPr>
          <w:color w:val="auto"/>
        </w:rPr>
        <w:t>which includes construction of infrastructure such as roads, railways and bridges, has risen sharply in recent years</w:t>
      </w:r>
      <w:r w:rsidR="00D0453B">
        <w:rPr>
          <w:color w:val="auto"/>
        </w:rPr>
        <w:t xml:space="preserve"> –</w:t>
      </w:r>
      <w:r w:rsidR="002B4DE1">
        <w:rPr>
          <w:color w:val="auto"/>
        </w:rPr>
        <w:t xml:space="preserve"> </w:t>
      </w:r>
      <w:r w:rsidRPr="001B631C">
        <w:rPr>
          <w:color w:val="auto"/>
        </w:rPr>
        <w:t>from $</w:t>
      </w:r>
      <w:r>
        <w:rPr>
          <w:color w:val="auto"/>
        </w:rPr>
        <w:t>10</w:t>
      </w:r>
      <w:r w:rsidRPr="001B631C">
        <w:rPr>
          <w:color w:val="auto"/>
        </w:rPr>
        <w:t>.</w:t>
      </w:r>
      <w:r>
        <w:rPr>
          <w:color w:val="auto"/>
        </w:rPr>
        <w:t>8</w:t>
      </w:r>
      <w:r w:rsidR="0099326B">
        <w:rPr>
          <w:color w:val="auto"/>
        </w:rPr>
        <w:t> billion</w:t>
      </w:r>
      <w:r w:rsidRPr="001B631C">
        <w:rPr>
          <w:color w:val="auto"/>
        </w:rPr>
        <w:t xml:space="preserve"> in</w:t>
      </w:r>
      <w:r>
        <w:rPr>
          <w:color w:val="auto"/>
        </w:rPr>
        <w:t xml:space="preserve"> December</w:t>
      </w:r>
      <w:r w:rsidRPr="001B631C">
        <w:rPr>
          <w:color w:val="auto"/>
        </w:rPr>
        <w:t xml:space="preserve"> 2021 to $18.2</w:t>
      </w:r>
      <w:r w:rsidR="0099326B">
        <w:rPr>
          <w:color w:val="auto"/>
        </w:rPr>
        <w:t> billion</w:t>
      </w:r>
      <w:r w:rsidRPr="001B631C">
        <w:rPr>
          <w:color w:val="auto"/>
        </w:rPr>
        <w:t xml:space="preserve"> in </w:t>
      </w:r>
      <w:r>
        <w:rPr>
          <w:color w:val="auto"/>
        </w:rPr>
        <w:t xml:space="preserve">December </w:t>
      </w:r>
      <w:r w:rsidRPr="001B631C">
        <w:rPr>
          <w:color w:val="auto"/>
        </w:rPr>
        <w:t xml:space="preserve">2024 </w:t>
      </w:r>
      <w:r>
        <w:rPr>
          <w:color w:val="auto"/>
        </w:rPr>
        <w:t>(</w:t>
      </w:r>
      <w:r w:rsidR="002B4DE1">
        <w:rPr>
          <w:color w:val="auto"/>
        </w:rPr>
        <w:t xml:space="preserve">see </w:t>
      </w:r>
      <w:r>
        <w:rPr>
          <w:color w:val="auto"/>
        </w:rPr>
        <w:t>Chart 2.3</w:t>
      </w:r>
      <w:r w:rsidR="00C5798D">
        <w:rPr>
          <w:color w:val="auto"/>
        </w:rPr>
        <w:t>3</w:t>
      </w:r>
      <w:r>
        <w:rPr>
          <w:color w:val="auto"/>
        </w:rPr>
        <w:t xml:space="preserve">). The </w:t>
      </w:r>
      <w:r w:rsidR="00E45A4C">
        <w:rPr>
          <w:color w:val="auto"/>
        </w:rPr>
        <w:t xml:space="preserve">broader </w:t>
      </w:r>
      <w:r>
        <w:rPr>
          <w:color w:val="auto"/>
        </w:rPr>
        <w:t>pipeline of major public infrastructure work across Australia is projected to increase in the near term, and is expected to total $213</w:t>
      </w:r>
      <w:r w:rsidR="0099326B">
        <w:rPr>
          <w:color w:val="auto"/>
        </w:rPr>
        <w:t> billion</w:t>
      </w:r>
      <w:r>
        <w:rPr>
          <w:color w:val="auto"/>
        </w:rPr>
        <w:t xml:space="preserve"> between 2023</w:t>
      </w:r>
      <w:r w:rsidR="002B4DE1">
        <w:rPr>
          <w:color w:val="auto"/>
        </w:rPr>
        <w:t>–</w:t>
      </w:r>
      <w:r>
        <w:rPr>
          <w:color w:val="auto"/>
        </w:rPr>
        <w:t>24 to 2027</w:t>
      </w:r>
      <w:r w:rsidR="005B150D">
        <w:rPr>
          <w:color w:val="auto"/>
        </w:rPr>
        <w:t>–</w:t>
      </w:r>
      <w:r>
        <w:rPr>
          <w:color w:val="auto"/>
        </w:rPr>
        <w:t xml:space="preserve">28 </w:t>
      </w:r>
      <w:r w:rsidRPr="000710FB">
        <w:rPr>
          <w:color w:val="auto"/>
        </w:rPr>
        <w:t>(</w:t>
      </w:r>
      <w:r w:rsidRPr="00A9291C">
        <w:t>Infrastructure Australia 2024</w:t>
      </w:r>
      <w:r w:rsidRPr="000710FB">
        <w:rPr>
          <w:color w:val="auto"/>
        </w:rPr>
        <w:t>).</w:t>
      </w:r>
      <w:r>
        <w:rPr>
          <w:color w:val="auto"/>
        </w:rPr>
        <w:t xml:space="preserve"> While the size of the pipeline has been downgraded from previous projections, it still represents a large volume of </w:t>
      </w:r>
      <w:r w:rsidRPr="00F02DC4">
        <w:rPr>
          <w:color w:val="auto"/>
        </w:rPr>
        <w:t>infrastructure construction projects</w:t>
      </w:r>
      <w:r>
        <w:rPr>
          <w:color w:val="auto"/>
        </w:rPr>
        <w:t xml:space="preserve"> </w:t>
      </w:r>
      <w:r w:rsidRPr="00F02DC4">
        <w:rPr>
          <w:color w:val="auto"/>
        </w:rPr>
        <w:t>to be undertaken alongside increased home building activity, resulting in greater aggregate demand for construction workers.</w:t>
      </w:r>
    </w:p>
    <w:p w14:paraId="5C3932E5" w14:textId="7A4D215D" w:rsidR="007F2143" w:rsidRPr="003B5658" w:rsidRDefault="007F2143" w:rsidP="00EB0064">
      <w:r>
        <w:lastRenderedPageBreak/>
        <w:t xml:space="preserve">The large pipeline of public infrastructure work has increased demand for construction workers amid the current shortage of labour in the sector </w:t>
      </w:r>
      <w:r w:rsidRPr="00F02DC4">
        <w:t>(</w:t>
      </w:r>
      <w:r w:rsidRPr="00A9291C">
        <w:t>Infrastructure Australia 2024</w:t>
      </w:r>
      <w:r w:rsidRPr="00F02DC4">
        <w:t>).</w:t>
      </w:r>
      <w:r>
        <w:t xml:space="preserve"> I</w:t>
      </w:r>
      <w:r w:rsidRPr="00BD41F4">
        <w:t xml:space="preserve">ndustry stakeholders </w:t>
      </w:r>
      <w:r>
        <w:t>have</w:t>
      </w:r>
      <w:r w:rsidRPr="00BD41F4">
        <w:t xml:space="preserve"> indicated construction workers and sub</w:t>
      </w:r>
      <w:r w:rsidR="00A15C79">
        <w:noBreakHyphen/>
      </w:r>
      <w:r w:rsidRPr="00BD41F4">
        <w:t xml:space="preserve">contractors often prefer government infrastructure projects over residential construction, given </w:t>
      </w:r>
      <w:r>
        <w:t>the</w:t>
      </w:r>
      <w:r w:rsidRPr="00BD41F4">
        <w:t xml:space="preserve"> </w:t>
      </w:r>
      <w:r>
        <w:t>former</w:t>
      </w:r>
      <w:r w:rsidR="00A15C79">
        <w:t>’</w:t>
      </w:r>
      <w:r>
        <w:t xml:space="preserve">s </w:t>
      </w:r>
      <w:r w:rsidRPr="00BD41F4">
        <w:t xml:space="preserve">relative stability, ease of business and lower risks. Coupled with </w:t>
      </w:r>
      <w:r w:rsidRPr="00BF593A">
        <w:t xml:space="preserve">this is the wage premium experienced by construction workers in the </w:t>
      </w:r>
      <w:r>
        <w:t xml:space="preserve">public engineering construction </w:t>
      </w:r>
      <w:r w:rsidRPr="00BF593A">
        <w:t xml:space="preserve">sector over the residential </w:t>
      </w:r>
      <w:r>
        <w:t xml:space="preserve">construction </w:t>
      </w:r>
      <w:r w:rsidRPr="00BF593A">
        <w:t xml:space="preserve">sector </w:t>
      </w:r>
      <w:r w:rsidRPr="009628A8">
        <w:t>(</w:t>
      </w:r>
      <w:r w:rsidR="00E45A4C">
        <w:t>NHSAC 2024</w:t>
      </w:r>
      <w:r w:rsidRPr="009628A8">
        <w:t>).</w:t>
      </w:r>
    </w:p>
    <w:p w14:paraId="1962631F" w14:textId="77777777" w:rsidR="007F2143" w:rsidRDefault="007F2143" w:rsidP="00EB0064">
      <w:pPr>
        <w:pStyle w:val="Heading4"/>
      </w:pPr>
      <w:r>
        <w:t xml:space="preserve">Training </w:t>
      </w:r>
      <w:r w:rsidRPr="00EB0064">
        <w:t>and</w:t>
      </w:r>
      <w:r>
        <w:t xml:space="preserve"> skills</w:t>
      </w:r>
    </w:p>
    <w:p w14:paraId="6E814D43" w14:textId="01D73BBA" w:rsidR="007F2143" w:rsidRDefault="007F2143" w:rsidP="00EB0064">
      <w:r>
        <w:t>The shortage of construction workers has been exacerbated by the decline in new apprentices in the building industry.</w:t>
      </w:r>
      <w:r w:rsidRPr="000A7413">
        <w:t xml:space="preserve"> </w:t>
      </w:r>
      <w:r>
        <w:t>A</w:t>
      </w:r>
      <w:r w:rsidRPr="000A7413">
        <w:t>pprenticeship and traineeship</w:t>
      </w:r>
      <w:r w:rsidRPr="000A7413" w:rsidDel="009C5556">
        <w:t xml:space="preserve"> </w:t>
      </w:r>
      <w:r w:rsidRPr="000A7413">
        <w:t xml:space="preserve">commencements </w:t>
      </w:r>
      <w:r>
        <w:t xml:space="preserve">declined by </w:t>
      </w:r>
      <w:r w:rsidR="00031C97">
        <w:t>4</w:t>
      </w:r>
      <w:r>
        <w:t>.2</w:t>
      </w:r>
      <w:r w:rsidR="0099326B">
        <w:t> per cent</w:t>
      </w:r>
      <w:r>
        <w:t xml:space="preserve"> over </w:t>
      </w:r>
      <w:r w:rsidRPr="00E570BC">
        <w:t>the 2024 financial year</w:t>
      </w:r>
      <w:r>
        <w:t xml:space="preserve">, </w:t>
      </w:r>
      <w:r w:rsidRPr="00E570BC">
        <w:t xml:space="preserve">while </w:t>
      </w:r>
      <w:r w:rsidRPr="000A7413">
        <w:t xml:space="preserve">apprenticeship </w:t>
      </w:r>
      <w:r w:rsidRPr="00E570BC">
        <w:t>completions remain</w:t>
      </w:r>
      <w:r>
        <w:t xml:space="preserve">ed </w:t>
      </w:r>
      <w:r w:rsidRPr="00E570BC">
        <w:t>flat (Chart 2.3</w:t>
      </w:r>
      <w:r w:rsidR="00C54746">
        <w:t>4</w:t>
      </w:r>
      <w:r w:rsidRPr="00E570BC">
        <w:t xml:space="preserve">). Retention rates for construction apprentices have also remained low, </w:t>
      </w:r>
      <w:r>
        <w:t xml:space="preserve">which has been </w:t>
      </w:r>
      <w:r w:rsidRPr="00E570BC">
        <w:t>attributed to low pay and cost</w:t>
      </w:r>
      <w:r w:rsidR="00A15C79">
        <w:noBreakHyphen/>
      </w:r>
      <w:r w:rsidRPr="00E570BC">
        <w:t>of</w:t>
      </w:r>
      <w:r w:rsidR="00A15C79">
        <w:noBreakHyphen/>
      </w:r>
      <w:r w:rsidRPr="00E570BC">
        <w:t>living pressures, as well as negative workplace experiences, including bullying (</w:t>
      </w:r>
      <w:r w:rsidR="00075F6E">
        <w:t xml:space="preserve">Department of </w:t>
      </w:r>
      <w:r w:rsidR="009258E8">
        <w:t>Employment</w:t>
      </w:r>
      <w:r w:rsidR="00075F6E">
        <w:t xml:space="preserve"> and Workplace </w:t>
      </w:r>
      <w:r w:rsidR="009258E8">
        <w:t>Relations</w:t>
      </w:r>
      <w:r w:rsidR="00075F6E">
        <w:t xml:space="preserve"> </w:t>
      </w:r>
      <w:r w:rsidR="009258E8">
        <w:t>[</w:t>
      </w:r>
      <w:r w:rsidR="00BA4ED5" w:rsidRPr="00310AE8">
        <w:t>DEWR</w:t>
      </w:r>
      <w:r w:rsidR="009258E8">
        <w:t>]</w:t>
      </w:r>
      <w:r w:rsidR="00BA4ED5" w:rsidRPr="00310AE8">
        <w:t xml:space="preserve"> 2024</w:t>
      </w:r>
      <w:r w:rsidRPr="00E570BC">
        <w:t>). Around 27</w:t>
      </w:r>
      <w:r w:rsidR="0099326B">
        <w:t> per cent</w:t>
      </w:r>
      <w:r w:rsidRPr="00E570BC">
        <w:t xml:space="preserve"> of construction apprentices had experienced workplace bullying, with 20</w:t>
      </w:r>
      <w:r w:rsidR="0099326B">
        <w:t> per cent</w:t>
      </w:r>
      <w:r w:rsidRPr="00E570BC">
        <w:t xml:space="preserve"> reporting </w:t>
      </w:r>
      <w:r w:rsidR="00A10715">
        <w:t>it</w:t>
      </w:r>
      <w:r w:rsidRPr="00E570BC">
        <w:t xml:space="preserve"> as </w:t>
      </w:r>
      <w:r w:rsidR="00A15C79">
        <w:t>‘</w:t>
      </w:r>
      <w:r w:rsidRPr="00E570BC">
        <w:t>severe</w:t>
      </w:r>
      <w:r w:rsidR="00A15C79">
        <w:t>’</w:t>
      </w:r>
      <w:r w:rsidRPr="00E570BC">
        <w:t xml:space="preserve"> (</w:t>
      </w:r>
      <w:r w:rsidR="00BA4ED5" w:rsidRPr="00310AE8">
        <w:t>Ross et al. 2020</w:t>
      </w:r>
      <w:r w:rsidRPr="00E570BC">
        <w:t xml:space="preserve">). </w:t>
      </w:r>
    </w:p>
    <w:p w14:paraId="717DFB99" w14:textId="4E87B88C" w:rsidR="007F2143" w:rsidRPr="008C4281" w:rsidRDefault="007F2143" w:rsidP="00EB0064">
      <w:pPr>
        <w:rPr>
          <w:highlight w:val="yellow"/>
        </w:rPr>
      </w:pPr>
      <w:r w:rsidRPr="00E570BC">
        <w:t>Stakeholders</w:t>
      </w:r>
      <w:r w:rsidRPr="00A74D29">
        <w:t xml:space="preserve"> have indicated that facilitating new labour entries through skills and training is a </w:t>
      </w:r>
      <w:r>
        <w:t xml:space="preserve">critical </w:t>
      </w:r>
      <w:r w:rsidRPr="00A74D29">
        <w:t>long</w:t>
      </w:r>
      <w:r w:rsidR="00A15C79">
        <w:noBreakHyphen/>
      </w:r>
      <w:r w:rsidRPr="00A74D29">
        <w:t>term solution</w:t>
      </w:r>
      <w:r>
        <w:t xml:space="preserve"> to reducing shortages</w:t>
      </w:r>
      <w:r w:rsidRPr="00A74D29">
        <w:t>. However, due to the significant time lag between training commencement</w:t>
      </w:r>
      <w:r>
        <w:t>s</w:t>
      </w:r>
      <w:r w:rsidRPr="00A74D29">
        <w:t xml:space="preserve"> and completion</w:t>
      </w:r>
      <w:r>
        <w:t>s</w:t>
      </w:r>
      <w:r w:rsidRPr="00A74D29">
        <w:t>, such measures are unlikely to wholly address the more acute labour market pressures currently being faced</w:t>
      </w:r>
      <w:r>
        <w:t xml:space="preserve"> (see </w:t>
      </w:r>
      <w:r w:rsidRPr="00122F7F">
        <w:t>Chapter 7</w:t>
      </w:r>
      <w:r w:rsidR="009632F2" w:rsidRPr="00122F7F">
        <w:t>,</w:t>
      </w:r>
      <w:r w:rsidRPr="001A52B5">
        <w:rPr>
          <w:i/>
          <w:iCs/>
        </w:rPr>
        <w:t xml:space="preserve"> </w:t>
      </w:r>
      <w:r w:rsidRPr="00DB6DE6">
        <w:rPr>
          <w:rStyle w:val="Emphasis"/>
        </w:rPr>
        <w:t>Towards a better housing system</w:t>
      </w:r>
      <w:r>
        <w:t>)</w:t>
      </w:r>
      <w:r w:rsidRPr="00A74D29">
        <w:t>.</w:t>
      </w:r>
    </w:p>
    <w:tbl>
      <w:tblPr>
        <w:tblW w:w="4910" w:type="pct"/>
        <w:tblLayout w:type="fixed"/>
        <w:tblLook w:val="0000" w:firstRow="0" w:lastRow="0" w:firstColumn="0" w:lastColumn="0" w:noHBand="0" w:noVBand="0"/>
      </w:tblPr>
      <w:tblGrid>
        <w:gridCol w:w="4453"/>
        <w:gridCol w:w="4454"/>
      </w:tblGrid>
      <w:tr w:rsidR="007F2143" w14:paraId="00A8F996" w14:textId="77777777" w:rsidTr="00DB6DE6">
        <w:trPr>
          <w:cantSplit/>
          <w:trHeight w:val="329"/>
        </w:trPr>
        <w:tc>
          <w:tcPr>
            <w:tcW w:w="4453" w:type="dxa"/>
          </w:tcPr>
          <w:p w14:paraId="092A0AF5" w14:textId="5679F0E9" w:rsidR="007F2143" w:rsidRDefault="007F2143" w:rsidP="001B4EAF">
            <w:pPr>
              <w:pStyle w:val="ChartMainHeading"/>
            </w:pPr>
            <w:r>
              <w:t>Building construction apprenticeship</w:t>
            </w:r>
            <w:r w:rsidR="005814AE">
              <w:t>s</w:t>
            </w:r>
            <w:r>
              <w:t xml:space="preserve"> and traineeships </w:t>
            </w:r>
          </w:p>
        </w:tc>
        <w:tc>
          <w:tcPr>
            <w:tcW w:w="4453" w:type="dxa"/>
          </w:tcPr>
          <w:p w14:paraId="2CF2FB8C" w14:textId="37131536" w:rsidR="007F2143" w:rsidRDefault="007F2143" w:rsidP="001B4EAF">
            <w:pPr>
              <w:pStyle w:val="ChartMainHeading"/>
            </w:pPr>
            <w:r>
              <w:t>Temporary skilled visa holders in construction</w:t>
            </w:r>
          </w:p>
        </w:tc>
      </w:tr>
      <w:tr w:rsidR="007F2143" w14:paraId="37A44083" w14:textId="77777777" w:rsidTr="0099326B">
        <w:trPr>
          <w:cantSplit/>
          <w:trHeight w:val="2199"/>
        </w:trPr>
        <w:tc>
          <w:tcPr>
            <w:tcW w:w="4453" w:type="dxa"/>
          </w:tcPr>
          <w:p w14:paraId="6D7BAD28" w14:textId="391AF862" w:rsidR="007F2143" w:rsidRDefault="004036A0" w:rsidP="0099326B">
            <w:pPr>
              <w:pStyle w:val="ChartGraphic"/>
            </w:pPr>
            <w:r w:rsidRPr="004036A0">
              <w:rPr>
                <w:noProof/>
              </w:rPr>
              <w:drawing>
                <wp:inline distT="0" distB="0" distL="0" distR="0" wp14:anchorId="1EBF7C82" wp14:editId="00E35DF2">
                  <wp:extent cx="2690495" cy="2690495"/>
                  <wp:effectExtent l="0" t="0" r="0" b="0"/>
                  <wp:docPr id="702314173" name="Picture 53" descr="Chart 2.34 is a line chart showing three series – commencements, cancellations/withdrawals, and completions – for building construction apprenticeships and traineeships between 2013-14 and 2023-24. Commencements increased gradually between 2013-14 and 2019-20, before spiking to 8,254 in 2021-22 and then reducing to 4,291 in 2023-24. Cancellations/withdrawals and completions exhibit more stable trends, increasing gradually from 1,834 and 2,275 in 2013-14 to 4,186 and 3,016 in 2023-24,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314173" name="Picture 53" descr="Chart 2.34 is a line chart showing three series – commencements, cancellations/withdrawals, and completions – for building construction apprenticeships and traineeships between 2013-14 and 2023-24. Commencements increased gradually between 2013-14 and 2019-20, before spiking to 8,254 in 2021-22 and then reducing to 4,291 in 2023-24. Cancellations/withdrawals and completions exhibit more stable trends, increasing gradually from 1,834 and 2,275 in 2013-14 to 4,186 and 3,016 in 2023-24, respectively.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90495" cy="2690495"/>
                          </a:xfrm>
                          <a:prstGeom prst="rect">
                            <a:avLst/>
                          </a:prstGeom>
                          <a:noFill/>
                          <a:ln>
                            <a:noFill/>
                          </a:ln>
                        </pic:spPr>
                      </pic:pic>
                    </a:graphicData>
                  </a:graphic>
                </wp:inline>
              </w:drawing>
            </w:r>
          </w:p>
        </w:tc>
        <w:tc>
          <w:tcPr>
            <w:tcW w:w="4453" w:type="dxa"/>
          </w:tcPr>
          <w:p w14:paraId="4596721B" w14:textId="5AB788B7" w:rsidR="007F2143" w:rsidRPr="003379EF" w:rsidRDefault="00B700A6" w:rsidP="0099326B">
            <w:pPr>
              <w:pStyle w:val="ChartGraphic"/>
              <w:rPr>
                <w:noProof/>
              </w:rPr>
            </w:pPr>
            <w:r w:rsidRPr="00B700A6">
              <w:rPr>
                <w:noProof/>
              </w:rPr>
              <w:drawing>
                <wp:inline distT="0" distB="0" distL="0" distR="0" wp14:anchorId="78C119CB" wp14:editId="76E4D165">
                  <wp:extent cx="2691130" cy="2684145"/>
                  <wp:effectExtent l="0" t="0" r="0" b="1905"/>
                  <wp:docPr id="1994098796" name="Picture 52" descr="Chart 2.35 is a line chart showing two series for Temporary skilled visa holders – those who are in the Construction industry, and those who are Construction trades workers – over the period from June 2019 and December 2024. The number of construction trades workers on temporary skilled visas has been relatively stable of the period, between around 1,500 and 3,000. The number of temporary skilled visa holders in the construction industry has been more volatile, rising sharply from 2022 onwards to a peak of 8,600 in September 2024, before declining to a still-high 6,400 in December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098796" name="Picture 52" descr="Chart 2.35 is a line chart showing two series for Temporary skilled visa holders – those who are in the Construction industry, and those who are Construction trades workers – over the period from June 2019 and December 2024. The number of construction trades workers on temporary skilled visas has been relatively stable of the period, between around 1,500 and 3,000. The number of temporary skilled visa holders in the construction industry has been more volatile, rising sharply from 2022 onwards to a peak of 8,600 in September 2024, before declining to a still-high 6,400 in December 2024.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91130" cy="2684145"/>
                          </a:xfrm>
                          <a:prstGeom prst="rect">
                            <a:avLst/>
                          </a:prstGeom>
                          <a:noFill/>
                          <a:ln>
                            <a:noFill/>
                          </a:ln>
                        </pic:spPr>
                      </pic:pic>
                    </a:graphicData>
                  </a:graphic>
                </wp:inline>
              </w:drawing>
            </w:r>
          </w:p>
        </w:tc>
      </w:tr>
      <w:tr w:rsidR="0099326B" w14:paraId="137D70DF" w14:textId="77777777" w:rsidTr="0099326B">
        <w:trPr>
          <w:cantSplit/>
          <w:trHeight w:val="930"/>
        </w:trPr>
        <w:tc>
          <w:tcPr>
            <w:tcW w:w="4453" w:type="dxa"/>
          </w:tcPr>
          <w:p w14:paraId="164D9218" w14:textId="227918CA" w:rsidR="0099326B" w:rsidRPr="0099326B" w:rsidRDefault="0099326B" w:rsidP="00EB0064">
            <w:pPr>
              <w:pStyle w:val="ChartorTableNoteandSource"/>
              <w:spacing w:before="0" w:after="0"/>
            </w:pPr>
            <w:r w:rsidRPr="0099326B">
              <w:t>Source:</w:t>
            </w:r>
            <w:r w:rsidR="00DB6DE6">
              <w:tab/>
            </w:r>
            <w:r w:rsidRPr="0099326B">
              <w:t>National Centre for Vocational Education Research</w:t>
            </w:r>
            <w:r w:rsidRPr="0099326B" w:rsidDel="00E46A80">
              <w:t xml:space="preserve"> </w:t>
            </w:r>
            <w:r w:rsidRPr="0099326B">
              <w:t>2024</w:t>
            </w:r>
          </w:p>
        </w:tc>
        <w:tc>
          <w:tcPr>
            <w:tcW w:w="4453" w:type="dxa"/>
          </w:tcPr>
          <w:p w14:paraId="1F770F5F" w14:textId="7C6C6999" w:rsidR="0099326B" w:rsidRDefault="0099326B" w:rsidP="00EB0064">
            <w:pPr>
              <w:pStyle w:val="ChartorTableNoteandSource"/>
              <w:spacing w:before="0" w:after="0"/>
            </w:pPr>
            <w:r w:rsidRPr="0099326B">
              <w:t>Note:</w:t>
            </w:r>
            <w:r w:rsidR="00DB6DE6">
              <w:tab/>
            </w:r>
            <w:r w:rsidRPr="0099326B">
              <w:t>Construction trades workers include bricklayers, stonemasons, carpenters, roof tilers, wall and floor tilers, floor finishers, glaziers, painting trades workers, plasterers and joiners.</w:t>
            </w:r>
          </w:p>
          <w:p w14:paraId="38EA66FB" w14:textId="74EA2942" w:rsidR="00EA29E1" w:rsidRPr="00EA29E1" w:rsidRDefault="00EA29E1" w:rsidP="00EA29E1">
            <w:pPr>
              <w:pStyle w:val="ChartorTableNoteandSource"/>
              <w:spacing w:before="0" w:after="0"/>
            </w:pPr>
            <w:r w:rsidRPr="0099326B">
              <w:t>Source:</w:t>
            </w:r>
            <w:r>
              <w:tab/>
            </w:r>
            <w:r w:rsidRPr="0099326B">
              <w:t>Department of Home Affairs</w:t>
            </w:r>
            <w:r w:rsidRPr="0099326B" w:rsidDel="002C786E">
              <w:t xml:space="preserve"> </w:t>
            </w:r>
            <w:r w:rsidRPr="0099326B">
              <w:t>2024</w:t>
            </w:r>
            <w:r w:rsidR="0074099E">
              <w:t>a</w:t>
            </w:r>
          </w:p>
        </w:tc>
      </w:tr>
    </w:tbl>
    <w:p w14:paraId="334BBF1A" w14:textId="1F02B158" w:rsidR="007F2143" w:rsidRPr="0041126E" w:rsidRDefault="007F2143" w:rsidP="00EB0064">
      <w:pPr>
        <w:spacing w:before="120"/>
        <w:rPr>
          <w:rStyle w:val="CommentReference"/>
          <w:sz w:val="22"/>
          <w:szCs w:val="20"/>
        </w:rPr>
      </w:pPr>
      <w:r>
        <w:t xml:space="preserve">Labour shortages in the construction sector are set to continue in the near term and </w:t>
      </w:r>
      <w:r w:rsidRPr="00D6310E">
        <w:rPr>
          <w:color w:val="auto"/>
        </w:rPr>
        <w:t xml:space="preserve">may be a barrier to </w:t>
      </w:r>
      <w:r>
        <w:rPr>
          <w:color w:val="auto"/>
        </w:rPr>
        <w:t>reaching the</w:t>
      </w:r>
      <w:r w:rsidRPr="00D6310E">
        <w:rPr>
          <w:color w:val="auto"/>
        </w:rPr>
        <w:t xml:space="preserve"> National Housing Accord </w:t>
      </w:r>
      <w:r w:rsidR="008C63E1">
        <w:rPr>
          <w:color w:val="auto"/>
        </w:rPr>
        <w:t xml:space="preserve">target </w:t>
      </w:r>
      <w:r>
        <w:rPr>
          <w:color w:val="auto"/>
        </w:rPr>
        <w:t>of 1.2</w:t>
      </w:r>
      <w:r w:rsidR="0099326B">
        <w:rPr>
          <w:color w:val="auto"/>
        </w:rPr>
        <w:t> million</w:t>
      </w:r>
      <w:r>
        <w:rPr>
          <w:color w:val="auto"/>
        </w:rPr>
        <w:t xml:space="preserve"> new homes over the </w:t>
      </w:r>
      <w:r w:rsidR="005C2CFC">
        <w:rPr>
          <w:color w:val="auto"/>
        </w:rPr>
        <w:t>5 years to 2028</w:t>
      </w:r>
      <w:r w:rsidR="00DB6DE6">
        <w:rPr>
          <w:color w:val="auto"/>
        </w:rPr>
        <w:t>–</w:t>
      </w:r>
      <w:r w:rsidR="005C2CFC">
        <w:rPr>
          <w:color w:val="auto"/>
        </w:rPr>
        <w:t>29</w:t>
      </w:r>
      <w:r>
        <w:rPr>
          <w:color w:val="auto"/>
        </w:rPr>
        <w:t xml:space="preserve"> </w:t>
      </w:r>
      <w:r w:rsidRPr="00D6310E">
        <w:rPr>
          <w:color w:val="auto"/>
        </w:rPr>
        <w:t>(</w:t>
      </w:r>
      <w:r w:rsidR="002B3180" w:rsidRPr="00005B0F">
        <w:t>Infrastructure Australia 2024</w:t>
      </w:r>
      <w:r w:rsidR="001D1AD9">
        <w:rPr>
          <w:color w:val="auto"/>
        </w:rPr>
        <w:t>;</w:t>
      </w:r>
      <w:r w:rsidR="001D1AD9" w:rsidRPr="00D6310E">
        <w:rPr>
          <w:color w:val="auto"/>
        </w:rPr>
        <w:t xml:space="preserve"> </w:t>
      </w:r>
      <w:r w:rsidR="00BA4ED5" w:rsidRPr="00310AE8">
        <w:t>HIA</w:t>
      </w:r>
      <w:r w:rsidR="001D1AD9">
        <w:t xml:space="preserve"> 2024</w:t>
      </w:r>
      <w:r w:rsidR="004C2B98">
        <w:t>a</w:t>
      </w:r>
      <w:r>
        <w:rPr>
          <w:color w:val="auto"/>
        </w:rPr>
        <w:t>;</w:t>
      </w:r>
      <w:r w:rsidRPr="00D6310E">
        <w:rPr>
          <w:color w:val="auto"/>
        </w:rPr>
        <w:t xml:space="preserve"> </w:t>
      </w:r>
      <w:r w:rsidR="00BA4ED5" w:rsidRPr="00310AE8">
        <w:t>MBA 2024</w:t>
      </w:r>
      <w:r w:rsidRPr="00D6310E">
        <w:rPr>
          <w:color w:val="auto"/>
        </w:rPr>
        <w:t>).</w:t>
      </w:r>
      <w:r>
        <w:t xml:space="preserve"> </w:t>
      </w:r>
      <w:proofErr w:type="spellStart"/>
      <w:r>
        <w:t>BuildSkills</w:t>
      </w:r>
      <w:proofErr w:type="spellEnd"/>
      <w:r>
        <w:t xml:space="preserve"> Australia has estimated that a further 90,000 workers would be needed to reach the target (</w:t>
      </w:r>
      <w:proofErr w:type="spellStart"/>
      <w:r w:rsidR="00BA4ED5" w:rsidRPr="00310AE8">
        <w:t>BuildSkills</w:t>
      </w:r>
      <w:proofErr w:type="spellEnd"/>
      <w:r>
        <w:t xml:space="preserve"> Australia 2024</w:t>
      </w:r>
      <w:r w:rsidR="00F01479">
        <w:t>c</w:t>
      </w:r>
      <w:r>
        <w:t>).</w:t>
      </w:r>
      <w:r w:rsidDel="00D649EA">
        <w:rPr>
          <w:rStyle w:val="CommentReference"/>
          <w:rFonts w:ascii="Calibri" w:hAnsi="Calibri"/>
        </w:rPr>
        <w:t xml:space="preserve"> </w:t>
      </w:r>
    </w:p>
    <w:p w14:paraId="7BEF164B" w14:textId="22F756AC" w:rsidR="007F2143" w:rsidRPr="00BD41F4" w:rsidRDefault="007F2143">
      <w:r>
        <w:lastRenderedPageBreak/>
        <w:t>Some e</w:t>
      </w:r>
      <w:r w:rsidRPr="006800BC">
        <w:t xml:space="preserve">mployers </w:t>
      </w:r>
      <w:r>
        <w:t xml:space="preserve">in the construction sector </w:t>
      </w:r>
      <w:r w:rsidRPr="006800BC">
        <w:t xml:space="preserve">are responding to labour </w:t>
      </w:r>
      <w:r>
        <w:rPr>
          <w:bCs/>
        </w:rPr>
        <w:t>shortages</w:t>
      </w:r>
      <w:r w:rsidRPr="006800BC">
        <w:t xml:space="preserve"> by </w:t>
      </w:r>
      <w:r>
        <w:t>hiring</w:t>
      </w:r>
      <w:r w:rsidRPr="006800BC">
        <w:t xml:space="preserve"> more skilled workers</w:t>
      </w:r>
      <w:r>
        <w:rPr>
          <w:bCs/>
        </w:rPr>
        <w:t xml:space="preserve"> from abroad</w:t>
      </w:r>
      <w:r w:rsidRPr="006800BC">
        <w:t>.</w:t>
      </w:r>
      <w:r w:rsidRPr="006F1000">
        <w:rPr>
          <w:bCs/>
        </w:rPr>
        <w:t xml:space="preserve"> </w:t>
      </w:r>
      <w:r>
        <w:rPr>
          <w:bCs/>
        </w:rPr>
        <w:t xml:space="preserve">The </w:t>
      </w:r>
      <w:r w:rsidRPr="006F1000">
        <w:rPr>
          <w:bCs/>
        </w:rPr>
        <w:t>number of temporary work (skilled) visas</w:t>
      </w:r>
      <w:r>
        <w:t xml:space="preserve"> for the construction sector rose in the September quarter</w:t>
      </w:r>
      <w:r w:rsidR="00087257">
        <w:t xml:space="preserve"> of</w:t>
      </w:r>
      <w:r>
        <w:t xml:space="preserve"> 2024 (</w:t>
      </w:r>
      <w:r w:rsidR="00087257">
        <w:t xml:space="preserve">see </w:t>
      </w:r>
      <w:r w:rsidRPr="001B75E0">
        <w:t>C</w:t>
      </w:r>
      <w:r w:rsidRPr="00BD41F4">
        <w:t>hart</w:t>
      </w:r>
      <w:r>
        <w:t xml:space="preserve"> 2.3</w:t>
      </w:r>
      <w:r w:rsidR="00C54746">
        <w:t>5</w:t>
      </w:r>
      <w:r>
        <w:t xml:space="preserve">). However, these </w:t>
      </w:r>
      <w:r>
        <w:rPr>
          <w:bCs/>
        </w:rPr>
        <w:t xml:space="preserve">workers represent only a small proportion of the broader construction workforce, </w:t>
      </w:r>
      <w:r w:rsidR="0098366C">
        <w:rPr>
          <w:bCs/>
        </w:rPr>
        <w:t xml:space="preserve">so </w:t>
      </w:r>
      <w:r>
        <w:rPr>
          <w:bCs/>
        </w:rPr>
        <w:t>longer</w:t>
      </w:r>
      <w:r w:rsidR="00A15C79">
        <w:rPr>
          <w:bCs/>
        </w:rPr>
        <w:noBreakHyphen/>
      </w:r>
      <w:r>
        <w:rPr>
          <w:bCs/>
        </w:rPr>
        <w:t>term solutions are needed to support the skills</w:t>
      </w:r>
      <w:r w:rsidR="0098366C">
        <w:rPr>
          <w:bCs/>
        </w:rPr>
        <w:t xml:space="preserve"> pipeline</w:t>
      </w:r>
      <w:r>
        <w:rPr>
          <w:bCs/>
        </w:rPr>
        <w:t xml:space="preserve"> in the industry (see </w:t>
      </w:r>
      <w:r w:rsidRPr="00302C67">
        <w:rPr>
          <w:bCs/>
        </w:rPr>
        <w:t>Chapter 7</w:t>
      </w:r>
      <w:r w:rsidR="009632F2" w:rsidRPr="00302C67">
        <w:rPr>
          <w:bCs/>
        </w:rPr>
        <w:t>,</w:t>
      </w:r>
      <w:r w:rsidRPr="001A52B5">
        <w:rPr>
          <w:bCs/>
          <w:i/>
          <w:iCs/>
        </w:rPr>
        <w:t xml:space="preserve"> </w:t>
      </w:r>
      <w:r w:rsidRPr="00DB6DE6">
        <w:rPr>
          <w:rStyle w:val="Emphasis"/>
        </w:rPr>
        <w:t>Towards a better housing system</w:t>
      </w:r>
      <w:r>
        <w:rPr>
          <w:bCs/>
        </w:rPr>
        <w:t>).</w:t>
      </w:r>
    </w:p>
    <w:p w14:paraId="1E3730E3" w14:textId="77777777" w:rsidR="007F2143" w:rsidRDefault="007F2143" w:rsidP="00744F72">
      <w:pPr>
        <w:pStyle w:val="Heading3Numbered"/>
        <w:spacing w:before="0" w:line="240" w:lineRule="auto"/>
      </w:pPr>
      <w:r>
        <w:t xml:space="preserve">Productivity </w:t>
      </w:r>
    </w:p>
    <w:p w14:paraId="54391DF6" w14:textId="3E8A91DB" w:rsidR="007F2143" w:rsidRPr="00BF593A" w:rsidRDefault="003A18E8" w:rsidP="009628A8">
      <w:r>
        <w:t>Housing</w:t>
      </w:r>
      <w:r w:rsidRPr="009628A8">
        <w:t xml:space="preserve"> </w:t>
      </w:r>
      <w:r w:rsidR="007F2143" w:rsidRPr="009628A8">
        <w:t xml:space="preserve">construction productivity has significantly underperformed relative to </w:t>
      </w:r>
      <w:r w:rsidR="006C21E4">
        <w:t xml:space="preserve">the </w:t>
      </w:r>
      <w:r w:rsidR="007F2143" w:rsidRPr="009628A8">
        <w:t>broader economy. Labour productivity</w:t>
      </w:r>
      <w:r w:rsidR="005260F8">
        <w:t xml:space="preserve"> in the housing construction industry</w:t>
      </w:r>
      <w:r w:rsidR="007F2143" w:rsidRPr="009628A8">
        <w:t xml:space="preserve"> fell by 12</w:t>
      </w:r>
      <w:r w:rsidR="0099326B">
        <w:t> per cent</w:t>
      </w:r>
      <w:r w:rsidR="007F2143" w:rsidRPr="009628A8">
        <w:t xml:space="preserve"> over the past </w:t>
      </w:r>
      <w:r w:rsidR="00B83658">
        <w:t>3</w:t>
      </w:r>
      <w:r w:rsidR="005260F8">
        <w:t> </w:t>
      </w:r>
      <w:r w:rsidR="007F2143" w:rsidRPr="009628A8">
        <w:t>decades, compared with an increase of 49</w:t>
      </w:r>
      <w:r w:rsidR="0099326B">
        <w:t> per cent</w:t>
      </w:r>
      <w:r w:rsidR="007F2143" w:rsidRPr="009628A8">
        <w:t xml:space="preserve"> across the broader economy (Productivity Commission 2025</w:t>
      </w:r>
      <w:r w:rsidR="00F96C7F">
        <w:t>a</w:t>
      </w:r>
      <w:r w:rsidR="007F2143" w:rsidRPr="009628A8">
        <w:t xml:space="preserve">). </w:t>
      </w:r>
      <w:r w:rsidR="007F2143">
        <w:t>This suggests that b</w:t>
      </w:r>
      <w:r w:rsidR="007F2143" w:rsidRPr="00DC5236">
        <w:t>uilding new homes now takes more time</w:t>
      </w:r>
      <w:r w:rsidR="007F2143">
        <w:t xml:space="preserve"> </w:t>
      </w:r>
      <w:r w:rsidR="007F2143" w:rsidRPr="00DC5236">
        <w:t xml:space="preserve">and effort, even after accounting for the increase in </w:t>
      </w:r>
      <w:r w:rsidR="00CA6ACC">
        <w:t xml:space="preserve">home </w:t>
      </w:r>
      <w:r w:rsidR="007F2143" w:rsidRPr="00DC5236">
        <w:t>quality and size over the period</w:t>
      </w:r>
      <w:r w:rsidR="007F2143">
        <w:t>.</w:t>
      </w:r>
      <w:r w:rsidR="007F2143" w:rsidRPr="00670FA3">
        <w:t xml:space="preserve"> </w:t>
      </w:r>
      <w:r w:rsidR="007F2143" w:rsidRPr="009628A8">
        <w:t>New estimates from the Productivity Commission show that productivity has varied by housing type, decl</w:t>
      </w:r>
      <w:r w:rsidR="007F2143" w:rsidRPr="00BF593A">
        <w:t>i</w:t>
      </w:r>
      <w:r w:rsidR="007F2143" w:rsidRPr="009628A8">
        <w:t>ning by 25</w:t>
      </w:r>
      <w:r w:rsidR="0099326B">
        <w:t> per cent</w:t>
      </w:r>
      <w:r w:rsidR="007F2143" w:rsidRPr="009628A8">
        <w:t xml:space="preserve"> for detached housing and increasing </w:t>
      </w:r>
      <w:r w:rsidR="00AD2DB9">
        <w:t xml:space="preserve">by </w:t>
      </w:r>
      <w:r w:rsidR="007F2143" w:rsidRPr="009628A8">
        <w:t>5</w:t>
      </w:r>
      <w:r w:rsidR="0099326B">
        <w:t> per cent</w:t>
      </w:r>
      <w:r w:rsidR="007F2143" w:rsidRPr="009628A8">
        <w:t xml:space="preserve"> for higher</w:t>
      </w:r>
      <w:r w:rsidR="00A15C79">
        <w:noBreakHyphen/>
      </w:r>
      <w:r w:rsidR="007F2143" w:rsidRPr="009628A8">
        <w:t xml:space="preserve">density housing </w:t>
      </w:r>
      <w:r w:rsidR="00E03C56">
        <w:t>since 2001</w:t>
      </w:r>
      <w:r w:rsidR="00283E4A">
        <w:t>–</w:t>
      </w:r>
      <w:r w:rsidR="00E03C56">
        <w:t>02</w:t>
      </w:r>
      <w:r w:rsidR="007F2143" w:rsidRPr="009628A8">
        <w:t xml:space="preserve"> (Chart 2.3</w:t>
      </w:r>
      <w:r w:rsidR="00C54746">
        <w:t>6</w:t>
      </w:r>
      <w:r w:rsidR="007F2143" w:rsidRPr="009628A8">
        <w:t xml:space="preserve">). </w:t>
      </w:r>
    </w:p>
    <w:tbl>
      <w:tblPr>
        <w:tblW w:w="5158" w:type="pct"/>
        <w:tblLayout w:type="fixed"/>
        <w:tblLook w:val="0000" w:firstRow="0" w:lastRow="0" w:firstColumn="0" w:lastColumn="0" w:noHBand="0" w:noVBand="0"/>
      </w:tblPr>
      <w:tblGrid>
        <w:gridCol w:w="4678"/>
        <w:gridCol w:w="4679"/>
      </w:tblGrid>
      <w:tr w:rsidR="007F2143" w14:paraId="264A454A" w14:textId="77777777">
        <w:trPr>
          <w:cantSplit/>
        </w:trPr>
        <w:tc>
          <w:tcPr>
            <w:tcW w:w="4678" w:type="dxa"/>
          </w:tcPr>
          <w:p w14:paraId="2E3F4767" w14:textId="77777777" w:rsidR="007F2143" w:rsidRPr="00780A40" w:rsidRDefault="007F2143" w:rsidP="00780A40">
            <w:pPr>
              <w:pStyle w:val="ChartMainHeading"/>
            </w:pPr>
            <w:r w:rsidRPr="00780A40">
              <w:t>Productivity by dwelling type</w:t>
            </w:r>
          </w:p>
        </w:tc>
        <w:tc>
          <w:tcPr>
            <w:tcW w:w="4679" w:type="dxa"/>
          </w:tcPr>
          <w:p w14:paraId="4CA30D83" w14:textId="7CCADC5B" w:rsidR="007F2143" w:rsidRPr="00780A40" w:rsidRDefault="007F2143" w:rsidP="00780A40">
            <w:pPr>
              <w:pStyle w:val="ChartMainHeading"/>
            </w:pPr>
            <w:r w:rsidRPr="00780A40">
              <w:t>Average construction time</w:t>
            </w:r>
          </w:p>
        </w:tc>
      </w:tr>
      <w:tr w:rsidR="007F2143" w:rsidRPr="00A6318A" w14:paraId="013414CB" w14:textId="77777777">
        <w:trPr>
          <w:cantSplit/>
        </w:trPr>
        <w:tc>
          <w:tcPr>
            <w:tcW w:w="4678" w:type="dxa"/>
          </w:tcPr>
          <w:p w14:paraId="5EC1FEA3" w14:textId="650A637C" w:rsidR="007F2143" w:rsidRPr="00A6318A" w:rsidRDefault="00133511" w:rsidP="0099326B">
            <w:pPr>
              <w:pStyle w:val="ChartGraphic"/>
            </w:pPr>
            <w:r w:rsidRPr="00133511">
              <w:rPr>
                <w:noProof/>
              </w:rPr>
              <w:drawing>
                <wp:inline distT="0" distB="0" distL="0" distR="0" wp14:anchorId="5015CB09" wp14:editId="750B2311">
                  <wp:extent cx="2830830" cy="2830830"/>
                  <wp:effectExtent l="0" t="0" r="0" b="0"/>
                  <wp:docPr id="116896085" name="Picture 54" descr="Chart 2.36 is a line chart showing productivity by dwelling type indexed to 2001-02. 4 series are shown: higher-density construction, house construction, dwelling construction and the whole economy. The chart covers data from 2001-02 to 2022-23. Productivity for the whole economy has gradually increased over this period from 100 to 124 in 2022-23. Conversely, dwelling construction productivity slightly fell over the period, to 86 index points. The decline in house construction productivity drove this overall decline, while higher-density construction productivity rose over the period, with a temporary boom from years 2013-14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6085" name="Picture 54" descr="Chart 2.36 is a line chart showing productivity by dwelling type indexed to 2001-02. 4 series are shown: higher-density construction, house construction, dwelling construction and the whole economy. The chart covers data from 2001-02 to 2022-23. Productivity for the whole economy has gradually increased over this period from 100 to 124 in 2022-23. Conversely, dwelling construction productivity slightly fell over the period, to 86 index points. The decline in house construction productivity drove this overall decline, while higher-density construction productivity rose over the period, with a temporary boom from years 2013-14 to 2017-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30830" cy="2830830"/>
                          </a:xfrm>
                          <a:prstGeom prst="rect">
                            <a:avLst/>
                          </a:prstGeom>
                          <a:noFill/>
                          <a:ln>
                            <a:noFill/>
                          </a:ln>
                        </pic:spPr>
                      </pic:pic>
                    </a:graphicData>
                  </a:graphic>
                </wp:inline>
              </w:drawing>
            </w:r>
          </w:p>
        </w:tc>
        <w:tc>
          <w:tcPr>
            <w:tcW w:w="4679" w:type="dxa"/>
          </w:tcPr>
          <w:p w14:paraId="261EA887" w14:textId="5A977F96" w:rsidR="007F2143" w:rsidRPr="00D434E9" w:rsidRDefault="00286776" w:rsidP="0099326B">
            <w:pPr>
              <w:pStyle w:val="ChartGraphic"/>
            </w:pPr>
            <w:r w:rsidRPr="00286776">
              <w:rPr>
                <w:noProof/>
              </w:rPr>
              <w:drawing>
                <wp:inline distT="0" distB="0" distL="0" distR="0" wp14:anchorId="57CABF0D" wp14:editId="4B01A385">
                  <wp:extent cx="2828925" cy="2828925"/>
                  <wp:effectExtent l="0" t="0" r="0" b="0"/>
                  <wp:docPr id="1293716337" name="Picture 55" descr="Chart 2.37 is a line chart showing average build times in months for new apartments, townhouses and houses, over the period 2013-14 to 2023-24. Average build times for townhouses and houses remained fairly stable until 2020-21, where build times for both increased, by 3 to 4 months, to reach 16 months for townhouses and 13 months for new houses in 2023-24. Time taken to build new apartments has been increasing over the chart period, to 33 month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716337" name="Picture 55" descr="Chart 2.37 is a line chart showing average build times in months for new apartments, townhouses and houses, over the period 2013-14 to 2023-24. Average build times for townhouses and houses remained fairly stable until 2020-21, where build times for both increased, by 3 to 4 months, to reach 16 months for townhouses and 13 months for new houses in 2023-24. Time taken to build new apartments has been increasing over the chart period, to 33 months in 2023-2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a:ln>
                            <a:noFill/>
                          </a:ln>
                        </pic:spPr>
                      </pic:pic>
                    </a:graphicData>
                  </a:graphic>
                </wp:inline>
              </w:drawing>
            </w:r>
          </w:p>
        </w:tc>
      </w:tr>
      <w:tr w:rsidR="0099326B" w:rsidRPr="00A6318A" w14:paraId="4D7668C3" w14:textId="77777777">
        <w:trPr>
          <w:cantSplit/>
        </w:trPr>
        <w:tc>
          <w:tcPr>
            <w:tcW w:w="4678" w:type="dxa"/>
          </w:tcPr>
          <w:p w14:paraId="1D16D17D" w14:textId="324D661A" w:rsidR="0099326B" w:rsidRDefault="0099326B" w:rsidP="00DB6DE6">
            <w:pPr>
              <w:pStyle w:val="ChartorTableNoteandSource"/>
            </w:pPr>
            <w:r w:rsidRPr="009628A8">
              <w:t>Note:</w:t>
            </w:r>
            <w:r w:rsidR="00DB6DE6">
              <w:tab/>
            </w:r>
            <w:r w:rsidRPr="009628A8">
              <w:t>Index of proxy for labour productivity using gross value added (GVA) per hour.</w:t>
            </w:r>
          </w:p>
          <w:p w14:paraId="5309E95E" w14:textId="43E9F72B" w:rsidR="00196383" w:rsidRPr="00744357" w:rsidRDefault="00196383" w:rsidP="00196383">
            <w:pPr>
              <w:pStyle w:val="ChartorTableNoteandSource"/>
            </w:pPr>
            <w:r w:rsidRPr="009628A8">
              <w:t>Source:</w:t>
            </w:r>
            <w:r>
              <w:tab/>
            </w:r>
            <w:r w:rsidRPr="009628A8">
              <w:t>Productivity Commission 2025</w:t>
            </w:r>
          </w:p>
        </w:tc>
        <w:tc>
          <w:tcPr>
            <w:tcW w:w="4679" w:type="dxa"/>
          </w:tcPr>
          <w:p w14:paraId="5AE10CF1" w14:textId="0A4A709D" w:rsidR="0099326B" w:rsidRDefault="0099326B" w:rsidP="00DB6DE6">
            <w:pPr>
              <w:pStyle w:val="ChartorTableNoteandSource"/>
            </w:pPr>
            <w:r w:rsidRPr="009628A8">
              <w:t>Note:</w:t>
            </w:r>
            <w:r w:rsidR="00DB6DE6">
              <w:tab/>
            </w:r>
            <w:r>
              <w:t>The t</w:t>
            </w:r>
            <w:r w:rsidRPr="009628A8">
              <w:t>ime from approval to completion.</w:t>
            </w:r>
          </w:p>
          <w:p w14:paraId="3E4A8FAB" w14:textId="1464CC5A" w:rsidR="00196383" w:rsidRPr="00744357" w:rsidRDefault="00196383" w:rsidP="00196383">
            <w:pPr>
              <w:pStyle w:val="ChartorTableNoteandSource"/>
            </w:pPr>
            <w:r w:rsidRPr="009628A8">
              <w:t>Source:</w:t>
            </w:r>
            <w:r>
              <w:tab/>
            </w:r>
            <w:r w:rsidRPr="009628A8">
              <w:t xml:space="preserve">ABS Building Activity </w:t>
            </w:r>
            <w:r w:rsidRPr="002949B5">
              <w:t>202</w:t>
            </w:r>
            <w:r w:rsidR="00400735" w:rsidRPr="0041126E">
              <w:t>5</w:t>
            </w:r>
          </w:p>
        </w:tc>
      </w:tr>
    </w:tbl>
    <w:p w14:paraId="091877C3" w14:textId="0BA43596" w:rsidR="00493879" w:rsidRDefault="00BE00F9" w:rsidP="009628A8">
      <w:r w:rsidRPr="009628A8">
        <w:t>The difference in productivity among housing types</w:t>
      </w:r>
      <w:r>
        <w:t>,</w:t>
      </w:r>
      <w:r w:rsidRPr="009628A8">
        <w:t xml:space="preserve"> in part</w:t>
      </w:r>
      <w:r>
        <w:t>,</w:t>
      </w:r>
      <w:r w:rsidRPr="009628A8">
        <w:t xml:space="preserve"> reflects differences in firm size and scale. </w:t>
      </w:r>
      <w:r>
        <w:t>C</w:t>
      </w:r>
      <w:r w:rsidRPr="009628A8">
        <w:t>onstruction firms that are principally engaged in the construction of detached dwellings tend to be smaller on average (1.5 employees per business) than firms engaged in higher</w:t>
      </w:r>
      <w:r>
        <w:noBreakHyphen/>
      </w:r>
      <w:r w:rsidRPr="009628A8">
        <w:t>density construction (1.9 employees per business) (</w:t>
      </w:r>
      <w:r>
        <w:t>Productivity Commission</w:t>
      </w:r>
      <w:r w:rsidRPr="009628A8">
        <w:t xml:space="preserve"> 2025</w:t>
      </w:r>
      <w:r w:rsidR="00F96C7F">
        <w:t>a</w:t>
      </w:r>
      <w:r w:rsidRPr="009628A8">
        <w:t>). As firms with fewer workers are likely to be less innovative (</w:t>
      </w:r>
      <w:r w:rsidRPr="00310AE8">
        <w:t>Industry</w:t>
      </w:r>
      <w:r w:rsidR="00FE6AEC">
        <w:t>,</w:t>
      </w:r>
      <w:r w:rsidRPr="00310AE8">
        <w:t xml:space="preserve"> Innovation and Science Australia</w:t>
      </w:r>
      <w:r w:rsidRPr="009628A8">
        <w:t xml:space="preserve"> 2023), detached house construction is likely to have fewer productivity improvements than </w:t>
      </w:r>
      <w:r w:rsidRPr="009628A8" w:rsidDel="00182523">
        <w:t>higher</w:t>
      </w:r>
      <w:r>
        <w:noBreakHyphen/>
      </w:r>
      <w:r w:rsidRPr="009628A8" w:rsidDel="00182523">
        <w:t>density</w:t>
      </w:r>
      <w:r w:rsidRPr="009628A8">
        <w:t xml:space="preserve"> dwelling construction. </w:t>
      </w:r>
      <w:r w:rsidR="00493879">
        <w:br w:type="page"/>
      </w:r>
    </w:p>
    <w:p w14:paraId="6E27669B" w14:textId="0D36C461" w:rsidR="0099326B" w:rsidRDefault="00BE00F9" w:rsidP="009628A8">
      <w:r w:rsidRPr="009628A8">
        <w:lastRenderedPageBreak/>
        <w:t>Detached house construction may also benefit less from the economies of scale and scope that are typically achieved in higher</w:t>
      </w:r>
      <w:r>
        <w:noBreakHyphen/>
      </w:r>
      <w:r w:rsidRPr="009628A8">
        <w:t>density projects (</w:t>
      </w:r>
      <w:r>
        <w:t>Productivity Commission</w:t>
      </w:r>
      <w:r w:rsidRPr="009628A8">
        <w:t xml:space="preserve"> 2025</w:t>
      </w:r>
      <w:r w:rsidR="00F96C7F">
        <w:t>a</w:t>
      </w:r>
      <w:r w:rsidRPr="009628A8">
        <w:t xml:space="preserve">). </w:t>
      </w:r>
      <w:r w:rsidR="007F2143">
        <w:t xml:space="preserve">The </w:t>
      </w:r>
      <w:r w:rsidR="00D84E1E">
        <w:t xml:space="preserve">decline in housing construction productivity is consistent with the </w:t>
      </w:r>
      <w:r w:rsidR="007F2143">
        <w:t>increase in dwelling construction times over the past decade</w:t>
      </w:r>
      <w:r w:rsidR="00C43BDF">
        <w:t>.</w:t>
      </w:r>
      <w:r w:rsidR="007F2143">
        <w:t xml:space="preserve"> </w:t>
      </w:r>
      <w:r w:rsidR="00C25184">
        <w:t>Since 2019</w:t>
      </w:r>
      <w:r w:rsidR="00283E4A">
        <w:t>–</w:t>
      </w:r>
      <w:r w:rsidR="00C25184">
        <w:t xml:space="preserve">20, average construction times (from approval to completion) have increased by 3 months for detached houses, and by 5 months for </w:t>
      </w:r>
      <w:r w:rsidR="00C43BDF">
        <w:t>higher</w:t>
      </w:r>
      <w:r w:rsidR="00A15C79">
        <w:noBreakHyphen/>
      </w:r>
      <w:r w:rsidR="00C43BDF">
        <w:t>density dwellings (see Chart 2.3</w:t>
      </w:r>
      <w:r w:rsidR="00C54746">
        <w:t>7</w:t>
      </w:r>
      <w:r w:rsidR="00C43BDF">
        <w:t xml:space="preserve">). </w:t>
      </w:r>
      <w:r w:rsidR="007F2143" w:rsidRPr="00A83AD4">
        <w:rPr>
          <w:rFonts w:ascii="Calibri" w:hAnsi="Calibri" w:cs="Calibri"/>
          <w:color w:val="000000"/>
          <w:szCs w:val="22"/>
          <w:shd w:val="clear" w:color="auto" w:fill="FFFFFF"/>
        </w:rPr>
        <w:t>While</w:t>
      </w:r>
      <w:r w:rsidR="007F2143" w:rsidRPr="00090931" w:rsidDel="00EE5881">
        <w:rPr>
          <w:rFonts w:ascii="Calibri" w:hAnsi="Calibri" w:cs="Calibri"/>
          <w:color w:val="000000"/>
          <w:szCs w:val="22"/>
          <w:shd w:val="clear" w:color="auto" w:fill="FFFFFF"/>
        </w:rPr>
        <w:t xml:space="preserve"> </w:t>
      </w:r>
      <w:r w:rsidR="007F2143" w:rsidRPr="00DC5236">
        <w:rPr>
          <w:rFonts w:ascii="Calibri" w:hAnsi="Calibri" w:cs="Calibri"/>
          <w:color w:val="000000"/>
          <w:szCs w:val="22"/>
          <w:shd w:val="clear" w:color="auto" w:fill="FFFFFF"/>
        </w:rPr>
        <w:t>feedback from industry</w:t>
      </w:r>
      <w:r w:rsidR="007F2143" w:rsidRPr="00090931">
        <w:rPr>
          <w:rFonts w:ascii="Calibri" w:hAnsi="Calibri" w:cs="Calibri"/>
          <w:color w:val="000000"/>
          <w:szCs w:val="22"/>
          <w:shd w:val="clear" w:color="auto" w:fill="FFFFFF"/>
        </w:rPr>
        <w:t xml:space="preserve"> has</w:t>
      </w:r>
      <w:r w:rsidR="007F2143">
        <w:rPr>
          <w:rFonts w:ascii="Calibri" w:hAnsi="Calibri" w:cs="Calibri"/>
          <w:color w:val="000000"/>
          <w:szCs w:val="22"/>
          <w:shd w:val="clear" w:color="auto" w:fill="FFFFFF"/>
        </w:rPr>
        <w:t xml:space="preserve"> indicated that build times have begun to ease for new projects, it will take time for this to flow through to a reduction in average build times across all new dwellings.</w:t>
      </w:r>
    </w:p>
    <w:p w14:paraId="31FB6821" w14:textId="3818FBB2" w:rsidR="00EB0064" w:rsidRDefault="007F2143" w:rsidP="009628A8">
      <w:r w:rsidRPr="00DC5236">
        <w:t xml:space="preserve">The decline in housing construction productivity is not a uniquely Australian phenomenon. Housing construction productivity has fallen across a range of advanced economies, such as the United States, France and the United Kingdom. In Australia, weak housing construction productivity is largely due to the </w:t>
      </w:r>
      <w:r>
        <w:t>growing</w:t>
      </w:r>
      <w:r w:rsidRPr="00DC5236">
        <w:t xml:space="preserve"> complexity of construction processes, regulatory burdens and industry fragmentation (</w:t>
      </w:r>
      <w:r>
        <w:t>P</w:t>
      </w:r>
      <w:r w:rsidR="00FF3A52">
        <w:t xml:space="preserve">roductivity </w:t>
      </w:r>
      <w:r>
        <w:t>C</w:t>
      </w:r>
      <w:r w:rsidR="00FF3A52">
        <w:t>ommission</w:t>
      </w:r>
      <w:r w:rsidRPr="00DC5236">
        <w:t xml:space="preserve"> 2025</w:t>
      </w:r>
      <w:r w:rsidR="00F96C7F">
        <w:t>a</w:t>
      </w:r>
      <w:r w:rsidRPr="00DC5236">
        <w:t xml:space="preserve">). There are also perceived barriers to upscaling due to jurisdictional differences in building standards, planning systems and regulations. The Productivity Commission </w:t>
      </w:r>
      <w:r w:rsidRPr="00DC5236">
        <w:rPr>
          <w:color w:val="auto"/>
        </w:rPr>
        <w:t>recommend</w:t>
      </w:r>
      <w:r w:rsidRPr="00DC5236">
        <w:t>s that better national coordination of the construction process could improve housing construction productivity (</w:t>
      </w:r>
      <w:r w:rsidRPr="00A8025F">
        <w:t xml:space="preserve">see </w:t>
      </w:r>
      <w:r w:rsidRPr="006A2592">
        <w:rPr>
          <w:color w:val="auto"/>
        </w:rPr>
        <w:t xml:space="preserve">section </w:t>
      </w:r>
      <w:r w:rsidRPr="006A2592">
        <w:t>7.3</w:t>
      </w:r>
      <w:r w:rsidR="00002C24" w:rsidRPr="0052007B">
        <w:rPr>
          <w:color w:val="auto"/>
        </w:rPr>
        <w:t xml:space="preserve">, </w:t>
      </w:r>
      <w:r w:rsidR="008E08A4" w:rsidRPr="008E08A4">
        <w:rPr>
          <w:rStyle w:val="Emphasis"/>
        </w:rPr>
        <w:t>Applying best practice principles to planning systems</w:t>
      </w:r>
      <w:r w:rsidR="00640DAE">
        <w:rPr>
          <w:rStyle w:val="Emphasis"/>
        </w:rPr>
        <w:t xml:space="preserve"> and making more land available</w:t>
      </w:r>
      <w:r w:rsidRPr="0052007B">
        <w:t>)</w:t>
      </w:r>
      <w:r w:rsidRPr="00DC5236">
        <w:t>.</w:t>
      </w:r>
    </w:p>
    <w:p w14:paraId="14D69195" w14:textId="506E38A1" w:rsidR="007F2143" w:rsidRPr="00BD41F4" w:rsidRDefault="007F2143" w:rsidP="00744F72">
      <w:pPr>
        <w:pStyle w:val="Heading3Numbered"/>
        <w:spacing w:before="0" w:line="240" w:lineRule="auto"/>
      </w:pPr>
      <w:r w:rsidRPr="00BD41F4">
        <w:t>Land supply</w:t>
      </w:r>
    </w:p>
    <w:p w14:paraId="205DB99C" w14:textId="137C3F7C" w:rsidR="007F2143" w:rsidRDefault="007F2143">
      <w:r w:rsidRPr="00352AD2">
        <w:t>The</w:t>
      </w:r>
      <w:r w:rsidRPr="00352AD2" w:rsidDel="00894907">
        <w:t xml:space="preserve"> </w:t>
      </w:r>
      <w:r w:rsidRPr="00BD41F4">
        <w:t>volume of residential l</w:t>
      </w:r>
      <w:r>
        <w:t>and</w:t>
      </w:r>
      <w:r w:rsidRPr="00BD41F4">
        <w:t xml:space="preserve"> sales remained </w:t>
      </w:r>
      <w:r>
        <w:t xml:space="preserve">close to </w:t>
      </w:r>
      <w:r w:rsidRPr="00897D59">
        <w:t>decade</w:t>
      </w:r>
      <w:r>
        <w:t xml:space="preserve"> lows in 2024 (HIA</w:t>
      </w:r>
      <w:r w:rsidR="00BF7545">
        <w:t xml:space="preserve"> </w:t>
      </w:r>
      <w:r w:rsidR="007A466E">
        <w:t>and</w:t>
      </w:r>
      <w:r w:rsidR="00BF7545">
        <w:t xml:space="preserve"> </w:t>
      </w:r>
      <w:r>
        <w:t xml:space="preserve">CoreLogic 2025). </w:t>
      </w:r>
      <w:r w:rsidRPr="00561482">
        <w:t xml:space="preserve">There were 9,364 </w:t>
      </w:r>
      <w:r w:rsidR="00656139">
        <w:t>recorded</w:t>
      </w:r>
      <w:r w:rsidRPr="00561482">
        <w:t xml:space="preserve"> land sales </w:t>
      </w:r>
      <w:r w:rsidRPr="00980DBE">
        <w:t xml:space="preserve">in the September quarter </w:t>
      </w:r>
      <w:r w:rsidR="008F383E">
        <w:t xml:space="preserve">of </w:t>
      </w:r>
      <w:r w:rsidRPr="00980DBE">
        <w:t>2024</w:t>
      </w:r>
      <w:r w:rsidR="008F383E">
        <w:t xml:space="preserve"> –</w:t>
      </w:r>
      <w:r w:rsidRPr="00980DBE">
        <w:t xml:space="preserve"> a fall of 18.4</w:t>
      </w:r>
      <w:r w:rsidR="0099326B">
        <w:t> per cent</w:t>
      </w:r>
      <w:r w:rsidRPr="00980DBE">
        <w:t xml:space="preserve"> over the year (</w:t>
      </w:r>
      <w:r w:rsidR="008F383E">
        <w:t xml:space="preserve">see </w:t>
      </w:r>
      <w:r w:rsidRPr="00980DBE">
        <w:t>Chart 2.3</w:t>
      </w:r>
      <w:r w:rsidR="00C54746">
        <w:t>8</w:t>
      </w:r>
      <w:r w:rsidRPr="00980DBE">
        <w:t xml:space="preserve">). Residential land sales data reflects all lot sales zoned </w:t>
      </w:r>
      <w:r w:rsidR="00A15C79">
        <w:t>‘</w:t>
      </w:r>
      <w:r>
        <w:t>r</w:t>
      </w:r>
      <w:r w:rsidRPr="00980DBE">
        <w:t>esidential</w:t>
      </w:r>
      <w:r w:rsidR="00A15C79">
        <w:t>’</w:t>
      </w:r>
      <w:r w:rsidRPr="00980DBE">
        <w:t>, including both greenfield and brownfield sites irrespective of whether the purchaser is a household or developer. This decline was driven by the capital cities, which saw land sales fall by 27.3</w:t>
      </w:r>
      <w:r w:rsidR="0099326B">
        <w:t> per cent</w:t>
      </w:r>
      <w:r w:rsidRPr="00980DBE">
        <w:t xml:space="preserve"> over the year (HIA</w:t>
      </w:r>
      <w:r w:rsidR="00A2262D">
        <w:t xml:space="preserve"> </w:t>
      </w:r>
      <w:r w:rsidR="007A466E">
        <w:t>and</w:t>
      </w:r>
      <w:r w:rsidR="00A2262D">
        <w:t xml:space="preserve"> </w:t>
      </w:r>
      <w:r w:rsidRPr="00B612B0">
        <w:t>CoreLogic</w:t>
      </w:r>
      <w:r w:rsidR="004A31E5" w:rsidRPr="00B612B0">
        <w:t xml:space="preserve"> </w:t>
      </w:r>
      <w:r w:rsidRPr="00B612B0">
        <w:t>2025). In contrast, regional areas saw an increase in land sales of 5.4</w:t>
      </w:r>
      <w:r w:rsidR="0099326B">
        <w:t> per cent</w:t>
      </w:r>
      <w:r w:rsidRPr="00B612B0">
        <w:t xml:space="preserve"> over the same period (HIA</w:t>
      </w:r>
      <w:r w:rsidR="00A2262D">
        <w:t xml:space="preserve"> </w:t>
      </w:r>
      <w:r w:rsidR="007A466E">
        <w:t>and</w:t>
      </w:r>
      <w:r w:rsidR="00A2262D">
        <w:t xml:space="preserve"> </w:t>
      </w:r>
      <w:r w:rsidRPr="00B612B0">
        <w:t>CoreLogic</w:t>
      </w:r>
      <w:r w:rsidR="004A31E5" w:rsidRPr="00B612B0">
        <w:t xml:space="preserve"> </w:t>
      </w:r>
      <w:r w:rsidRPr="00B612B0">
        <w:t>2025</w:t>
      </w:r>
      <w:r w:rsidRPr="00980DBE">
        <w:t>).</w:t>
      </w:r>
    </w:p>
    <w:tbl>
      <w:tblPr>
        <w:tblW w:w="5000" w:type="pct"/>
        <w:tblLayout w:type="fixed"/>
        <w:tblLook w:val="0000" w:firstRow="0" w:lastRow="0" w:firstColumn="0" w:lastColumn="0" w:noHBand="0" w:noVBand="0"/>
      </w:tblPr>
      <w:tblGrid>
        <w:gridCol w:w="4535"/>
        <w:gridCol w:w="4535"/>
      </w:tblGrid>
      <w:tr w:rsidR="007F2143" w14:paraId="0EAEA915" w14:textId="77777777">
        <w:trPr>
          <w:cantSplit/>
        </w:trPr>
        <w:tc>
          <w:tcPr>
            <w:tcW w:w="4535" w:type="dxa"/>
          </w:tcPr>
          <w:p w14:paraId="46A658A8" w14:textId="3A3A9C08" w:rsidR="007F2143" w:rsidRPr="00780A40" w:rsidRDefault="007F2143" w:rsidP="00780A40">
            <w:pPr>
              <w:pStyle w:val="ChartMainHeading"/>
            </w:pPr>
            <w:r w:rsidRPr="00780A40">
              <w:t>Residential land sales</w:t>
            </w:r>
            <w:r w:rsidR="009F5DE5" w:rsidRPr="00780A40">
              <w:t>, by</w:t>
            </w:r>
            <w:r w:rsidRPr="00780A40">
              <w:t xml:space="preserve"> price and volume</w:t>
            </w:r>
            <w:r w:rsidR="009F5DE5" w:rsidRPr="00780A40">
              <w:t>, total of all states</w:t>
            </w:r>
          </w:p>
        </w:tc>
        <w:tc>
          <w:tcPr>
            <w:tcW w:w="4535" w:type="dxa"/>
          </w:tcPr>
          <w:p w14:paraId="76A40DB4" w14:textId="72C01FB8" w:rsidR="007F2143" w:rsidRPr="00780A40" w:rsidRDefault="007F2143" w:rsidP="00780A40">
            <w:pPr>
              <w:pStyle w:val="ChartMainHeading"/>
            </w:pPr>
            <w:r w:rsidRPr="00780A40">
              <w:t>Residential land sales price per square metr</w:t>
            </w:r>
            <w:r w:rsidR="00D161CE" w:rsidRPr="00780A40">
              <w:t>e</w:t>
            </w:r>
            <w:r w:rsidRPr="00780A40">
              <w:t>, September 2024</w:t>
            </w:r>
          </w:p>
        </w:tc>
      </w:tr>
      <w:tr w:rsidR="007F2143" w14:paraId="4B89AED1" w14:textId="77777777">
        <w:trPr>
          <w:cantSplit/>
          <w:trHeight w:val="3839"/>
        </w:trPr>
        <w:tc>
          <w:tcPr>
            <w:tcW w:w="4535" w:type="dxa"/>
          </w:tcPr>
          <w:p w14:paraId="5D993350" w14:textId="209C39C3" w:rsidR="007F2143" w:rsidRPr="0099326B" w:rsidRDefault="00B72A7A" w:rsidP="0099326B">
            <w:pPr>
              <w:pStyle w:val="ChartGraphic"/>
            </w:pPr>
            <w:r w:rsidRPr="00B72A7A">
              <w:rPr>
                <w:noProof/>
              </w:rPr>
              <w:drawing>
                <wp:inline distT="0" distB="0" distL="0" distR="0" wp14:anchorId="3B5EE2F2" wp14:editId="58006EAC">
                  <wp:extent cx="2742565" cy="2742565"/>
                  <wp:effectExtent l="0" t="0" r="0" b="0"/>
                  <wp:docPr id="425991235" name="Picture 56" descr="Chart 2.38 is a line chart showing the median sales price and total number of quarterly land sales of residential lots for the combined six states from September 2014 to September 2024. Over the period median sales prices have grown steadily from $221,000 to $348,000. In contrast, total land sales have been more volatile. Quarterly total land sales peaked at 29,000 in September 2020 and has since declined to a near historical low of 9,400 in September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991235" name="Picture 56" descr="Chart 2.38 is a line chart showing the median sales price and total number of quarterly land sales of residential lots for the combined six states from September 2014 to September 2024. Over the period median sales prices have grown steadily from $221,000 to $348,000. In contrast, total land sales have been more volatile. Quarterly total land sales peaked at 29,000 in September 2020 and has since declined to a near historical low of 9,400 in September 2024.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42565" cy="2742565"/>
                          </a:xfrm>
                          <a:prstGeom prst="rect">
                            <a:avLst/>
                          </a:prstGeom>
                          <a:noFill/>
                          <a:ln>
                            <a:noFill/>
                          </a:ln>
                        </pic:spPr>
                      </pic:pic>
                    </a:graphicData>
                  </a:graphic>
                </wp:inline>
              </w:drawing>
            </w:r>
          </w:p>
        </w:tc>
        <w:tc>
          <w:tcPr>
            <w:tcW w:w="4535" w:type="dxa"/>
          </w:tcPr>
          <w:p w14:paraId="5952761A" w14:textId="2460B848" w:rsidR="007F2143" w:rsidRPr="0099326B" w:rsidRDefault="008265CC" w:rsidP="0099326B">
            <w:pPr>
              <w:pStyle w:val="ChartGraphic"/>
              <w:rPr>
                <w:highlight w:val="yellow"/>
              </w:rPr>
            </w:pPr>
            <w:r w:rsidRPr="008265CC">
              <w:rPr>
                <w:noProof/>
              </w:rPr>
              <w:drawing>
                <wp:inline distT="0" distB="0" distL="0" distR="0" wp14:anchorId="07EB4053" wp14:editId="130352F9">
                  <wp:extent cx="2742565" cy="2742565"/>
                  <wp:effectExtent l="0" t="0" r="635" b="635"/>
                  <wp:docPr id="1430564352" name="Picture 57" descr="Chart 2.39 is a bar chart that shows the median sales price per square metre and the annual growth in the median sales price per square metre as at September 2024 for the six state capital cities. Sydney has the highest median sales price per square metre at $2,010, while Hobart has the lowest at $430. Other capitals recorded price per square metre between $690 and $1,070. Perth recorded the strongest annual growth of 44 per cent, while prices fell in Hobart by 6.6 per cent. Melbourne also recorded a fall, of 2.6 per cent, while other cities recorded growth between 9.3 and 19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64352" name="Picture 57" descr="Chart 2.39 is a bar chart that shows the median sales price per square metre and the annual growth in the median sales price per square metre as at September 2024 for the six state capital cities. Sydney has the highest median sales price per square metre at $2,010, while Hobart has the lowest at $430. Other capitals recorded price per square metre between $690 and $1,070. Perth recorded the strongest annual growth of 44 per cent, while prices fell in Hobart by 6.6 per cent. Melbourne also recorded a fall, of 2.6 per cent, while other cities recorded growth between 9.3 and 19 per cent.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42565" cy="2742565"/>
                          </a:xfrm>
                          <a:prstGeom prst="rect">
                            <a:avLst/>
                          </a:prstGeom>
                          <a:noFill/>
                          <a:ln>
                            <a:noFill/>
                          </a:ln>
                        </pic:spPr>
                      </pic:pic>
                    </a:graphicData>
                  </a:graphic>
                </wp:inline>
              </w:drawing>
            </w:r>
          </w:p>
        </w:tc>
      </w:tr>
    </w:tbl>
    <w:p w14:paraId="08DC3F6D" w14:textId="714CDB74" w:rsidR="0099326B" w:rsidRDefault="0099326B" w:rsidP="00DB6DE6">
      <w:pPr>
        <w:pStyle w:val="ChartorTableNoteandSource"/>
      </w:pPr>
      <w:r w:rsidRPr="00B612B0">
        <w:t>Note:</w:t>
      </w:r>
      <w:r w:rsidR="00DB6DE6">
        <w:tab/>
      </w:r>
      <w:r w:rsidRPr="00B612B0">
        <w:t>Based on the most recent decade of quarterly sales activity data recorded across Australia</w:t>
      </w:r>
      <w:r w:rsidR="00A15C79">
        <w:t>’</w:t>
      </w:r>
      <w:r w:rsidRPr="00B612B0">
        <w:t>s 6 state capitals and non</w:t>
      </w:r>
      <w:r w:rsidR="00A15C79">
        <w:noBreakHyphen/>
      </w:r>
      <w:r w:rsidRPr="00B612B0">
        <w:t>capital regions, excluding the Northern Territory and the Australian Capital Territory.</w:t>
      </w:r>
    </w:p>
    <w:p w14:paraId="15A9CD49" w14:textId="0D05E8F6" w:rsidR="004C2A20" w:rsidRPr="004C2A20" w:rsidRDefault="004C2A20" w:rsidP="004C2A20">
      <w:pPr>
        <w:pStyle w:val="ChartorTableNoteandSource"/>
      </w:pPr>
      <w:r w:rsidRPr="00B612B0">
        <w:t>Source:</w:t>
      </w:r>
      <w:r>
        <w:tab/>
      </w:r>
      <w:r w:rsidRPr="00B612B0">
        <w:t>Housing Industry Association</w:t>
      </w:r>
      <w:r w:rsidR="00E248E5">
        <w:t xml:space="preserve"> </w:t>
      </w:r>
      <w:r w:rsidR="00C1165C">
        <w:t xml:space="preserve">and </w:t>
      </w:r>
      <w:r w:rsidRPr="00B612B0">
        <w:t>CoreLogic 2025</w:t>
      </w:r>
    </w:p>
    <w:p w14:paraId="5E9DD282" w14:textId="2A024D6E" w:rsidR="007F2143" w:rsidRDefault="007F2143">
      <w:r w:rsidRPr="00B612B0">
        <w:lastRenderedPageBreak/>
        <w:t xml:space="preserve">A shortage of residential land has led to higher prices. The median price per square metre of residential land sold nationally was $884 in the September quarter </w:t>
      </w:r>
      <w:r w:rsidR="00191D2F" w:rsidRPr="00B612B0">
        <w:t xml:space="preserve">of </w:t>
      </w:r>
      <w:r w:rsidRPr="00B612B0">
        <w:t>2024</w:t>
      </w:r>
      <w:r w:rsidR="00191D2F" w:rsidRPr="00B612B0">
        <w:t xml:space="preserve"> –</w:t>
      </w:r>
      <w:r w:rsidRPr="00B612B0">
        <w:t xml:space="preserve"> an increase of 9.3</w:t>
      </w:r>
      <w:r w:rsidR="0099326B">
        <w:t> per cent</w:t>
      </w:r>
      <w:r w:rsidRPr="00B612B0">
        <w:t xml:space="preserve"> compared to the previous year (HIA</w:t>
      </w:r>
      <w:r w:rsidR="00AA39DD">
        <w:t xml:space="preserve"> </w:t>
      </w:r>
      <w:r w:rsidR="00C1165C">
        <w:t>and</w:t>
      </w:r>
      <w:r w:rsidR="00AA39DD">
        <w:t xml:space="preserve"> </w:t>
      </w:r>
      <w:r w:rsidRPr="00B612B0">
        <w:t>CoreLogic</w:t>
      </w:r>
      <w:r w:rsidR="00F36AEF" w:rsidRPr="00B612B0">
        <w:t xml:space="preserve"> </w:t>
      </w:r>
      <w:r w:rsidRPr="00B612B0">
        <w:t>2025). Reflecting</w:t>
      </w:r>
      <w:r w:rsidRPr="00DF59B4">
        <w:t xml:space="preserve"> their respective differences in land supply, capital cities saw a 9.2</w:t>
      </w:r>
      <w:r w:rsidR="0099326B">
        <w:t> per cent</w:t>
      </w:r>
      <w:r w:rsidRPr="00DF59B4">
        <w:t xml:space="preserve"> increase in median residential l</w:t>
      </w:r>
      <w:r>
        <w:t xml:space="preserve">and </w:t>
      </w:r>
      <w:r w:rsidRPr="00DF59B4">
        <w:t>prices, while land in regional areas saw a modest 2</w:t>
      </w:r>
      <w:r w:rsidR="0099326B">
        <w:t> per cent</w:t>
      </w:r>
      <w:r w:rsidRPr="00DF59B4">
        <w:t xml:space="preserve"> </w:t>
      </w:r>
      <w:r>
        <w:t>rise</w:t>
      </w:r>
      <w:r w:rsidRPr="00DF59B4">
        <w:t xml:space="preserve"> (HIA</w:t>
      </w:r>
      <w:r w:rsidR="00121F86">
        <w:t xml:space="preserve"> </w:t>
      </w:r>
      <w:r w:rsidR="00C1165C">
        <w:t>and</w:t>
      </w:r>
      <w:r w:rsidR="00121F86">
        <w:t xml:space="preserve"> </w:t>
      </w:r>
      <w:r w:rsidRPr="00DF59B4">
        <w:t>CoreLogic</w:t>
      </w:r>
      <w:r w:rsidR="00BE6C43" w:rsidRPr="00076756">
        <w:t xml:space="preserve"> </w:t>
      </w:r>
      <w:r w:rsidRPr="00076756">
        <w:t>2025).</w:t>
      </w:r>
    </w:p>
    <w:p w14:paraId="433FA8B8" w14:textId="02204608" w:rsidR="00EB0064" w:rsidRDefault="007F2143" w:rsidP="001D1008">
      <w:pPr>
        <w:rPr>
          <w:color w:val="auto"/>
        </w:rPr>
      </w:pPr>
      <w:r w:rsidRPr="00BD41F4">
        <w:rPr>
          <w:color w:val="auto"/>
        </w:rPr>
        <w:t xml:space="preserve">While </w:t>
      </w:r>
      <w:r>
        <w:rPr>
          <w:color w:val="auto"/>
        </w:rPr>
        <w:t xml:space="preserve">land </w:t>
      </w:r>
      <w:r w:rsidRPr="00BD41F4">
        <w:rPr>
          <w:color w:val="auto"/>
        </w:rPr>
        <w:t xml:space="preserve">prices </w:t>
      </w:r>
      <w:r>
        <w:rPr>
          <w:color w:val="auto"/>
        </w:rPr>
        <w:t xml:space="preserve">rose </w:t>
      </w:r>
      <w:r w:rsidRPr="00BD41F4">
        <w:rPr>
          <w:color w:val="auto"/>
        </w:rPr>
        <w:t xml:space="preserve">in </w:t>
      </w:r>
      <w:r>
        <w:rPr>
          <w:color w:val="auto"/>
        </w:rPr>
        <w:t xml:space="preserve">most capital cities </w:t>
      </w:r>
      <w:r w:rsidR="0079658E">
        <w:rPr>
          <w:color w:val="auto"/>
        </w:rPr>
        <w:t xml:space="preserve">over the year to September </w:t>
      </w:r>
      <w:r w:rsidDel="0079658E">
        <w:rPr>
          <w:color w:val="auto"/>
        </w:rPr>
        <w:t>2024</w:t>
      </w:r>
      <w:r>
        <w:rPr>
          <w:color w:val="auto"/>
        </w:rPr>
        <w:t>, the fastest growth was seen in Perth</w:t>
      </w:r>
      <w:r w:rsidRPr="00BD41F4">
        <w:rPr>
          <w:color w:val="auto"/>
        </w:rPr>
        <w:t xml:space="preserve"> </w:t>
      </w:r>
      <w:r>
        <w:rPr>
          <w:color w:val="auto"/>
        </w:rPr>
        <w:t>(</w:t>
      </w:r>
      <w:r w:rsidR="00BE6C43">
        <w:rPr>
          <w:color w:val="auto"/>
        </w:rPr>
        <w:t xml:space="preserve">see </w:t>
      </w:r>
      <w:r>
        <w:rPr>
          <w:color w:val="auto"/>
        </w:rPr>
        <w:t>Chart</w:t>
      </w:r>
      <w:r w:rsidR="00D92358">
        <w:rPr>
          <w:color w:val="auto"/>
        </w:rPr>
        <w:t> </w:t>
      </w:r>
      <w:r>
        <w:rPr>
          <w:color w:val="auto"/>
        </w:rPr>
        <w:t>2.3</w:t>
      </w:r>
      <w:r w:rsidR="00C54746">
        <w:rPr>
          <w:color w:val="auto"/>
        </w:rPr>
        <w:t>9</w:t>
      </w:r>
      <w:r>
        <w:rPr>
          <w:color w:val="auto"/>
        </w:rPr>
        <w:t>)</w:t>
      </w:r>
      <w:r w:rsidRPr="00BD41F4">
        <w:rPr>
          <w:color w:val="auto"/>
        </w:rPr>
        <w:t xml:space="preserve">. The </w:t>
      </w:r>
      <w:r>
        <w:rPr>
          <w:color w:val="auto"/>
        </w:rPr>
        <w:t>median</w:t>
      </w:r>
      <w:r w:rsidRPr="00BD41F4">
        <w:rPr>
          <w:color w:val="auto"/>
        </w:rPr>
        <w:t xml:space="preserve"> price per square metre of </w:t>
      </w:r>
      <w:r w:rsidRPr="006A7045">
        <w:rPr>
          <w:color w:val="auto"/>
        </w:rPr>
        <w:t xml:space="preserve">residential </w:t>
      </w:r>
      <w:r w:rsidRPr="00BD41F4">
        <w:rPr>
          <w:color w:val="auto"/>
        </w:rPr>
        <w:t>land in Perth rose to $</w:t>
      </w:r>
      <w:r w:rsidRPr="006A7045">
        <w:rPr>
          <w:color w:val="auto"/>
        </w:rPr>
        <w:t>1,0</w:t>
      </w:r>
      <w:r w:rsidRPr="0062798D">
        <w:rPr>
          <w:color w:val="auto"/>
        </w:rPr>
        <w:t>30 in September 2024</w:t>
      </w:r>
      <w:r w:rsidR="00D37EFB">
        <w:rPr>
          <w:color w:val="auto"/>
        </w:rPr>
        <w:t>, to be</w:t>
      </w:r>
      <w:r w:rsidRPr="00EF09D7">
        <w:rPr>
          <w:color w:val="auto"/>
        </w:rPr>
        <w:t xml:space="preserve"> 40</w:t>
      </w:r>
      <w:r w:rsidR="0099326B">
        <w:rPr>
          <w:color w:val="auto"/>
        </w:rPr>
        <w:t> per cent</w:t>
      </w:r>
      <w:r w:rsidRPr="00EF09D7">
        <w:rPr>
          <w:color w:val="auto"/>
        </w:rPr>
        <w:t xml:space="preserve"> higher over the year. Brisbane</w:t>
      </w:r>
      <w:r w:rsidRPr="00BD41F4">
        <w:rPr>
          <w:color w:val="auto"/>
        </w:rPr>
        <w:t xml:space="preserve">, Adelaide and Sydney also saw strong price growth </w:t>
      </w:r>
      <w:r>
        <w:rPr>
          <w:color w:val="auto"/>
        </w:rPr>
        <w:t>(</w:t>
      </w:r>
      <w:r w:rsidRPr="00BD41F4">
        <w:rPr>
          <w:color w:val="auto"/>
        </w:rPr>
        <w:t xml:space="preserve">between </w:t>
      </w:r>
      <w:r w:rsidR="00414AB5">
        <w:rPr>
          <w:color w:val="auto"/>
        </w:rPr>
        <w:t>10</w:t>
      </w:r>
      <w:r w:rsidR="0099326B">
        <w:rPr>
          <w:color w:val="auto"/>
        </w:rPr>
        <w:t> per cent</w:t>
      </w:r>
      <w:r w:rsidR="000C08E7">
        <w:rPr>
          <w:color w:val="auto"/>
        </w:rPr>
        <w:t xml:space="preserve"> and </w:t>
      </w:r>
      <w:r w:rsidR="00414AB5">
        <w:rPr>
          <w:color w:val="auto"/>
        </w:rPr>
        <w:t>20</w:t>
      </w:r>
      <w:r w:rsidR="0099326B">
        <w:rPr>
          <w:color w:val="auto"/>
        </w:rPr>
        <w:t> per cent</w:t>
      </w:r>
      <w:r>
        <w:rPr>
          <w:color w:val="auto"/>
        </w:rPr>
        <w:t xml:space="preserve">) </w:t>
      </w:r>
      <w:r w:rsidRPr="00BD41F4">
        <w:rPr>
          <w:color w:val="auto"/>
        </w:rPr>
        <w:t xml:space="preserve">despite higher </w:t>
      </w:r>
      <w:r w:rsidR="00D37EFB">
        <w:rPr>
          <w:color w:val="auto"/>
        </w:rPr>
        <w:t xml:space="preserve">land </w:t>
      </w:r>
      <w:r w:rsidRPr="00BD41F4">
        <w:rPr>
          <w:color w:val="auto"/>
        </w:rPr>
        <w:t xml:space="preserve">sales volumes. </w:t>
      </w:r>
      <w:r w:rsidR="001D1008">
        <w:rPr>
          <w:color w:val="auto"/>
        </w:rPr>
        <w:t>Land prices were flat in Melbourne and fell in Hobart, with land sales remaining stable relative to the previous 12 months.</w:t>
      </w:r>
      <w:r>
        <w:rPr>
          <w:color w:val="auto"/>
        </w:rPr>
        <w:t xml:space="preserve"> </w:t>
      </w:r>
    </w:p>
    <w:p w14:paraId="7C3882C4" w14:textId="77777777" w:rsidR="007F2143" w:rsidRDefault="007F2143" w:rsidP="00990401">
      <w:pPr>
        <w:pStyle w:val="Heading3Numbered"/>
        <w:spacing w:before="240" w:after="80"/>
      </w:pPr>
      <w:r>
        <w:t xml:space="preserve">Construction </w:t>
      </w:r>
      <w:r w:rsidRPr="0099326B">
        <w:t>f</w:t>
      </w:r>
      <w:r w:rsidRPr="0099326B" w:rsidDel="00546845">
        <w:t>inance</w:t>
      </w:r>
      <w:r w:rsidRPr="00546845" w:rsidDel="00546845">
        <w:t xml:space="preserve"> </w:t>
      </w:r>
      <w:r w:rsidRPr="00DB6DE6" w:rsidDel="00546845">
        <w:t>conditions</w:t>
      </w:r>
    </w:p>
    <w:p w14:paraId="147E6DCB" w14:textId="4F06D2BE" w:rsidR="00DF3927" w:rsidRPr="00BF593A" w:rsidRDefault="007F2143" w:rsidP="00990401">
      <w:pPr>
        <w:spacing w:before="120"/>
        <w:rPr>
          <w:color w:val="auto"/>
        </w:rPr>
      </w:pPr>
      <w:r w:rsidRPr="00682E20">
        <w:rPr>
          <w:color w:val="auto"/>
        </w:rPr>
        <w:t>Elevated</w:t>
      </w:r>
      <w:r w:rsidRPr="00682E20" w:rsidDel="006716E8">
        <w:rPr>
          <w:color w:val="auto"/>
        </w:rPr>
        <w:t xml:space="preserve"> </w:t>
      </w:r>
      <w:r w:rsidRPr="00682E20">
        <w:rPr>
          <w:color w:val="auto"/>
        </w:rPr>
        <w:t>interest rates (</w:t>
      </w:r>
      <w:r w:rsidR="007672A4" w:rsidRPr="00682E20">
        <w:rPr>
          <w:color w:val="auto"/>
        </w:rPr>
        <w:t xml:space="preserve">see </w:t>
      </w:r>
      <w:r w:rsidRPr="00682E20">
        <w:rPr>
          <w:color w:val="auto"/>
        </w:rPr>
        <w:t>Chart 2.</w:t>
      </w:r>
      <w:r w:rsidR="00C54746" w:rsidRPr="00682E20">
        <w:rPr>
          <w:color w:val="auto"/>
        </w:rPr>
        <w:t>40</w:t>
      </w:r>
      <w:r w:rsidRPr="00682E20">
        <w:rPr>
          <w:color w:val="auto"/>
        </w:rPr>
        <w:t xml:space="preserve">) weighed on activity across the </w:t>
      </w:r>
      <w:r w:rsidR="009A3CC8" w:rsidRPr="00682E20">
        <w:rPr>
          <w:color w:val="auto"/>
        </w:rPr>
        <w:t xml:space="preserve">residential </w:t>
      </w:r>
      <w:r w:rsidR="006716E8" w:rsidRPr="00682E20">
        <w:rPr>
          <w:color w:val="auto"/>
        </w:rPr>
        <w:t xml:space="preserve">construction </w:t>
      </w:r>
      <w:r w:rsidRPr="00682E20">
        <w:rPr>
          <w:color w:val="auto"/>
        </w:rPr>
        <w:t xml:space="preserve">sector in 2024, </w:t>
      </w:r>
      <w:r w:rsidR="00C4787B" w:rsidRPr="0041126E">
        <w:rPr>
          <w:color w:val="auto"/>
        </w:rPr>
        <w:t xml:space="preserve">lowering </w:t>
      </w:r>
      <w:r w:rsidRPr="0041126E">
        <w:rPr>
          <w:color w:val="auto"/>
        </w:rPr>
        <w:t>investor debt servicing capacity, borrowing limits and risk appetite. Industry reports have noted that some developers are having difficulty securing debt financing, leading to a shift towards non</w:t>
      </w:r>
      <w:r w:rsidR="00A15C79" w:rsidRPr="0041126E">
        <w:rPr>
          <w:color w:val="auto"/>
        </w:rPr>
        <w:noBreakHyphen/>
      </w:r>
      <w:r w:rsidRPr="0041126E">
        <w:rPr>
          <w:color w:val="auto"/>
        </w:rPr>
        <w:t>bank lenders (</w:t>
      </w:r>
      <w:r w:rsidRPr="0041126E">
        <w:rPr>
          <w:rFonts w:ascii="Calibri" w:eastAsia="Calibri" w:hAnsi="Calibri" w:cs="Calibri"/>
          <w:color w:val="auto"/>
          <w:szCs w:val="22"/>
        </w:rPr>
        <w:t>Herbert Smith Freehills</w:t>
      </w:r>
      <w:r w:rsidRPr="0041126E">
        <w:rPr>
          <w:color w:val="auto"/>
        </w:rPr>
        <w:t xml:space="preserve"> 2024). This may </w:t>
      </w:r>
      <w:r w:rsidR="000C08E7" w:rsidRPr="0041126E">
        <w:rPr>
          <w:color w:val="auto"/>
        </w:rPr>
        <w:t>be</w:t>
      </w:r>
      <w:r w:rsidRPr="0041126E">
        <w:rPr>
          <w:color w:val="auto"/>
        </w:rPr>
        <w:t xml:space="preserve"> partly due to some lenders </w:t>
      </w:r>
      <w:r w:rsidR="00935EF1" w:rsidRPr="0041126E">
        <w:rPr>
          <w:color w:val="auto"/>
        </w:rPr>
        <w:t>conservative</w:t>
      </w:r>
      <w:r w:rsidR="003943D5" w:rsidRPr="0041126E">
        <w:rPr>
          <w:color w:val="auto"/>
        </w:rPr>
        <w:t>ly interpreting</w:t>
      </w:r>
      <w:r w:rsidR="00935EF1" w:rsidRPr="0041126E">
        <w:rPr>
          <w:color w:val="auto"/>
        </w:rPr>
        <w:t xml:space="preserve"> </w:t>
      </w:r>
      <w:r w:rsidRPr="0041126E">
        <w:rPr>
          <w:color w:val="auto"/>
        </w:rPr>
        <w:t>a</w:t>
      </w:r>
      <w:r w:rsidR="00BE5316" w:rsidRPr="0041126E">
        <w:rPr>
          <w:color w:val="auto"/>
        </w:rPr>
        <w:t>n</w:t>
      </w:r>
      <w:r w:rsidR="00E52E58" w:rsidRPr="0041126E">
        <w:rPr>
          <w:color w:val="auto"/>
        </w:rPr>
        <w:t xml:space="preserve"> </w:t>
      </w:r>
      <w:r w:rsidR="002C66C3" w:rsidRPr="0041126E">
        <w:rPr>
          <w:color w:val="auto"/>
        </w:rPr>
        <w:t>Australian Prudential Regulation Authority (</w:t>
      </w:r>
      <w:r w:rsidRPr="0041126E">
        <w:rPr>
          <w:color w:val="auto"/>
        </w:rPr>
        <w:t>APRA</w:t>
      </w:r>
      <w:r w:rsidR="002C66C3" w:rsidRPr="0041126E">
        <w:rPr>
          <w:color w:val="auto"/>
        </w:rPr>
        <w:t>)</w:t>
      </w:r>
      <w:r w:rsidRPr="0041126E">
        <w:rPr>
          <w:color w:val="auto"/>
        </w:rPr>
        <w:t xml:space="preserve"> </w:t>
      </w:r>
      <w:r w:rsidRPr="002949B5">
        <w:t>letter</w:t>
      </w:r>
      <w:r w:rsidRPr="002949B5" w:rsidDel="00D32663">
        <w:rPr>
          <w:rStyle w:val="FootnoteReference"/>
        </w:rPr>
        <w:footnoteReference w:id="6"/>
      </w:r>
      <w:r w:rsidRPr="002949B5">
        <w:t xml:space="preserve"> </w:t>
      </w:r>
      <w:r w:rsidRPr="002949B5" w:rsidDel="00682E20">
        <w:t>from 2017</w:t>
      </w:r>
      <w:r w:rsidRPr="0041126E" w:rsidDel="00891BC7">
        <w:rPr>
          <w:color w:val="auto"/>
        </w:rPr>
        <w:t xml:space="preserve"> </w:t>
      </w:r>
      <w:r w:rsidR="001B5A1E" w:rsidRPr="0041126E" w:rsidDel="00AA24D8">
        <w:rPr>
          <w:color w:val="auto"/>
        </w:rPr>
        <w:t>on</w:t>
      </w:r>
      <w:r w:rsidRPr="0041126E" w:rsidDel="00AA24D8">
        <w:rPr>
          <w:color w:val="auto"/>
        </w:rPr>
        <w:t xml:space="preserve"> industry practice regarding pre</w:t>
      </w:r>
      <w:r w:rsidR="00A15C79" w:rsidRPr="0041126E" w:rsidDel="00AA24D8">
        <w:rPr>
          <w:color w:val="auto"/>
        </w:rPr>
        <w:noBreakHyphen/>
      </w:r>
      <w:r w:rsidRPr="0041126E" w:rsidDel="00AA24D8">
        <w:rPr>
          <w:color w:val="auto"/>
        </w:rPr>
        <w:t xml:space="preserve">sales coverage of committed debt amounts </w:t>
      </w:r>
      <w:r w:rsidRPr="0041126E">
        <w:rPr>
          <w:color w:val="auto"/>
        </w:rPr>
        <w:t>(Helmke 2025).</w:t>
      </w:r>
      <w:r w:rsidR="00682E20" w:rsidRPr="0041126E">
        <w:rPr>
          <w:color w:val="auto"/>
        </w:rPr>
        <w:t xml:space="preserve"> </w:t>
      </w:r>
      <w:r w:rsidR="009F146A" w:rsidRPr="0041126E">
        <w:rPr>
          <w:color w:val="auto"/>
        </w:rPr>
        <w:t>APRA updated its guidance at the request of the Treasurer in February 2025, stipulating that it does not expect 100 per cent pre</w:t>
      </w:r>
      <w:r w:rsidR="009F146A" w:rsidRPr="0041126E">
        <w:rPr>
          <w:rFonts w:ascii="Cambria Math" w:hAnsi="Cambria Math" w:cs="Cambria Math"/>
          <w:color w:val="auto"/>
        </w:rPr>
        <w:t>‑</w:t>
      </w:r>
      <w:r w:rsidR="009F146A" w:rsidRPr="0041126E">
        <w:rPr>
          <w:color w:val="auto"/>
        </w:rPr>
        <w:t xml:space="preserve">sales as </w:t>
      </w:r>
      <w:r w:rsidR="00682E20" w:rsidRPr="0041126E">
        <w:rPr>
          <w:color w:val="auto"/>
        </w:rPr>
        <w:t>a condition for</w:t>
      </w:r>
      <w:r w:rsidR="009F146A" w:rsidRPr="0041126E">
        <w:rPr>
          <w:color w:val="auto"/>
        </w:rPr>
        <w:t xml:space="preserve"> securing construction finance – although it still expects banks to consider the extent of pre-sales as part of prudent credit risk management</w:t>
      </w:r>
      <w:r w:rsidR="00682E20" w:rsidRPr="002949B5">
        <w:rPr>
          <w:color w:val="auto"/>
        </w:rPr>
        <w:t xml:space="preserve"> (</w:t>
      </w:r>
      <w:r w:rsidR="0007077A" w:rsidRPr="0041126E">
        <w:rPr>
          <w:color w:val="auto"/>
        </w:rPr>
        <w:t>APRA</w:t>
      </w:r>
      <w:r w:rsidR="00682E20" w:rsidRPr="0041126E">
        <w:rPr>
          <w:color w:val="auto"/>
        </w:rPr>
        <w:t xml:space="preserve"> 2025).</w:t>
      </w:r>
    </w:p>
    <w:tbl>
      <w:tblPr>
        <w:tblW w:w="5000" w:type="pct"/>
        <w:tblLayout w:type="fixed"/>
        <w:tblLook w:val="0000" w:firstRow="0" w:lastRow="0" w:firstColumn="0" w:lastColumn="0" w:noHBand="0" w:noVBand="0"/>
      </w:tblPr>
      <w:tblGrid>
        <w:gridCol w:w="4535"/>
        <w:gridCol w:w="4535"/>
      </w:tblGrid>
      <w:tr w:rsidR="007F2143" w14:paraId="42F44D56" w14:textId="77777777" w:rsidTr="00493879">
        <w:trPr>
          <w:cantSplit/>
          <w:trHeight w:val="137"/>
        </w:trPr>
        <w:tc>
          <w:tcPr>
            <w:tcW w:w="4475" w:type="dxa"/>
          </w:tcPr>
          <w:p w14:paraId="2ABDE0E2" w14:textId="433BB191" w:rsidR="007F2143" w:rsidRPr="00EB0064" w:rsidRDefault="007F2143" w:rsidP="00990401">
            <w:pPr>
              <w:pStyle w:val="ChartMainHeading"/>
              <w:spacing w:before="120"/>
            </w:pPr>
            <w:r w:rsidRPr="00EB0064">
              <w:lastRenderedPageBreak/>
              <w:t>Business borrowing rates, by</w:t>
            </w:r>
            <w:r w:rsidR="00493879">
              <w:t> </w:t>
            </w:r>
            <w:r w:rsidRPr="00EB0064">
              <w:t xml:space="preserve">category </w:t>
            </w:r>
          </w:p>
        </w:tc>
        <w:tc>
          <w:tcPr>
            <w:tcW w:w="4475" w:type="dxa"/>
          </w:tcPr>
          <w:p w14:paraId="5168F7B9" w14:textId="328AF7C6" w:rsidR="007F2143" w:rsidRPr="00EB0064" w:rsidRDefault="007F2143" w:rsidP="00990401">
            <w:pPr>
              <w:pStyle w:val="ChartMainHeading"/>
              <w:spacing w:before="120"/>
            </w:pPr>
            <w:r w:rsidRPr="002949B5">
              <w:t>New loan commitments for</w:t>
            </w:r>
            <w:r w:rsidR="00493879">
              <w:t> </w:t>
            </w:r>
            <w:r w:rsidRPr="002949B5">
              <w:t>housing construction</w:t>
            </w:r>
          </w:p>
        </w:tc>
      </w:tr>
      <w:tr w:rsidR="007F2143" w14:paraId="27E51ED2" w14:textId="77777777" w:rsidTr="00493879">
        <w:trPr>
          <w:cantSplit/>
          <w:trHeight w:val="924"/>
        </w:trPr>
        <w:tc>
          <w:tcPr>
            <w:tcW w:w="4475" w:type="dxa"/>
          </w:tcPr>
          <w:p w14:paraId="249A5267" w14:textId="53CF979E" w:rsidR="007F2143" w:rsidRPr="000F5099" w:rsidRDefault="00E464D6" w:rsidP="0099326B">
            <w:pPr>
              <w:pStyle w:val="ChartGraphic"/>
            </w:pPr>
            <w:r w:rsidRPr="00E464D6">
              <w:rPr>
                <w:noProof/>
              </w:rPr>
              <w:drawing>
                <wp:inline distT="0" distB="0" distL="0" distR="0" wp14:anchorId="66DB95AC" wp14:editId="24D040BB">
                  <wp:extent cx="2704465" cy="2704465"/>
                  <wp:effectExtent l="0" t="0" r="0" b="0"/>
                  <wp:docPr id="176935810" name="Picture 58" descr="Chart 2.40 is a line chart showing the weighted average business borrowing rates for small and large businesses from February 2005 to February 2025. Rates for small businesses were generally higher than large businesses over the period. Rates have trended down over most of the period, from 10.2 per cent for small businesses and 9.1 for large businesses in June 2008, to lows of 4.2 per cent for small businesses in April 2022, and 1.4 per cent for large businesses in October 2021. Rates then rose sharply, with small business borrowing rates reaching 7.7 per cent in November 2023 and large business borrowing rates reaching 5.9 per cent in July 2024. Rates remained relatively stable over 2024 and decreased slightly over the first two months of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5810" name="Picture 58" descr="Chart 2.40 is a line chart showing the weighted average business borrowing rates for small and large businesses from February 2005 to February 2025. Rates for small businesses were generally higher than large businesses over the period. Rates have trended down over most of the period, from 10.2 per cent for small businesses and 9.1 for large businesses in June 2008, to lows of 4.2 per cent for small businesses in April 2022, and 1.4 per cent for large businesses in October 2021. Rates then rose sharply, with small business borrowing rates reaching 7.7 per cent in November 2023 and large business borrowing rates reaching 5.9 per cent in July 2024. Rates remained relatively stable over 2024 and decreased slightly over the first two months of 2025.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04465" cy="2704465"/>
                          </a:xfrm>
                          <a:prstGeom prst="rect">
                            <a:avLst/>
                          </a:prstGeom>
                          <a:noFill/>
                          <a:ln>
                            <a:noFill/>
                          </a:ln>
                        </pic:spPr>
                      </pic:pic>
                    </a:graphicData>
                  </a:graphic>
                </wp:inline>
              </w:drawing>
            </w:r>
          </w:p>
        </w:tc>
        <w:tc>
          <w:tcPr>
            <w:tcW w:w="4475" w:type="dxa"/>
          </w:tcPr>
          <w:p w14:paraId="7C10B462" w14:textId="5DF86502" w:rsidR="007F2143" w:rsidRDefault="002D0446" w:rsidP="0099326B">
            <w:pPr>
              <w:pStyle w:val="ChartGraphic"/>
              <w:jc w:val="left"/>
            </w:pPr>
            <w:r w:rsidRPr="002D0446">
              <w:rPr>
                <w:noProof/>
              </w:rPr>
              <w:drawing>
                <wp:inline distT="0" distB="0" distL="0" distR="0" wp14:anchorId="70FE98A7" wp14:editId="0FCD3912">
                  <wp:extent cx="2699385" cy="2699385"/>
                  <wp:effectExtent l="0" t="0" r="0" b="0"/>
                  <wp:docPr id="1365516248" name="Picture 13" descr="Chart 2.41 is a line chart showing the total rolling annual number of new loan commitments for housing construction for owner-occupiers, investors, and the combined total, between June 2020 and December 2024. Total annual new loan commitments rose from around 57,000 in June 2020 to reach a peak of around 101,000 in September 2021, before declining to around 63,000 in December 2024. The peak in total annual new loan commitments was driven by the rise in annual owner-occupier loans, which rose from around 44,000 in June 2020 to a peak of around 85,000 in September 2021, before falling to around 35,000 in December 2024. Annual investor loans more than doubled over the period, rising from around 13,000 in June 2020 to around 29,000 in December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16248" name="Picture 13" descr="Chart 2.41 is a line chart showing the total rolling annual number of new loan commitments for housing construction for owner-occupiers, investors, and the combined total, between June 2020 and December 2024. Total annual new loan commitments rose from around 57,000 in June 2020 to reach a peak of around 101,000 in September 2021, before declining to around 63,000 in December 2024. The peak in total annual new loan commitments was driven by the rise in annual owner-occupier loans, which rose from around 44,000 in June 2020 to a peak of around 85,000 in September 2021, before falling to around 35,000 in December 2024. Annual investor loans more than doubled over the period, rising from around 13,000 in June 2020 to around 29,000 in December 2024.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99385" cy="2699385"/>
                          </a:xfrm>
                          <a:prstGeom prst="rect">
                            <a:avLst/>
                          </a:prstGeom>
                          <a:noFill/>
                          <a:ln>
                            <a:noFill/>
                          </a:ln>
                        </pic:spPr>
                      </pic:pic>
                    </a:graphicData>
                  </a:graphic>
                </wp:inline>
              </w:drawing>
            </w:r>
            <w:r w:rsidRPr="002D0446" w:rsidDel="001957C2">
              <w:rPr>
                <w:noProof/>
              </w:rPr>
              <w:t xml:space="preserve"> </w:t>
            </w:r>
          </w:p>
        </w:tc>
      </w:tr>
      <w:tr w:rsidR="0099326B" w14:paraId="2995AC69" w14:textId="77777777" w:rsidTr="00493879">
        <w:trPr>
          <w:cantSplit/>
          <w:trHeight w:val="924"/>
        </w:trPr>
        <w:tc>
          <w:tcPr>
            <w:tcW w:w="4475" w:type="dxa"/>
          </w:tcPr>
          <w:p w14:paraId="6818ACBE" w14:textId="037D4EA2" w:rsidR="0099326B" w:rsidRPr="002949B5" w:rsidRDefault="0099326B" w:rsidP="00990401">
            <w:pPr>
              <w:pStyle w:val="ChartorTableNoteandSource"/>
              <w:spacing w:before="0" w:after="0"/>
            </w:pPr>
            <w:r w:rsidRPr="00EB0064">
              <w:t>Note:</w:t>
            </w:r>
            <w:r w:rsidR="00DB6DE6" w:rsidRPr="00EB0064">
              <w:tab/>
            </w:r>
            <w:r w:rsidRPr="00EB0064">
              <w:t xml:space="preserve">The series break at September </w:t>
            </w:r>
            <w:r w:rsidR="00D54D29" w:rsidRPr="002949B5">
              <w:t>20</w:t>
            </w:r>
            <w:r w:rsidRPr="002949B5">
              <w:t>19 is due to changes in business size definitions. Interest rates prior to the series break are a weighted average rate on credit outstanding for large loans and fixed for 3 years for small loans, while interest rates post the series break are total outstanding variable loans.</w:t>
            </w:r>
          </w:p>
          <w:p w14:paraId="57A805A5" w14:textId="7CE36756" w:rsidR="004C2A20" w:rsidRPr="00EB70AE" w:rsidRDefault="004C2A20" w:rsidP="008C166E">
            <w:pPr>
              <w:pStyle w:val="ChartorTableNoteandSource"/>
              <w:spacing w:before="0" w:after="0"/>
            </w:pPr>
            <w:r w:rsidRPr="002949B5">
              <w:t>Source:</w:t>
            </w:r>
            <w:r w:rsidRPr="002949B5">
              <w:tab/>
              <w:t>RBA</w:t>
            </w:r>
            <w:r w:rsidR="004B5D18" w:rsidRPr="002949B5">
              <w:t xml:space="preserve"> </w:t>
            </w:r>
            <w:r w:rsidR="00967196" w:rsidRPr="002949B5">
              <w:t>Business Lending Rates</w:t>
            </w:r>
            <w:r w:rsidRPr="002949B5" w:rsidDel="00890AFE">
              <w:t xml:space="preserve"> </w:t>
            </w:r>
            <w:r w:rsidRPr="002949B5">
              <w:t>2025</w:t>
            </w:r>
          </w:p>
        </w:tc>
        <w:tc>
          <w:tcPr>
            <w:tcW w:w="4475" w:type="dxa"/>
          </w:tcPr>
          <w:p w14:paraId="4DD6F682" w14:textId="5C03B5D7" w:rsidR="0099326B" w:rsidRDefault="0099326B" w:rsidP="00990401">
            <w:pPr>
              <w:pStyle w:val="ChartorTableNoteandSource"/>
              <w:spacing w:before="0" w:after="0"/>
            </w:pPr>
            <w:r w:rsidRPr="00EB0064">
              <w:t>Note:</w:t>
            </w:r>
            <w:r w:rsidR="00DB6DE6" w:rsidRPr="00EB0064">
              <w:tab/>
            </w:r>
            <w:r w:rsidRPr="00EB0064">
              <w:t>The rolling annual number of new loan approvals to owner</w:t>
            </w:r>
            <w:r w:rsidR="00A15C79" w:rsidRPr="00EB0064">
              <w:noBreakHyphen/>
            </w:r>
            <w:r w:rsidRPr="00EB0064">
              <w:t>occupier and investor households to secure pre</w:t>
            </w:r>
            <w:r w:rsidR="00A15C79" w:rsidRPr="00EB0064">
              <w:noBreakHyphen/>
            </w:r>
            <w:r w:rsidRPr="00EB0064">
              <w:t>sale dwellings.</w:t>
            </w:r>
          </w:p>
          <w:p w14:paraId="63ED81B3" w14:textId="33A92C6A" w:rsidR="004C2A20" w:rsidRPr="004C2A20" w:rsidRDefault="004C2A20" w:rsidP="004C2A20">
            <w:pPr>
              <w:pStyle w:val="ChartorTableNoteandSource"/>
              <w:spacing w:before="0" w:after="0"/>
            </w:pPr>
            <w:r w:rsidRPr="00EB0064">
              <w:t>Source:</w:t>
            </w:r>
            <w:r w:rsidRPr="00EB0064">
              <w:tab/>
              <w:t>ABS Lending Indicators 2025</w:t>
            </w:r>
          </w:p>
        </w:tc>
      </w:tr>
    </w:tbl>
    <w:p w14:paraId="6776BD48" w14:textId="51381D32" w:rsidR="007F2143" w:rsidRPr="00BF593A" w:rsidRDefault="007F2143" w:rsidP="00990401">
      <w:pPr>
        <w:spacing w:before="120"/>
      </w:pPr>
      <w:r>
        <w:t>Tighter f</w:t>
      </w:r>
      <w:r w:rsidRPr="00BF593A">
        <w:t xml:space="preserve">inancing conditions </w:t>
      </w:r>
      <w:r>
        <w:t xml:space="preserve">have affected the </w:t>
      </w:r>
      <w:r w:rsidR="00450F7D">
        <w:t>funding sources</w:t>
      </w:r>
      <w:r w:rsidR="004F6D0F">
        <w:t xml:space="preserve"> </w:t>
      </w:r>
      <w:r>
        <w:t>for small</w:t>
      </w:r>
      <w:r w:rsidR="00A15C79">
        <w:noBreakHyphen/>
      </w:r>
      <w:r>
        <w:t xml:space="preserve">scale construction </w:t>
      </w:r>
      <w:r w:rsidRPr="00BF593A">
        <w:t>projects</w:t>
      </w:r>
      <w:r>
        <w:t>.</w:t>
      </w:r>
      <w:r w:rsidRPr="00BF593A">
        <w:t xml:space="preserve"> </w:t>
      </w:r>
      <w:r>
        <w:t>N</w:t>
      </w:r>
      <w:r w:rsidRPr="00BF593A">
        <w:t>ew loan commitments to owner</w:t>
      </w:r>
      <w:r w:rsidR="00A15C79">
        <w:noBreakHyphen/>
      </w:r>
      <w:r w:rsidRPr="00BF593A">
        <w:t xml:space="preserve">occupiers </w:t>
      </w:r>
      <w:r w:rsidR="008D1CDD">
        <w:t>to construct</w:t>
      </w:r>
      <w:r>
        <w:t xml:space="preserve"> dwellings are </w:t>
      </w:r>
      <w:r w:rsidRPr="00BF593A">
        <w:t>very low</w:t>
      </w:r>
      <w:r>
        <w:t>. Historically,</w:t>
      </w:r>
      <w:r w:rsidRPr="00BF593A">
        <w:t xml:space="preserve"> these buyers have </w:t>
      </w:r>
      <w:r w:rsidRPr="008D7D70">
        <w:t xml:space="preserve">financed most new </w:t>
      </w:r>
      <w:r w:rsidR="00A72358" w:rsidRPr="002949B5">
        <w:t xml:space="preserve">housing </w:t>
      </w:r>
      <w:r w:rsidRPr="002949B5">
        <w:t>construction (</w:t>
      </w:r>
      <w:r w:rsidR="00262EE3" w:rsidRPr="002949B5">
        <w:t xml:space="preserve">see </w:t>
      </w:r>
      <w:r w:rsidRPr="002949B5">
        <w:t>Chart 2.</w:t>
      </w:r>
      <w:r w:rsidR="00C54746" w:rsidRPr="002949B5">
        <w:t>41</w:t>
      </w:r>
      <w:r w:rsidR="00262EE3" w:rsidRPr="002949B5">
        <w:t xml:space="preserve"> and </w:t>
      </w:r>
      <w:r w:rsidRPr="002949B5">
        <w:t>section 2.4.4</w:t>
      </w:r>
      <w:r w:rsidR="0048270C" w:rsidRPr="002949B5">
        <w:t>,</w:t>
      </w:r>
      <w:r w:rsidRPr="002949B5" w:rsidDel="00262EE3">
        <w:t xml:space="preserve"> </w:t>
      </w:r>
      <w:r w:rsidRPr="002949B5" w:rsidDel="00262EE3">
        <w:rPr>
          <w:rStyle w:val="Emphasis"/>
        </w:rPr>
        <w:t>Household credit conditions</w:t>
      </w:r>
      <w:r w:rsidRPr="002949B5">
        <w:t xml:space="preserve">). However, </w:t>
      </w:r>
      <w:r w:rsidR="00780C05" w:rsidRPr="002949B5">
        <w:t xml:space="preserve">investors have been financing </w:t>
      </w:r>
      <w:r w:rsidRPr="002949B5">
        <w:t xml:space="preserve">a growing </w:t>
      </w:r>
      <w:r w:rsidR="00A72358" w:rsidRPr="002949B5">
        <w:t>number of new loan commitments for housing construction</w:t>
      </w:r>
      <w:r w:rsidR="00D3632D" w:rsidRPr="002949B5">
        <w:t xml:space="preserve"> (see Chart 2.41)</w:t>
      </w:r>
      <w:r w:rsidRPr="002949B5">
        <w:t>, part</w:t>
      </w:r>
      <w:r w:rsidR="00F361FC" w:rsidRPr="002949B5">
        <w:t>ly</w:t>
      </w:r>
      <w:r w:rsidRPr="002949B5">
        <w:t xml:space="preserve"> reflecting growth in housing prices</w:t>
      </w:r>
      <w:r w:rsidR="008C02AC" w:rsidRPr="002949B5">
        <w:t xml:space="preserve"> (</w:t>
      </w:r>
      <w:r w:rsidR="00EC5FEA" w:rsidRPr="002949B5">
        <w:t>CoreLogic</w:t>
      </w:r>
      <w:r w:rsidR="008C02AC" w:rsidRPr="002949B5">
        <w:t xml:space="preserve"> 2024)</w:t>
      </w:r>
      <w:r w:rsidRPr="002949B5">
        <w:t>, which has increased equity for existing owners to invest in additional properties.</w:t>
      </w:r>
    </w:p>
    <w:p w14:paraId="51487036" w14:textId="181D3A18" w:rsidR="00CF29C3" w:rsidRDefault="007F2143" w:rsidP="00990401">
      <w:pPr>
        <w:spacing w:before="120" w:after="0"/>
      </w:pPr>
      <w:r w:rsidRPr="00A5611C">
        <w:t xml:space="preserve">Tight financing conditions are </w:t>
      </w:r>
      <w:r w:rsidRPr="0066243C">
        <w:t xml:space="preserve">particularly </w:t>
      </w:r>
      <w:r>
        <w:t xml:space="preserve">problematic for </w:t>
      </w:r>
      <w:r w:rsidRPr="0066243C">
        <w:t>higher</w:t>
      </w:r>
      <w:r w:rsidR="00A15C79">
        <w:noBreakHyphen/>
      </w:r>
      <w:r w:rsidRPr="0066243C">
        <w:t xml:space="preserve">density projects, </w:t>
      </w:r>
      <w:r>
        <w:t>as</w:t>
      </w:r>
      <w:r w:rsidRPr="0066243C">
        <w:t xml:space="preserve"> </w:t>
      </w:r>
      <w:r w:rsidRPr="009628A8">
        <w:t>d</w:t>
      </w:r>
      <w:r w:rsidRPr="0066243C">
        <w:t>evelopers are typically required to pre</w:t>
      </w:r>
      <w:r w:rsidR="00A15C79">
        <w:noBreakHyphen/>
      </w:r>
      <w:r w:rsidRPr="0066243C">
        <w:t>sell a certain number of units to households to secure project financing</w:t>
      </w:r>
      <w:r>
        <w:t xml:space="preserve"> from banks (</w:t>
      </w:r>
      <w:r w:rsidR="002A47A7" w:rsidRPr="00310AE8">
        <w:t>RBA 2019</w:t>
      </w:r>
      <w:r>
        <w:t>)</w:t>
      </w:r>
      <w:r w:rsidRPr="0066243C">
        <w:t xml:space="preserve">. </w:t>
      </w:r>
      <w:r w:rsidR="00DF11B8">
        <w:t>Over the past year, aff</w:t>
      </w:r>
      <w:r w:rsidRPr="0066243C">
        <w:t xml:space="preserve">ordability constraints for potential buyers </w:t>
      </w:r>
      <w:r w:rsidRPr="009628A8">
        <w:t>softened demand,</w:t>
      </w:r>
      <w:r w:rsidRPr="0066243C">
        <w:t xml:space="preserve"> contribut</w:t>
      </w:r>
      <w:r w:rsidRPr="009628A8">
        <w:t>ing</w:t>
      </w:r>
      <w:r w:rsidRPr="0066243C">
        <w:t xml:space="preserve"> to longer wait times to reach pre</w:t>
      </w:r>
      <w:r w:rsidR="00A15C79">
        <w:noBreakHyphen/>
      </w:r>
      <w:r w:rsidRPr="0066243C">
        <w:t>sale requirements</w:t>
      </w:r>
      <w:r w:rsidR="00E83D9B">
        <w:t>. This</w:t>
      </w:r>
      <w:r w:rsidRPr="0066243C">
        <w:t xml:space="preserve"> add</w:t>
      </w:r>
      <w:r w:rsidR="00E83D9B">
        <w:t>ed</w:t>
      </w:r>
      <w:r w:rsidRPr="0066243C">
        <w:t xml:space="preserve"> to project costs and hamper</w:t>
      </w:r>
      <w:r w:rsidR="00E83D9B">
        <w:t>ed</w:t>
      </w:r>
      <w:r w:rsidR="00E323E5">
        <w:t xml:space="preserve"> the</w:t>
      </w:r>
      <w:r w:rsidRPr="0066243C">
        <w:t xml:space="preserve"> financial feasibility for developers and builders (see </w:t>
      </w:r>
      <w:r>
        <w:t xml:space="preserve">section </w:t>
      </w:r>
      <w:r w:rsidRPr="00F9186E">
        <w:t>2.3.8</w:t>
      </w:r>
      <w:r w:rsidR="00112899">
        <w:t>,</w:t>
      </w:r>
      <w:r w:rsidRPr="0066243C" w:rsidDel="001449B0">
        <w:rPr>
          <w:i/>
          <w:iCs/>
        </w:rPr>
        <w:t xml:space="preserve"> </w:t>
      </w:r>
      <w:r w:rsidRPr="00DB6DE6" w:rsidDel="001449B0">
        <w:rPr>
          <w:rStyle w:val="Emphasis"/>
        </w:rPr>
        <w:t>Project</w:t>
      </w:r>
      <w:r w:rsidR="0099326B" w:rsidRPr="00DB6DE6">
        <w:rPr>
          <w:rStyle w:val="Emphasis"/>
        </w:rPr>
        <w:t> </w:t>
      </w:r>
      <w:r w:rsidRPr="00DB6DE6" w:rsidDel="001449B0">
        <w:rPr>
          <w:rStyle w:val="Emphasis"/>
        </w:rPr>
        <w:t>feasibility</w:t>
      </w:r>
      <w:r w:rsidRPr="0066243C">
        <w:t xml:space="preserve">). </w:t>
      </w:r>
      <w:r w:rsidR="00CF29C3">
        <w:br w:type="page"/>
      </w:r>
    </w:p>
    <w:p w14:paraId="2ABA01B8" w14:textId="77777777" w:rsidR="007F2143" w:rsidRPr="001A7B9E" w:rsidRDefault="007F2143" w:rsidP="00744F72">
      <w:pPr>
        <w:pStyle w:val="Heading3Numbered"/>
        <w:spacing w:before="240" w:line="240" w:lineRule="auto"/>
      </w:pPr>
      <w:r w:rsidRPr="00195C76">
        <w:lastRenderedPageBreak/>
        <w:t>Project feasibility</w:t>
      </w:r>
    </w:p>
    <w:p w14:paraId="0211B132" w14:textId="2D96F361" w:rsidR="00493879" w:rsidRPr="00CF29C3" w:rsidRDefault="007F2143">
      <w:pPr>
        <w:rPr>
          <w:rFonts w:ascii="Calibri" w:hAnsi="Calibri" w:cs="Calibri"/>
          <w:bCs/>
          <w:color w:val="000000"/>
          <w:szCs w:val="22"/>
          <w:shd w:val="clear" w:color="auto" w:fill="FFFFFF"/>
        </w:rPr>
      </w:pPr>
      <w:r>
        <w:rPr>
          <w:rFonts w:ascii="Calibri" w:hAnsi="Calibri" w:cs="Calibri"/>
          <w:bCs/>
          <w:color w:val="000000"/>
          <w:szCs w:val="22"/>
          <w:shd w:val="clear" w:color="auto" w:fill="FFFFFF"/>
        </w:rPr>
        <w:t>Rising financing and construction</w:t>
      </w:r>
      <w:r w:rsidR="00E8671F">
        <w:rPr>
          <w:rFonts w:ascii="Calibri" w:hAnsi="Calibri" w:cs="Calibri"/>
          <w:bCs/>
          <w:color w:val="000000"/>
          <w:szCs w:val="22"/>
          <w:shd w:val="clear" w:color="auto" w:fill="FFFFFF"/>
        </w:rPr>
        <w:t xml:space="preserve"> costs</w:t>
      </w:r>
      <w:r>
        <w:rPr>
          <w:rFonts w:ascii="Calibri" w:hAnsi="Calibri" w:cs="Calibri"/>
          <w:bCs/>
          <w:color w:val="000000"/>
          <w:szCs w:val="22"/>
          <w:shd w:val="clear" w:color="auto" w:fill="FFFFFF"/>
        </w:rPr>
        <w:t xml:space="preserve"> reduced the financial feasibility of new residential construction projects in 2024, limiting the number of </w:t>
      </w:r>
      <w:r w:rsidR="005A5DB9">
        <w:rPr>
          <w:rFonts w:ascii="Calibri" w:hAnsi="Calibri" w:cs="Calibri"/>
          <w:bCs/>
          <w:color w:val="000000"/>
          <w:szCs w:val="22"/>
          <w:shd w:val="clear" w:color="auto" w:fill="FFFFFF"/>
        </w:rPr>
        <w:t xml:space="preserve">dwelling </w:t>
      </w:r>
      <w:r>
        <w:rPr>
          <w:rFonts w:ascii="Calibri" w:hAnsi="Calibri" w:cs="Calibri"/>
          <w:bCs/>
          <w:color w:val="000000"/>
          <w:szCs w:val="22"/>
          <w:shd w:val="clear" w:color="auto" w:fill="FFFFFF"/>
        </w:rPr>
        <w:t>approvals, commencements and completions – particularly for higher</w:t>
      </w:r>
      <w:r w:rsidR="00A15C79">
        <w:rPr>
          <w:rFonts w:ascii="Calibri" w:hAnsi="Calibri" w:cs="Calibri"/>
          <w:bCs/>
          <w:color w:val="000000"/>
          <w:szCs w:val="22"/>
          <w:shd w:val="clear" w:color="auto" w:fill="FFFFFF"/>
        </w:rPr>
        <w:noBreakHyphen/>
      </w:r>
      <w:r>
        <w:rPr>
          <w:rFonts w:ascii="Calibri" w:hAnsi="Calibri" w:cs="Calibri"/>
          <w:bCs/>
          <w:color w:val="000000"/>
          <w:szCs w:val="22"/>
          <w:shd w:val="clear" w:color="auto" w:fill="FFFFFF"/>
        </w:rPr>
        <w:t>density dwellings (</w:t>
      </w:r>
      <w:r w:rsidRPr="001F6F72">
        <w:rPr>
          <w:rFonts w:ascii="Calibri" w:hAnsi="Calibri" w:cs="Calibri"/>
          <w:bCs/>
          <w:color w:val="000000"/>
          <w:szCs w:val="22"/>
          <w:shd w:val="clear" w:color="auto" w:fill="FFFFFF"/>
        </w:rPr>
        <w:t xml:space="preserve">see </w:t>
      </w:r>
      <w:r>
        <w:rPr>
          <w:rFonts w:ascii="Calibri" w:hAnsi="Calibri" w:cs="Calibri"/>
          <w:bCs/>
          <w:color w:val="000000"/>
          <w:szCs w:val="22"/>
          <w:shd w:val="clear" w:color="auto" w:fill="FFFFFF"/>
        </w:rPr>
        <w:t xml:space="preserve">section </w:t>
      </w:r>
      <w:r w:rsidRPr="00F9186E">
        <w:rPr>
          <w:rFonts w:ascii="Calibri" w:hAnsi="Calibri" w:cs="Calibri"/>
          <w:iCs/>
          <w:color w:val="000000"/>
          <w:szCs w:val="22"/>
          <w:shd w:val="clear" w:color="auto" w:fill="FFFFFF"/>
        </w:rPr>
        <w:t>2.2.1</w:t>
      </w:r>
      <w:r w:rsidR="0048270C">
        <w:rPr>
          <w:rFonts w:ascii="Calibri" w:hAnsi="Calibri" w:cs="Calibri"/>
          <w:iCs/>
          <w:color w:val="000000"/>
          <w:szCs w:val="22"/>
          <w:shd w:val="clear" w:color="auto" w:fill="FFFFFF"/>
        </w:rPr>
        <w:t>,</w:t>
      </w:r>
      <w:r w:rsidRPr="00BD41F4" w:rsidDel="003C6801">
        <w:rPr>
          <w:rFonts w:ascii="Calibri" w:hAnsi="Calibri" w:cs="Calibri"/>
          <w:i/>
          <w:color w:val="000000"/>
          <w:szCs w:val="22"/>
          <w:shd w:val="clear" w:color="auto" w:fill="FFFFFF"/>
        </w:rPr>
        <w:t xml:space="preserve"> </w:t>
      </w:r>
      <w:r w:rsidRPr="002949B5" w:rsidDel="003C6801">
        <w:rPr>
          <w:rStyle w:val="Emphasis"/>
        </w:rPr>
        <w:t>New housing supply</w:t>
      </w:r>
      <w:r w:rsidR="00AF5C4E" w:rsidRPr="002949B5">
        <w:rPr>
          <w:rStyle w:val="Emphasis"/>
        </w:rPr>
        <w:t>, by dwelling type</w:t>
      </w:r>
      <w:r w:rsidRPr="002949B5">
        <w:rPr>
          <w:rFonts w:ascii="Calibri" w:hAnsi="Calibri" w:cs="Calibri"/>
          <w:color w:val="000000"/>
          <w:szCs w:val="22"/>
          <w:shd w:val="clear" w:color="auto" w:fill="FFFFFF"/>
        </w:rPr>
        <w:t>).</w:t>
      </w:r>
      <w:r>
        <w:rPr>
          <w:rFonts w:ascii="Calibri" w:hAnsi="Calibri" w:cs="Calibri"/>
          <w:bCs/>
          <w:color w:val="000000"/>
          <w:szCs w:val="22"/>
          <w:shd w:val="clear" w:color="auto" w:fill="FFFFFF"/>
        </w:rPr>
        <w:t xml:space="preserve"> </w:t>
      </w:r>
    </w:p>
    <w:p w14:paraId="27746849" w14:textId="195F8F85" w:rsidR="00EB0064" w:rsidRDefault="007F2143">
      <w:pPr>
        <w:rPr>
          <w:szCs w:val="22"/>
        </w:rPr>
      </w:pPr>
      <w:r>
        <w:rPr>
          <w:rFonts w:ascii="Calibri" w:hAnsi="Calibri" w:cs="Calibri"/>
          <w:color w:val="auto"/>
          <w:szCs w:val="22"/>
          <w:shd w:val="clear" w:color="auto" w:fill="FFFFFF"/>
        </w:rPr>
        <w:t>This continues a trend identified in a</w:t>
      </w:r>
      <w:r w:rsidRPr="00A74D29" w:rsidDel="00791350">
        <w:rPr>
          <w:rFonts w:ascii="Calibri" w:hAnsi="Calibri" w:cs="Calibri"/>
          <w:color w:val="auto"/>
          <w:szCs w:val="22"/>
          <w:shd w:val="clear" w:color="auto" w:fill="FFFFFF"/>
        </w:rPr>
        <w:t xml:space="preserve"> recent report by the Centre for International Economics </w:t>
      </w:r>
      <w:r w:rsidRPr="00005225" w:rsidDel="00791350">
        <w:rPr>
          <w:rFonts w:ascii="Calibri" w:hAnsi="Calibri" w:cs="Calibri"/>
          <w:color w:val="auto"/>
          <w:szCs w:val="22"/>
          <w:shd w:val="clear" w:color="auto" w:fill="FFFFFF"/>
        </w:rPr>
        <w:t>(</w:t>
      </w:r>
      <w:r w:rsidR="008652A8" w:rsidRPr="00005225">
        <w:rPr>
          <w:rFonts w:ascii="Calibri" w:hAnsi="Calibri" w:cs="Calibri"/>
          <w:color w:val="auto"/>
          <w:szCs w:val="22"/>
          <w:shd w:val="clear" w:color="auto" w:fill="FFFFFF"/>
        </w:rPr>
        <w:t xml:space="preserve">The </w:t>
      </w:r>
      <w:r w:rsidRPr="00005225" w:rsidDel="00791350">
        <w:rPr>
          <w:rFonts w:ascii="Calibri" w:hAnsi="Calibri" w:cs="Calibri"/>
          <w:color w:val="auto"/>
          <w:szCs w:val="22"/>
          <w:shd w:val="clear" w:color="auto" w:fill="FFFFFF"/>
        </w:rPr>
        <w:t>CIE)</w:t>
      </w:r>
      <w:r w:rsidRPr="00A74D29" w:rsidDel="00791350">
        <w:rPr>
          <w:rFonts w:ascii="Calibri" w:hAnsi="Calibri" w:cs="Calibri"/>
          <w:color w:val="auto"/>
          <w:szCs w:val="22"/>
          <w:shd w:val="clear" w:color="auto" w:fill="FFFFFF"/>
        </w:rPr>
        <w:t xml:space="preserve"> for the NSW Productivity and Equality Commission</w:t>
      </w:r>
      <w:r>
        <w:rPr>
          <w:rFonts w:ascii="Calibri" w:hAnsi="Calibri" w:cs="Calibri"/>
          <w:color w:val="auto"/>
          <w:szCs w:val="22"/>
          <w:shd w:val="clear" w:color="auto" w:fill="FFFFFF"/>
        </w:rPr>
        <w:t>,</w:t>
      </w:r>
      <w:r w:rsidRPr="00A74D29" w:rsidDel="00791350">
        <w:rPr>
          <w:rFonts w:ascii="Calibri" w:hAnsi="Calibri" w:cs="Calibri"/>
          <w:color w:val="auto"/>
          <w:szCs w:val="22"/>
          <w:shd w:val="clear" w:color="auto" w:fill="FFFFFF"/>
        </w:rPr>
        <w:t xml:space="preserve"> </w:t>
      </w:r>
      <w:r>
        <w:rPr>
          <w:rFonts w:ascii="Calibri" w:hAnsi="Calibri" w:cs="Calibri"/>
          <w:color w:val="auto"/>
          <w:szCs w:val="22"/>
          <w:shd w:val="clear" w:color="auto" w:fill="FFFFFF"/>
        </w:rPr>
        <w:t>which highlighted</w:t>
      </w:r>
      <w:r w:rsidRPr="00A74D29" w:rsidDel="00791350">
        <w:rPr>
          <w:rFonts w:ascii="Calibri" w:hAnsi="Calibri" w:cs="Calibri"/>
          <w:color w:val="auto"/>
          <w:szCs w:val="22"/>
          <w:shd w:val="clear" w:color="auto" w:fill="FFFFFF"/>
        </w:rPr>
        <w:t xml:space="preserve"> the </w:t>
      </w:r>
      <w:r>
        <w:rPr>
          <w:rFonts w:ascii="Calibri" w:hAnsi="Calibri" w:cs="Calibri"/>
          <w:bCs/>
          <w:color w:val="auto"/>
          <w:szCs w:val="22"/>
          <w:shd w:val="clear" w:color="auto" w:fill="FFFFFF"/>
        </w:rPr>
        <w:t>decline</w:t>
      </w:r>
      <w:r w:rsidRPr="00A74D29">
        <w:rPr>
          <w:rFonts w:ascii="Calibri" w:hAnsi="Calibri" w:cs="Calibri"/>
          <w:bCs/>
          <w:color w:val="auto"/>
          <w:szCs w:val="22"/>
          <w:shd w:val="clear" w:color="auto" w:fill="FFFFFF"/>
        </w:rPr>
        <w:t xml:space="preserve"> in feasibility for mid</w:t>
      </w:r>
      <w:r w:rsidR="00A15C79">
        <w:rPr>
          <w:rFonts w:ascii="Calibri" w:hAnsi="Calibri" w:cs="Calibri"/>
          <w:bCs/>
          <w:color w:val="auto"/>
          <w:szCs w:val="22"/>
          <w:shd w:val="clear" w:color="auto" w:fill="FFFFFF"/>
        </w:rPr>
        <w:noBreakHyphen/>
      </w:r>
      <w:r w:rsidRPr="00A74D29">
        <w:rPr>
          <w:rFonts w:ascii="Calibri" w:hAnsi="Calibri" w:cs="Calibri"/>
          <w:bCs/>
          <w:color w:val="auto"/>
          <w:szCs w:val="22"/>
          <w:shd w:val="clear" w:color="auto" w:fill="FFFFFF"/>
        </w:rPr>
        <w:t>rise apartments</w:t>
      </w:r>
      <w:r>
        <w:rPr>
          <w:rFonts w:ascii="Calibri" w:hAnsi="Calibri" w:cs="Calibri"/>
          <w:bCs/>
          <w:color w:val="auto"/>
          <w:szCs w:val="22"/>
          <w:shd w:val="clear" w:color="auto" w:fill="FFFFFF"/>
        </w:rPr>
        <w:t xml:space="preserve">. It found </w:t>
      </w:r>
      <w:r w:rsidRPr="00BD41F4">
        <w:rPr>
          <w:rFonts w:ascii="Calibri" w:hAnsi="Calibri" w:cs="Calibri"/>
          <w:color w:val="auto"/>
          <w:szCs w:val="22"/>
          <w:shd w:val="clear" w:color="auto" w:fill="FFFFFF"/>
        </w:rPr>
        <w:t>developers were unable to recover standard profitability margins across all mainland capital cities in 2023 (</w:t>
      </w:r>
      <w:r w:rsidR="008652A8" w:rsidRPr="00005225">
        <w:rPr>
          <w:rFonts w:ascii="Calibri" w:hAnsi="Calibri" w:cs="Calibri"/>
          <w:color w:val="auto"/>
          <w:szCs w:val="22"/>
          <w:shd w:val="clear" w:color="auto" w:fill="FFFFFF"/>
        </w:rPr>
        <w:t xml:space="preserve">The </w:t>
      </w:r>
      <w:r w:rsidRPr="00005225">
        <w:rPr>
          <w:rFonts w:ascii="Calibri" w:hAnsi="Calibri" w:cs="Calibri"/>
          <w:color w:val="auto"/>
          <w:szCs w:val="22"/>
          <w:shd w:val="clear" w:color="auto" w:fill="FFFFFF"/>
        </w:rPr>
        <w:t>CIE</w:t>
      </w:r>
      <w:r>
        <w:rPr>
          <w:rFonts w:ascii="Calibri" w:hAnsi="Calibri" w:cs="Calibri"/>
          <w:bCs/>
          <w:color w:val="auto"/>
          <w:szCs w:val="22"/>
          <w:shd w:val="clear" w:color="auto" w:fill="FFFFFF"/>
        </w:rPr>
        <w:t xml:space="preserve"> 2024</w:t>
      </w:r>
      <w:r w:rsidRPr="00BD41F4">
        <w:rPr>
          <w:rFonts w:ascii="Calibri" w:hAnsi="Calibri" w:cs="Calibri"/>
          <w:color w:val="auto"/>
          <w:szCs w:val="22"/>
          <w:shd w:val="clear" w:color="auto" w:fill="FFFFFF"/>
        </w:rPr>
        <w:t>).</w:t>
      </w:r>
      <w:r>
        <w:rPr>
          <w:rFonts w:ascii="Calibri" w:hAnsi="Calibri" w:cs="Calibri"/>
          <w:bCs/>
          <w:color w:val="auto"/>
          <w:szCs w:val="22"/>
          <w:shd w:val="clear" w:color="auto" w:fill="FFFFFF"/>
        </w:rPr>
        <w:t xml:space="preserve"> </w:t>
      </w:r>
      <w:r w:rsidRPr="0043112B">
        <w:rPr>
          <w:rFonts w:ascii="Calibri" w:hAnsi="Calibri" w:cs="Calibri"/>
          <w:color w:val="000000"/>
          <w:shd w:val="clear" w:color="auto" w:fill="FFFFFF"/>
        </w:rPr>
        <w:t>The largest observed financial feasibility gap for mid</w:t>
      </w:r>
      <w:r w:rsidR="00A15C79">
        <w:rPr>
          <w:rFonts w:ascii="Calibri" w:hAnsi="Calibri" w:cs="Calibri"/>
          <w:color w:val="000000"/>
          <w:shd w:val="clear" w:color="auto" w:fill="FFFFFF"/>
        </w:rPr>
        <w:noBreakHyphen/>
      </w:r>
      <w:r w:rsidRPr="0043112B">
        <w:rPr>
          <w:rFonts w:ascii="Calibri" w:hAnsi="Calibri" w:cs="Calibri"/>
          <w:color w:val="000000"/>
          <w:shd w:val="clear" w:color="auto" w:fill="FFFFFF"/>
        </w:rPr>
        <w:t xml:space="preserve">rise apartments was </w:t>
      </w:r>
      <w:r w:rsidRPr="00646869">
        <w:rPr>
          <w:rFonts w:ascii="Calibri" w:hAnsi="Calibri" w:cs="Calibri"/>
          <w:color w:val="000000"/>
          <w:shd w:val="clear" w:color="auto" w:fill="FFFFFF"/>
        </w:rPr>
        <w:t xml:space="preserve">in </w:t>
      </w:r>
      <w:r w:rsidRPr="009628A8">
        <w:t>Perth</w:t>
      </w:r>
      <w:r w:rsidRPr="00646869">
        <w:rPr>
          <w:rFonts w:ascii="Calibri" w:hAnsi="Calibri" w:cs="Calibri"/>
          <w:color w:val="000000"/>
          <w:shd w:val="clear" w:color="auto" w:fill="FFFFFF"/>
        </w:rPr>
        <w:t>, followed by Adelaide, Melbourne, Brisbane and Sydney</w:t>
      </w:r>
      <w:r w:rsidRPr="00646869" w:rsidDel="0043112B">
        <w:rPr>
          <w:rFonts w:ascii="Calibri" w:hAnsi="Calibri" w:cs="Calibri"/>
          <w:bCs/>
          <w:color w:val="000000"/>
          <w:szCs w:val="22"/>
          <w:shd w:val="clear" w:color="auto" w:fill="FFFFFF"/>
        </w:rPr>
        <w:t xml:space="preserve"> </w:t>
      </w:r>
      <w:r w:rsidRPr="00646869">
        <w:rPr>
          <w:rFonts w:ascii="Calibri" w:hAnsi="Calibri" w:cs="Calibri"/>
          <w:bCs/>
          <w:color w:val="000000"/>
          <w:szCs w:val="22"/>
          <w:shd w:val="clear" w:color="auto" w:fill="FFFFFF"/>
        </w:rPr>
        <w:t>(see</w:t>
      </w:r>
      <w:r w:rsidR="00DB6DE6">
        <w:rPr>
          <w:rFonts w:ascii="Calibri" w:hAnsi="Calibri" w:cs="Calibri"/>
          <w:bCs/>
          <w:color w:val="000000"/>
          <w:szCs w:val="22"/>
          <w:shd w:val="clear" w:color="auto" w:fill="FFFFFF"/>
        </w:rPr>
        <w:t> </w:t>
      </w:r>
      <w:r w:rsidRPr="00646869">
        <w:rPr>
          <w:rFonts w:ascii="Calibri" w:hAnsi="Calibri" w:cs="Calibri"/>
          <w:bCs/>
          <w:color w:val="000000"/>
          <w:szCs w:val="22"/>
          <w:shd w:val="clear" w:color="auto" w:fill="FFFFFF"/>
        </w:rPr>
        <w:t>Chart</w:t>
      </w:r>
      <w:r w:rsidR="0099326B">
        <w:rPr>
          <w:rFonts w:ascii="Calibri" w:hAnsi="Calibri" w:cs="Calibri"/>
          <w:bCs/>
          <w:color w:val="000000"/>
          <w:szCs w:val="22"/>
          <w:shd w:val="clear" w:color="auto" w:fill="FFFFFF"/>
        </w:rPr>
        <w:t> </w:t>
      </w:r>
      <w:r w:rsidRPr="00646869">
        <w:rPr>
          <w:rFonts w:ascii="Calibri" w:hAnsi="Calibri" w:cs="Calibri"/>
          <w:bCs/>
          <w:color w:val="000000"/>
          <w:szCs w:val="22"/>
          <w:shd w:val="clear" w:color="auto" w:fill="FFFFFF"/>
        </w:rPr>
        <w:t>2.4</w:t>
      </w:r>
      <w:r w:rsidR="00C54746">
        <w:rPr>
          <w:rFonts w:ascii="Calibri" w:hAnsi="Calibri" w:cs="Calibri"/>
          <w:bCs/>
          <w:color w:val="000000"/>
          <w:szCs w:val="22"/>
          <w:shd w:val="clear" w:color="auto" w:fill="FFFFFF"/>
        </w:rPr>
        <w:t>2</w:t>
      </w:r>
      <w:r w:rsidRPr="00646869">
        <w:rPr>
          <w:rFonts w:ascii="Calibri" w:hAnsi="Calibri" w:cs="Calibri"/>
          <w:bCs/>
          <w:color w:val="000000"/>
          <w:szCs w:val="22"/>
          <w:shd w:val="clear" w:color="auto" w:fill="FFFFFF"/>
        </w:rPr>
        <w:t>).</w:t>
      </w:r>
      <w:r>
        <w:rPr>
          <w:rFonts w:ascii="Calibri" w:hAnsi="Calibri" w:cs="Calibri"/>
          <w:bCs/>
          <w:color w:val="000000"/>
          <w:szCs w:val="22"/>
          <w:shd w:val="clear" w:color="auto" w:fill="FFFFFF"/>
        </w:rPr>
        <w:t xml:space="preserve"> </w:t>
      </w:r>
    </w:p>
    <w:tbl>
      <w:tblPr>
        <w:tblW w:w="5000" w:type="pct"/>
        <w:tblLayout w:type="fixed"/>
        <w:tblLook w:val="0000" w:firstRow="0" w:lastRow="0" w:firstColumn="0" w:lastColumn="0" w:noHBand="0" w:noVBand="0"/>
      </w:tblPr>
      <w:tblGrid>
        <w:gridCol w:w="4535"/>
        <w:gridCol w:w="4535"/>
      </w:tblGrid>
      <w:tr w:rsidR="007F2143" w14:paraId="106B5C24" w14:textId="77777777">
        <w:trPr>
          <w:cantSplit/>
        </w:trPr>
        <w:tc>
          <w:tcPr>
            <w:tcW w:w="4535" w:type="dxa"/>
          </w:tcPr>
          <w:p w14:paraId="37D18EEA" w14:textId="73BC05A7" w:rsidR="007F2143" w:rsidRPr="00780A40" w:rsidRDefault="007F2143" w:rsidP="00780A40">
            <w:pPr>
              <w:pStyle w:val="ChartMainHeading"/>
            </w:pPr>
            <w:r w:rsidRPr="00780A40">
              <w:t>Feasibility of mid</w:t>
            </w:r>
            <w:r w:rsidR="00A15C79" w:rsidRPr="00780A40">
              <w:noBreakHyphen/>
            </w:r>
            <w:r w:rsidRPr="00780A40">
              <w:t>rise apartments, by capital city, 2023</w:t>
            </w:r>
          </w:p>
        </w:tc>
        <w:tc>
          <w:tcPr>
            <w:tcW w:w="4535" w:type="dxa"/>
          </w:tcPr>
          <w:p w14:paraId="7D646B0A" w14:textId="0772697B" w:rsidR="007F2143" w:rsidRPr="00780A40" w:rsidRDefault="007F2143" w:rsidP="00780A40">
            <w:pPr>
              <w:pStyle w:val="ChartMainHeading"/>
            </w:pPr>
            <w:r w:rsidRPr="00780A40" w:rsidDel="00797279">
              <w:t>Feasibility of mid</w:t>
            </w:r>
            <w:r w:rsidR="00A15C79" w:rsidRPr="00780A40">
              <w:noBreakHyphen/>
            </w:r>
            <w:r w:rsidRPr="00780A40" w:rsidDel="00797279">
              <w:t>rise apartments</w:t>
            </w:r>
            <w:r w:rsidRPr="00780A40">
              <w:t xml:space="preserve"> in Sydney</w:t>
            </w:r>
          </w:p>
        </w:tc>
      </w:tr>
      <w:tr w:rsidR="007F2143" w14:paraId="344A6860" w14:textId="77777777">
        <w:trPr>
          <w:cantSplit/>
        </w:trPr>
        <w:tc>
          <w:tcPr>
            <w:tcW w:w="4535" w:type="dxa"/>
          </w:tcPr>
          <w:p w14:paraId="01BA8E26" w14:textId="15832585" w:rsidR="007F2143" w:rsidRPr="00797279" w:rsidRDefault="00DC0AC0" w:rsidP="0099326B">
            <w:pPr>
              <w:pStyle w:val="ChartGraphic"/>
            </w:pPr>
            <w:r w:rsidRPr="00DC0AC0">
              <w:rPr>
                <w:noProof/>
              </w:rPr>
              <w:drawing>
                <wp:inline distT="0" distB="0" distL="0" distR="0" wp14:anchorId="19106243" wp14:editId="793E661F">
                  <wp:extent cx="2742565" cy="2780665"/>
                  <wp:effectExtent l="0" t="0" r="0" b="0"/>
                  <wp:docPr id="868986942" name="Picture 3" descr="Chart 2.42 is a bar chart comparing estimates of average project costs against average sales prices for mid-rise apartments in Sydney, Melbourne, Brisbane, Adelaide and Perth in 2023. Project costs are comprised of Construction, Land acquisition, Parking, Financing and other residual cost categories, together with a required margin of 18 per cent. Average sales prices did not exceed average project costs for each capital city. Nevertheless, the feasibility gap was smallest in Sydney, with an average project cost of $905,000 compared to an average sales price of $885,000. In contrast, the feasibility gap was largest in Perth, with an average project cost of $632,000 compared to an average sales price of $47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986942" name="Picture 3" descr="Chart 2.42 is a bar chart comparing estimates of average project costs against average sales prices for mid-rise apartments in Sydney, Melbourne, Brisbane, Adelaide and Perth in 2023. Project costs are comprised of Construction, Land acquisition, Parking, Financing and other residual cost categories, together with a required margin of 18 per cent. Average sales prices did not exceed average project costs for each capital city. Nevertheless, the feasibility gap was smallest in Sydney, with an average project cost of $905,000 compared to an average sales price of $885,000. In contrast, the feasibility gap was largest in Perth, with an average project cost of $632,000 compared to an average sales price of $475,00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42565" cy="2780665"/>
                          </a:xfrm>
                          <a:prstGeom prst="rect">
                            <a:avLst/>
                          </a:prstGeom>
                          <a:noFill/>
                          <a:ln>
                            <a:noFill/>
                          </a:ln>
                        </pic:spPr>
                      </pic:pic>
                    </a:graphicData>
                  </a:graphic>
                </wp:inline>
              </w:drawing>
            </w:r>
          </w:p>
        </w:tc>
        <w:tc>
          <w:tcPr>
            <w:tcW w:w="4535" w:type="dxa"/>
          </w:tcPr>
          <w:p w14:paraId="6CEBFCB4" w14:textId="696F07D1" w:rsidR="007F2143" w:rsidRDefault="008A50E6" w:rsidP="0099326B">
            <w:pPr>
              <w:pStyle w:val="ChartGraphic"/>
            </w:pPr>
            <w:r w:rsidRPr="008A50E6">
              <w:rPr>
                <w:noProof/>
              </w:rPr>
              <w:drawing>
                <wp:inline distT="0" distB="0" distL="0" distR="0" wp14:anchorId="28BECE8C" wp14:editId="79E915FB">
                  <wp:extent cx="2742565" cy="2751455"/>
                  <wp:effectExtent l="0" t="0" r="0" b="0"/>
                  <wp:docPr id="1617127671" name="Picture 4" descr="Chart 2.43 is a bar chart comparing estimates of average project costs to average sales prices for mid-rise apartments in Sydney between 2018 and 2023. Project costs are comprised of Construction, Land acquisition, Parking, Financing and other residual cost categories, together with a required profit margin of 18 per cent. Average sales prices exceeded average project costs each year between 2018 and 2022, indicating projects were 'feasible' over this period, although this gap narrowed over time. In 2023, average project costs ($905,000) exceeded average sales prices ($885,000), indicating that projects were not feasible, on average,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27671" name="Picture 4" descr="Chart 2.43 is a bar chart comparing estimates of average project costs to average sales prices for mid-rise apartments in Sydney between 2018 and 2023. Project costs are comprised of Construction, Land acquisition, Parking, Financing and other residual cost categories, together with a required profit margin of 18 per cent. Average sales prices exceeded average project costs each year between 2018 and 2022, indicating projects were 'feasible' over this period, although this gap narrowed over time. In 2023, average project costs ($905,000) exceeded average sales prices ($885,000), indicating that projects were not feasible, on average, in 20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42565" cy="2751455"/>
                          </a:xfrm>
                          <a:prstGeom prst="rect">
                            <a:avLst/>
                          </a:prstGeom>
                          <a:noFill/>
                          <a:ln>
                            <a:noFill/>
                          </a:ln>
                        </pic:spPr>
                      </pic:pic>
                    </a:graphicData>
                  </a:graphic>
                </wp:inline>
              </w:drawing>
            </w:r>
          </w:p>
        </w:tc>
      </w:tr>
    </w:tbl>
    <w:p w14:paraId="087764ED" w14:textId="20710CD5" w:rsidR="007F2143" w:rsidRDefault="0099326B" w:rsidP="00DB6DE6">
      <w:pPr>
        <w:pStyle w:val="ChartorTableNoteandSource"/>
        <w:rPr>
          <w:szCs w:val="22"/>
        </w:rPr>
      </w:pPr>
      <w:r>
        <w:t>Note:</w:t>
      </w:r>
      <w:r w:rsidR="00DB6DE6">
        <w:tab/>
      </w:r>
      <w:r>
        <w:t xml:space="preserve">A required profit margin of 18 per cent is assumed for feasibility, </w:t>
      </w:r>
      <w:r w:rsidRPr="00C65C12">
        <w:t>which is at the lower end of typical estimates across different feasibility analys</w:t>
      </w:r>
      <w:r>
        <w:t>e</w:t>
      </w:r>
      <w:r w:rsidRPr="00C65C12">
        <w:t>s (</w:t>
      </w:r>
      <w:r w:rsidR="008652A8" w:rsidRPr="00005225">
        <w:t xml:space="preserve">The </w:t>
      </w:r>
      <w:r w:rsidRPr="00005225">
        <w:t>CIE</w:t>
      </w:r>
      <w:r w:rsidRPr="00C65C12">
        <w:t xml:space="preserve"> 2024).</w:t>
      </w:r>
      <w:r>
        <w:t xml:space="preserve"> </w:t>
      </w:r>
      <w:r w:rsidRPr="00DC5236">
        <w:t>A methodological overview can be found on p</w:t>
      </w:r>
      <w:r>
        <w:t>a</w:t>
      </w:r>
      <w:r w:rsidRPr="00DC5236">
        <w:t>g</w:t>
      </w:r>
      <w:r>
        <w:t>e</w:t>
      </w:r>
      <w:r w:rsidRPr="00DC5236">
        <w:t xml:space="preserve"> 9 of </w:t>
      </w:r>
      <w:r w:rsidR="00EA0DCF">
        <w:t>t</w:t>
      </w:r>
      <w:r w:rsidR="00D94589">
        <w:t xml:space="preserve">he </w:t>
      </w:r>
      <w:r w:rsidRPr="00005225">
        <w:t>CIE</w:t>
      </w:r>
      <w:r w:rsidRPr="00646869">
        <w:t xml:space="preserve"> </w:t>
      </w:r>
      <w:r w:rsidRPr="00DB6DE6">
        <w:rPr>
          <w:rStyle w:val="Emphasis"/>
        </w:rPr>
        <w:t>Cost</w:t>
      </w:r>
      <w:r w:rsidR="00DB6DE6">
        <w:rPr>
          <w:rStyle w:val="Emphasis"/>
        </w:rPr>
        <w:t> </w:t>
      </w:r>
      <w:r w:rsidRPr="00DB6DE6">
        <w:rPr>
          <w:rStyle w:val="Emphasis"/>
        </w:rPr>
        <w:t>and feasibility estimates for supplying new residential dwellings in NSW</w:t>
      </w:r>
      <w:r>
        <w:t xml:space="preserve"> </w:t>
      </w:r>
      <w:r w:rsidRPr="00646869">
        <w:t>report (</w:t>
      </w:r>
      <w:r w:rsidR="008652A8" w:rsidRPr="00005225">
        <w:t xml:space="preserve">The </w:t>
      </w:r>
      <w:r w:rsidRPr="00005225">
        <w:t>CIE</w:t>
      </w:r>
      <w:r w:rsidRPr="00646869">
        <w:t xml:space="preserve"> 2024). Other costs consist of site preparation</w:t>
      </w:r>
      <w:r w:rsidRPr="00DC5236">
        <w:t xml:space="preserve"> and </w:t>
      </w:r>
      <w:r w:rsidRPr="00646869">
        <w:t>demolition</w:t>
      </w:r>
      <w:r w:rsidRPr="00DC5236">
        <w:t xml:space="preserve"> costs</w:t>
      </w:r>
      <w:r w:rsidRPr="00646869">
        <w:t>, professional fees, state</w:t>
      </w:r>
      <w:r w:rsidRPr="00DC5236">
        <w:t xml:space="preserve"> and </w:t>
      </w:r>
      <w:r w:rsidRPr="00646869">
        <w:t xml:space="preserve">other government contributions, local government </w:t>
      </w:r>
      <w:r w:rsidRPr="00DC5236">
        <w:t>infrastructure charges</w:t>
      </w:r>
      <w:r w:rsidRPr="00646869">
        <w:t xml:space="preserve">, </w:t>
      </w:r>
      <w:r w:rsidRPr="00DC5236">
        <w:t>l</w:t>
      </w:r>
      <w:r w:rsidRPr="00646869">
        <w:t>and tax and stamp duty, sales and marketing costs</w:t>
      </w:r>
      <w:r w:rsidR="00504624">
        <w:t>.</w:t>
      </w:r>
    </w:p>
    <w:p w14:paraId="2A9E097B" w14:textId="273B9F2D" w:rsidR="004C2A20" w:rsidRPr="004C2A20" w:rsidRDefault="004C2A20" w:rsidP="004C2A20">
      <w:pPr>
        <w:pStyle w:val="ChartorTableNoteandSource"/>
      </w:pPr>
      <w:r>
        <w:t>Source:</w:t>
      </w:r>
      <w:r>
        <w:tab/>
      </w:r>
      <w:r w:rsidR="008652A8" w:rsidRPr="00005225">
        <w:t xml:space="preserve">The </w:t>
      </w:r>
      <w:r w:rsidRPr="00005225">
        <w:t>CIE</w:t>
      </w:r>
      <w:r>
        <w:t xml:space="preserve"> </w:t>
      </w:r>
      <w:r w:rsidRPr="00246D58">
        <w:t>2024</w:t>
      </w:r>
    </w:p>
    <w:p w14:paraId="217FCC88" w14:textId="77777777" w:rsidR="00D46337" w:rsidRDefault="00D46337">
      <w:pPr>
        <w:rPr>
          <w:szCs w:val="22"/>
        </w:rPr>
      </w:pPr>
      <w:r>
        <w:rPr>
          <w:rFonts w:ascii="Calibri" w:hAnsi="Calibri" w:cs="Calibri"/>
          <w:bCs/>
          <w:color w:val="000000"/>
          <w:szCs w:val="22"/>
          <w:shd w:val="clear" w:color="auto" w:fill="FFFFFF"/>
        </w:rPr>
        <w:t>The CIE report further investigated the feasibility of mid</w:t>
      </w:r>
      <w:r>
        <w:rPr>
          <w:rFonts w:ascii="Calibri" w:hAnsi="Calibri" w:cs="Calibri"/>
          <w:bCs/>
          <w:color w:val="000000"/>
          <w:szCs w:val="22"/>
          <w:shd w:val="clear" w:color="auto" w:fill="FFFFFF"/>
        </w:rPr>
        <w:noBreakHyphen/>
        <w:t xml:space="preserve">rise apartment projects in Sydney, finding that, on average, 2023 project costs exceeded sales prices for the first time in recent years (see Chart 2.43). This decline was </w:t>
      </w:r>
      <w:r>
        <w:rPr>
          <w:szCs w:val="22"/>
        </w:rPr>
        <w:t>primarily due to higher land, construction and financing costs, with similar factors likely impacting feasibility in other states.</w:t>
      </w:r>
    </w:p>
    <w:p w14:paraId="67679C21" w14:textId="577E12C6" w:rsidR="00990401" w:rsidRDefault="007F2143">
      <w:r>
        <w:t>While feasibility has generally deteriorated, the high</w:t>
      </w:r>
      <w:r w:rsidR="00A15C79">
        <w:noBreakHyphen/>
      </w:r>
      <w:r>
        <w:t>end of the market has likely been less impacted. Premium dwellings in high</w:t>
      </w:r>
      <w:r w:rsidR="00A15C79">
        <w:noBreakHyphen/>
      </w:r>
      <w:r>
        <w:t>value areas generally remain feasible</w:t>
      </w:r>
      <w:r w:rsidDel="00232700">
        <w:t xml:space="preserve">, </w:t>
      </w:r>
      <w:r>
        <w:t>as</w:t>
      </w:r>
      <w:r w:rsidDel="00232700">
        <w:t xml:space="preserve"> </w:t>
      </w:r>
      <w:r>
        <w:t>buyers of these dwellings are less affected by affordability limits, allowing developers</w:t>
      </w:r>
      <w:r w:rsidRPr="005824C2">
        <w:t xml:space="preserve"> to </w:t>
      </w:r>
      <w:r>
        <w:t>meet pre</w:t>
      </w:r>
      <w:r w:rsidR="00A15C79">
        <w:noBreakHyphen/>
      </w:r>
      <w:r>
        <w:t>sale requirements (</w:t>
      </w:r>
      <w:r w:rsidR="008652A8" w:rsidRPr="00005225">
        <w:t xml:space="preserve">The </w:t>
      </w:r>
      <w:r w:rsidR="00D904E3" w:rsidRPr="00005225">
        <w:t>CIE</w:t>
      </w:r>
      <w:r w:rsidR="00CF29C3">
        <w:t> </w:t>
      </w:r>
      <w:r>
        <w:t>2024)</w:t>
      </w:r>
      <w:r w:rsidRPr="005824C2">
        <w:t>.</w:t>
      </w:r>
    </w:p>
    <w:p w14:paraId="6D53F8E0" w14:textId="77777777" w:rsidR="007F2143" w:rsidRDefault="007F2143" w:rsidP="00744F72">
      <w:pPr>
        <w:pStyle w:val="Heading3Numbered"/>
        <w:spacing w:before="240" w:line="240" w:lineRule="auto"/>
      </w:pPr>
      <w:r>
        <w:lastRenderedPageBreak/>
        <w:t>Insolvencies</w:t>
      </w:r>
    </w:p>
    <w:p w14:paraId="497FADEC" w14:textId="72954645" w:rsidR="007F2143" w:rsidRPr="00CF29C3" w:rsidRDefault="007F2143" w:rsidP="00304455">
      <w:pPr>
        <w:spacing w:after="200"/>
        <w:rPr>
          <w:spacing w:val="-4"/>
        </w:rPr>
      </w:pPr>
      <w:r w:rsidRPr="00CF29C3">
        <w:rPr>
          <w:spacing w:val="-4"/>
        </w:rPr>
        <w:t xml:space="preserve">Insolvencies in the construction industry remain significantly elevated relative to both the </w:t>
      </w:r>
      <w:r w:rsidR="00D47D60" w:rsidRPr="00CF29C3">
        <w:rPr>
          <w:spacing w:val="-4"/>
        </w:rPr>
        <w:t xml:space="preserve">overall </w:t>
      </w:r>
      <w:r w:rsidRPr="00CF29C3">
        <w:rPr>
          <w:spacing w:val="-4"/>
        </w:rPr>
        <w:t>economy and historical averages (</w:t>
      </w:r>
      <w:r w:rsidR="00C45271" w:rsidRPr="00CF29C3">
        <w:rPr>
          <w:spacing w:val="-4"/>
        </w:rPr>
        <w:t xml:space="preserve">see </w:t>
      </w:r>
      <w:r w:rsidRPr="00CF29C3">
        <w:rPr>
          <w:spacing w:val="-4"/>
        </w:rPr>
        <w:t>Chart 2.4</w:t>
      </w:r>
      <w:r w:rsidR="002F774D" w:rsidRPr="00CF29C3">
        <w:rPr>
          <w:spacing w:val="-4"/>
        </w:rPr>
        <w:t>4</w:t>
      </w:r>
      <w:r w:rsidRPr="00CF29C3">
        <w:rPr>
          <w:spacing w:val="-4"/>
        </w:rPr>
        <w:t>). In the 2023</w:t>
      </w:r>
      <w:r w:rsidR="00C45271" w:rsidRPr="00CF29C3">
        <w:rPr>
          <w:spacing w:val="-4"/>
        </w:rPr>
        <w:t>–</w:t>
      </w:r>
      <w:r w:rsidRPr="00CF29C3">
        <w:rPr>
          <w:spacing w:val="-4"/>
        </w:rPr>
        <w:t xml:space="preserve">24 financial year, construction companies accounted for more than one in </w:t>
      </w:r>
      <w:r w:rsidR="00C45271" w:rsidRPr="00CF29C3">
        <w:rPr>
          <w:spacing w:val="-4"/>
        </w:rPr>
        <w:t xml:space="preserve">4 </w:t>
      </w:r>
      <w:r w:rsidRPr="00CF29C3">
        <w:rPr>
          <w:spacing w:val="-4"/>
        </w:rPr>
        <w:t>of the record 11,000 corporate insolvencies (</w:t>
      </w:r>
      <w:r w:rsidR="00335158" w:rsidRPr="00CF29C3">
        <w:rPr>
          <w:spacing w:val="-4"/>
        </w:rPr>
        <w:t xml:space="preserve">Australian </w:t>
      </w:r>
      <w:r w:rsidR="005A401A" w:rsidRPr="00CF29C3">
        <w:rPr>
          <w:spacing w:val="-4"/>
        </w:rPr>
        <w:t xml:space="preserve">Securities </w:t>
      </w:r>
      <w:r w:rsidR="00233A5F" w:rsidRPr="00CF29C3">
        <w:rPr>
          <w:spacing w:val="-4"/>
        </w:rPr>
        <w:t>and Investments Commission</w:t>
      </w:r>
      <w:r w:rsidR="009C684C" w:rsidRPr="00CF29C3">
        <w:rPr>
          <w:spacing w:val="-4"/>
        </w:rPr>
        <w:t xml:space="preserve"> </w:t>
      </w:r>
      <w:r w:rsidR="00CB62E5" w:rsidRPr="00CF29C3">
        <w:rPr>
          <w:spacing w:val="-4"/>
        </w:rPr>
        <w:t>[</w:t>
      </w:r>
      <w:r w:rsidRPr="00CF29C3">
        <w:rPr>
          <w:spacing w:val="-4"/>
        </w:rPr>
        <w:t>ASIC</w:t>
      </w:r>
      <w:r w:rsidR="00CB62E5" w:rsidRPr="00CF29C3">
        <w:rPr>
          <w:spacing w:val="-4"/>
        </w:rPr>
        <w:t xml:space="preserve">] </w:t>
      </w:r>
      <w:r w:rsidRPr="00CF29C3">
        <w:rPr>
          <w:spacing w:val="-4"/>
        </w:rPr>
        <w:t>2024), reflecting a 34</w:t>
      </w:r>
      <w:r w:rsidR="0099326B" w:rsidRPr="00CF29C3">
        <w:rPr>
          <w:spacing w:val="-4"/>
        </w:rPr>
        <w:t> per cent</w:t>
      </w:r>
      <w:r w:rsidRPr="00CF29C3">
        <w:rPr>
          <w:spacing w:val="-4"/>
        </w:rPr>
        <w:t xml:space="preserve"> increase from the previous financial year. </w:t>
      </w:r>
    </w:p>
    <w:p w14:paraId="30A5D39B" w14:textId="5008C62E" w:rsidR="007F2143" w:rsidRDefault="007F2143" w:rsidP="00CF29C3">
      <w:pPr>
        <w:spacing w:before="0" w:after="200"/>
      </w:pPr>
      <w:r w:rsidRPr="00BD41F4">
        <w:t xml:space="preserve">Increased insolvencies are attributable to </w:t>
      </w:r>
      <w:r w:rsidR="00C67853" w:rsidRPr="002949B5">
        <w:t>higher input costs</w:t>
      </w:r>
      <w:r w:rsidRPr="002949B5">
        <w:t xml:space="preserve"> and elevated build times, as well as an end </w:t>
      </w:r>
      <w:r w:rsidR="003928F0" w:rsidRPr="002949B5">
        <w:t xml:space="preserve">to </w:t>
      </w:r>
      <w:r w:rsidRPr="002949B5">
        <w:t xml:space="preserve">stimulus measures that supported the industry during the </w:t>
      </w:r>
      <w:r w:rsidR="00A57483" w:rsidRPr="002949B5">
        <w:t>P</w:t>
      </w:r>
      <w:r w:rsidRPr="002949B5">
        <w:t>andemic (</w:t>
      </w:r>
      <w:r w:rsidR="002A47A7" w:rsidRPr="002949B5">
        <w:t>RBA</w:t>
      </w:r>
      <w:r w:rsidR="00D7103E" w:rsidRPr="002949B5">
        <w:t xml:space="preserve"> </w:t>
      </w:r>
      <w:r w:rsidRPr="002949B5">
        <w:t>202</w:t>
      </w:r>
      <w:r w:rsidR="00287605" w:rsidRPr="002949B5">
        <w:t>5</w:t>
      </w:r>
      <w:r w:rsidR="006703DF" w:rsidRPr="002949B5">
        <w:t>b</w:t>
      </w:r>
      <w:r w:rsidRPr="002949B5">
        <w:t>).</w:t>
      </w:r>
      <w:r w:rsidRPr="001A7F47">
        <w:t xml:space="preserve"> While </w:t>
      </w:r>
      <w:r>
        <w:t>most</w:t>
      </w:r>
      <w:r w:rsidRPr="001A7F47">
        <w:t xml:space="preserve"> insolvencies are likely not caused by deliberate intent</w:t>
      </w:r>
      <w:r w:rsidRPr="00453111">
        <w:t>,</w:t>
      </w:r>
      <w:r w:rsidRPr="001A7F47">
        <w:t xml:space="preserve"> illegal </w:t>
      </w:r>
      <w:r w:rsidR="00A15C79">
        <w:t>‘</w:t>
      </w:r>
      <w:proofErr w:type="spellStart"/>
      <w:r w:rsidRPr="001A7F47">
        <w:t>phoenixing</w:t>
      </w:r>
      <w:proofErr w:type="spellEnd"/>
      <w:r w:rsidR="00A15C79">
        <w:t>’</w:t>
      </w:r>
      <w:r w:rsidR="003928F0">
        <w:t xml:space="preserve"> – </w:t>
      </w:r>
      <w:r w:rsidRPr="001A7F47">
        <w:t xml:space="preserve">where a new company is created to continue the business of a company that has </w:t>
      </w:r>
      <w:r w:rsidR="00E05410">
        <w:t xml:space="preserve">deliberately </w:t>
      </w:r>
      <w:r w:rsidRPr="001A7F47">
        <w:t>been liquidated</w:t>
      </w:r>
      <w:r w:rsidRPr="00453111">
        <w:t xml:space="preserve"> to avoid tax and other liabilities</w:t>
      </w:r>
      <w:r w:rsidR="00B5674B">
        <w:t xml:space="preserve"> – </w:t>
      </w:r>
      <w:r w:rsidRPr="001A7F47">
        <w:t>has been identified as a</w:t>
      </w:r>
      <w:r>
        <w:t xml:space="preserve">n issue </w:t>
      </w:r>
      <w:r w:rsidRPr="00453111">
        <w:t>for</w:t>
      </w:r>
      <w:r w:rsidRPr="001A7F47">
        <w:t xml:space="preserve"> </w:t>
      </w:r>
      <w:r w:rsidR="003928F0">
        <w:t xml:space="preserve">the </w:t>
      </w:r>
      <w:r>
        <w:t>sector (</w:t>
      </w:r>
      <w:r w:rsidR="002A47A7" w:rsidRPr="00310AE8">
        <w:t>HIA</w:t>
      </w:r>
      <w:r>
        <w:t xml:space="preserve"> 2024</w:t>
      </w:r>
      <w:r w:rsidR="004C2B98">
        <w:t>a</w:t>
      </w:r>
      <w:r>
        <w:t>).</w:t>
      </w:r>
      <w:r w:rsidRPr="001A7F47">
        <w:t xml:space="preserve"> </w:t>
      </w:r>
    </w:p>
    <w:p w14:paraId="4658DCE3" w14:textId="22180387" w:rsidR="0099326B" w:rsidRPr="00CF29C3" w:rsidRDefault="0099326B" w:rsidP="00CF29C3">
      <w:pPr>
        <w:pStyle w:val="ChartMainHeading"/>
        <w:spacing w:after="0"/>
      </w:pPr>
      <w:r w:rsidRPr="00CF29C3">
        <w:t>Firm insolvencies, by sector</w:t>
      </w:r>
    </w:p>
    <w:p w14:paraId="1EEFD683" w14:textId="7BA7AEA5" w:rsidR="0099326B" w:rsidRDefault="00D97E03" w:rsidP="002A4085">
      <w:pPr>
        <w:pStyle w:val="ChartGraphic"/>
        <w:jc w:val="left"/>
      </w:pPr>
      <w:r w:rsidRPr="00D97E03">
        <w:rPr>
          <w:noProof/>
        </w:rPr>
        <w:drawing>
          <wp:inline distT="0" distB="0" distL="0" distR="0" wp14:anchorId="5B0766DF" wp14:editId="007484F2">
            <wp:extent cx="2955290" cy="2955290"/>
            <wp:effectExtent l="0" t="0" r="0" b="0"/>
            <wp:docPr id="1802626564" name="Picture 62" descr="Chart 2.44 is a line chart showing the rolling annual number of insolvencies for businesses in the Construction, Arts and hospitality, Transport, Mining and manufacturing and Retail and wholesale sectors from March 2015 to March 2025. Construction sector insolvencies have been consistently higher than other sectors, and were around 1,500 to 1,700 over the 5 years to March 2020, while other sectors were around or below 1,000. Insolvencies declined in 2020, before increasing significantly from 2021 onwards across all sectors to be well above their pre-pandemic averages. The increase was largest for the construction sector, where insolvencies rose from 847 in March 2021 to 3,310 in March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26564" name="Picture 62" descr="Chart 2.44 is a line chart showing the rolling annual number of insolvencies for businesses in the Construction, Arts and hospitality, Transport, Mining and manufacturing and Retail and wholesale sectors from March 2015 to March 2025. Construction sector insolvencies have been consistently higher than other sectors, and were around 1,500 to 1,700 over the 5 years to March 2020, while other sectors were around or below 1,000. Insolvencies declined in 2020, before increasing significantly from 2021 onwards across all sectors to be well above their pre-pandemic averages. The increase was largest for the construction sector, where insolvencies rose from 847 in March 2021 to 3,310 in March 20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55290" cy="2955290"/>
                    </a:xfrm>
                    <a:prstGeom prst="rect">
                      <a:avLst/>
                    </a:prstGeom>
                    <a:noFill/>
                    <a:ln>
                      <a:noFill/>
                    </a:ln>
                  </pic:spPr>
                </pic:pic>
              </a:graphicData>
            </a:graphic>
          </wp:inline>
        </w:drawing>
      </w:r>
    </w:p>
    <w:p w14:paraId="4D77B13A" w14:textId="69C3AE3C" w:rsidR="0099326B" w:rsidRPr="0099326B" w:rsidRDefault="0099326B" w:rsidP="00DB6DE6">
      <w:pPr>
        <w:pStyle w:val="ChartorTableNoteandSource"/>
      </w:pPr>
      <w:r w:rsidRPr="00DF6243">
        <w:t>Source:</w:t>
      </w:r>
      <w:r w:rsidR="00DB6DE6">
        <w:tab/>
      </w:r>
      <w:r w:rsidR="00EB6A06">
        <w:t>ASIC</w:t>
      </w:r>
      <w:r w:rsidDel="004C0050">
        <w:t xml:space="preserve"> </w:t>
      </w:r>
      <w:r w:rsidDel="00334730">
        <w:t>I</w:t>
      </w:r>
      <w:r>
        <w:t>nsolvency statistics</w:t>
      </w:r>
      <w:r w:rsidRPr="00DF6243" w:rsidDel="00890AFE">
        <w:t xml:space="preserve"> </w:t>
      </w:r>
      <w:r>
        <w:t>2025</w:t>
      </w:r>
    </w:p>
    <w:p w14:paraId="30395727" w14:textId="7D5EF198" w:rsidR="007F2143" w:rsidRDefault="007F2143" w:rsidP="0099326B">
      <w:pPr>
        <w:pStyle w:val="Heading2Numbered"/>
      </w:pPr>
      <w:bookmarkStart w:id="102" w:name="_Toc195026593"/>
      <w:bookmarkStart w:id="103" w:name="_Toc196395884"/>
      <w:r w:rsidRPr="0099326B">
        <w:t>Demand</w:t>
      </w:r>
      <w:r>
        <w:t xml:space="preserve"> for housing remains elevated, but has eased over the past year</w:t>
      </w:r>
      <w:bookmarkEnd w:id="102"/>
      <w:bookmarkEnd w:id="103"/>
    </w:p>
    <w:p w14:paraId="22D14345" w14:textId="44C5B5AB" w:rsidR="007F2143" w:rsidRPr="002949B5" w:rsidRDefault="00A15C79" w:rsidP="00CF29C3">
      <w:pPr>
        <w:spacing w:before="200" w:after="120"/>
      </w:pPr>
      <w:r>
        <w:t>‘</w:t>
      </w:r>
      <w:r w:rsidR="007F2143">
        <w:t>New underlying demand</w:t>
      </w:r>
      <w:r>
        <w:t>’</w:t>
      </w:r>
      <w:r w:rsidR="007F2143">
        <w:t xml:space="preserve"> is the primary measure of housing demand used in this report</w:t>
      </w:r>
      <w:r w:rsidR="006E4246">
        <w:t>. It</w:t>
      </w:r>
      <w:r w:rsidR="007F2143">
        <w:t xml:space="preserve"> is a demographic measure of demand that </w:t>
      </w:r>
      <w:r w:rsidR="007F2143" w:rsidRPr="001E3A38">
        <w:t xml:space="preserve">reflects factors such as </w:t>
      </w:r>
      <w:r w:rsidR="007F2143">
        <w:t xml:space="preserve">population </w:t>
      </w:r>
      <w:r w:rsidR="007F2143" w:rsidRPr="001E3A38">
        <w:t>growth</w:t>
      </w:r>
      <w:r w:rsidR="007F2143">
        <w:t xml:space="preserve"> and the </w:t>
      </w:r>
      <w:r w:rsidR="007F2143" w:rsidRPr="001E3A38">
        <w:t>age structure of the population</w:t>
      </w:r>
      <w:r w:rsidR="007F2143">
        <w:t xml:space="preserve">. </w:t>
      </w:r>
      <w:r w:rsidR="007F2143" w:rsidRPr="002949B5">
        <w:t xml:space="preserve">Underlying demand remained strong in 2024, although it eased from recent elevated levels, alongside </w:t>
      </w:r>
      <w:r w:rsidR="00996110" w:rsidRPr="002949B5">
        <w:t>a</w:t>
      </w:r>
      <w:r w:rsidR="00C60AFE" w:rsidRPr="002949B5">
        <w:t>n easing</w:t>
      </w:r>
      <w:r w:rsidR="00996110" w:rsidRPr="002949B5">
        <w:t xml:space="preserve"> in </w:t>
      </w:r>
      <w:r w:rsidR="007F2143" w:rsidRPr="002949B5">
        <w:t>population growth and a small increase in average household size (see sections 2.4.1</w:t>
      </w:r>
      <w:r w:rsidR="009474D0" w:rsidRPr="002949B5">
        <w:t xml:space="preserve">, </w:t>
      </w:r>
      <w:r w:rsidR="009474D0" w:rsidRPr="002949B5">
        <w:rPr>
          <w:rStyle w:val="Emphasis"/>
        </w:rPr>
        <w:t>Population</w:t>
      </w:r>
      <w:r w:rsidR="009474D0" w:rsidRPr="002949B5">
        <w:t xml:space="preserve">, </w:t>
      </w:r>
      <w:r w:rsidR="007F2143" w:rsidRPr="002949B5">
        <w:t>and 2.4.2</w:t>
      </w:r>
      <w:r w:rsidR="009474D0" w:rsidRPr="002949B5">
        <w:t>,</w:t>
      </w:r>
      <w:r w:rsidR="007F2143" w:rsidRPr="002949B5" w:rsidDel="00CB67C9">
        <w:t xml:space="preserve"> </w:t>
      </w:r>
      <w:r w:rsidR="007F2143" w:rsidRPr="002949B5" w:rsidDel="00CB67C9">
        <w:rPr>
          <w:rStyle w:val="Emphasis"/>
        </w:rPr>
        <w:t>Average household size</w:t>
      </w:r>
      <w:r w:rsidR="007F2143" w:rsidRPr="002949B5">
        <w:t xml:space="preserve">). </w:t>
      </w:r>
    </w:p>
    <w:p w14:paraId="510E6836" w14:textId="60CA3832" w:rsidR="00493879" w:rsidRPr="00CF29C3" w:rsidRDefault="007F2143" w:rsidP="00CF29C3">
      <w:pPr>
        <w:spacing w:after="200"/>
        <w:rPr>
          <w:spacing w:val="-4"/>
        </w:rPr>
      </w:pPr>
      <w:r w:rsidRPr="00CF29C3">
        <w:rPr>
          <w:spacing w:val="-4"/>
        </w:rPr>
        <w:t xml:space="preserve">Economic factors such as household income and credit conditions also affect housing demand, particularly for market housing. Incorporating these factors into demand produces a measure known as </w:t>
      </w:r>
      <w:r w:rsidR="00A15C79" w:rsidRPr="00CF29C3">
        <w:rPr>
          <w:spacing w:val="-4"/>
        </w:rPr>
        <w:t>‘</w:t>
      </w:r>
      <w:r w:rsidRPr="00CF29C3">
        <w:rPr>
          <w:spacing w:val="-4"/>
        </w:rPr>
        <w:t>effective demand</w:t>
      </w:r>
      <w:r w:rsidR="00A15C79" w:rsidRPr="00CF29C3">
        <w:rPr>
          <w:spacing w:val="-4"/>
        </w:rPr>
        <w:t>’</w:t>
      </w:r>
      <w:r w:rsidRPr="00CF29C3">
        <w:rPr>
          <w:spacing w:val="-4"/>
        </w:rPr>
        <w:t>. In recent years, effective demand has been constrained by elevated inflation and interest rates, which has reduced real income and borrowing capacity (see sections 2.4.3</w:t>
      </w:r>
      <w:r w:rsidR="00157EAF" w:rsidRPr="00CF29C3">
        <w:rPr>
          <w:spacing w:val="-4"/>
        </w:rPr>
        <w:t>,</w:t>
      </w:r>
      <w:r w:rsidRPr="00CF29C3">
        <w:rPr>
          <w:spacing w:val="-4"/>
        </w:rPr>
        <w:t xml:space="preserve"> </w:t>
      </w:r>
      <w:r w:rsidRPr="00CF29C3" w:rsidDel="00785BB1">
        <w:rPr>
          <w:rStyle w:val="Emphasis"/>
          <w:spacing w:val="-4"/>
        </w:rPr>
        <w:t>Household income</w:t>
      </w:r>
      <w:r w:rsidR="00157EAF" w:rsidRPr="00CF29C3">
        <w:rPr>
          <w:spacing w:val="-4"/>
        </w:rPr>
        <w:t xml:space="preserve">, </w:t>
      </w:r>
      <w:r w:rsidRPr="00CF29C3">
        <w:rPr>
          <w:spacing w:val="-4"/>
        </w:rPr>
        <w:t>and 2.4.4</w:t>
      </w:r>
      <w:r w:rsidR="00157EAF" w:rsidRPr="00CF29C3">
        <w:rPr>
          <w:spacing w:val="-4"/>
        </w:rPr>
        <w:t>,</w:t>
      </w:r>
      <w:r w:rsidRPr="00CF29C3" w:rsidDel="00785BB1">
        <w:rPr>
          <w:spacing w:val="-4"/>
        </w:rPr>
        <w:t xml:space="preserve"> </w:t>
      </w:r>
      <w:r w:rsidRPr="00CF29C3" w:rsidDel="00785BB1">
        <w:rPr>
          <w:rStyle w:val="Emphasis"/>
          <w:spacing w:val="-4"/>
        </w:rPr>
        <w:t>Credit conditions</w:t>
      </w:r>
      <w:r w:rsidRPr="00CF29C3">
        <w:rPr>
          <w:spacing w:val="-4"/>
        </w:rPr>
        <w:t xml:space="preserve">). However, the </w:t>
      </w:r>
      <w:r w:rsidR="00F233FC" w:rsidRPr="00CF29C3">
        <w:rPr>
          <w:spacing w:val="-4"/>
        </w:rPr>
        <w:t xml:space="preserve">increase </w:t>
      </w:r>
      <w:r w:rsidRPr="00CF29C3">
        <w:rPr>
          <w:spacing w:val="-4"/>
        </w:rPr>
        <w:t xml:space="preserve">in income growth over 2024 and an expected </w:t>
      </w:r>
      <w:r w:rsidR="00C60AFE" w:rsidRPr="00CF29C3">
        <w:rPr>
          <w:spacing w:val="-4"/>
        </w:rPr>
        <w:t xml:space="preserve">further </w:t>
      </w:r>
      <w:r w:rsidRPr="00CF29C3">
        <w:rPr>
          <w:spacing w:val="-4"/>
        </w:rPr>
        <w:t xml:space="preserve">decline in interest rates in 2025 may support effective demand in the near term. </w:t>
      </w:r>
    </w:p>
    <w:p w14:paraId="30C0B7A9" w14:textId="77777777" w:rsidR="007F2143" w:rsidRDefault="007F2143" w:rsidP="0099326B">
      <w:pPr>
        <w:pStyle w:val="Heading3Numbered"/>
      </w:pPr>
      <w:bookmarkStart w:id="104" w:name="_Ref185598688"/>
      <w:r w:rsidRPr="0099326B">
        <w:lastRenderedPageBreak/>
        <w:t>Population</w:t>
      </w:r>
      <w:bookmarkEnd w:id="104"/>
    </w:p>
    <w:p w14:paraId="3C2CEADA" w14:textId="438078CD" w:rsidR="0099326B" w:rsidRDefault="007F2143">
      <w:r w:rsidRPr="007E0053">
        <w:t xml:space="preserve">Population growth slowed to </w:t>
      </w:r>
      <w:r w:rsidRPr="009628A8">
        <w:t>1.8</w:t>
      </w:r>
      <w:r w:rsidR="0099326B">
        <w:t> per cent</w:t>
      </w:r>
      <w:r w:rsidRPr="007E0053">
        <w:t xml:space="preserve"> over the year to September 2024, down from the peak of 2.5</w:t>
      </w:r>
      <w:r w:rsidR="0099326B">
        <w:t> per cent</w:t>
      </w:r>
      <w:r w:rsidRPr="007E0053">
        <w:t xml:space="preserve"> over the year to September 2023</w:t>
      </w:r>
      <w:r w:rsidR="006B541E">
        <w:t xml:space="preserve">, which </w:t>
      </w:r>
      <w:r w:rsidRPr="007E0053">
        <w:t>was driven by the reopening of national borders in 2022 (</w:t>
      </w:r>
      <w:r w:rsidR="00AF0F03">
        <w:t xml:space="preserve">see </w:t>
      </w:r>
      <w:r w:rsidRPr="007E0053">
        <w:t>Chart 2.4</w:t>
      </w:r>
      <w:r w:rsidR="00407C38">
        <w:t>5</w:t>
      </w:r>
      <w:r w:rsidRPr="007E0053">
        <w:t>).</w:t>
      </w:r>
      <w:r w:rsidRPr="007E0053" w:rsidDel="00CB367F">
        <w:t xml:space="preserve"> </w:t>
      </w:r>
      <w:r w:rsidR="006B541E">
        <w:t>However, p</w:t>
      </w:r>
      <w:r w:rsidRPr="007E0053">
        <w:t>opulation growth remained higher than its pre</w:t>
      </w:r>
      <w:r w:rsidR="00A15C79">
        <w:noBreakHyphen/>
      </w:r>
      <w:r w:rsidR="00AF0F03">
        <w:t>P</w:t>
      </w:r>
      <w:r w:rsidRPr="007E0053">
        <w:t>andemic average of 1.</w:t>
      </w:r>
      <w:r w:rsidRPr="007E0053" w:rsidDel="00CB367F">
        <w:t>6</w:t>
      </w:r>
      <w:r w:rsidR="0099326B">
        <w:t> per cent</w:t>
      </w:r>
      <w:r w:rsidR="00AF0F03">
        <w:t>.</w:t>
      </w:r>
      <w:bookmarkStart w:id="105" w:name="_Ref189131797"/>
      <w:r w:rsidR="0099326B" w:rsidRPr="0099326B">
        <w:t xml:space="preserve"> </w:t>
      </w:r>
    </w:p>
    <w:p w14:paraId="6C529247" w14:textId="7C1E9451" w:rsidR="007F2143" w:rsidRDefault="0099326B" w:rsidP="00780A40">
      <w:pPr>
        <w:pStyle w:val="ChartMainHeading"/>
      </w:pPr>
      <w:r>
        <w:t xml:space="preserve">National </w:t>
      </w:r>
      <w:r w:rsidRPr="00780A40">
        <w:t>population</w:t>
      </w:r>
      <w:r w:rsidRPr="00126C4F">
        <w:t xml:space="preserve"> growth</w:t>
      </w:r>
      <w:bookmarkEnd w:id="105"/>
    </w:p>
    <w:p w14:paraId="3E4F5A71" w14:textId="6FD747D8" w:rsidR="0099326B" w:rsidRDefault="00D40C49" w:rsidP="0099326B">
      <w:pPr>
        <w:pStyle w:val="ChartGraphic"/>
      </w:pPr>
      <w:r w:rsidRPr="00D40C49">
        <w:rPr>
          <w:noProof/>
        </w:rPr>
        <w:drawing>
          <wp:inline distT="0" distB="0" distL="0" distR="0" wp14:anchorId="42308823" wp14:editId="4F55F035">
            <wp:extent cx="5588635" cy="2508885"/>
            <wp:effectExtent l="0" t="0" r="0" b="0"/>
            <wp:docPr id="1532551951" name="Picture 63" descr="Chart 2.45 is a combined bar and line chart showing the through the year growth in the estimated resident population and the rolling annual natural increase and net overseas migration from September 2004 to September 2024. The population grew at around 1.6 per cent per year for much of the period until 2020, and the level of natural increase had remained relatively stable. During the pandemic and related border closures, net migration decreased sharply, and population growth declined to around zero. However, a post-pandemic rebound in net overseas migration boosted through-the-year growth in population to a peak of 2.5 per cent in September 2023. Through-the-year population growth has since slowed to 1.8 per cent as of Septem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551951" name="Picture 63" descr="Chart 2.45 is a combined bar and line chart showing the through the year growth in the estimated resident population and the rolling annual natural increase and net overseas migration from September 2004 to September 2024. The population grew at around 1.6 per cent per year for much of the period until 2020, and the level of natural increase had remained relatively stable. During the pandemic and related border closures, net migration decreased sharply, and population growth declined to around zero. However, a post-pandemic rebound in net overseas migration boosted through-the-year growth in population to a peak of 2.5 per cent in September 2023. Through-the-year population growth has since slowed to 1.8 per cent as of September 202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88635" cy="2508885"/>
                    </a:xfrm>
                    <a:prstGeom prst="rect">
                      <a:avLst/>
                    </a:prstGeom>
                    <a:noFill/>
                    <a:ln>
                      <a:noFill/>
                    </a:ln>
                  </pic:spPr>
                </pic:pic>
              </a:graphicData>
            </a:graphic>
          </wp:inline>
        </w:drawing>
      </w:r>
    </w:p>
    <w:p w14:paraId="2F7AB011" w14:textId="037F3507" w:rsidR="00B658B8" w:rsidRDefault="00B658B8" w:rsidP="00B658B8">
      <w:pPr>
        <w:pStyle w:val="ChartorTableNoteandSource"/>
        <w:rPr>
          <w:color w:val="auto"/>
          <w:szCs w:val="18"/>
        </w:rPr>
      </w:pPr>
      <w:r>
        <w:t>Note:</w:t>
      </w:r>
      <w:r>
        <w:tab/>
        <w:t>The rolling annual sum.</w:t>
      </w:r>
    </w:p>
    <w:p w14:paraId="50E6C625" w14:textId="389CF946" w:rsidR="0099326B" w:rsidRDefault="0099326B" w:rsidP="00DB6DE6">
      <w:pPr>
        <w:pStyle w:val="ChartorTableNoteandSource"/>
        <w:rPr>
          <w:color w:val="auto"/>
          <w:szCs w:val="18"/>
        </w:rPr>
      </w:pPr>
      <w:r w:rsidRPr="004608CE">
        <w:rPr>
          <w:color w:val="auto"/>
          <w:szCs w:val="18"/>
        </w:rPr>
        <w:t>Source:</w:t>
      </w:r>
      <w:r w:rsidR="00DB6DE6">
        <w:rPr>
          <w:color w:val="auto"/>
          <w:szCs w:val="18"/>
        </w:rPr>
        <w:tab/>
      </w:r>
      <w:r w:rsidRPr="004608CE">
        <w:rPr>
          <w:color w:val="auto"/>
          <w:szCs w:val="18"/>
        </w:rPr>
        <w:t xml:space="preserve">ABS </w:t>
      </w:r>
      <w:r w:rsidRPr="00822BD4">
        <w:rPr>
          <w:szCs w:val="18"/>
        </w:rPr>
        <w:t xml:space="preserve">National, state and territory population </w:t>
      </w:r>
      <w:r w:rsidRPr="001A7B9E">
        <w:rPr>
          <w:rStyle w:val="Hyperlink"/>
          <w:color w:val="auto"/>
          <w:szCs w:val="18"/>
        </w:rPr>
        <w:t>202</w:t>
      </w:r>
      <w:r w:rsidR="00753B42">
        <w:rPr>
          <w:rStyle w:val="Hyperlink"/>
          <w:color w:val="auto"/>
          <w:szCs w:val="18"/>
        </w:rPr>
        <w:t>5</w:t>
      </w:r>
    </w:p>
    <w:p w14:paraId="47A3205E" w14:textId="3AC72AAA" w:rsidR="007F2143" w:rsidRDefault="007F2143">
      <w:r>
        <w:t xml:space="preserve">The moderation in population growth reflected an easing in net overseas migration. </w:t>
      </w:r>
      <w:r w:rsidRPr="009628A8">
        <w:rPr>
          <w:color w:val="auto"/>
        </w:rPr>
        <w:t xml:space="preserve">Annual net overseas migration was 380,000 over the year to September 2024, </w:t>
      </w:r>
      <w:r w:rsidRPr="007E0053">
        <w:rPr>
          <w:color w:val="auto"/>
        </w:rPr>
        <w:t>down from</w:t>
      </w:r>
      <w:r w:rsidRPr="009628A8">
        <w:rPr>
          <w:color w:val="auto"/>
        </w:rPr>
        <w:t xml:space="preserve"> </w:t>
      </w:r>
      <w:r w:rsidRPr="007E0053">
        <w:rPr>
          <w:color w:val="auto"/>
        </w:rPr>
        <w:t xml:space="preserve">its </w:t>
      </w:r>
      <w:r w:rsidRPr="009628A8">
        <w:rPr>
          <w:color w:val="auto"/>
        </w:rPr>
        <w:t xml:space="preserve">peak of 556,000 over the year to September 2023 but still </w:t>
      </w:r>
      <w:r w:rsidRPr="007E0053">
        <w:rPr>
          <w:color w:val="auto"/>
        </w:rPr>
        <w:t xml:space="preserve">higher than its </w:t>
      </w:r>
      <w:r w:rsidR="00C71E04">
        <w:rPr>
          <w:color w:val="auto"/>
        </w:rPr>
        <w:t>long</w:t>
      </w:r>
      <w:r w:rsidR="00A15C79">
        <w:rPr>
          <w:color w:val="auto"/>
        </w:rPr>
        <w:noBreakHyphen/>
      </w:r>
      <w:r w:rsidR="00C71E04">
        <w:rPr>
          <w:color w:val="auto"/>
        </w:rPr>
        <w:t xml:space="preserve">run </w:t>
      </w:r>
      <w:r w:rsidRPr="009628A8">
        <w:rPr>
          <w:color w:val="auto"/>
        </w:rPr>
        <w:t>pre</w:t>
      </w:r>
      <w:r w:rsidR="00A15C79">
        <w:rPr>
          <w:color w:val="auto"/>
        </w:rPr>
        <w:noBreakHyphen/>
      </w:r>
      <w:r w:rsidR="00C71E04">
        <w:rPr>
          <w:color w:val="auto"/>
        </w:rPr>
        <w:t>P</w:t>
      </w:r>
      <w:r w:rsidRPr="009628A8">
        <w:rPr>
          <w:color w:val="auto"/>
        </w:rPr>
        <w:t>andemic</w:t>
      </w:r>
      <w:r w:rsidRPr="009628A8" w:rsidDel="00C71E04">
        <w:rPr>
          <w:color w:val="auto"/>
        </w:rPr>
        <w:t xml:space="preserve"> </w:t>
      </w:r>
      <w:r w:rsidRPr="009628A8">
        <w:rPr>
          <w:color w:val="auto"/>
        </w:rPr>
        <w:t>average</w:t>
      </w:r>
      <w:r w:rsidRPr="007E0053" w:rsidDel="00047343">
        <w:rPr>
          <w:color w:val="auto"/>
        </w:rPr>
        <w:t xml:space="preserve"> </w:t>
      </w:r>
      <w:r w:rsidRPr="007E0053">
        <w:t>(</w:t>
      </w:r>
      <w:r w:rsidR="0010298B">
        <w:t>see</w:t>
      </w:r>
      <w:r w:rsidR="00DB6DE6">
        <w:t> </w:t>
      </w:r>
      <w:r w:rsidRPr="007E0053">
        <w:t>Chart</w:t>
      </w:r>
      <w:r w:rsidR="007A7B30">
        <w:t> </w:t>
      </w:r>
      <w:r w:rsidRPr="007E0053">
        <w:t>2.4</w:t>
      </w:r>
      <w:r w:rsidR="00407C38">
        <w:t>5</w:t>
      </w:r>
      <w:r w:rsidRPr="007E0053">
        <w:t xml:space="preserve">). </w:t>
      </w:r>
    </w:p>
    <w:p w14:paraId="35FD2FC0" w14:textId="35A86CB9" w:rsidR="00493879" w:rsidRDefault="007F2143" w:rsidP="002D209A">
      <w:r w:rsidRPr="007E0053">
        <w:t>Capital cities continued to record faster population growth than region</w:t>
      </w:r>
      <w:r w:rsidR="003558DB">
        <w:t>al areas</w:t>
      </w:r>
      <w:r w:rsidRPr="007E0053">
        <w:t xml:space="preserve"> in 2023</w:t>
      </w:r>
      <w:r w:rsidR="003558DB">
        <w:t>–</w:t>
      </w:r>
      <w:r w:rsidRPr="007E0053">
        <w:t>24 (</w:t>
      </w:r>
      <w:r w:rsidR="003558DB">
        <w:t>see</w:t>
      </w:r>
      <w:r w:rsidR="00DB6DE6">
        <w:t> </w:t>
      </w:r>
      <w:r w:rsidRPr="007E0053">
        <w:t>Chart</w:t>
      </w:r>
      <w:r w:rsidR="00DB6DE6">
        <w:t> </w:t>
      </w:r>
      <w:r w:rsidRPr="007E0053">
        <w:t>2.4</w:t>
      </w:r>
      <w:r w:rsidR="00407C38">
        <w:t>6</w:t>
      </w:r>
      <w:r w:rsidRPr="007E0053">
        <w:t>). While population growth remained high in capital cities, growth eased from its post</w:t>
      </w:r>
      <w:r w:rsidR="00A15C79">
        <w:noBreakHyphen/>
      </w:r>
      <w:r w:rsidR="003C4A6E">
        <w:t>P</w:t>
      </w:r>
      <w:r w:rsidRPr="007E0053">
        <w:t>andemic peak in 2022</w:t>
      </w:r>
      <w:r w:rsidR="003C4A6E">
        <w:t>–</w:t>
      </w:r>
      <w:r w:rsidRPr="007E0053">
        <w:t>23. Population growth also eased slightly in the region</w:t>
      </w:r>
      <w:r w:rsidR="003C4A6E">
        <w:t>al areas</w:t>
      </w:r>
      <w:r w:rsidRPr="007E0053">
        <w:t>, although it has remained relatively steady compared to capital cities. Region</w:t>
      </w:r>
      <w:r w:rsidR="003C4A6E">
        <w:t>al areas</w:t>
      </w:r>
      <w:r w:rsidRPr="007E0053">
        <w:t xml:space="preserve"> are less </w:t>
      </w:r>
      <w:r w:rsidR="00EA1AE6">
        <w:t>affected</w:t>
      </w:r>
      <w:r w:rsidRPr="007E0053">
        <w:t xml:space="preserve"> by overseas migration, as migrants tend to initially reside in capital cities (</w:t>
      </w:r>
      <w:r w:rsidR="002A47A7" w:rsidRPr="00310AE8">
        <w:t>Centre for Population</w:t>
      </w:r>
      <w:r w:rsidR="000C35FE">
        <w:t xml:space="preserve"> </w:t>
      </w:r>
      <w:r w:rsidRPr="007E0053">
        <w:t>2024). However,</w:t>
      </w:r>
      <w:r w:rsidRPr="007E0053" w:rsidDel="00A111A6">
        <w:t xml:space="preserve"> </w:t>
      </w:r>
      <w:r w:rsidRPr="007E0053">
        <w:t>net internal migration from capital cities</w:t>
      </w:r>
      <w:r w:rsidR="00A111A6">
        <w:t xml:space="preserve"> continue</w:t>
      </w:r>
      <w:r w:rsidR="00802D74">
        <w:t>s</w:t>
      </w:r>
      <w:r w:rsidR="00A111A6">
        <w:t xml:space="preserve"> to support population growth in regional areas</w:t>
      </w:r>
      <w:r w:rsidRPr="007E0053">
        <w:t xml:space="preserve"> (</w:t>
      </w:r>
      <w:r w:rsidR="00AF7A01">
        <w:t xml:space="preserve">see </w:t>
      </w:r>
      <w:r w:rsidRPr="007E0053">
        <w:t>Chart 2.4</w:t>
      </w:r>
      <w:r w:rsidR="00407C38">
        <w:t>7</w:t>
      </w:r>
      <w:r w:rsidRPr="007E0053">
        <w:t>).</w:t>
      </w:r>
      <w:r>
        <w:t xml:space="preserve"> </w:t>
      </w:r>
      <w:r w:rsidR="00493879">
        <w:br w:type="page"/>
      </w:r>
    </w:p>
    <w:p w14:paraId="4FB4F52F" w14:textId="4109F4B2" w:rsidR="007F2143" w:rsidRDefault="007F2143" w:rsidP="0041126E">
      <w:pPr>
        <w:spacing w:before="0" w:after="160" w:line="259" w:lineRule="auto"/>
      </w:pPr>
      <w:r w:rsidRPr="009628A8">
        <w:lastRenderedPageBreak/>
        <w:t>Population growth varied across states and territories over the year to September</w:t>
      </w:r>
      <w:r w:rsidR="00DB6DE6">
        <w:t> </w:t>
      </w:r>
      <w:r w:rsidRPr="009628A8">
        <w:t>2024 (</w:t>
      </w:r>
      <w:r w:rsidR="00802D74">
        <w:t>see</w:t>
      </w:r>
      <w:r w:rsidR="00DB6DE6">
        <w:t> </w:t>
      </w:r>
      <w:r w:rsidRPr="009628A8">
        <w:t>Chart</w:t>
      </w:r>
      <w:r w:rsidR="00DB6DE6">
        <w:t> </w:t>
      </w:r>
      <w:r w:rsidR="00DE7E9B">
        <w:t>2.4</w:t>
      </w:r>
      <w:r w:rsidR="00446127">
        <w:t>8</w:t>
      </w:r>
      <w:r w:rsidRPr="009628A8">
        <w:t>). The largest states continued to record above</w:t>
      </w:r>
      <w:r w:rsidR="00A15C79">
        <w:noBreakHyphen/>
      </w:r>
      <w:r w:rsidRPr="009628A8">
        <w:t>average</w:t>
      </w:r>
      <w:r w:rsidRPr="009628A8" w:rsidDel="00E80438">
        <w:t xml:space="preserve"> </w:t>
      </w:r>
      <w:r w:rsidRPr="009628A8">
        <w:t>growth, led by Western</w:t>
      </w:r>
      <w:r w:rsidR="00DB6DE6">
        <w:t> </w:t>
      </w:r>
      <w:r w:rsidRPr="009628A8">
        <w:t xml:space="preserve">Australia, which recorded </w:t>
      </w:r>
      <w:r w:rsidR="00E80438">
        <w:t>still</w:t>
      </w:r>
      <w:r w:rsidR="00A15C79">
        <w:noBreakHyphen/>
      </w:r>
      <w:r w:rsidRPr="009628A8">
        <w:t>elevated levels of net internal and overseas migration. Strong</w:t>
      </w:r>
      <w:r w:rsidR="00DB6DE6">
        <w:t> </w:t>
      </w:r>
      <w:r w:rsidRPr="009628A8">
        <w:t>economic conditions and job vacancies have drawn job seekers to Western Australia (</w:t>
      </w:r>
      <w:r w:rsidR="00B95258">
        <w:t>WA Government</w:t>
      </w:r>
      <w:r w:rsidRPr="009628A8">
        <w:t xml:space="preserve"> 202</w:t>
      </w:r>
      <w:r w:rsidR="00E12EA9">
        <w:t>4</w:t>
      </w:r>
      <w:r w:rsidRPr="009628A8">
        <w:t>). By contrast, population growth was generally weaker in the smaller states and territories. Tasmania, the Northern Territory and the Australian Capital Territory all recorded below</w:t>
      </w:r>
      <w:r w:rsidR="00A15C79">
        <w:noBreakHyphen/>
      </w:r>
      <w:r w:rsidRPr="009628A8">
        <w:t>average population growth, partly due to net interstate movements out of these states and territories (ABS 2025</w:t>
      </w:r>
      <w:r w:rsidR="0046403F">
        <w:t>j</w:t>
      </w:r>
      <w:r w:rsidRPr="009628A8">
        <w:t>)</w:t>
      </w:r>
      <w:r w:rsidR="008E4210">
        <w:t>.</w:t>
      </w:r>
    </w:p>
    <w:tbl>
      <w:tblPr>
        <w:tblW w:w="5166" w:type="pct"/>
        <w:tblLayout w:type="fixed"/>
        <w:tblLook w:val="0000" w:firstRow="0" w:lastRow="0" w:firstColumn="0" w:lastColumn="0" w:noHBand="0" w:noVBand="0"/>
      </w:tblPr>
      <w:tblGrid>
        <w:gridCol w:w="4685"/>
        <w:gridCol w:w="4686"/>
      </w:tblGrid>
      <w:tr w:rsidR="007F2143" w14:paraId="48A2F1D3" w14:textId="77777777">
        <w:trPr>
          <w:cantSplit/>
          <w:trHeight w:val="305"/>
        </w:trPr>
        <w:tc>
          <w:tcPr>
            <w:tcW w:w="4685" w:type="dxa"/>
          </w:tcPr>
          <w:p w14:paraId="6C2EEF5A" w14:textId="12891233" w:rsidR="007F2143" w:rsidRPr="00324BAD" w:rsidRDefault="007F2143" w:rsidP="00324BAD">
            <w:pPr>
              <w:pStyle w:val="ChartMainHeading"/>
            </w:pPr>
            <w:bookmarkStart w:id="106" w:name="_Ref189131839"/>
            <w:r w:rsidRPr="00324BAD">
              <w:t>Population growth</w:t>
            </w:r>
            <w:r w:rsidR="00356EAE" w:rsidRPr="00324BAD">
              <w:t xml:space="preserve">, by </w:t>
            </w:r>
            <w:r w:rsidRPr="00324BAD">
              <w:t>capital cities and regions</w:t>
            </w:r>
            <w:bookmarkEnd w:id="106"/>
          </w:p>
        </w:tc>
        <w:tc>
          <w:tcPr>
            <w:tcW w:w="4686" w:type="dxa"/>
          </w:tcPr>
          <w:p w14:paraId="5FA14362" w14:textId="3F17824C" w:rsidR="007F2143" w:rsidRPr="00324BAD" w:rsidRDefault="007F2143" w:rsidP="00324BAD">
            <w:pPr>
              <w:pStyle w:val="ChartMainHeading"/>
            </w:pPr>
            <w:bookmarkStart w:id="107" w:name="_Ref189131858"/>
            <w:r w:rsidRPr="00324BAD">
              <w:t xml:space="preserve">Net internal migration from capitals to regions, quarterly </w:t>
            </w:r>
            <w:bookmarkEnd w:id="107"/>
            <w:r w:rsidR="00845957" w:rsidRPr="00324BAD">
              <w:t>change</w:t>
            </w:r>
          </w:p>
        </w:tc>
      </w:tr>
      <w:tr w:rsidR="007F2143" w14:paraId="4B99E71D" w14:textId="77777777">
        <w:trPr>
          <w:cantSplit/>
          <w:trHeight w:val="1126"/>
        </w:trPr>
        <w:tc>
          <w:tcPr>
            <w:tcW w:w="4685" w:type="dxa"/>
          </w:tcPr>
          <w:p w14:paraId="46FF94D9" w14:textId="4C805567" w:rsidR="007F2143" w:rsidRPr="0099326B" w:rsidRDefault="005B3E3C" w:rsidP="0099326B">
            <w:pPr>
              <w:pStyle w:val="ChartGraphic"/>
            </w:pPr>
            <w:r w:rsidRPr="005B3E3C">
              <w:rPr>
                <w:noProof/>
              </w:rPr>
              <w:drawing>
                <wp:inline distT="0" distB="0" distL="0" distR="0" wp14:anchorId="4849E8D3" wp14:editId="28BC083C">
                  <wp:extent cx="2836800" cy="2836800"/>
                  <wp:effectExtent l="0" t="0" r="0" b="0"/>
                  <wp:docPr id="1642750158" name="Picture 3" descr="Chart 2.46 is a line chart showing annual population growth for both capital cities and regional areas between 2003-04 and 2023-24. Population growth in capital cities has historically been greater than that of regional areas. In 2020-21, annual population growth in capital cities declined sharply, falling to -0.3 per cent, while annual population growth in regional areas remained relatively steady at 1.0 per cent. Annual population growth in capital cities then rebounded sharply to 3.0 per cent in 2022-23. In 2023-24, the annual population growth rate declined slightly - although remained elevated - for capital cities, while population growth remained relatively steady in region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750158" name="Picture 3" descr="Chart 2.46 is a line chart showing annual population growth for both capital cities and regional areas between 2003-04 and 2023-24. Population growth in capital cities has historically been greater than that of regional areas. In 2020-21, annual population growth in capital cities declined sharply, falling to -0.3 per cent, while annual population growth in regional areas remained relatively steady at 1.0 per cent. Annual population growth in capital cities then rebounded sharply to 3.0 per cent in 2022-23. In 2023-24, the annual population growth rate declined slightly - although remained elevated - for capital cities, while population growth remained relatively steady in regional area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36800" cy="2836800"/>
                          </a:xfrm>
                          <a:prstGeom prst="rect">
                            <a:avLst/>
                          </a:prstGeom>
                          <a:noFill/>
                          <a:ln>
                            <a:noFill/>
                          </a:ln>
                        </pic:spPr>
                      </pic:pic>
                    </a:graphicData>
                  </a:graphic>
                </wp:inline>
              </w:drawing>
            </w:r>
            <w:r w:rsidR="002E0CCF" w:rsidRPr="002E0CCF">
              <w:rPr>
                <w:noProof/>
              </w:rPr>
              <w:t xml:space="preserve"> </w:t>
            </w:r>
          </w:p>
        </w:tc>
        <w:tc>
          <w:tcPr>
            <w:tcW w:w="4686" w:type="dxa"/>
          </w:tcPr>
          <w:p w14:paraId="13735BEA" w14:textId="24B7AE8C" w:rsidR="007F2143" w:rsidRDefault="009463DB" w:rsidP="0099326B">
            <w:pPr>
              <w:pStyle w:val="ChartGraphic"/>
            </w:pPr>
            <w:r w:rsidRPr="009463DB">
              <w:rPr>
                <w:noProof/>
              </w:rPr>
              <w:drawing>
                <wp:inline distT="0" distB="0" distL="0" distR="0" wp14:anchorId="387788C3" wp14:editId="1D6716D8">
                  <wp:extent cx="2838450" cy="2838450"/>
                  <wp:effectExtent l="0" t="0" r="0" b="0"/>
                  <wp:docPr id="1968163981" name="Picture 64" descr="Chart 2.47 is a line chart showing the quarterly net internal migration from capital cities to regional areas from September 2004 to September 2024. There is a clear upwards trend from around December 2014, where net internal migration increased from around 2,400 to around 7,900 in September 2024. There are two notable periods of growth which peaked at around 8,000 in March 2018, and at around 11,900 in March 2021. Data from June 2021 to December 2021 is missing due to administrative fa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163981" name="Picture 64" descr="Chart 2.47 is a line chart showing the quarterly net internal migration from capital cities to regional areas from September 2004 to September 2024. There is a clear upwards trend from around December 2014, where net internal migration increased from around 2,400 to around 7,900 in September 2024. There are two notable periods of growth which peaked at around 8,000 in March 2018, and at around 11,900 in March 2021. Data from June 2021 to December 2021 is missing due to administrative factors.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inline>
              </w:drawing>
            </w:r>
          </w:p>
        </w:tc>
      </w:tr>
      <w:tr w:rsidR="0099326B" w14:paraId="7F90BC1A" w14:textId="77777777" w:rsidTr="0099326B">
        <w:trPr>
          <w:cantSplit/>
          <w:trHeight w:val="487"/>
        </w:trPr>
        <w:tc>
          <w:tcPr>
            <w:tcW w:w="4685" w:type="dxa"/>
          </w:tcPr>
          <w:p w14:paraId="2BE50335" w14:textId="62ED3DC6" w:rsidR="00944B8D" w:rsidRPr="002949B5" w:rsidRDefault="00944B8D" w:rsidP="00EB0064">
            <w:pPr>
              <w:pStyle w:val="ChartorTableNoteandSource"/>
              <w:spacing w:after="0"/>
            </w:pPr>
            <w:r w:rsidRPr="002949B5">
              <w:t>Note:</w:t>
            </w:r>
            <w:r w:rsidRPr="002949B5">
              <w:tab/>
              <w:t xml:space="preserve">Annual population growth as </w:t>
            </w:r>
            <w:r w:rsidR="004B6C51" w:rsidRPr="002949B5">
              <w:t>at</w:t>
            </w:r>
            <w:r w:rsidRPr="002949B5">
              <w:t xml:space="preserve"> June 30 each year. </w:t>
            </w:r>
          </w:p>
          <w:p w14:paraId="16CF7ECB" w14:textId="24D714C1" w:rsidR="0099326B" w:rsidRPr="002949B5" w:rsidRDefault="0099326B" w:rsidP="00EB0064">
            <w:pPr>
              <w:pStyle w:val="ChartorTableNoteandSource"/>
              <w:spacing w:after="0"/>
            </w:pPr>
            <w:r w:rsidRPr="002949B5">
              <w:t>Source:</w:t>
            </w:r>
            <w:r w:rsidR="00DB6DE6" w:rsidRPr="002949B5">
              <w:tab/>
            </w:r>
            <w:r w:rsidRPr="0041126E">
              <w:t>ABS</w:t>
            </w:r>
            <w:r w:rsidR="00B57886" w:rsidRPr="0041126E">
              <w:t xml:space="preserve"> </w:t>
            </w:r>
            <w:r w:rsidR="006D58E2">
              <w:t>Regional</w:t>
            </w:r>
            <w:r w:rsidR="00B57886" w:rsidRPr="0041126E">
              <w:t xml:space="preserve"> population 2025</w:t>
            </w:r>
          </w:p>
        </w:tc>
        <w:tc>
          <w:tcPr>
            <w:tcW w:w="4686" w:type="dxa"/>
          </w:tcPr>
          <w:p w14:paraId="0FB351AB" w14:textId="7ADC2124" w:rsidR="0099326B" w:rsidRPr="002949B5" w:rsidRDefault="0099326B" w:rsidP="00EB0064">
            <w:pPr>
              <w:pStyle w:val="ChartorTableNoteandSource"/>
              <w:spacing w:after="0"/>
            </w:pPr>
            <w:r w:rsidRPr="002949B5">
              <w:t>Note:</w:t>
            </w:r>
            <w:r w:rsidR="00DB6DE6" w:rsidRPr="002949B5">
              <w:tab/>
            </w:r>
            <w:r w:rsidRPr="002949B5">
              <w:t>ABS R</w:t>
            </w:r>
            <w:r w:rsidR="008568B7" w:rsidRPr="002949B5">
              <w:t>egional internal migration estimates</w:t>
            </w:r>
            <w:r w:rsidRPr="002949B5">
              <w:t xml:space="preserve"> </w:t>
            </w:r>
            <w:r w:rsidR="00845957" w:rsidRPr="002949B5">
              <w:t>were</w:t>
            </w:r>
            <w:r w:rsidRPr="002949B5">
              <w:t xml:space="preserve"> not published between Q2 and Q4 in 2021.</w:t>
            </w:r>
          </w:p>
          <w:p w14:paraId="314001C5" w14:textId="39BE4B63" w:rsidR="00B658B8" w:rsidRPr="002949B5" w:rsidRDefault="00B658B8" w:rsidP="00B658B8">
            <w:pPr>
              <w:pStyle w:val="ChartorTableNoteandSource"/>
              <w:spacing w:after="0"/>
            </w:pPr>
            <w:r w:rsidRPr="002949B5">
              <w:t>Source:</w:t>
            </w:r>
            <w:r w:rsidRPr="002949B5">
              <w:tab/>
              <w:t xml:space="preserve">ABS </w:t>
            </w:r>
            <w:r w:rsidR="002C6A08" w:rsidRPr="002949B5">
              <w:t>National, state and territory population</w:t>
            </w:r>
            <w:r w:rsidRPr="002949B5">
              <w:t xml:space="preserve"> 202</w:t>
            </w:r>
            <w:r w:rsidR="002C6A08" w:rsidRPr="002949B5">
              <w:t>5</w:t>
            </w:r>
          </w:p>
        </w:tc>
      </w:tr>
    </w:tbl>
    <w:p w14:paraId="21C47BC4" w14:textId="7919240F" w:rsidR="00990401" w:rsidRDefault="00990401" w:rsidP="00990401">
      <w:r>
        <w:br w:type="page"/>
      </w:r>
    </w:p>
    <w:p w14:paraId="7F0D1735" w14:textId="6D604859" w:rsidR="007F2143" w:rsidRDefault="007F2143" w:rsidP="0099326B">
      <w:pPr>
        <w:pStyle w:val="Heading3Numbered"/>
      </w:pPr>
      <w:r>
        <w:lastRenderedPageBreak/>
        <w:t>Average household size</w:t>
      </w:r>
    </w:p>
    <w:p w14:paraId="3440518D" w14:textId="09739397" w:rsidR="007F2143" w:rsidRDefault="007F2143">
      <w:pPr>
        <w:pStyle w:val="Dash"/>
        <w:numPr>
          <w:ilvl w:val="0"/>
          <w:numId w:val="0"/>
        </w:numPr>
      </w:pPr>
      <w:r w:rsidRPr="00643950">
        <w:t xml:space="preserve">Average household size is a key determinant of underlying </w:t>
      </w:r>
      <w:r w:rsidR="00E85A1A">
        <w:t xml:space="preserve">housing </w:t>
      </w:r>
      <w:r w:rsidRPr="00643950">
        <w:t xml:space="preserve">demand. All else equal, an increase in the average household size for a given population reduces underlying demand. </w:t>
      </w:r>
    </w:p>
    <w:p w14:paraId="48AD08E1" w14:textId="4119EA9D" w:rsidR="001829D0" w:rsidRDefault="001829D0" w:rsidP="00780A40">
      <w:r w:rsidRPr="00D52922">
        <w:t>Australia</w:t>
      </w:r>
      <w:r>
        <w:t>’</w:t>
      </w:r>
      <w:r w:rsidRPr="00D52922">
        <w:t>s average household size rose from a historic low of 2.51 persons per household in February</w:t>
      </w:r>
      <w:r>
        <w:t> </w:t>
      </w:r>
      <w:r w:rsidRPr="00D52922">
        <w:t>2023 to 2.54 persons per household in September 2024 (</w:t>
      </w:r>
      <w:r>
        <w:t xml:space="preserve">see </w:t>
      </w:r>
      <w:r w:rsidRPr="00D52922">
        <w:t>Chart 2.4</w:t>
      </w:r>
      <w:r>
        <w:t>9)</w:t>
      </w:r>
      <w:r w:rsidRPr="00643950">
        <w:t xml:space="preserve">. This change </w:t>
      </w:r>
      <w:r>
        <w:t xml:space="preserve">primarily </w:t>
      </w:r>
      <w:r w:rsidRPr="00643950">
        <w:t xml:space="preserve">reflects an increase in the average number of adults per household, which </w:t>
      </w:r>
      <w:r>
        <w:t xml:space="preserve">has been rising since </w:t>
      </w:r>
      <w:r w:rsidRPr="00643950">
        <w:t>2022</w:t>
      </w:r>
      <w:r>
        <w:t xml:space="preserve"> (</w:t>
      </w:r>
      <w:r w:rsidRPr="00A212AA">
        <w:t>ABS</w:t>
      </w:r>
      <w:r>
        <w:t xml:space="preserve"> 202</w:t>
      </w:r>
      <w:r w:rsidR="00983F1E">
        <w:t>5</w:t>
      </w:r>
      <w:r w:rsidR="003B0F0C">
        <w:t>j</w:t>
      </w:r>
      <w:r>
        <w:t>)</w:t>
      </w:r>
      <w:r w:rsidRPr="00643950">
        <w:t>.</w:t>
      </w:r>
      <w:r w:rsidRPr="00AB6608">
        <w:t xml:space="preserve"> </w:t>
      </w:r>
      <w:r>
        <w:t xml:space="preserve">This suggests many adults </w:t>
      </w:r>
      <w:r w:rsidRPr="00AB6608">
        <w:t xml:space="preserve">have </w:t>
      </w:r>
      <w:r>
        <w:t>formed</w:t>
      </w:r>
      <w:r w:rsidRPr="00AB6608">
        <w:t xml:space="preserve"> larger households</w:t>
      </w:r>
      <w:r>
        <w:t xml:space="preserve">, possibly </w:t>
      </w:r>
      <w:r w:rsidRPr="00AB6608">
        <w:t xml:space="preserve">in response to </w:t>
      </w:r>
      <w:r>
        <w:t>increased affordability constraints (</w:t>
      </w:r>
      <w:r w:rsidRPr="00310AE8">
        <w:t>RBA</w:t>
      </w:r>
      <w:r>
        <w:t xml:space="preserve"> </w:t>
      </w:r>
      <w:r w:rsidR="00902421">
        <w:t>2025</w:t>
      </w:r>
      <w:r w:rsidR="00401DAE">
        <w:t>d</w:t>
      </w:r>
      <w:r w:rsidR="00902421">
        <w:t>)</w:t>
      </w:r>
      <w:r>
        <w:t xml:space="preserve">. </w:t>
      </w:r>
    </w:p>
    <w:tbl>
      <w:tblPr>
        <w:tblW w:w="5000" w:type="pct"/>
        <w:tblLayout w:type="fixed"/>
        <w:tblLook w:val="0000" w:firstRow="0" w:lastRow="0" w:firstColumn="0" w:lastColumn="0" w:noHBand="0" w:noVBand="0"/>
      </w:tblPr>
      <w:tblGrid>
        <w:gridCol w:w="4535"/>
        <w:gridCol w:w="4535"/>
      </w:tblGrid>
      <w:tr w:rsidR="007F2143" w14:paraId="6624D990" w14:textId="77777777">
        <w:trPr>
          <w:cantSplit/>
        </w:trPr>
        <w:tc>
          <w:tcPr>
            <w:tcW w:w="4535" w:type="dxa"/>
          </w:tcPr>
          <w:p w14:paraId="22856D75" w14:textId="5FA50CF6" w:rsidR="007F2143" w:rsidRDefault="007F2143" w:rsidP="00EB0064">
            <w:pPr>
              <w:pStyle w:val="ChartMainHeading"/>
            </w:pPr>
            <w:r>
              <w:t>Population growth</w:t>
            </w:r>
            <w:r w:rsidR="00032879">
              <w:t>,</w:t>
            </w:r>
            <w:r>
              <w:t xml:space="preserve"> by state</w:t>
            </w:r>
          </w:p>
        </w:tc>
        <w:tc>
          <w:tcPr>
            <w:tcW w:w="4535" w:type="dxa"/>
          </w:tcPr>
          <w:p w14:paraId="73C4F62C" w14:textId="77777777" w:rsidR="007F2143" w:rsidRDefault="007F2143" w:rsidP="00EB0064">
            <w:pPr>
              <w:pStyle w:val="ChartMainHeading"/>
            </w:pPr>
            <w:r>
              <w:t xml:space="preserve">Average household size </w:t>
            </w:r>
          </w:p>
        </w:tc>
      </w:tr>
      <w:tr w:rsidR="007F2143" w14:paraId="73D59AD6" w14:textId="77777777">
        <w:trPr>
          <w:cantSplit/>
          <w:trHeight w:val="3839"/>
        </w:trPr>
        <w:tc>
          <w:tcPr>
            <w:tcW w:w="4535" w:type="dxa"/>
          </w:tcPr>
          <w:p w14:paraId="613246F8" w14:textId="1A4A55EA" w:rsidR="007F2143" w:rsidRDefault="00C61B21" w:rsidP="00DB6DE6">
            <w:pPr>
              <w:pStyle w:val="ChartGraphic"/>
            </w:pPr>
            <w:r w:rsidRPr="00C61B21">
              <w:rPr>
                <w:noProof/>
              </w:rPr>
              <w:drawing>
                <wp:inline distT="0" distB="0" distL="0" distR="0" wp14:anchorId="5F945E48" wp14:editId="1A827AE4">
                  <wp:extent cx="2742565" cy="2742565"/>
                  <wp:effectExtent l="0" t="0" r="0" b="0"/>
                  <wp:docPr id="1577813967" name="Picture 67" descr="Chart 2.48 is a bar chart showing population growth through the year to September 2024 by state and territory, with dots to indicate the 15-year average growth rate for each state. The Australian Capital Territory, Tasmania and the Northern Territory each recorded through-the-year population growth (1.5 per cent, 0.3 per cent and 0.7 per cent respectively) that was lower than their respective 15-year average growth rates (1.9 per cent, 0.9 per cent and 0.8 per cent respectively). In all other states, through-the-year population growth to September 2024 was greater than the 15-year average. Western Australia recorded the largest increase in population growth, rising by 2.5 per cent through the year to September 2024, compared to its 15-year average growth of 1.9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13967" name="Picture 67" descr="Chart 2.48 is a bar chart showing population growth through the year to September 2024 by state and territory, with dots to indicate the 15-year average growth rate for each state. The Australian Capital Territory, Tasmania and the Northern Territory each recorded through-the-year population growth (1.5 per cent, 0.3 per cent and 0.7 per cent respectively) that was lower than their respective 15-year average growth rates (1.9 per cent, 0.9 per cent and 0.8 per cent respectively). In all other states, through-the-year population growth to September 2024 was greater than the 15-year average. Western Australia recorded the largest increase in population growth, rising by 2.5 per cent through the year to September 2024, compared to its 15-year average growth of 1.9 per cen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42565" cy="2742565"/>
                          </a:xfrm>
                          <a:prstGeom prst="rect">
                            <a:avLst/>
                          </a:prstGeom>
                          <a:noFill/>
                          <a:ln>
                            <a:noFill/>
                          </a:ln>
                        </pic:spPr>
                      </pic:pic>
                    </a:graphicData>
                  </a:graphic>
                </wp:inline>
              </w:drawing>
            </w:r>
          </w:p>
        </w:tc>
        <w:tc>
          <w:tcPr>
            <w:tcW w:w="4535" w:type="dxa"/>
          </w:tcPr>
          <w:p w14:paraId="1508208E" w14:textId="30CEB36C" w:rsidR="007F2143" w:rsidRPr="00DB6DE6" w:rsidRDefault="0098429D" w:rsidP="00DB6DE6">
            <w:pPr>
              <w:pStyle w:val="ChartGraphic"/>
            </w:pPr>
            <w:r w:rsidRPr="0098429D">
              <w:rPr>
                <w:noProof/>
              </w:rPr>
              <w:drawing>
                <wp:inline distT="0" distB="0" distL="0" distR="0" wp14:anchorId="72391735" wp14:editId="6166816B">
                  <wp:extent cx="2742565" cy="2742565"/>
                  <wp:effectExtent l="0" t="0" r="0" b="635"/>
                  <wp:docPr id="2032867672" name="Picture 66" descr="Chart 2.49 is a line chart showing the average household size between September 2004 and September 2024. Between 2004 and the middle of 2014, the average household size ranged between 2.54 and 2.60. Following a series break between July 2014 and June 2018, the average household size decreased to 2.52 in Feburary 2020, before sharply increasing to 2.60 in September 2020. The average household size then trended downwards to reach 2.51 in February 2023. As of September 2024, the average household size was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867672" name="Picture 66" descr="Chart 2.49 is a line chart showing the average household size between September 2004 and September 2024. Between 2004 and the middle of 2014, the average household size ranged between 2.54 and 2.60. Following a series break between July 2014 and June 2018, the average household size decreased to 2.52 in Feburary 2020, before sharply increasing to 2.60 in September 2020. The average household size then trended downwards to reach 2.51 in February 2023. As of September 2024, the average household size was 2.5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42565" cy="2742565"/>
                          </a:xfrm>
                          <a:prstGeom prst="rect">
                            <a:avLst/>
                          </a:prstGeom>
                          <a:noFill/>
                          <a:ln>
                            <a:noFill/>
                          </a:ln>
                        </pic:spPr>
                      </pic:pic>
                    </a:graphicData>
                  </a:graphic>
                </wp:inline>
              </w:drawing>
            </w:r>
          </w:p>
        </w:tc>
      </w:tr>
      <w:tr w:rsidR="00DB6DE6" w14:paraId="58958A64" w14:textId="77777777" w:rsidTr="00DB6DE6">
        <w:trPr>
          <w:cantSplit/>
          <w:trHeight w:val="80"/>
        </w:trPr>
        <w:tc>
          <w:tcPr>
            <w:tcW w:w="4535" w:type="dxa"/>
          </w:tcPr>
          <w:p w14:paraId="2328434B" w14:textId="7861C312" w:rsidR="00DB6DE6" w:rsidRDefault="00DB6DE6" w:rsidP="00EB0064">
            <w:pPr>
              <w:pStyle w:val="ChartorTableNoteandSource"/>
              <w:spacing w:before="0" w:after="0"/>
              <w:rPr>
                <w:noProof/>
              </w:rPr>
            </w:pPr>
            <w:r>
              <w:rPr>
                <w:noProof/>
              </w:rPr>
              <w:t>Note:</w:t>
            </w:r>
            <w:r>
              <w:rPr>
                <w:noProof/>
              </w:rPr>
              <w:tab/>
              <w:t>The through the year growth to September 2024.</w:t>
            </w:r>
          </w:p>
          <w:p w14:paraId="12D5537D" w14:textId="2DD01425" w:rsidR="00325455" w:rsidRPr="00325455" w:rsidRDefault="00325455" w:rsidP="00325455">
            <w:pPr>
              <w:pStyle w:val="ChartorTableNoteandSource"/>
              <w:spacing w:before="0" w:after="0"/>
              <w:rPr>
                <w:noProof/>
              </w:rPr>
            </w:pPr>
            <w:r>
              <w:rPr>
                <w:noProof/>
              </w:rPr>
              <w:t>Source:</w:t>
            </w:r>
            <w:r>
              <w:rPr>
                <w:noProof/>
              </w:rPr>
              <w:tab/>
              <w:t>ABS</w:t>
            </w:r>
            <w:r w:rsidR="00B60A64">
              <w:rPr>
                <w:noProof/>
              </w:rPr>
              <w:t xml:space="preserve"> </w:t>
            </w:r>
            <w:r>
              <w:rPr>
                <w:noProof/>
              </w:rPr>
              <w:t>National</w:t>
            </w:r>
            <w:r w:rsidR="00372674">
              <w:rPr>
                <w:noProof/>
              </w:rPr>
              <w:t>, s</w:t>
            </w:r>
            <w:r>
              <w:rPr>
                <w:noProof/>
              </w:rPr>
              <w:t xml:space="preserve">tate and </w:t>
            </w:r>
            <w:r w:rsidR="00372674">
              <w:rPr>
                <w:noProof/>
              </w:rPr>
              <w:t>t</w:t>
            </w:r>
            <w:r>
              <w:rPr>
                <w:noProof/>
              </w:rPr>
              <w:t xml:space="preserve">erritory </w:t>
            </w:r>
            <w:r w:rsidR="00372674">
              <w:rPr>
                <w:noProof/>
              </w:rPr>
              <w:t>p</w:t>
            </w:r>
            <w:r>
              <w:rPr>
                <w:noProof/>
              </w:rPr>
              <w:t>opulation 202</w:t>
            </w:r>
            <w:r w:rsidR="00372674">
              <w:rPr>
                <w:noProof/>
              </w:rPr>
              <w:t>5</w:t>
            </w:r>
          </w:p>
        </w:tc>
        <w:tc>
          <w:tcPr>
            <w:tcW w:w="4535" w:type="dxa"/>
          </w:tcPr>
          <w:p w14:paraId="725BBF02" w14:textId="390A80B8" w:rsidR="00DB6DE6" w:rsidRDefault="00DB6DE6" w:rsidP="00EB0064">
            <w:pPr>
              <w:pStyle w:val="ChartorTableNoteandSource"/>
              <w:spacing w:before="0" w:after="0"/>
              <w:rPr>
                <w:noProof/>
              </w:rPr>
            </w:pPr>
            <w:r>
              <w:rPr>
                <w:noProof/>
              </w:rPr>
              <w:t>Note:</w:t>
            </w:r>
            <w:r>
              <w:rPr>
                <w:noProof/>
              </w:rPr>
              <w:tab/>
              <w:t>Estimates unavailable between July 2014 and June 2018 due to processing errors in the ABS Labour Force statistics.</w:t>
            </w:r>
          </w:p>
          <w:p w14:paraId="1CF0AFD0" w14:textId="29B0C720" w:rsidR="00325455" w:rsidRPr="00325455" w:rsidRDefault="00325455" w:rsidP="00325455">
            <w:pPr>
              <w:pStyle w:val="ChartorTableNoteandSource"/>
              <w:spacing w:before="0" w:after="0"/>
              <w:rPr>
                <w:noProof/>
              </w:rPr>
            </w:pPr>
            <w:r>
              <w:rPr>
                <w:noProof/>
              </w:rPr>
              <w:t>Source</w:t>
            </w:r>
            <w:r w:rsidRPr="00EB0064">
              <w:rPr>
                <w:noProof/>
                <w:spacing w:val="-4"/>
              </w:rPr>
              <w:t>:</w:t>
            </w:r>
            <w:r w:rsidRPr="00EB0064">
              <w:rPr>
                <w:noProof/>
                <w:spacing w:val="-4"/>
              </w:rPr>
              <w:tab/>
              <w:t>ABS</w:t>
            </w:r>
            <w:r w:rsidR="00B60A64">
              <w:rPr>
                <w:noProof/>
                <w:spacing w:val="-4"/>
              </w:rPr>
              <w:t xml:space="preserve"> </w:t>
            </w:r>
            <w:r w:rsidRPr="00EB0064">
              <w:rPr>
                <w:noProof/>
                <w:spacing w:val="-4"/>
              </w:rPr>
              <w:t>Labour Force 202</w:t>
            </w:r>
            <w:r w:rsidR="00087A72">
              <w:rPr>
                <w:noProof/>
                <w:spacing w:val="-4"/>
              </w:rPr>
              <w:t>5</w:t>
            </w:r>
            <w:r w:rsidRPr="00EB0064">
              <w:rPr>
                <w:noProof/>
                <w:spacing w:val="-4"/>
              </w:rPr>
              <w:t>; ABS National</w:t>
            </w:r>
            <w:r w:rsidR="00372674">
              <w:rPr>
                <w:noProof/>
                <w:spacing w:val="-4"/>
              </w:rPr>
              <w:t>,</w:t>
            </w:r>
            <w:r w:rsidRPr="00EB0064">
              <w:rPr>
                <w:noProof/>
                <w:spacing w:val="-4"/>
              </w:rPr>
              <w:t xml:space="preserve"> </w:t>
            </w:r>
            <w:r w:rsidR="00372674">
              <w:rPr>
                <w:noProof/>
                <w:spacing w:val="-4"/>
              </w:rPr>
              <w:t>s</w:t>
            </w:r>
            <w:r w:rsidRPr="00EB0064">
              <w:rPr>
                <w:noProof/>
                <w:spacing w:val="-4"/>
              </w:rPr>
              <w:t xml:space="preserve">tate and </w:t>
            </w:r>
            <w:r w:rsidR="00372674">
              <w:rPr>
                <w:noProof/>
                <w:spacing w:val="-4"/>
              </w:rPr>
              <w:t>t</w:t>
            </w:r>
            <w:r w:rsidRPr="00EB0064">
              <w:rPr>
                <w:noProof/>
                <w:spacing w:val="-4"/>
              </w:rPr>
              <w:t xml:space="preserve">erritory </w:t>
            </w:r>
            <w:r w:rsidR="00372674">
              <w:rPr>
                <w:noProof/>
                <w:spacing w:val="-4"/>
              </w:rPr>
              <w:t>p</w:t>
            </w:r>
            <w:r w:rsidRPr="00EB0064">
              <w:rPr>
                <w:noProof/>
                <w:spacing w:val="-4"/>
              </w:rPr>
              <w:t>opulation 2024; Treasury</w:t>
            </w:r>
          </w:p>
        </w:tc>
      </w:tr>
    </w:tbl>
    <w:p w14:paraId="38B70292" w14:textId="36180D34" w:rsidR="007F2143" w:rsidRDefault="007F2143" w:rsidP="0099326B">
      <w:pPr>
        <w:pStyle w:val="Heading3Numbered"/>
      </w:pPr>
      <w:r w:rsidRPr="0099326B">
        <w:t>Household</w:t>
      </w:r>
      <w:r>
        <w:t xml:space="preserve"> income</w:t>
      </w:r>
    </w:p>
    <w:p w14:paraId="5FEA7554" w14:textId="50CAAEF4" w:rsidR="007F2143" w:rsidRDefault="007F2143" w:rsidP="000063DF">
      <w:pPr>
        <w:pStyle w:val="Dash"/>
        <w:numPr>
          <w:ilvl w:val="0"/>
          <w:numId w:val="0"/>
        </w:numPr>
      </w:pPr>
      <w:r w:rsidRPr="00E73A34">
        <w:t xml:space="preserve">Real household disposable income </w:t>
      </w:r>
      <w:r w:rsidR="00820E37">
        <w:t>rose by</w:t>
      </w:r>
      <w:r w:rsidRPr="009628A8">
        <w:t xml:space="preserve"> 1.8</w:t>
      </w:r>
      <w:r w:rsidR="0099326B">
        <w:t> per cent</w:t>
      </w:r>
      <w:r w:rsidRPr="00E73A34">
        <w:t xml:space="preserve"> over </w:t>
      </w:r>
      <w:r>
        <w:t>2024</w:t>
      </w:r>
      <w:r w:rsidRPr="00E73A34">
        <w:t>,</w:t>
      </w:r>
      <w:r w:rsidRPr="000C563C">
        <w:t xml:space="preserve"> </w:t>
      </w:r>
      <w:r w:rsidR="000063DF">
        <w:t xml:space="preserve">following a period of </w:t>
      </w:r>
      <w:r w:rsidR="001A5EBA">
        <w:t>negative growth over much of</w:t>
      </w:r>
      <w:r w:rsidR="000063DF">
        <w:t xml:space="preserve"> </w:t>
      </w:r>
      <w:r w:rsidRPr="000C563C" w:rsidDel="000063DF">
        <w:t>2023</w:t>
      </w:r>
      <w:r w:rsidRPr="000C563C">
        <w:t xml:space="preserve"> (</w:t>
      </w:r>
      <w:r w:rsidR="002E543D">
        <w:t xml:space="preserve">see </w:t>
      </w:r>
      <w:r w:rsidRPr="000C563C">
        <w:t>Chart 2.</w:t>
      </w:r>
      <w:r w:rsidR="00407C38">
        <w:t>50</w:t>
      </w:r>
      <w:r w:rsidRPr="000C563C">
        <w:t>). Higher real income suggests an improvement</w:t>
      </w:r>
      <w:r>
        <w:t xml:space="preserve"> in households</w:t>
      </w:r>
      <w:r w:rsidR="00A15C79">
        <w:t>’</w:t>
      </w:r>
      <w:r w:rsidR="002E543D">
        <w:t xml:space="preserve"> ability</w:t>
      </w:r>
      <w:r>
        <w:t xml:space="preserve"> to </w:t>
      </w:r>
      <w:r w:rsidR="007A21CF">
        <w:t>meet</w:t>
      </w:r>
      <w:r>
        <w:t xml:space="preserve"> rent and mortgage servicing costs, boosting effective demand. </w:t>
      </w:r>
    </w:p>
    <w:p w14:paraId="40A403A3" w14:textId="6C77D819" w:rsidR="007F2143" w:rsidRDefault="000765F5">
      <w:pPr>
        <w:pStyle w:val="Dash"/>
        <w:numPr>
          <w:ilvl w:val="0"/>
          <w:numId w:val="0"/>
        </w:numPr>
      </w:pPr>
      <w:r>
        <w:t xml:space="preserve">A </w:t>
      </w:r>
      <w:r w:rsidR="007F2143">
        <w:t>strong labour market and an easing of inflation over the past year</w:t>
      </w:r>
      <w:r w:rsidR="007C111F">
        <w:t xml:space="preserve"> have supported the rise in real household incomes</w:t>
      </w:r>
      <w:r w:rsidR="007F2143">
        <w:t xml:space="preserve">. Throughout 2024 and early 2025, the labour market remained tight, with the </w:t>
      </w:r>
      <w:r w:rsidR="007F2143" w:rsidRPr="00F476DA">
        <w:t xml:space="preserve">unemployment rate </w:t>
      </w:r>
      <w:r w:rsidR="007F2143">
        <w:t xml:space="preserve">at </w:t>
      </w:r>
      <w:r w:rsidR="007F2143" w:rsidRPr="00F476DA">
        <w:t>around 4</w:t>
      </w:r>
      <w:r w:rsidR="007F2143" w:rsidRPr="009628A8">
        <w:t>.1</w:t>
      </w:r>
      <w:r w:rsidR="0099326B">
        <w:t> per cent</w:t>
      </w:r>
      <w:r w:rsidR="007F2143" w:rsidRPr="00F476DA">
        <w:t xml:space="preserve"> </w:t>
      </w:r>
      <w:r w:rsidR="007F2143" w:rsidRPr="002949B5">
        <w:t xml:space="preserve">in </w:t>
      </w:r>
      <w:r w:rsidR="00F576B5" w:rsidRPr="002949B5">
        <w:t xml:space="preserve">March </w:t>
      </w:r>
      <w:r w:rsidR="007F2143" w:rsidRPr="002949B5">
        <w:t>2025</w:t>
      </w:r>
      <w:r w:rsidR="0075403A">
        <w:t xml:space="preserve"> </w:t>
      </w:r>
      <w:r w:rsidR="007F2143">
        <w:t>(</w:t>
      </w:r>
      <w:r w:rsidR="007B5EEE">
        <w:t xml:space="preserve">see </w:t>
      </w:r>
      <w:r w:rsidR="007F2143">
        <w:t>Chart 2.</w:t>
      </w:r>
      <w:r w:rsidR="00407C38">
        <w:t>51</w:t>
      </w:r>
      <w:r w:rsidR="007F2143">
        <w:t>). The strong labour market has supported wages growth (</w:t>
      </w:r>
      <w:r w:rsidR="002A47A7" w:rsidRPr="00310AE8">
        <w:t>RBA</w:t>
      </w:r>
      <w:r w:rsidR="007F2143">
        <w:t xml:space="preserve"> 202</w:t>
      </w:r>
      <w:r w:rsidR="0096644C">
        <w:t>5</w:t>
      </w:r>
      <w:r w:rsidR="00CC23DC">
        <w:t>d</w:t>
      </w:r>
      <w:r w:rsidR="007F2143">
        <w:t>). At the same time, inflation has declined substantially from its peak in 2022, as higher interest rates have moderated demand (RBA 2025</w:t>
      </w:r>
      <w:r w:rsidR="0078445F">
        <w:t>d</w:t>
      </w:r>
      <w:r w:rsidR="007F2143">
        <w:t xml:space="preserve">). </w:t>
      </w:r>
    </w:p>
    <w:tbl>
      <w:tblPr>
        <w:tblW w:w="5000" w:type="pct"/>
        <w:tblLayout w:type="fixed"/>
        <w:tblLook w:val="0000" w:firstRow="0" w:lastRow="0" w:firstColumn="0" w:lastColumn="0" w:noHBand="0" w:noVBand="0"/>
      </w:tblPr>
      <w:tblGrid>
        <w:gridCol w:w="4535"/>
        <w:gridCol w:w="4535"/>
      </w:tblGrid>
      <w:tr w:rsidR="007F2143" w:rsidRPr="001004E1" w14:paraId="04AD7BEE" w14:textId="77777777">
        <w:trPr>
          <w:cantSplit/>
        </w:trPr>
        <w:tc>
          <w:tcPr>
            <w:tcW w:w="4535" w:type="dxa"/>
          </w:tcPr>
          <w:p w14:paraId="6F2C622C" w14:textId="3F546C66" w:rsidR="007F2143" w:rsidRDefault="007F2143" w:rsidP="00780A40">
            <w:pPr>
              <w:pStyle w:val="ChartMainHeading"/>
              <w:spacing w:before="100" w:beforeAutospacing="1"/>
            </w:pPr>
            <w:r>
              <w:lastRenderedPageBreak/>
              <w:t xml:space="preserve">Real household income </w:t>
            </w:r>
          </w:p>
        </w:tc>
        <w:tc>
          <w:tcPr>
            <w:tcW w:w="4535" w:type="dxa"/>
          </w:tcPr>
          <w:p w14:paraId="14BF29A6" w14:textId="77777777" w:rsidR="007F2143" w:rsidRPr="002949B5" w:rsidRDefault="007F2143" w:rsidP="00780A40">
            <w:pPr>
              <w:pStyle w:val="ChartMainHeading"/>
              <w:spacing w:before="100" w:beforeAutospacing="1"/>
            </w:pPr>
            <w:bookmarkStart w:id="108" w:name="_Ref189051662"/>
            <w:bookmarkStart w:id="109" w:name="_Ref189134556"/>
            <w:r w:rsidRPr="002949B5">
              <w:t>Unemployment rate</w:t>
            </w:r>
            <w:bookmarkEnd w:id="108"/>
            <w:bookmarkEnd w:id="109"/>
          </w:p>
        </w:tc>
      </w:tr>
      <w:tr w:rsidR="007F2143" w:rsidRPr="001004E1" w14:paraId="6438BA22" w14:textId="77777777">
        <w:trPr>
          <w:cantSplit/>
          <w:trHeight w:val="3839"/>
        </w:trPr>
        <w:tc>
          <w:tcPr>
            <w:tcW w:w="4535" w:type="dxa"/>
          </w:tcPr>
          <w:p w14:paraId="6B4A0005" w14:textId="4CAA1E42" w:rsidR="007F2143" w:rsidRDefault="00697746" w:rsidP="0099326B">
            <w:pPr>
              <w:pStyle w:val="ChartGraphic"/>
            </w:pPr>
            <w:r w:rsidRPr="00697746">
              <w:rPr>
                <w:noProof/>
              </w:rPr>
              <w:drawing>
                <wp:inline distT="0" distB="0" distL="0" distR="0" wp14:anchorId="05091F15" wp14:editId="4741CE9E">
                  <wp:extent cx="2742565" cy="2742565"/>
                  <wp:effectExtent l="0" t="0" r="0" b="0"/>
                  <wp:docPr id="1653661592" name="Picture 68" descr="Chart 2.50 is a line chart showing the annual growth rate in real household income from December 2018 to December 2024. The through-the-year growth rate rose from 2.2 per cent in December 2018 to 7.5 per cent in September 2020, before declining to negative 4.7 per cent in March 2023. Through-the-year growth has since rebounded to 1.8 per cent in Decem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661592" name="Picture 68" descr="Chart 2.50 is a line chart showing the annual growth rate in real household income from December 2018 to December 2024. The through-the-year growth rate rose from 2.2 per cent in December 2018 to 7.5 per cent in September 2020, before declining to negative 4.7 per cent in March 2023. Through-the-year growth has since rebounded to 1.8 per cent in December 202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42565" cy="2742565"/>
                          </a:xfrm>
                          <a:prstGeom prst="rect">
                            <a:avLst/>
                          </a:prstGeom>
                          <a:noFill/>
                          <a:ln>
                            <a:noFill/>
                          </a:ln>
                        </pic:spPr>
                      </pic:pic>
                    </a:graphicData>
                  </a:graphic>
                </wp:inline>
              </w:drawing>
            </w:r>
          </w:p>
        </w:tc>
        <w:tc>
          <w:tcPr>
            <w:tcW w:w="4535" w:type="dxa"/>
          </w:tcPr>
          <w:p w14:paraId="575EA04E" w14:textId="7EE69293" w:rsidR="007F2143" w:rsidRPr="0041126E" w:rsidRDefault="00F23A04" w:rsidP="0099326B">
            <w:pPr>
              <w:pStyle w:val="ChartGraphic"/>
              <w:rPr>
                <w:highlight w:val="red"/>
              </w:rPr>
            </w:pPr>
            <w:r w:rsidRPr="007F7250">
              <w:rPr>
                <w:noProof/>
              </w:rPr>
              <w:drawing>
                <wp:inline distT="0" distB="0" distL="0" distR="0" wp14:anchorId="54D247C0" wp14:editId="39148871">
                  <wp:extent cx="2742565" cy="2742565"/>
                  <wp:effectExtent l="0" t="0" r="0" b="0"/>
                  <wp:docPr id="2079175166" name="Picture 27" descr="Chart 2.51 is a line chart showing the national unemployment rate between March 2019 to March 2025. The unemployment rate peaked at 7.5 per cent in July 2020 before declining to a low of 3.4 per cent in October 2022. Since 2022 the unemployment rate has increased marginally, rising to 4.1 per cent in March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175166" name="Picture 27" descr="Chart 2.51 is a line chart showing the national unemployment rate between March 2019 to March 2025. The unemployment rate peaked at 7.5 per cent in July 2020 before declining to a low of 3.4 per cent in October 2022. Since 2022 the unemployment rate has increased marginally, rising to 4.1 per cent in March 2025. "/>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42565" cy="2742565"/>
                          </a:xfrm>
                          <a:prstGeom prst="rect">
                            <a:avLst/>
                          </a:prstGeom>
                          <a:noFill/>
                          <a:ln>
                            <a:noFill/>
                          </a:ln>
                        </pic:spPr>
                      </pic:pic>
                    </a:graphicData>
                  </a:graphic>
                </wp:inline>
              </w:drawing>
            </w:r>
          </w:p>
        </w:tc>
      </w:tr>
      <w:tr w:rsidR="0099326B" w14:paraId="2F155EFB" w14:textId="77777777" w:rsidTr="0099326B">
        <w:trPr>
          <w:cantSplit/>
          <w:trHeight w:val="289"/>
        </w:trPr>
        <w:tc>
          <w:tcPr>
            <w:tcW w:w="4535" w:type="dxa"/>
          </w:tcPr>
          <w:p w14:paraId="30224CD6" w14:textId="6817DFF1" w:rsidR="00325455" w:rsidRDefault="00325455" w:rsidP="00DB6DE6">
            <w:pPr>
              <w:pStyle w:val="ChartorTableNoteandSource"/>
            </w:pPr>
            <w:r w:rsidRPr="001A7B9E">
              <w:t>Note:</w:t>
            </w:r>
            <w:r>
              <w:tab/>
            </w:r>
            <w:r w:rsidRPr="001A7B9E">
              <w:t xml:space="preserve">Real </w:t>
            </w:r>
            <w:r w:rsidR="00A623FD">
              <w:t xml:space="preserve">total </w:t>
            </w:r>
            <w:r>
              <w:t>h</w:t>
            </w:r>
            <w:r w:rsidRPr="001A7B9E">
              <w:t xml:space="preserve">ousehold </w:t>
            </w:r>
            <w:r>
              <w:t>d</w:t>
            </w:r>
            <w:r w:rsidRPr="001A7B9E">
              <w:t xml:space="preserve">isposable </w:t>
            </w:r>
            <w:r>
              <w:t>g</w:t>
            </w:r>
            <w:r w:rsidRPr="001A7B9E">
              <w:t xml:space="preserve">ross </w:t>
            </w:r>
            <w:r>
              <w:t>i</w:t>
            </w:r>
            <w:r w:rsidRPr="001A7B9E">
              <w:t>ncome</w:t>
            </w:r>
            <w:r>
              <w:t>.</w:t>
            </w:r>
          </w:p>
          <w:p w14:paraId="6D655D79" w14:textId="244D2979" w:rsidR="0099326B" w:rsidRPr="00986E02" w:rsidRDefault="0099326B" w:rsidP="00325455">
            <w:pPr>
              <w:pStyle w:val="ChartorTableNoteandSource"/>
              <w:rPr>
                <w:noProof/>
              </w:rPr>
            </w:pPr>
            <w:r w:rsidRPr="001A7B9E">
              <w:t>Source:</w:t>
            </w:r>
            <w:r w:rsidR="00DB6DE6">
              <w:tab/>
            </w:r>
            <w:r w:rsidRPr="001A7B9E">
              <w:t>ABS</w:t>
            </w:r>
            <w:r w:rsidR="00B60A64">
              <w:t xml:space="preserve"> </w:t>
            </w:r>
            <w:r w:rsidRPr="001A7B9E">
              <w:t>National Accounts 202</w:t>
            </w:r>
            <w:r>
              <w:t>5;</w:t>
            </w:r>
            <w:r w:rsidRPr="001A7B9E">
              <w:t xml:space="preserve"> Treasury</w:t>
            </w:r>
            <w:r>
              <w:t xml:space="preserve"> 2025</w:t>
            </w:r>
          </w:p>
        </w:tc>
        <w:tc>
          <w:tcPr>
            <w:tcW w:w="4535" w:type="dxa"/>
          </w:tcPr>
          <w:p w14:paraId="64BFD9DA" w14:textId="2D5D1792" w:rsidR="0099326B" w:rsidRPr="0071574E" w:rsidRDefault="0099326B" w:rsidP="00DB6DE6">
            <w:pPr>
              <w:pStyle w:val="ChartorTableNoteandSource"/>
              <w:rPr>
                <w:noProof/>
              </w:rPr>
            </w:pPr>
            <w:r>
              <w:t>Source:</w:t>
            </w:r>
            <w:r w:rsidR="00DB6DE6">
              <w:tab/>
            </w:r>
            <w:r>
              <w:t>ABS</w:t>
            </w:r>
            <w:r w:rsidR="00F96A40">
              <w:t xml:space="preserve"> </w:t>
            </w:r>
            <w:r>
              <w:t>Labour Force 2025</w:t>
            </w:r>
          </w:p>
        </w:tc>
      </w:tr>
    </w:tbl>
    <w:p w14:paraId="751E7DEA" w14:textId="18DC6171" w:rsidR="007F2143" w:rsidRPr="00475228" w:rsidRDefault="007F2143" w:rsidP="0099326B">
      <w:pPr>
        <w:pStyle w:val="Heading3Numbered"/>
      </w:pPr>
      <w:r>
        <w:t>Household c</w:t>
      </w:r>
      <w:r w:rsidRPr="00475228">
        <w:t>redit conditions</w:t>
      </w:r>
    </w:p>
    <w:p w14:paraId="2DD171D2" w14:textId="5118EAED" w:rsidR="00EB0064" w:rsidRDefault="007F2143" w:rsidP="00DB6DE6">
      <w:r w:rsidRPr="00EA27E3">
        <w:t xml:space="preserve">Higher interest rates reduce effective demand for housing by reducing the borrowing capacity of </w:t>
      </w:r>
      <w:r>
        <w:t>households and increasing the relative attractiveness of deferring consumption</w:t>
      </w:r>
      <w:r w:rsidRPr="00EA27E3">
        <w:t xml:space="preserve">. Mortgage rates remained elevated through 2024, following the </w:t>
      </w:r>
      <w:r w:rsidR="008935FF">
        <w:t>RBA’s</w:t>
      </w:r>
      <w:r w:rsidRPr="00EA27E3">
        <w:t xml:space="preserve"> increase </w:t>
      </w:r>
      <w:r w:rsidRPr="009628A8">
        <w:t>of</w:t>
      </w:r>
      <w:r w:rsidRPr="00EA27E3">
        <w:t xml:space="preserve"> 425</w:t>
      </w:r>
      <w:r w:rsidR="00102097">
        <w:t> </w:t>
      </w:r>
      <w:r w:rsidRPr="00EA27E3">
        <w:t>basis points</w:t>
      </w:r>
      <w:r w:rsidRPr="009628A8">
        <w:t xml:space="preserve"> to the cash rate</w:t>
      </w:r>
      <w:r w:rsidRPr="00EA27E3">
        <w:t xml:space="preserve"> between May 2022 and November</w:t>
      </w:r>
      <w:r w:rsidRPr="009628A8">
        <w:t xml:space="preserve"> 202</w:t>
      </w:r>
      <w:r>
        <w:t>3</w:t>
      </w:r>
      <w:r w:rsidRPr="00EA27E3">
        <w:t xml:space="preserve"> (</w:t>
      </w:r>
      <w:r w:rsidR="004838BB">
        <w:t xml:space="preserve">see </w:t>
      </w:r>
      <w:r w:rsidRPr="00EA27E3">
        <w:t>Chart 2.5</w:t>
      </w:r>
      <w:r w:rsidR="00407C38">
        <w:t>2</w:t>
      </w:r>
      <w:r w:rsidRPr="00EA27E3">
        <w:t>). In February 2025</w:t>
      </w:r>
      <w:r w:rsidR="004838BB">
        <w:t>,</w:t>
      </w:r>
      <w:r w:rsidRPr="00EA27E3">
        <w:t xml:space="preserve"> the RBA </w:t>
      </w:r>
      <w:r>
        <w:t>started</w:t>
      </w:r>
      <w:r w:rsidRPr="00EA27E3">
        <w:t xml:space="preserve"> an easing cycle</w:t>
      </w:r>
      <w:r w:rsidR="00887FB4">
        <w:t>,</w:t>
      </w:r>
      <w:r w:rsidRPr="00EA27E3">
        <w:t xml:space="preserve"> with a </w:t>
      </w:r>
      <w:r w:rsidRPr="009628A8">
        <w:t>decrease</w:t>
      </w:r>
      <w:r w:rsidRPr="00EA27E3">
        <w:t xml:space="preserve"> of 25 basis points to the cash rate. Interest rates are expected </w:t>
      </w:r>
      <w:r w:rsidRPr="009628A8">
        <w:t xml:space="preserve">to </w:t>
      </w:r>
      <w:r>
        <w:t>fall</w:t>
      </w:r>
      <w:r w:rsidRPr="003250F4">
        <w:t xml:space="preserve"> </w:t>
      </w:r>
      <w:r w:rsidRPr="009628A8">
        <w:t>further</w:t>
      </w:r>
      <w:r w:rsidRPr="00EA27E3">
        <w:t xml:space="preserve"> in 2025</w:t>
      </w:r>
      <w:r w:rsidRPr="009628A8">
        <w:t>,</w:t>
      </w:r>
      <w:r w:rsidRPr="00EA27E3">
        <w:t xml:space="preserve"> which will </w:t>
      </w:r>
      <w:r w:rsidR="000524C2">
        <w:t xml:space="preserve">improve </w:t>
      </w:r>
      <w:r w:rsidR="00A6032E">
        <w:t>the</w:t>
      </w:r>
      <w:r w:rsidR="00A5508B">
        <w:t xml:space="preserve"> borrowing capacity</w:t>
      </w:r>
      <w:r w:rsidR="00A6032E">
        <w:t xml:space="preserve"> of prospective borrowers</w:t>
      </w:r>
      <w:r w:rsidRPr="00EA27E3">
        <w:t>.</w:t>
      </w:r>
    </w:p>
    <w:p w14:paraId="570849D9" w14:textId="70C76FCD" w:rsidR="007F2143" w:rsidRPr="00475228" w:rsidRDefault="007F2143" w:rsidP="00DB6DE6">
      <w:r w:rsidRPr="001E4D4E">
        <w:t xml:space="preserve">Despite constrained borrowing capacity, new lending for housing </w:t>
      </w:r>
      <w:r w:rsidR="00A5508B">
        <w:t>increased</w:t>
      </w:r>
      <w:r w:rsidRPr="001E4D4E">
        <w:t xml:space="preserve"> over the past year, mainly supported by increased </w:t>
      </w:r>
      <w:r w:rsidRPr="002949B5">
        <w:t>investor activity (</w:t>
      </w:r>
      <w:r w:rsidR="006E0D62" w:rsidRPr="002949B5">
        <w:t xml:space="preserve">see </w:t>
      </w:r>
      <w:r w:rsidRPr="00285514">
        <w:fldChar w:fldCharType="begin"/>
      </w:r>
      <w:r w:rsidRPr="002949B5">
        <w:instrText xml:space="preserve"> REF _Ref189134583 \r \h  \* MERGEFORMAT </w:instrText>
      </w:r>
      <w:r w:rsidRPr="00285514">
        <w:fldChar w:fldCharType="separate"/>
      </w:r>
      <w:r w:rsidR="001F121F">
        <w:t>Chart 2.53</w:t>
      </w:r>
      <w:r w:rsidRPr="00285514">
        <w:fldChar w:fldCharType="end"/>
      </w:r>
      <w:r w:rsidRPr="002949B5">
        <w:t xml:space="preserve">). The annual number of new loan commitments for housing grew by </w:t>
      </w:r>
      <w:r w:rsidR="00E87EC8" w:rsidRPr="002949B5">
        <w:t>11.</w:t>
      </w:r>
      <w:r w:rsidR="0020406C" w:rsidRPr="002949B5">
        <w:t>2</w:t>
      </w:r>
      <w:r w:rsidR="0099326B" w:rsidRPr="002949B5">
        <w:t> per cent</w:t>
      </w:r>
      <w:r w:rsidRPr="002949B5">
        <w:t xml:space="preserve"> over 2024, driven by a </w:t>
      </w:r>
      <w:r w:rsidR="00E87EC8" w:rsidRPr="002949B5">
        <w:t>21.</w:t>
      </w:r>
      <w:r w:rsidR="0020406C" w:rsidRPr="002949B5">
        <w:t>5</w:t>
      </w:r>
      <w:r w:rsidR="0099326B" w:rsidRPr="002949B5">
        <w:t> per cent</w:t>
      </w:r>
      <w:r w:rsidRPr="002949B5">
        <w:t xml:space="preserve"> increase in new investor loans. By contrast, the annual number of new loan commitments for owner</w:t>
      </w:r>
      <w:r w:rsidR="00A15C79" w:rsidRPr="002949B5">
        <w:noBreakHyphen/>
      </w:r>
      <w:r w:rsidRPr="002949B5">
        <w:t>occupiers (including first home</w:t>
      </w:r>
      <w:r w:rsidR="009C1022" w:rsidRPr="002949B5">
        <w:t xml:space="preserve"> </w:t>
      </w:r>
      <w:r w:rsidRPr="002949B5">
        <w:t>buyers) grew more modestly (</w:t>
      </w:r>
      <w:r w:rsidR="009A5D8E" w:rsidRPr="002949B5">
        <w:t>up 5.</w:t>
      </w:r>
      <w:r w:rsidR="0020406C" w:rsidRPr="002949B5">
        <w:t>8</w:t>
      </w:r>
      <w:r w:rsidR="0099326B" w:rsidRPr="002949B5">
        <w:t> per cent</w:t>
      </w:r>
      <w:r w:rsidRPr="002949B5">
        <w:t>). The growth in new lending, despite high interest rates, may reflect ongoing demand for housing from solid population growth and limited new supply, which have supported housing prices (</w:t>
      </w:r>
      <w:r w:rsidR="002A47A7" w:rsidRPr="002949B5">
        <w:t>RBA</w:t>
      </w:r>
      <w:r w:rsidRPr="002949B5">
        <w:t xml:space="preserve"> 2024</w:t>
      </w:r>
      <w:r w:rsidR="00117D24" w:rsidRPr="002949B5">
        <w:t>b</w:t>
      </w:r>
      <w:r w:rsidRPr="002949B5">
        <w:t>).</w:t>
      </w:r>
      <w:r w:rsidRPr="00475228">
        <w:t xml:space="preserve"> </w:t>
      </w:r>
    </w:p>
    <w:p w14:paraId="7D0BFE15" w14:textId="426ACE73" w:rsidR="00CF29C3" w:rsidRDefault="007F2143" w:rsidP="00AF5044">
      <w:r w:rsidRPr="00475228">
        <w:t xml:space="preserve">Investors were potentially attracted to the market </w:t>
      </w:r>
      <w:r w:rsidR="008C3D89">
        <w:t>due to</w:t>
      </w:r>
      <w:r w:rsidR="008C3D89" w:rsidRPr="00475228">
        <w:t xml:space="preserve"> </w:t>
      </w:r>
      <w:r w:rsidRPr="00475228">
        <w:t>the stabilisation of interest rates and perceived opportunities for capital gains and high rental yields</w:t>
      </w:r>
      <w:r>
        <w:t xml:space="preserve"> (</w:t>
      </w:r>
      <w:r w:rsidR="002A47A7" w:rsidRPr="00310AE8">
        <w:t>CoreLogic</w:t>
      </w:r>
      <w:r>
        <w:t xml:space="preserve"> 2024)</w:t>
      </w:r>
      <w:r w:rsidRPr="00475228">
        <w:t xml:space="preserve">. </w:t>
      </w:r>
      <w:r>
        <w:t>While rental yields remained flat</w:t>
      </w:r>
      <w:r w:rsidRPr="00475228">
        <w:t xml:space="preserve"> </w:t>
      </w:r>
      <w:r>
        <w:t>over 2023 and 2024 (</w:t>
      </w:r>
      <w:r w:rsidR="002A47A7" w:rsidRPr="00310AE8">
        <w:t>CoreLogic</w:t>
      </w:r>
      <w:r w:rsidR="007D4C56">
        <w:t xml:space="preserve"> </w:t>
      </w:r>
      <w:r>
        <w:t>2025)</w:t>
      </w:r>
      <w:r w:rsidRPr="00475228">
        <w:t>, the market remains historically tight</w:t>
      </w:r>
      <w:r>
        <w:t xml:space="preserve"> </w:t>
      </w:r>
      <w:r w:rsidRPr="00475228">
        <w:t>and rent growth still exceeds historical average levels</w:t>
      </w:r>
      <w:r>
        <w:t xml:space="preserve"> (see </w:t>
      </w:r>
      <w:r w:rsidRPr="00E32D05">
        <w:t xml:space="preserve">section </w:t>
      </w:r>
      <w:r w:rsidRPr="008C3D0F">
        <w:t>2.1.2</w:t>
      </w:r>
      <w:r w:rsidR="00157EAF">
        <w:t xml:space="preserve">, </w:t>
      </w:r>
      <w:r w:rsidRPr="00DB6DE6" w:rsidDel="00E32D05">
        <w:rPr>
          <w:rStyle w:val="Emphasis"/>
        </w:rPr>
        <w:t>Rents</w:t>
      </w:r>
      <w:r w:rsidR="001E04B0">
        <w:rPr>
          <w:rStyle w:val="Emphasis"/>
        </w:rPr>
        <w:t xml:space="preserve"> and vacancy rates</w:t>
      </w:r>
      <w:r w:rsidRPr="00E32D05">
        <w:t>).</w:t>
      </w:r>
      <w:r w:rsidRPr="00475228">
        <w:t xml:space="preserve"> </w:t>
      </w:r>
      <w:r w:rsidR="00CF29C3">
        <w:br w:type="page"/>
      </w:r>
    </w:p>
    <w:p w14:paraId="222421D6" w14:textId="2DB111FE" w:rsidR="007F2143" w:rsidRPr="00B10C9A" w:rsidRDefault="007F2143" w:rsidP="00DB6DE6">
      <w:pPr>
        <w:rPr>
          <w:b/>
        </w:rPr>
      </w:pPr>
      <w:r w:rsidRPr="00236513">
        <w:lastRenderedPageBreak/>
        <w:t>New lending to owner</w:t>
      </w:r>
      <w:r w:rsidR="00A15C79">
        <w:noBreakHyphen/>
      </w:r>
      <w:r w:rsidRPr="00236513">
        <w:t>occupier first home</w:t>
      </w:r>
      <w:r w:rsidR="00EF6419">
        <w:t xml:space="preserve"> </w:t>
      </w:r>
      <w:r w:rsidRPr="00236513">
        <w:t xml:space="preserve">buyers </w:t>
      </w:r>
      <w:r>
        <w:t xml:space="preserve">remained relatively flat </w:t>
      </w:r>
      <w:r w:rsidRPr="008321E5">
        <w:t xml:space="preserve">over </w:t>
      </w:r>
      <w:r w:rsidRPr="009628A8">
        <w:t>2024</w:t>
      </w:r>
      <w:r w:rsidRPr="00236513">
        <w:t xml:space="preserve"> (</w:t>
      </w:r>
      <w:r w:rsidR="00A51B7F">
        <w:t xml:space="preserve">see </w:t>
      </w:r>
      <w:r w:rsidRPr="00236513">
        <w:t>Chart 2.5</w:t>
      </w:r>
      <w:r w:rsidR="00407C38">
        <w:t>3</w:t>
      </w:r>
      <w:r w:rsidRPr="00236513">
        <w:t>)</w:t>
      </w:r>
      <w:r w:rsidRPr="009628A8">
        <w:t>.</w:t>
      </w:r>
      <w:r w:rsidRPr="00236513">
        <w:t xml:space="preserve"> </w:t>
      </w:r>
      <w:r w:rsidR="00E56329">
        <w:t>The</w:t>
      </w:r>
      <w:r w:rsidRPr="00236513">
        <w:t xml:space="preserve"> deterioration in mortgage serviceability and the increase in </w:t>
      </w:r>
      <w:r w:rsidR="00A51B7F">
        <w:t xml:space="preserve">the number of </w:t>
      </w:r>
      <w:r w:rsidRPr="00236513">
        <w:t xml:space="preserve">years needed to save for a deposit are likely </w:t>
      </w:r>
      <w:r w:rsidRPr="009628A8">
        <w:t xml:space="preserve">to continue </w:t>
      </w:r>
      <w:r w:rsidRPr="00236513">
        <w:t xml:space="preserve">weighing on this cohort (see </w:t>
      </w:r>
      <w:r w:rsidRPr="008C3D0F">
        <w:t>Chapter</w:t>
      </w:r>
      <w:r w:rsidR="00624DEB" w:rsidRPr="008C3D0F">
        <w:t xml:space="preserve"> </w:t>
      </w:r>
      <w:r w:rsidRPr="008C3D0F">
        <w:t>4</w:t>
      </w:r>
      <w:r w:rsidR="00624DEB" w:rsidRPr="008C3D0F">
        <w:t>,</w:t>
      </w:r>
      <w:r w:rsidRPr="00236513">
        <w:rPr>
          <w:i/>
        </w:rPr>
        <w:t xml:space="preserve"> </w:t>
      </w:r>
      <w:r w:rsidRPr="00DB6DE6">
        <w:rPr>
          <w:rStyle w:val="Emphasis"/>
        </w:rPr>
        <w:t>Housing affordability</w:t>
      </w:r>
      <w:r w:rsidRPr="00236513">
        <w:t xml:space="preserve">). Worsening affordability has also contributed to increased </w:t>
      </w:r>
      <w:r w:rsidR="008C3D0F">
        <w:t>uptake</w:t>
      </w:r>
      <w:r w:rsidR="008C3D0F" w:rsidRPr="00236513">
        <w:t xml:space="preserve"> </w:t>
      </w:r>
      <w:r w:rsidRPr="00236513">
        <w:t>of first home</w:t>
      </w:r>
      <w:r w:rsidR="00EF6419">
        <w:t xml:space="preserve"> </w:t>
      </w:r>
      <w:r w:rsidRPr="00236513">
        <w:t xml:space="preserve">buyer support </w:t>
      </w:r>
      <w:r>
        <w:t>from governments</w:t>
      </w:r>
      <w:r w:rsidRPr="00236513">
        <w:t xml:space="preserve"> (see </w:t>
      </w:r>
      <w:r w:rsidRPr="008C3D0F">
        <w:t>Chapter 3</w:t>
      </w:r>
      <w:r w:rsidR="00F8747A" w:rsidRPr="008C3D0F">
        <w:t>,</w:t>
      </w:r>
      <w:r w:rsidRPr="00236513">
        <w:rPr>
          <w:i/>
        </w:rPr>
        <w:t xml:space="preserve"> </w:t>
      </w:r>
      <w:r w:rsidRPr="00DB6DE6">
        <w:rPr>
          <w:rStyle w:val="Emphasis"/>
        </w:rPr>
        <w:t>Conditions in non</w:t>
      </w:r>
      <w:r w:rsidR="00A15C79">
        <w:rPr>
          <w:rStyle w:val="Emphasis"/>
        </w:rPr>
        <w:noBreakHyphen/>
      </w:r>
      <w:r w:rsidRPr="00DB6DE6">
        <w:rPr>
          <w:rStyle w:val="Emphasis"/>
        </w:rPr>
        <w:t>market housing and housing assistance</w:t>
      </w:r>
      <w:r w:rsidRPr="00236513">
        <w:t xml:space="preserve">). </w:t>
      </w:r>
    </w:p>
    <w:tbl>
      <w:tblPr>
        <w:tblW w:w="5000" w:type="pct"/>
        <w:tblLayout w:type="fixed"/>
        <w:tblLook w:val="0000" w:firstRow="0" w:lastRow="0" w:firstColumn="0" w:lastColumn="0" w:noHBand="0" w:noVBand="0"/>
      </w:tblPr>
      <w:tblGrid>
        <w:gridCol w:w="4535"/>
        <w:gridCol w:w="4535"/>
      </w:tblGrid>
      <w:tr w:rsidR="007F2143" w14:paraId="3C3A7304" w14:textId="77777777">
        <w:trPr>
          <w:cantSplit/>
        </w:trPr>
        <w:tc>
          <w:tcPr>
            <w:tcW w:w="4535" w:type="dxa"/>
          </w:tcPr>
          <w:p w14:paraId="5F32E5BB" w14:textId="3CB069E0" w:rsidR="007F2143" w:rsidRPr="00FE1730" w:rsidRDefault="007F2143" w:rsidP="00780A40">
            <w:pPr>
              <w:pStyle w:val="ChartMainHeading"/>
              <w:spacing w:before="100" w:beforeAutospacing="1"/>
            </w:pPr>
            <w:bookmarkStart w:id="110" w:name="_Ref189134575"/>
            <w:r>
              <w:t>I</w:t>
            </w:r>
            <w:r w:rsidRPr="00FE1730">
              <w:t>nterest rates</w:t>
            </w:r>
            <w:bookmarkEnd w:id="110"/>
            <w:r>
              <w:t xml:space="preserve"> on new home loans</w:t>
            </w:r>
          </w:p>
        </w:tc>
        <w:tc>
          <w:tcPr>
            <w:tcW w:w="4535" w:type="dxa"/>
          </w:tcPr>
          <w:p w14:paraId="3EA432B7" w14:textId="4B623CDB" w:rsidR="007F2143" w:rsidRPr="00FE1730" w:rsidRDefault="007F2143" w:rsidP="00780A40">
            <w:pPr>
              <w:pStyle w:val="ChartMainHeading"/>
              <w:spacing w:before="100" w:beforeAutospacing="1"/>
            </w:pPr>
            <w:bookmarkStart w:id="111" w:name="_Ref189134583"/>
            <w:r w:rsidRPr="002949B5">
              <w:t>New loan</w:t>
            </w:r>
            <w:r w:rsidR="00C27129" w:rsidRPr="002949B5">
              <w:t xml:space="preserve"> </w:t>
            </w:r>
            <w:r w:rsidRPr="002949B5">
              <w:t xml:space="preserve">commitments </w:t>
            </w:r>
            <w:bookmarkEnd w:id="111"/>
          </w:p>
        </w:tc>
      </w:tr>
      <w:tr w:rsidR="007F2143" w14:paraId="0522E8B8" w14:textId="77777777">
        <w:trPr>
          <w:cantSplit/>
        </w:trPr>
        <w:tc>
          <w:tcPr>
            <w:tcW w:w="4535" w:type="dxa"/>
          </w:tcPr>
          <w:p w14:paraId="0D62C481" w14:textId="6CE5EB19" w:rsidR="007F2143" w:rsidRPr="0099326B" w:rsidRDefault="00B1581F" w:rsidP="0099326B">
            <w:pPr>
              <w:pStyle w:val="ChartGraphic"/>
            </w:pPr>
            <w:r w:rsidRPr="00B1581F">
              <w:rPr>
                <w:noProof/>
              </w:rPr>
              <w:drawing>
                <wp:inline distT="0" distB="0" distL="0" distR="0" wp14:anchorId="2142B0CB" wp14:editId="345BE32E">
                  <wp:extent cx="2742565" cy="2742565"/>
                  <wp:effectExtent l="0" t="0" r="0" b="0"/>
                  <wp:docPr id="874958706" name="Picture 70" descr="Chart 2.52 is a line chart showing interest rates on new home loans for investors and owner occupiers, alongside the cash rate target from April 2020 to April 2025. Rates for investors are higher than owner occupiers over the period. Interest rates were relatively stable between April 2020 and April 2022. In May 2022 the cash rate target started to rise from a low of 0.1 to a peak of 4.35 per cent in November 2023. Investor rates peaked at 6.54 per cent in January 2024 and owner occupier rates peaked at 6.28 per cent in March 2024. Interest rates begun to ease in February 2025, with a 25-basis point cut to the cash rate target to 4.1 per cent. As of March 2025, investor rates have fallen to 6.28 per cent and owner occupier rates have fallen to 6.08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58706" name="Picture 70" descr="Chart 2.52 is a line chart showing interest rates on new home loans for investors and owner occupiers, alongside the cash rate target from April 2020 to April 2025. Rates for investors are higher than owner occupiers over the period. Interest rates were relatively stable between April 2020 and April 2022. In May 2022 the cash rate target started to rise from a low of 0.1 to a peak of 4.35 per cent in November 2023. Investor rates peaked at 6.54 per cent in January 2024 and owner occupier rates peaked at 6.28 per cent in March 2024. Interest rates begun to ease in February 2025, with a 25-basis point cut to the cash rate target to 4.1 per cent. As of March 2025, investor rates have fallen to 6.28 per cent and owner occupier rates have fallen to 6.08 per cen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42565" cy="2742565"/>
                          </a:xfrm>
                          <a:prstGeom prst="rect">
                            <a:avLst/>
                          </a:prstGeom>
                          <a:noFill/>
                          <a:ln>
                            <a:noFill/>
                          </a:ln>
                        </pic:spPr>
                      </pic:pic>
                    </a:graphicData>
                  </a:graphic>
                </wp:inline>
              </w:drawing>
            </w:r>
          </w:p>
        </w:tc>
        <w:tc>
          <w:tcPr>
            <w:tcW w:w="4535" w:type="dxa"/>
          </w:tcPr>
          <w:p w14:paraId="2C99035E" w14:textId="4B79088E" w:rsidR="007F2143" w:rsidRPr="0099326B" w:rsidRDefault="0020406C" w:rsidP="0099326B">
            <w:pPr>
              <w:pStyle w:val="ChartGraphic"/>
            </w:pPr>
            <w:r w:rsidRPr="0020406C">
              <w:rPr>
                <w:noProof/>
              </w:rPr>
              <w:drawing>
                <wp:inline distT="0" distB="0" distL="0" distR="0" wp14:anchorId="7925F876" wp14:editId="411F6700">
                  <wp:extent cx="2742565" cy="2734945"/>
                  <wp:effectExtent l="0" t="0" r="635" b="0"/>
                  <wp:docPr id="675276079" name="Picture 14" descr="Chart 2.53 is a line chart showing the rolling annual number of new loan commitments for owner-occupier first home buyers, owner-occupier non first home buyers, investors, and the total of all 3 groups, between June 2020 and December 2024. Total annual new loan commitments peaked at around 627,000 in December 2021, comprised of around 164,000 for owner-occupier first home buyers, 280,000 for owner-occupier non-first home buyers, and 182,000 for investors. Since this peak, total new loan commitments have declined, primarily driven by a decrease in owner-occupier new loan commitments. Total new loan commitments then increased over 2024, reaching 514,000 in December 2024. This was mostly driven by growth in investor loan commitments, while owner-occupier new loan commitments grew more modestly over th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76079" name="Picture 14" descr="Chart 2.53 is a line chart showing the rolling annual number of new loan commitments for owner-occupier first home buyers, owner-occupier non first home buyers, investors, and the total of all 3 groups, between June 2020 and December 2024. Total annual new loan commitments peaked at around 627,000 in December 2021, comprised of around 164,000 for owner-occupier first home buyers, 280,000 for owner-occupier non-first home buyers, and 182,000 for investors. Since this peak, total new loan commitments have declined, primarily driven by a decrease in owner-occupier new loan commitments. Total new loan commitments then increased over 2024, reaching 514,000 in December 2024. This was mostly driven by growth in investor loan commitments, while owner-occupier new loan commitments grew more modestly over the yea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42565" cy="2734945"/>
                          </a:xfrm>
                          <a:prstGeom prst="rect">
                            <a:avLst/>
                          </a:prstGeom>
                          <a:noFill/>
                          <a:ln>
                            <a:noFill/>
                          </a:ln>
                        </pic:spPr>
                      </pic:pic>
                    </a:graphicData>
                  </a:graphic>
                </wp:inline>
              </w:drawing>
            </w:r>
            <w:r w:rsidRPr="0020406C">
              <w:rPr>
                <w:noProof/>
              </w:rPr>
              <w:t xml:space="preserve"> </w:t>
            </w:r>
          </w:p>
        </w:tc>
      </w:tr>
      <w:tr w:rsidR="0099326B" w14:paraId="473E475C" w14:textId="77777777">
        <w:trPr>
          <w:cantSplit/>
        </w:trPr>
        <w:tc>
          <w:tcPr>
            <w:tcW w:w="4535" w:type="dxa"/>
          </w:tcPr>
          <w:p w14:paraId="2EB59DFF" w14:textId="77777777" w:rsidR="00325455" w:rsidRDefault="0099326B" w:rsidP="00DB6DE6">
            <w:pPr>
              <w:pStyle w:val="ChartorTableNoteandSource"/>
            </w:pPr>
            <w:r w:rsidRPr="0025704E">
              <w:t>Note:</w:t>
            </w:r>
            <w:r w:rsidR="00DB6DE6">
              <w:tab/>
            </w:r>
            <w:r>
              <w:t>The</w:t>
            </w:r>
            <w:r w:rsidRPr="0025704E">
              <w:t xml:space="preserve"> </w:t>
            </w:r>
            <w:r>
              <w:t>w</w:t>
            </w:r>
            <w:r w:rsidRPr="0025704E">
              <w:t>eighted averages of interest rates reported by lenders for new loans funded in the month</w:t>
            </w:r>
            <w:r>
              <w:t>.</w:t>
            </w:r>
          </w:p>
          <w:p w14:paraId="5141C23C" w14:textId="20B9E033" w:rsidR="0099326B" w:rsidRPr="002F1CCF" w:rsidRDefault="00325455" w:rsidP="002D209A">
            <w:pPr>
              <w:pStyle w:val="ChartorTableNoteandSource"/>
            </w:pPr>
            <w:r w:rsidRPr="0025704E">
              <w:t>Source:</w:t>
            </w:r>
            <w:r>
              <w:tab/>
            </w:r>
            <w:r w:rsidRPr="0025704E">
              <w:t>RBA</w:t>
            </w:r>
            <w:r w:rsidR="00B60A64">
              <w:t xml:space="preserve"> </w:t>
            </w:r>
            <w:r w:rsidRPr="0025704E">
              <w:t xml:space="preserve">Housing </w:t>
            </w:r>
            <w:r w:rsidR="00A52C28">
              <w:t>L</w:t>
            </w:r>
            <w:r w:rsidRPr="0025704E">
              <w:t xml:space="preserve">ending </w:t>
            </w:r>
            <w:r w:rsidR="00A52C28">
              <w:t>R</w:t>
            </w:r>
            <w:r w:rsidRPr="0025704E">
              <w:t>ates</w:t>
            </w:r>
            <w:r w:rsidRPr="001A7B9E">
              <w:t xml:space="preserve"> 2025</w:t>
            </w:r>
          </w:p>
        </w:tc>
        <w:tc>
          <w:tcPr>
            <w:tcW w:w="4535" w:type="dxa"/>
          </w:tcPr>
          <w:p w14:paraId="2CA2BB57" w14:textId="66199706" w:rsidR="0099326B" w:rsidRDefault="0099326B" w:rsidP="00DB6DE6">
            <w:pPr>
              <w:pStyle w:val="ChartorTableNoteandSource"/>
            </w:pPr>
            <w:r w:rsidRPr="0025704E">
              <w:t>Note:</w:t>
            </w:r>
            <w:r w:rsidR="00DB6DE6">
              <w:tab/>
            </w:r>
            <w:r>
              <w:t>The r</w:t>
            </w:r>
            <w:r w:rsidRPr="0025704E">
              <w:t>olling annual number</w:t>
            </w:r>
            <w:r>
              <w:t xml:space="preserve"> of new loan commitments. </w:t>
            </w:r>
            <w:r w:rsidRPr="0025704E">
              <w:t>Loan commitments to investor</w:t>
            </w:r>
            <w:r>
              <w:t>s</w:t>
            </w:r>
            <w:r w:rsidRPr="0025704E">
              <w:t xml:space="preserve"> and </w:t>
            </w:r>
            <w:r>
              <w:t>o</w:t>
            </w:r>
            <w:r w:rsidRPr="0025704E">
              <w:t>wner</w:t>
            </w:r>
            <w:r w:rsidR="00A15C79">
              <w:noBreakHyphen/>
            </w:r>
            <w:r>
              <w:t>o</w:t>
            </w:r>
            <w:r w:rsidRPr="0025704E">
              <w:t>ccupiers consist of total housing excluding refinancing.</w:t>
            </w:r>
            <w:r>
              <w:t xml:space="preserve"> </w:t>
            </w:r>
            <w:r w:rsidR="00A15C79">
              <w:t>‘</w:t>
            </w:r>
            <w:r>
              <w:t>FHB</w:t>
            </w:r>
            <w:r w:rsidR="00A15C79">
              <w:t>’</w:t>
            </w:r>
            <w:r>
              <w:t xml:space="preserve"> stands for first home buyer.</w:t>
            </w:r>
          </w:p>
          <w:p w14:paraId="62C55442" w14:textId="1C969A82" w:rsidR="00325455" w:rsidRPr="0041126E" w:rsidRDefault="00325455" w:rsidP="00325455">
            <w:pPr>
              <w:pStyle w:val="ChartorTableNoteandSource"/>
            </w:pPr>
            <w:r w:rsidRPr="001A7B9E">
              <w:t>Source:</w:t>
            </w:r>
            <w:r>
              <w:tab/>
            </w:r>
            <w:r w:rsidRPr="001A7B9E">
              <w:t>ABS</w:t>
            </w:r>
            <w:r w:rsidR="00B60A64">
              <w:t xml:space="preserve"> L</w:t>
            </w:r>
            <w:r w:rsidRPr="001A7B9E">
              <w:t xml:space="preserve">ending </w:t>
            </w:r>
            <w:r w:rsidR="00B60A64">
              <w:t>I</w:t>
            </w:r>
            <w:r w:rsidRPr="001A7B9E">
              <w:t>ndicators 2025</w:t>
            </w:r>
          </w:p>
        </w:tc>
      </w:tr>
    </w:tbl>
    <w:p w14:paraId="28B8A74E" w14:textId="7149C592" w:rsidR="00791A68" w:rsidRDefault="00791A68">
      <w:pPr>
        <w:spacing w:before="0" w:after="160" w:line="259" w:lineRule="auto"/>
      </w:pPr>
    </w:p>
    <w:p w14:paraId="048F2B28" w14:textId="77777777" w:rsidR="00BD2E5A" w:rsidRDefault="00BD2E5A">
      <w:pPr>
        <w:spacing w:before="0" w:after="160" w:line="259" w:lineRule="auto"/>
        <w:sectPr w:rsidR="00BD2E5A" w:rsidSect="00CD67BC">
          <w:footerReference w:type="even" r:id="rId95"/>
          <w:footerReference w:type="default" r:id="rId96"/>
          <w:type w:val="oddPage"/>
          <w:pgSz w:w="11906" w:h="16838" w:code="9"/>
          <w:pgMar w:top="1843" w:right="1418" w:bottom="1418" w:left="1418" w:header="709" w:footer="709" w:gutter="0"/>
          <w:cols w:space="708"/>
          <w:docGrid w:linePitch="360"/>
        </w:sectPr>
      </w:pPr>
    </w:p>
    <w:p w14:paraId="605661C6" w14:textId="30D2CF8F" w:rsidR="00791A68" w:rsidRPr="007904CA" w:rsidRDefault="00791A68" w:rsidP="00BD2E5A">
      <w:pPr>
        <w:pStyle w:val="Heading1Numbered"/>
        <w:spacing w:before="0"/>
      </w:pPr>
      <w:bookmarkStart w:id="112" w:name="_Toc196395885"/>
      <w:bookmarkStart w:id="113" w:name="_Hlk189530617"/>
      <w:r>
        <w:lastRenderedPageBreak/>
        <w:t>C</w:t>
      </w:r>
      <w:r w:rsidRPr="007904CA">
        <w:t>onditions in non</w:t>
      </w:r>
      <w:r w:rsidR="00A15C79">
        <w:noBreakHyphen/>
      </w:r>
      <w:r w:rsidRPr="007904CA">
        <w:t xml:space="preserve">market </w:t>
      </w:r>
      <w:r w:rsidRPr="007904CA" w:rsidDel="003D67B0">
        <w:t>housing</w:t>
      </w:r>
      <w:r>
        <w:t xml:space="preserve"> and housing assistance</w:t>
      </w:r>
      <w:bookmarkEnd w:id="112"/>
    </w:p>
    <w:tbl>
      <w:tblPr>
        <w:tblW w:w="5000" w:type="pct"/>
        <w:shd w:val="clear" w:color="auto" w:fill="F2E3C7" w:themeFill="background2"/>
        <w:tblCellMar>
          <w:top w:w="284" w:type="dxa"/>
          <w:left w:w="284" w:type="dxa"/>
          <w:bottom w:w="284" w:type="dxa"/>
          <w:right w:w="284" w:type="dxa"/>
        </w:tblCellMar>
        <w:tblLook w:val="0600" w:firstRow="0" w:lastRow="0" w:firstColumn="0" w:lastColumn="0" w:noHBand="1" w:noVBand="1"/>
      </w:tblPr>
      <w:tblGrid>
        <w:gridCol w:w="9070"/>
      </w:tblGrid>
      <w:tr w:rsidR="00791A68" w:rsidRPr="007904CA" w14:paraId="16CA186F" w14:textId="77777777">
        <w:trPr>
          <w:trHeight w:val="3881"/>
        </w:trPr>
        <w:tc>
          <w:tcPr>
            <w:tcW w:w="5000" w:type="pct"/>
            <w:shd w:val="clear" w:color="auto" w:fill="F2E3C7" w:themeFill="background2"/>
            <w:hideMark/>
          </w:tcPr>
          <w:p w14:paraId="6CF1C52A" w14:textId="7580AFD3" w:rsidR="00791A68" w:rsidRPr="0099326B" w:rsidRDefault="00143AF8" w:rsidP="00075C05">
            <w:pPr>
              <w:pStyle w:val="BoxHeading"/>
            </w:pPr>
            <w:r w:rsidRPr="00075C05">
              <w:t>Overview</w:t>
            </w:r>
          </w:p>
          <w:p w14:paraId="1225CD1A" w14:textId="04FB7576" w:rsidR="00791A68" w:rsidRPr="007904CA" w:rsidRDefault="00791A68">
            <w:pPr>
              <w:pStyle w:val="BoxText"/>
              <w:rPr>
                <w:rFonts w:cstheme="minorHAnsi"/>
              </w:rPr>
            </w:pPr>
            <w:r w:rsidRPr="007904CA">
              <w:rPr>
                <w:rFonts w:cstheme="minorHAnsi"/>
              </w:rPr>
              <w:t xml:space="preserve">This chapter </w:t>
            </w:r>
            <w:r w:rsidR="00AD4AB8">
              <w:rPr>
                <w:rFonts w:cstheme="minorHAnsi"/>
              </w:rPr>
              <w:t>describes</w:t>
            </w:r>
            <w:r w:rsidRPr="007904CA">
              <w:rPr>
                <w:rFonts w:cstheme="minorHAnsi"/>
              </w:rPr>
              <w:t xml:space="preserve"> conditions in non</w:t>
            </w:r>
            <w:r w:rsidR="00A15C79">
              <w:rPr>
                <w:rFonts w:cstheme="minorHAnsi"/>
              </w:rPr>
              <w:noBreakHyphen/>
            </w:r>
            <w:r w:rsidRPr="007904CA">
              <w:rPr>
                <w:rFonts w:cstheme="minorHAnsi"/>
              </w:rPr>
              <w:t>market housing</w:t>
            </w:r>
            <w:r>
              <w:rPr>
                <w:rFonts w:cstheme="minorHAnsi"/>
              </w:rPr>
              <w:t>. N</w:t>
            </w:r>
            <w:r w:rsidRPr="00EB3C8D">
              <w:rPr>
                <w:rFonts w:cstheme="minorHAnsi"/>
              </w:rPr>
              <w:t>on</w:t>
            </w:r>
            <w:r w:rsidR="00A15C79">
              <w:rPr>
                <w:rFonts w:cstheme="minorHAnsi"/>
              </w:rPr>
              <w:noBreakHyphen/>
            </w:r>
            <w:r w:rsidRPr="00EB3C8D">
              <w:rPr>
                <w:rFonts w:cstheme="minorHAnsi"/>
              </w:rPr>
              <w:t>market housing</w:t>
            </w:r>
            <w:r w:rsidRPr="007904CA">
              <w:rPr>
                <w:rFonts w:cstheme="minorHAnsi"/>
              </w:rPr>
              <w:t xml:space="preserve"> includes</w:t>
            </w:r>
            <w:r>
              <w:rPr>
                <w:rFonts w:cstheme="minorHAnsi"/>
              </w:rPr>
              <w:t xml:space="preserve"> </w:t>
            </w:r>
            <w:r w:rsidRPr="007904CA">
              <w:rPr>
                <w:rFonts w:cstheme="minorHAnsi"/>
              </w:rPr>
              <w:t>social housing</w:t>
            </w:r>
            <w:r>
              <w:rPr>
                <w:rFonts w:cstheme="minorHAnsi"/>
              </w:rPr>
              <w:t xml:space="preserve">, </w:t>
            </w:r>
            <w:r w:rsidRPr="007904CA">
              <w:rPr>
                <w:rFonts w:cstheme="minorHAnsi"/>
              </w:rPr>
              <w:t>affordable housing</w:t>
            </w:r>
            <w:r>
              <w:rPr>
                <w:rFonts w:cstheme="minorHAnsi"/>
              </w:rPr>
              <w:t xml:space="preserve"> and specialist </w:t>
            </w:r>
            <w:r w:rsidRPr="007904CA">
              <w:rPr>
                <w:rFonts w:cstheme="minorHAnsi"/>
              </w:rPr>
              <w:t xml:space="preserve">homelessness services. </w:t>
            </w:r>
            <w:r>
              <w:rPr>
                <w:rFonts w:cstheme="minorHAnsi"/>
              </w:rPr>
              <w:t>The chapter</w:t>
            </w:r>
            <w:r w:rsidRPr="007904CA">
              <w:rPr>
                <w:rFonts w:cstheme="minorHAnsi"/>
              </w:rPr>
              <w:t xml:space="preserve"> </w:t>
            </w:r>
            <w:r w:rsidDel="003D770E">
              <w:rPr>
                <w:rFonts w:cstheme="minorHAnsi"/>
              </w:rPr>
              <w:t xml:space="preserve">also </w:t>
            </w:r>
            <w:r>
              <w:rPr>
                <w:rFonts w:cstheme="minorHAnsi"/>
              </w:rPr>
              <w:t>explores</w:t>
            </w:r>
            <w:r w:rsidRPr="007904CA">
              <w:rPr>
                <w:rFonts w:cstheme="minorHAnsi"/>
              </w:rPr>
              <w:t xml:space="preserve"> </w:t>
            </w:r>
            <w:r w:rsidR="0094447C">
              <w:rPr>
                <w:rFonts w:cstheme="minorHAnsi"/>
              </w:rPr>
              <w:t xml:space="preserve">the </w:t>
            </w:r>
            <w:r>
              <w:rPr>
                <w:rFonts w:cstheme="minorHAnsi"/>
              </w:rPr>
              <w:t>funding</w:t>
            </w:r>
            <w:r w:rsidR="0094447C">
              <w:rPr>
                <w:rFonts w:cstheme="minorHAnsi"/>
              </w:rPr>
              <w:t xml:space="preserve"> of</w:t>
            </w:r>
            <w:r>
              <w:rPr>
                <w:rFonts w:cstheme="minorHAnsi"/>
              </w:rPr>
              <w:t xml:space="preserve"> non</w:t>
            </w:r>
            <w:r w:rsidR="00A15C79">
              <w:rPr>
                <w:rFonts w:cstheme="minorHAnsi"/>
              </w:rPr>
              <w:noBreakHyphen/>
            </w:r>
            <w:r>
              <w:rPr>
                <w:rFonts w:cstheme="minorHAnsi"/>
              </w:rPr>
              <w:t>market housing</w:t>
            </w:r>
            <w:r w:rsidR="0094447C">
              <w:rPr>
                <w:rFonts w:cstheme="minorHAnsi"/>
              </w:rPr>
              <w:t xml:space="preserve"> as well as</w:t>
            </w:r>
            <w:r w:rsidDel="0094447C">
              <w:rPr>
                <w:rFonts w:cstheme="minorHAnsi"/>
              </w:rPr>
              <w:t xml:space="preserve"> </w:t>
            </w:r>
            <w:r>
              <w:rPr>
                <w:rFonts w:cstheme="minorHAnsi"/>
              </w:rPr>
              <w:t>the challenges in assessing the availability</w:t>
            </w:r>
            <w:r w:rsidRPr="00EB3C8D">
              <w:rPr>
                <w:rFonts w:cstheme="minorHAnsi"/>
              </w:rPr>
              <w:t xml:space="preserve"> </w:t>
            </w:r>
            <w:r>
              <w:rPr>
                <w:rFonts w:cstheme="minorHAnsi"/>
              </w:rPr>
              <w:t>of affordable housing. The scale of government assistance to renters and home</w:t>
            </w:r>
            <w:r w:rsidR="007D23D1">
              <w:rPr>
                <w:rFonts w:cstheme="minorHAnsi"/>
              </w:rPr>
              <w:t xml:space="preserve"> </w:t>
            </w:r>
            <w:r>
              <w:rPr>
                <w:rFonts w:cstheme="minorHAnsi"/>
              </w:rPr>
              <w:t>buyers to access market housing is</w:t>
            </w:r>
            <w:r w:rsidRPr="007904CA">
              <w:rPr>
                <w:rFonts w:cstheme="minorHAnsi"/>
              </w:rPr>
              <w:t xml:space="preserve"> </w:t>
            </w:r>
            <w:r w:rsidDel="003D770E">
              <w:rPr>
                <w:rFonts w:cstheme="minorHAnsi"/>
              </w:rPr>
              <w:t xml:space="preserve">also </w:t>
            </w:r>
            <w:r>
              <w:rPr>
                <w:rFonts w:cstheme="minorHAnsi"/>
              </w:rPr>
              <w:t xml:space="preserve">examined. </w:t>
            </w:r>
          </w:p>
          <w:p w14:paraId="4F3A2733" w14:textId="22AB3F52" w:rsidR="00791A68" w:rsidRPr="00C744E2" w:rsidRDefault="00791A68" w:rsidP="00075C05">
            <w:pPr>
              <w:pStyle w:val="BoxHeading2"/>
              <w:spacing w:before="200"/>
            </w:pPr>
            <w:r w:rsidRPr="00C744E2">
              <w:t xml:space="preserve">Key points </w:t>
            </w:r>
          </w:p>
          <w:p w14:paraId="04FEB7AE" w14:textId="4FDAD059" w:rsidR="00791A68" w:rsidRDefault="00791A68">
            <w:pPr>
              <w:pStyle w:val="Boxbullet"/>
              <w:rPr>
                <w:rFonts w:cstheme="minorHAnsi"/>
              </w:rPr>
            </w:pPr>
            <w:r>
              <w:rPr>
                <w:rFonts w:cstheme="minorHAnsi"/>
              </w:rPr>
              <w:t>Demand for specialist</w:t>
            </w:r>
            <w:r w:rsidRPr="007904CA">
              <w:rPr>
                <w:rFonts w:cstheme="minorHAnsi"/>
              </w:rPr>
              <w:t xml:space="preserve"> homelessness services</w:t>
            </w:r>
            <w:r>
              <w:rPr>
                <w:rFonts w:cstheme="minorHAnsi"/>
              </w:rPr>
              <w:t xml:space="preserve"> remained elevated in</w:t>
            </w:r>
            <w:r w:rsidRPr="007904CA">
              <w:rPr>
                <w:rFonts w:cstheme="minorHAnsi"/>
              </w:rPr>
              <w:t xml:space="preserve"> 2023</w:t>
            </w:r>
            <w:r w:rsidR="0017207E">
              <w:rPr>
                <w:rFonts w:cstheme="minorHAnsi"/>
              </w:rPr>
              <w:t>–</w:t>
            </w:r>
            <w:r w:rsidRPr="007904CA">
              <w:rPr>
                <w:rFonts w:cstheme="minorHAnsi"/>
              </w:rPr>
              <w:t xml:space="preserve">24, with many individuals needing crisis and transitional housing. </w:t>
            </w:r>
            <w:r>
              <w:rPr>
                <w:rFonts w:cstheme="minorHAnsi"/>
              </w:rPr>
              <w:t xml:space="preserve">Specialist homelessness services </w:t>
            </w:r>
            <w:r w:rsidR="00D46107">
              <w:rPr>
                <w:rFonts w:cstheme="minorHAnsi"/>
              </w:rPr>
              <w:t>we</w:t>
            </w:r>
            <w:r>
              <w:rPr>
                <w:rFonts w:cstheme="minorHAnsi"/>
              </w:rPr>
              <w:t xml:space="preserve">re operating at or above capacity, </w:t>
            </w:r>
            <w:r w:rsidRPr="0044192C">
              <w:rPr>
                <w:rFonts w:cstheme="minorHAnsi"/>
              </w:rPr>
              <w:t>meaning some clients could not access services</w:t>
            </w:r>
            <w:r>
              <w:rPr>
                <w:rFonts w:cstheme="minorHAnsi"/>
              </w:rPr>
              <w:t>.</w:t>
            </w:r>
          </w:p>
          <w:p w14:paraId="3AD9541F" w14:textId="6837224D" w:rsidR="00791A68" w:rsidRPr="00236D1A" w:rsidRDefault="00791A68">
            <w:pPr>
              <w:pStyle w:val="Boxbullet"/>
              <w:rPr>
                <w:rFonts w:cstheme="minorHAnsi"/>
              </w:rPr>
            </w:pPr>
            <w:r w:rsidRPr="00EB3C8D">
              <w:rPr>
                <w:rFonts w:cstheme="minorHAnsi"/>
              </w:rPr>
              <w:t xml:space="preserve">The </w:t>
            </w:r>
            <w:r>
              <w:rPr>
                <w:rFonts w:cstheme="minorHAnsi"/>
              </w:rPr>
              <w:t>stock of</w:t>
            </w:r>
            <w:r w:rsidRPr="0044192C">
              <w:rPr>
                <w:rFonts w:cstheme="minorHAnsi"/>
              </w:rPr>
              <w:t xml:space="preserve"> social housing </w:t>
            </w:r>
            <w:r>
              <w:rPr>
                <w:rFonts w:cstheme="minorHAnsi"/>
              </w:rPr>
              <w:t>(public and community housing)</w:t>
            </w:r>
            <w:r w:rsidRPr="00EB3C8D">
              <w:rPr>
                <w:rFonts w:cstheme="minorHAnsi"/>
              </w:rPr>
              <w:t xml:space="preserve"> </w:t>
            </w:r>
            <w:r>
              <w:rPr>
                <w:rFonts w:cstheme="minorHAnsi"/>
              </w:rPr>
              <w:t>i</w:t>
            </w:r>
            <w:r w:rsidRPr="00EB3C8D">
              <w:rPr>
                <w:rFonts w:cstheme="minorHAnsi"/>
              </w:rPr>
              <w:t>ncrease</w:t>
            </w:r>
            <w:r>
              <w:rPr>
                <w:rFonts w:cstheme="minorHAnsi"/>
              </w:rPr>
              <w:t>d</w:t>
            </w:r>
            <w:r w:rsidRPr="0044192C">
              <w:rPr>
                <w:rFonts w:cstheme="minorHAnsi"/>
              </w:rPr>
              <w:t xml:space="preserve"> in 2023</w:t>
            </w:r>
            <w:r w:rsidR="00F20AB1">
              <w:rPr>
                <w:rFonts w:cstheme="minorHAnsi"/>
              </w:rPr>
              <w:t>–</w:t>
            </w:r>
            <w:r w:rsidRPr="0044192C">
              <w:rPr>
                <w:rFonts w:cstheme="minorHAnsi"/>
              </w:rPr>
              <w:t xml:space="preserve">24, </w:t>
            </w:r>
            <w:r>
              <w:rPr>
                <w:rFonts w:cstheme="minorHAnsi"/>
              </w:rPr>
              <w:t xml:space="preserve">though it continued to </w:t>
            </w:r>
            <w:r w:rsidRPr="0044192C">
              <w:rPr>
                <w:rFonts w:cstheme="minorHAnsi"/>
              </w:rPr>
              <w:t>trend down</w:t>
            </w:r>
            <w:r w:rsidR="002B5967">
              <w:rPr>
                <w:rFonts w:cstheme="minorHAnsi"/>
              </w:rPr>
              <w:t>wards</w:t>
            </w:r>
            <w:r w:rsidRPr="0044192C">
              <w:rPr>
                <w:rFonts w:cstheme="minorHAnsi"/>
              </w:rPr>
              <w:t xml:space="preserve"> as a share of total dwellings. </w:t>
            </w:r>
            <w:r w:rsidR="002B5967">
              <w:rPr>
                <w:rFonts w:cstheme="minorHAnsi"/>
              </w:rPr>
              <w:t>An increase in community housing drove t</w:t>
            </w:r>
            <w:r w:rsidRPr="00236D1A">
              <w:rPr>
                <w:rFonts w:cstheme="minorHAnsi"/>
              </w:rPr>
              <w:t xml:space="preserve">he </w:t>
            </w:r>
            <w:r>
              <w:rPr>
                <w:rFonts w:cstheme="minorHAnsi"/>
              </w:rPr>
              <w:t>rise</w:t>
            </w:r>
            <w:r w:rsidRPr="00236D1A">
              <w:rPr>
                <w:rFonts w:cstheme="minorHAnsi"/>
              </w:rPr>
              <w:t xml:space="preserve"> in social housing</w:t>
            </w:r>
            <w:r>
              <w:rPr>
                <w:rFonts w:cstheme="minorHAnsi"/>
              </w:rPr>
              <w:t>.</w:t>
            </w:r>
            <w:r w:rsidRPr="00236D1A">
              <w:rPr>
                <w:rFonts w:cstheme="minorHAnsi"/>
              </w:rPr>
              <w:t xml:space="preserve"> </w:t>
            </w:r>
          </w:p>
          <w:p w14:paraId="3E7CEECC" w14:textId="4FD292C4" w:rsidR="00791A68" w:rsidRDefault="0016648A">
            <w:pPr>
              <w:pStyle w:val="Boxbullet"/>
              <w:rPr>
                <w:rFonts w:cstheme="minorHAnsi"/>
              </w:rPr>
            </w:pPr>
            <w:r>
              <w:rPr>
                <w:rFonts w:cstheme="minorHAnsi"/>
              </w:rPr>
              <w:t>A</w:t>
            </w:r>
            <w:r w:rsidR="00791A68" w:rsidRPr="007904CA">
              <w:rPr>
                <w:rFonts w:cstheme="minorHAnsi"/>
              </w:rPr>
              <w:t xml:space="preserve">ffordable housing – a distinct </w:t>
            </w:r>
            <w:r w:rsidR="00791A68">
              <w:rPr>
                <w:rFonts w:cstheme="minorHAnsi"/>
              </w:rPr>
              <w:t xml:space="preserve">housing </w:t>
            </w:r>
            <w:r w:rsidR="00791A68" w:rsidRPr="007904CA">
              <w:rPr>
                <w:rFonts w:cstheme="minorHAnsi"/>
              </w:rPr>
              <w:t xml:space="preserve">tenure type </w:t>
            </w:r>
            <w:r w:rsidR="00791A68">
              <w:rPr>
                <w:rFonts w:cstheme="minorHAnsi"/>
              </w:rPr>
              <w:t xml:space="preserve">characterised by </w:t>
            </w:r>
            <w:r w:rsidR="00791A68" w:rsidRPr="007904CA">
              <w:rPr>
                <w:rFonts w:cstheme="minorHAnsi"/>
              </w:rPr>
              <w:t>below</w:t>
            </w:r>
            <w:r w:rsidR="00A15C79">
              <w:rPr>
                <w:rFonts w:cstheme="minorHAnsi"/>
              </w:rPr>
              <w:noBreakHyphen/>
            </w:r>
            <w:r w:rsidR="00791A68" w:rsidRPr="007904CA">
              <w:rPr>
                <w:rFonts w:cstheme="minorHAnsi"/>
              </w:rPr>
              <w:t xml:space="preserve">market rents – has </w:t>
            </w:r>
            <w:r w:rsidR="00791A68">
              <w:rPr>
                <w:rFonts w:cstheme="minorHAnsi"/>
              </w:rPr>
              <w:t>emerged</w:t>
            </w:r>
            <w:r w:rsidR="00791A68" w:rsidRPr="00EB3C8D">
              <w:rPr>
                <w:rFonts w:cstheme="minorHAnsi"/>
              </w:rPr>
              <w:t xml:space="preserve"> </w:t>
            </w:r>
            <w:r w:rsidR="00791A68">
              <w:rPr>
                <w:rFonts w:cstheme="minorHAnsi"/>
              </w:rPr>
              <w:t>to meet the needs of low</w:t>
            </w:r>
            <w:r w:rsidR="00A15C79">
              <w:rPr>
                <w:rFonts w:cstheme="minorHAnsi"/>
              </w:rPr>
              <w:noBreakHyphen/>
            </w:r>
            <w:r w:rsidR="00791A68">
              <w:rPr>
                <w:rFonts w:cstheme="minorHAnsi"/>
              </w:rPr>
              <w:t xml:space="preserve"> to moderate</w:t>
            </w:r>
            <w:r w:rsidR="00A15C79">
              <w:rPr>
                <w:rFonts w:cstheme="minorHAnsi"/>
              </w:rPr>
              <w:noBreakHyphen/>
            </w:r>
            <w:r w:rsidR="00791A68">
              <w:rPr>
                <w:rFonts w:cstheme="minorHAnsi"/>
              </w:rPr>
              <w:t>income households that cannot access social housing</w:t>
            </w:r>
            <w:r w:rsidR="00791A68" w:rsidRPr="007904CA">
              <w:rPr>
                <w:rFonts w:cstheme="minorHAnsi"/>
              </w:rPr>
              <w:t xml:space="preserve">. </w:t>
            </w:r>
          </w:p>
          <w:p w14:paraId="472215EB" w14:textId="77777777" w:rsidR="00791A68" w:rsidRDefault="00791A68">
            <w:pPr>
              <w:pStyle w:val="Boxbullet"/>
              <w:rPr>
                <w:rFonts w:cstheme="minorHAnsi"/>
              </w:rPr>
            </w:pPr>
            <w:r>
              <w:rPr>
                <w:rFonts w:cstheme="minorHAnsi"/>
              </w:rPr>
              <w:t>As an emerging tenure type, conditions in affordable housing remain difficult to evaluate</w:t>
            </w:r>
            <w:r w:rsidRPr="00EB3C8D">
              <w:rPr>
                <w:rFonts w:cstheme="minorHAnsi"/>
              </w:rPr>
              <w:t>.</w:t>
            </w:r>
            <w:r>
              <w:rPr>
                <w:rFonts w:cstheme="minorHAnsi"/>
              </w:rPr>
              <w:t xml:space="preserve"> Affordable housing operates through multiple programs across different levels of government, with inconsistencies in how affordable housing is defined and regulated.</w:t>
            </w:r>
          </w:p>
          <w:p w14:paraId="01AFB42A" w14:textId="3834203D" w:rsidR="00791A68" w:rsidRPr="00AD6BD6" w:rsidRDefault="007C7224">
            <w:pPr>
              <w:pStyle w:val="Boxbullet"/>
              <w:rPr>
                <w:rFonts w:cstheme="minorHAnsi"/>
              </w:rPr>
            </w:pPr>
            <w:r>
              <w:rPr>
                <w:rFonts w:cstheme="minorHAnsi"/>
              </w:rPr>
              <w:t xml:space="preserve">A </w:t>
            </w:r>
            <w:r w:rsidR="00791A68">
              <w:rPr>
                <w:rFonts w:cstheme="minorHAnsi"/>
              </w:rPr>
              <w:t>number of government programs</w:t>
            </w:r>
            <w:r w:rsidR="002A36E7">
              <w:rPr>
                <w:rFonts w:cstheme="minorHAnsi"/>
              </w:rPr>
              <w:t xml:space="preserve"> provided additional housing assistance</w:t>
            </w:r>
            <w:r w:rsidR="00791A68">
              <w:rPr>
                <w:rFonts w:cstheme="minorHAnsi"/>
              </w:rPr>
              <w:t xml:space="preserve"> in </w:t>
            </w:r>
            <w:r w:rsidR="00791A68" w:rsidRPr="00EB3C8D">
              <w:rPr>
                <w:rFonts w:cstheme="minorHAnsi"/>
              </w:rPr>
              <w:t>2023</w:t>
            </w:r>
            <w:r w:rsidR="00422C4B">
              <w:rPr>
                <w:rFonts w:cstheme="minorHAnsi"/>
              </w:rPr>
              <w:t>–</w:t>
            </w:r>
            <w:r w:rsidR="00791A68" w:rsidRPr="00EB3C8D">
              <w:rPr>
                <w:rFonts w:cstheme="minorHAnsi"/>
              </w:rPr>
              <w:t xml:space="preserve">24. </w:t>
            </w:r>
            <w:r w:rsidR="002A36E7">
              <w:rPr>
                <w:rFonts w:cstheme="minorHAnsi"/>
              </w:rPr>
              <w:t xml:space="preserve">An expansion in rent assistance </w:t>
            </w:r>
            <w:r w:rsidR="00791A68" w:rsidRPr="00EB3C8D">
              <w:rPr>
                <w:rFonts w:cstheme="minorHAnsi"/>
              </w:rPr>
              <w:t xml:space="preserve">supported </w:t>
            </w:r>
            <w:r w:rsidR="00A4595E">
              <w:rPr>
                <w:rFonts w:cstheme="minorHAnsi"/>
              </w:rPr>
              <w:t>renters</w:t>
            </w:r>
            <w:r w:rsidR="000F5D20">
              <w:rPr>
                <w:rFonts w:cstheme="minorHAnsi"/>
              </w:rPr>
              <w:t xml:space="preserve"> while</w:t>
            </w:r>
            <w:r w:rsidR="00791A68" w:rsidRPr="00EB3C8D" w:rsidDel="00A4595E">
              <w:rPr>
                <w:rFonts w:cstheme="minorHAnsi"/>
              </w:rPr>
              <w:t xml:space="preserve"> </w:t>
            </w:r>
            <w:r w:rsidR="00791A68" w:rsidRPr="00EB3C8D">
              <w:rPr>
                <w:rFonts w:cstheme="minorHAnsi"/>
              </w:rPr>
              <w:t>loan guarantees, deposit assistance, concessions and shared equity schemes</w:t>
            </w:r>
            <w:r w:rsidR="00A4595E">
              <w:rPr>
                <w:rFonts w:cstheme="minorHAnsi"/>
              </w:rPr>
              <w:t xml:space="preserve"> supported home</w:t>
            </w:r>
            <w:r w:rsidR="007D23D1">
              <w:rPr>
                <w:rFonts w:cstheme="minorHAnsi"/>
              </w:rPr>
              <w:t xml:space="preserve"> </w:t>
            </w:r>
            <w:r w:rsidR="00A4595E">
              <w:rPr>
                <w:rFonts w:cstheme="minorHAnsi"/>
              </w:rPr>
              <w:t>buyers</w:t>
            </w:r>
            <w:r w:rsidR="00791A68" w:rsidRPr="00EB3C8D">
              <w:rPr>
                <w:rFonts w:cstheme="minorHAnsi"/>
              </w:rPr>
              <w:t xml:space="preserve">. </w:t>
            </w:r>
          </w:p>
          <w:p w14:paraId="4C9F4FED" w14:textId="6B3EB744" w:rsidR="00791A68" w:rsidRPr="007904CA" w:rsidRDefault="00791A68" w:rsidP="00075C05">
            <w:pPr>
              <w:pStyle w:val="Boxbullet"/>
            </w:pPr>
            <w:r>
              <w:t>Co</w:t>
            </w:r>
            <w:r w:rsidR="00A15C79">
              <w:noBreakHyphen/>
            </w:r>
            <w:r>
              <w:t xml:space="preserve">operatives </w:t>
            </w:r>
            <w:r w:rsidRPr="00075C05">
              <w:t>and</w:t>
            </w:r>
            <w:r>
              <w:t xml:space="preserve"> other alternative housing types offer housing affordability and tenure security</w:t>
            </w:r>
            <w:r w:rsidR="002F55D1">
              <w:t xml:space="preserve">, </w:t>
            </w:r>
            <w:r w:rsidR="002F55D1" w:rsidRPr="002F55D1">
              <w:t>although only</w:t>
            </w:r>
            <w:r w:rsidR="002F55D1">
              <w:t xml:space="preserve"> on</w:t>
            </w:r>
            <w:r w:rsidR="002F55D1" w:rsidRPr="002F55D1">
              <w:t xml:space="preserve"> a small scale</w:t>
            </w:r>
            <w:r w:rsidRPr="00EB3C8D">
              <w:t>.</w:t>
            </w:r>
            <w:r>
              <w:t xml:space="preserve"> </w:t>
            </w:r>
            <w:r w:rsidR="00422C4B">
              <w:t>The c</w:t>
            </w:r>
            <w:r>
              <w:t>onditions for these tenures are</w:t>
            </w:r>
            <w:r w:rsidRPr="00EB3C8D">
              <w:t xml:space="preserve"> </w:t>
            </w:r>
            <w:r>
              <w:t>also difficult to assess.</w:t>
            </w:r>
          </w:p>
        </w:tc>
      </w:tr>
    </w:tbl>
    <w:p w14:paraId="621822EE" w14:textId="6A6E7F22" w:rsidR="00791A68" w:rsidRPr="00EB3C8D" w:rsidRDefault="00791A68" w:rsidP="00C10BED">
      <w:pPr>
        <w:pStyle w:val="Heading2Numbered"/>
        <w:numPr>
          <w:ilvl w:val="1"/>
          <w:numId w:val="12"/>
        </w:numPr>
        <w:spacing w:before="240"/>
      </w:pPr>
      <w:bookmarkStart w:id="114" w:name="_Toc195026595"/>
      <w:bookmarkStart w:id="115" w:name="_Toc196395886"/>
      <w:r>
        <w:t>Non</w:t>
      </w:r>
      <w:r w:rsidR="00A15C79">
        <w:noBreakHyphen/>
      </w:r>
      <w:r w:rsidRPr="00075C05">
        <w:t>market</w:t>
      </w:r>
      <w:r>
        <w:t xml:space="preserve"> housing is an essential element of all </w:t>
      </w:r>
      <w:r w:rsidRPr="00075C05">
        <w:t>housing</w:t>
      </w:r>
      <w:r>
        <w:t xml:space="preserve"> systems</w:t>
      </w:r>
      <w:bookmarkEnd w:id="114"/>
      <w:bookmarkEnd w:id="115"/>
      <w:r w:rsidRPr="00EB3C8D">
        <w:t xml:space="preserve"> </w:t>
      </w:r>
    </w:p>
    <w:p w14:paraId="5300DEAC" w14:textId="41D211FC" w:rsidR="00791A68" w:rsidRDefault="00791A68">
      <w:pPr>
        <w:rPr>
          <w:rFonts w:cstheme="minorHAnsi"/>
        </w:rPr>
      </w:pPr>
      <w:r w:rsidRPr="00CA593E">
        <w:rPr>
          <w:rFonts w:cstheme="minorHAnsi"/>
        </w:rPr>
        <w:t>The private housing market</w:t>
      </w:r>
      <w:r>
        <w:rPr>
          <w:rFonts w:cstheme="minorHAnsi"/>
        </w:rPr>
        <w:t xml:space="preserve"> </w:t>
      </w:r>
      <w:r w:rsidR="009A2203">
        <w:rPr>
          <w:rFonts w:cstheme="minorHAnsi"/>
        </w:rPr>
        <w:t>can</w:t>
      </w:r>
      <w:r w:rsidR="00C326FF">
        <w:rPr>
          <w:rFonts w:cstheme="minorHAnsi"/>
        </w:rPr>
        <w:t>no</w:t>
      </w:r>
      <w:r w:rsidR="009A2203">
        <w:rPr>
          <w:rFonts w:cstheme="minorHAnsi"/>
        </w:rPr>
        <w:t>t</w:t>
      </w:r>
      <w:r w:rsidRPr="00CA593E">
        <w:rPr>
          <w:rFonts w:cstheme="minorHAnsi"/>
        </w:rPr>
        <w:t xml:space="preserve"> provide access to housing for </w:t>
      </w:r>
      <w:r w:rsidR="00701792">
        <w:rPr>
          <w:rFonts w:cstheme="minorHAnsi"/>
        </w:rPr>
        <w:t>everyone</w:t>
      </w:r>
      <w:r w:rsidRPr="00CA593E">
        <w:rPr>
          <w:rFonts w:cstheme="minorHAnsi"/>
        </w:rPr>
        <w:t xml:space="preserve">, as there will always be </w:t>
      </w:r>
      <w:r>
        <w:rPr>
          <w:rFonts w:cstheme="minorHAnsi"/>
        </w:rPr>
        <w:t>households</w:t>
      </w:r>
      <w:r w:rsidRPr="00CA593E">
        <w:rPr>
          <w:rFonts w:cstheme="minorHAnsi"/>
        </w:rPr>
        <w:t xml:space="preserve"> </w:t>
      </w:r>
      <w:r w:rsidR="0043535B">
        <w:rPr>
          <w:rFonts w:cstheme="minorHAnsi"/>
        </w:rPr>
        <w:t>that</w:t>
      </w:r>
      <w:r w:rsidR="0043535B" w:rsidRPr="00CA593E">
        <w:rPr>
          <w:rFonts w:cstheme="minorHAnsi"/>
        </w:rPr>
        <w:t xml:space="preserve"> </w:t>
      </w:r>
      <w:r w:rsidRPr="00CA593E">
        <w:rPr>
          <w:rFonts w:cstheme="minorHAnsi"/>
        </w:rPr>
        <w:t>cannot afford to purchase or rent a home at market price</w:t>
      </w:r>
      <w:r w:rsidR="00701792">
        <w:rPr>
          <w:rFonts w:cstheme="minorHAnsi"/>
        </w:rPr>
        <w:t>s</w:t>
      </w:r>
      <w:r>
        <w:rPr>
          <w:rFonts w:cstheme="minorHAnsi"/>
        </w:rPr>
        <w:t>. To support these households, n</w:t>
      </w:r>
      <w:r w:rsidRPr="00EB3C8D">
        <w:rPr>
          <w:rFonts w:cstheme="minorHAnsi"/>
        </w:rPr>
        <w:t>on</w:t>
      </w:r>
      <w:r w:rsidR="00A15C79">
        <w:rPr>
          <w:rFonts w:cstheme="minorHAnsi"/>
        </w:rPr>
        <w:noBreakHyphen/>
      </w:r>
      <w:r w:rsidRPr="00CA593E">
        <w:rPr>
          <w:rFonts w:cstheme="minorHAnsi"/>
        </w:rPr>
        <w:t xml:space="preserve">market housing and </w:t>
      </w:r>
      <w:r>
        <w:rPr>
          <w:rFonts w:cstheme="minorHAnsi"/>
        </w:rPr>
        <w:t>housing assistance</w:t>
      </w:r>
      <w:r w:rsidRPr="00CA593E">
        <w:rPr>
          <w:rFonts w:cstheme="minorHAnsi"/>
        </w:rPr>
        <w:t xml:space="preserve"> </w:t>
      </w:r>
      <w:r w:rsidR="0043535B">
        <w:rPr>
          <w:rFonts w:cstheme="minorHAnsi"/>
        </w:rPr>
        <w:t>are</w:t>
      </w:r>
      <w:r w:rsidRPr="00CA593E">
        <w:rPr>
          <w:rFonts w:cstheme="minorHAnsi"/>
        </w:rPr>
        <w:t xml:space="preserve"> required. </w:t>
      </w:r>
      <w:r w:rsidR="0043535B">
        <w:rPr>
          <w:rFonts w:cstheme="minorHAnsi"/>
        </w:rPr>
        <w:t>More than</w:t>
      </w:r>
      <w:r w:rsidR="0043535B" w:rsidRPr="00CA593E">
        <w:rPr>
          <w:rFonts w:cstheme="minorHAnsi"/>
        </w:rPr>
        <w:t xml:space="preserve"> </w:t>
      </w:r>
      <w:r>
        <w:rPr>
          <w:rFonts w:cstheme="minorHAnsi"/>
        </w:rPr>
        <w:t>2</w:t>
      </w:r>
      <w:r w:rsidR="0099326B">
        <w:rPr>
          <w:rFonts w:cstheme="minorHAnsi"/>
        </w:rPr>
        <w:t> million</w:t>
      </w:r>
      <w:r w:rsidRPr="00CA593E">
        <w:rPr>
          <w:rFonts w:cstheme="minorHAnsi"/>
        </w:rPr>
        <w:t xml:space="preserve"> </w:t>
      </w:r>
      <w:r>
        <w:rPr>
          <w:rFonts w:cstheme="minorHAnsi"/>
        </w:rPr>
        <w:t>people</w:t>
      </w:r>
      <w:r w:rsidRPr="00EB3C8D">
        <w:rPr>
          <w:rFonts w:cstheme="minorHAnsi"/>
        </w:rPr>
        <w:t xml:space="preserve"> </w:t>
      </w:r>
      <w:r w:rsidRPr="00CA593E">
        <w:rPr>
          <w:rFonts w:cstheme="minorHAnsi"/>
        </w:rPr>
        <w:t xml:space="preserve">likely </w:t>
      </w:r>
      <w:r w:rsidRPr="00EB3C8D">
        <w:rPr>
          <w:rFonts w:cstheme="minorHAnsi"/>
        </w:rPr>
        <w:t>receive</w:t>
      </w:r>
      <w:r>
        <w:rPr>
          <w:rFonts w:cstheme="minorHAnsi"/>
        </w:rPr>
        <w:t>d</w:t>
      </w:r>
      <w:r w:rsidRPr="00CA593E">
        <w:rPr>
          <w:rFonts w:cstheme="minorHAnsi"/>
        </w:rPr>
        <w:t xml:space="preserve"> direct or indirect housing assistance in 2023</w:t>
      </w:r>
      <w:r w:rsidR="0043535B">
        <w:rPr>
          <w:rFonts w:cstheme="minorHAnsi"/>
        </w:rPr>
        <w:t>–</w:t>
      </w:r>
      <w:r w:rsidRPr="00CA593E">
        <w:rPr>
          <w:rFonts w:cstheme="minorHAnsi"/>
        </w:rPr>
        <w:t>24</w:t>
      </w:r>
      <w:r>
        <w:rPr>
          <w:rFonts w:cstheme="minorHAnsi"/>
        </w:rPr>
        <w:t xml:space="preserve"> </w:t>
      </w:r>
      <w:r w:rsidRPr="00DE56EE">
        <w:rPr>
          <w:rFonts w:cstheme="minorHAnsi"/>
        </w:rPr>
        <w:t>(</w:t>
      </w:r>
      <w:r w:rsidR="00AD29EE">
        <w:rPr>
          <w:rFonts w:cstheme="minorHAnsi"/>
        </w:rPr>
        <w:t>Australian Institute of Health and Welfare [</w:t>
      </w:r>
      <w:r w:rsidRPr="0065638F">
        <w:rPr>
          <w:rFonts w:cstheme="minorHAnsi"/>
        </w:rPr>
        <w:t>AIHW</w:t>
      </w:r>
      <w:r w:rsidR="00AD29EE">
        <w:rPr>
          <w:rFonts w:cstheme="minorHAnsi"/>
        </w:rPr>
        <w:t>]</w:t>
      </w:r>
      <w:r w:rsidRPr="00DE56EE">
        <w:rPr>
          <w:rFonts w:cstheme="minorHAnsi"/>
        </w:rPr>
        <w:t xml:space="preserve"> </w:t>
      </w:r>
      <w:r w:rsidRPr="0047703D">
        <w:rPr>
          <w:rFonts w:cstheme="minorHAnsi"/>
        </w:rPr>
        <w:t>2024</w:t>
      </w:r>
      <w:r w:rsidR="00B74C88">
        <w:rPr>
          <w:rFonts w:cstheme="minorHAnsi"/>
        </w:rPr>
        <w:t>,</w:t>
      </w:r>
      <w:r w:rsidR="0043535B" w:rsidRPr="0047703D">
        <w:rPr>
          <w:rFonts w:cstheme="minorHAnsi"/>
        </w:rPr>
        <w:t xml:space="preserve"> </w:t>
      </w:r>
      <w:r w:rsidRPr="0047703D">
        <w:rPr>
          <w:rFonts w:cstheme="minorHAnsi"/>
        </w:rPr>
        <w:t>2025).</w:t>
      </w:r>
    </w:p>
    <w:p w14:paraId="636B60FF" w14:textId="52704682" w:rsidR="00791A68" w:rsidRDefault="00791A68" w:rsidP="00075C05">
      <w:r w:rsidRPr="007904CA">
        <w:t>Non</w:t>
      </w:r>
      <w:r w:rsidR="00A15C79">
        <w:noBreakHyphen/>
      </w:r>
      <w:r w:rsidRPr="007904CA">
        <w:t xml:space="preserve">market housing </w:t>
      </w:r>
      <w:r>
        <w:t>encompasses</w:t>
      </w:r>
      <w:r w:rsidRPr="007904CA">
        <w:t xml:space="preserve"> a range of </w:t>
      </w:r>
      <w:r>
        <w:t>housing tenure types. This includes</w:t>
      </w:r>
      <w:r w:rsidRPr="007904CA">
        <w:t xml:space="preserve"> affordable housing</w:t>
      </w:r>
      <w:r w:rsidR="00DA02B7">
        <w:t>,</w:t>
      </w:r>
      <w:r>
        <w:t xml:space="preserve"> </w:t>
      </w:r>
      <w:r w:rsidRPr="007904CA">
        <w:t>social housing (both public and community housing)</w:t>
      </w:r>
      <w:r>
        <w:t xml:space="preserve"> and </w:t>
      </w:r>
      <w:r w:rsidRPr="007904CA">
        <w:t>crisis and transitional housing</w:t>
      </w:r>
      <w:r>
        <w:t xml:space="preserve"> provided by specialist homelessness services. Non</w:t>
      </w:r>
      <w:r w:rsidR="00A15C79">
        <w:noBreakHyphen/>
      </w:r>
      <w:r>
        <w:t xml:space="preserve">market housing </w:t>
      </w:r>
      <w:r w:rsidRPr="007904CA">
        <w:t>is provided at below</w:t>
      </w:r>
      <w:r w:rsidR="00A15C79">
        <w:noBreakHyphen/>
      </w:r>
      <w:r w:rsidRPr="007904CA">
        <w:t xml:space="preserve">market </w:t>
      </w:r>
      <w:r>
        <w:t xml:space="preserve">prices. </w:t>
      </w:r>
      <w:r w:rsidR="00E14B92">
        <w:t>C</w:t>
      </w:r>
      <w:r>
        <w:t>ommunity housing providers</w:t>
      </w:r>
      <w:r w:rsidR="00E14B92">
        <w:t xml:space="preserve"> –</w:t>
      </w:r>
      <w:r w:rsidDel="00E14B92">
        <w:t xml:space="preserve"> </w:t>
      </w:r>
      <w:r>
        <w:t>not</w:t>
      </w:r>
      <w:r w:rsidR="00A15C79">
        <w:noBreakHyphen/>
      </w:r>
      <w:r>
        <w:t>for</w:t>
      </w:r>
      <w:r w:rsidR="00A15C79">
        <w:noBreakHyphen/>
      </w:r>
      <w:r>
        <w:t>profit organisations that aim to provide safe, secure, affordable and appropriate rental housing</w:t>
      </w:r>
      <w:r w:rsidR="00E14B92">
        <w:t xml:space="preserve"> – often </w:t>
      </w:r>
      <w:r w:rsidR="00625A8E">
        <w:t>provide non</w:t>
      </w:r>
      <w:r w:rsidR="00A15C79">
        <w:noBreakHyphen/>
      </w:r>
      <w:r w:rsidR="00625A8E">
        <w:t xml:space="preserve">market housing. </w:t>
      </w:r>
      <w:r>
        <w:t xml:space="preserve">In general, revenue </w:t>
      </w:r>
      <w:r>
        <w:lastRenderedPageBreak/>
        <w:t>generated by non</w:t>
      </w:r>
      <w:r w:rsidR="00A15C79">
        <w:noBreakHyphen/>
      </w:r>
      <w:r>
        <w:t xml:space="preserve">market housing is insufficient to fund capital costs and ongoing maintenance and operating costs, creating a </w:t>
      </w:r>
      <w:r w:rsidR="00A15C79">
        <w:t>‘</w:t>
      </w:r>
      <w:r>
        <w:t>funding gap</w:t>
      </w:r>
      <w:r w:rsidR="00A15C79">
        <w:t>’</w:t>
      </w:r>
      <w:r>
        <w:t xml:space="preserve"> (</w:t>
      </w:r>
      <w:r w:rsidR="00A157C1">
        <w:t xml:space="preserve">see </w:t>
      </w:r>
      <w:r>
        <w:t>Box 3.1). This chapter limits the analysis of non</w:t>
      </w:r>
      <w:r w:rsidR="00A15C79">
        <w:noBreakHyphen/>
      </w:r>
      <w:r>
        <w:t>market housing to non</w:t>
      </w:r>
      <w:r w:rsidR="00A15C79">
        <w:noBreakHyphen/>
      </w:r>
      <w:r>
        <w:t xml:space="preserve">market rentals. </w:t>
      </w:r>
    </w:p>
    <w:p w14:paraId="297501C9" w14:textId="734F9F46" w:rsidR="00791A68" w:rsidRDefault="00791A68" w:rsidP="00075C05">
      <w:r>
        <w:t>Alternative</w:t>
      </w:r>
      <w:r w:rsidRPr="00EB3C8D">
        <w:t xml:space="preserve"> </w:t>
      </w:r>
      <w:r>
        <w:t>housing tenure types, such as co</w:t>
      </w:r>
      <w:r w:rsidR="00A15C79">
        <w:noBreakHyphen/>
      </w:r>
      <w:r>
        <w:t>operatives,</w:t>
      </w:r>
      <w:r w:rsidRPr="00AD551B">
        <w:t xml:space="preserve"> </w:t>
      </w:r>
      <w:r>
        <w:t xml:space="preserve">aim </w:t>
      </w:r>
      <w:r w:rsidR="00A7570E">
        <w:t xml:space="preserve">to provide affordable </w:t>
      </w:r>
      <w:r>
        <w:t xml:space="preserve">housing rather than </w:t>
      </w:r>
      <w:r w:rsidR="00BF479F">
        <w:t xml:space="preserve">to </w:t>
      </w:r>
      <w:r w:rsidR="00A7570E">
        <w:t>mak</w:t>
      </w:r>
      <w:r w:rsidR="00D8784D">
        <w:t>e</w:t>
      </w:r>
      <w:r w:rsidR="00E876C9">
        <w:t xml:space="preserve"> </w:t>
      </w:r>
      <w:r w:rsidR="00D8784D">
        <w:t>a</w:t>
      </w:r>
      <w:r w:rsidR="00A7570E">
        <w:t xml:space="preserve"> </w:t>
      </w:r>
      <w:r>
        <w:t>profit. They make up a very small share of the housing stock (</w:t>
      </w:r>
      <w:r w:rsidR="00A7570E">
        <w:t xml:space="preserve">see </w:t>
      </w:r>
      <w:r>
        <w:t>Box 3.2</w:t>
      </w:r>
      <w:r w:rsidRPr="00CA593E">
        <w:t>). While co</w:t>
      </w:r>
      <w:r w:rsidR="00A15C79">
        <w:noBreakHyphen/>
      </w:r>
      <w:r w:rsidRPr="00CA593E">
        <w:t>operatives are unlikely to provide at</w:t>
      </w:r>
      <w:r w:rsidR="00A15C79">
        <w:noBreakHyphen/>
      </w:r>
      <w:r w:rsidRPr="00CA593E">
        <w:t xml:space="preserve">scale affordable housing in the immediate future, they reflect the diversity of </w:t>
      </w:r>
      <w:r w:rsidR="007E04A9">
        <w:t xml:space="preserve">the </w:t>
      </w:r>
      <w:r w:rsidR="00D27234">
        <w:t xml:space="preserve">available </w:t>
      </w:r>
      <w:r w:rsidRPr="00CA593E">
        <w:t>housing tenure models</w:t>
      </w:r>
      <w:r>
        <w:t>.</w:t>
      </w:r>
    </w:p>
    <w:p w14:paraId="6EE9AC0A" w14:textId="4DC853F6" w:rsidR="00791A68" w:rsidRDefault="00791A68" w:rsidP="00075C05">
      <w:r>
        <w:t xml:space="preserve">Many households in the private housing market rely on housing assistance. This </w:t>
      </w:r>
      <w:r w:rsidRPr="00EB3C8D">
        <w:t>includ</w:t>
      </w:r>
      <w:r>
        <w:t>es low</w:t>
      </w:r>
      <w:r w:rsidR="00A15C79">
        <w:noBreakHyphen/>
      </w:r>
      <w:r>
        <w:t>income renters and first home</w:t>
      </w:r>
      <w:r w:rsidR="007D23D1">
        <w:t xml:space="preserve"> </w:t>
      </w:r>
      <w:r>
        <w:t xml:space="preserve">buyers. </w:t>
      </w:r>
      <w:r w:rsidR="003F4181">
        <w:t xml:space="preserve">Rental assistance schemes </w:t>
      </w:r>
      <w:r w:rsidR="00471A4E">
        <w:t>(such as Commonwealth Rent Assistance (CRA</w:t>
      </w:r>
      <w:r w:rsidR="00520B00">
        <w:t>)</w:t>
      </w:r>
      <w:r w:rsidR="00471A4E">
        <w:t xml:space="preserve">) </w:t>
      </w:r>
      <w:r w:rsidR="003F4181">
        <w:t>can support l</w:t>
      </w:r>
      <w:r>
        <w:t>ow</w:t>
      </w:r>
      <w:r w:rsidR="00A15C79">
        <w:noBreakHyphen/>
      </w:r>
      <w:r>
        <w:t>income renters</w:t>
      </w:r>
      <w:r w:rsidRPr="00EB3C8D">
        <w:t>,</w:t>
      </w:r>
      <w:r>
        <w:t xml:space="preserve"> while deposit assistance, deposit guarantees, stamp duty concessions and shared equity schemes</w:t>
      </w:r>
      <w:r w:rsidR="00FB6E33">
        <w:t xml:space="preserve"> can support first home</w:t>
      </w:r>
      <w:r w:rsidR="007D23D1">
        <w:t xml:space="preserve"> </w:t>
      </w:r>
      <w:r w:rsidR="00FB6E33">
        <w:t>buyers</w:t>
      </w:r>
      <w:r w:rsidR="00DA02B7">
        <w:t>.</w:t>
      </w:r>
    </w:p>
    <w:tbl>
      <w:tblPr>
        <w:tblW w:w="5000" w:type="pct"/>
        <w:shd w:val="clear" w:color="auto" w:fill="F2E3C7" w:themeFill="background2"/>
        <w:tblCellMar>
          <w:top w:w="284" w:type="dxa"/>
          <w:left w:w="284" w:type="dxa"/>
          <w:bottom w:w="284" w:type="dxa"/>
          <w:right w:w="284" w:type="dxa"/>
        </w:tblCellMar>
        <w:tblLook w:val="0600" w:firstRow="0" w:lastRow="0" w:firstColumn="0" w:lastColumn="0" w:noHBand="1" w:noVBand="1"/>
      </w:tblPr>
      <w:tblGrid>
        <w:gridCol w:w="9070"/>
      </w:tblGrid>
      <w:tr w:rsidR="001B1CC6" w14:paraId="4DFD9CF3" w14:textId="77777777">
        <w:tc>
          <w:tcPr>
            <w:tcW w:w="5000" w:type="pct"/>
            <w:shd w:val="clear" w:color="auto" w:fill="F2E3C7" w:themeFill="background2"/>
            <w:hideMark/>
          </w:tcPr>
          <w:p w14:paraId="3E9C5EAC" w14:textId="77777777" w:rsidR="001B1CC6" w:rsidRPr="0099326B" w:rsidRDefault="001B1CC6" w:rsidP="00FA5B6B">
            <w:pPr>
              <w:pStyle w:val="BoxHeadingBox11"/>
            </w:pPr>
            <w:r w:rsidRPr="0099326B">
              <w:t>Funding of non</w:t>
            </w:r>
            <w:r>
              <w:t>-</w:t>
            </w:r>
            <w:r w:rsidRPr="00FA5B6B">
              <w:t>market</w:t>
            </w:r>
            <w:r w:rsidRPr="0099326B">
              <w:t xml:space="preserve"> and supported market rental housing</w:t>
            </w:r>
          </w:p>
          <w:p w14:paraId="0FE8D47D" w14:textId="57BAFED0" w:rsidR="001B1CC6" w:rsidRPr="00A636D5" w:rsidRDefault="001B1CC6" w:rsidP="001B1CC6">
            <w:pPr>
              <w:pStyle w:val="BoxText"/>
            </w:pPr>
            <w:r>
              <w:t xml:space="preserve">Most </w:t>
            </w:r>
            <w:r w:rsidRPr="007904CA">
              <w:t>forms of non</w:t>
            </w:r>
            <w:r>
              <w:noBreakHyphen/>
            </w:r>
            <w:r w:rsidRPr="007904CA">
              <w:t>market housing require subsidies from different levels of government to bridge the gap</w:t>
            </w:r>
            <w:r>
              <w:t xml:space="preserve"> between the cost of providing housing and the rent received from tenants</w:t>
            </w:r>
            <w:r w:rsidRPr="007904CA">
              <w:t>.</w:t>
            </w:r>
            <w:r>
              <w:t xml:space="preserve"> This is called the ‘funding gap’.</w:t>
            </w:r>
            <w:r w:rsidRPr="007904CA" w:rsidDel="00E6574D">
              <w:t xml:space="preserve"> </w:t>
            </w:r>
            <w:r w:rsidRPr="007904CA">
              <w:t xml:space="preserve">Figure </w:t>
            </w:r>
            <w:r>
              <w:t>3.1</w:t>
            </w:r>
            <w:r w:rsidRPr="007904CA">
              <w:t xml:space="preserve"> illustrates the size of the funding gap </w:t>
            </w:r>
            <w:r>
              <w:t xml:space="preserve">with </w:t>
            </w:r>
            <w:r w:rsidRPr="007904CA">
              <w:t>examples of subsidies for different housing</w:t>
            </w:r>
            <w:r>
              <w:t xml:space="preserve"> types</w:t>
            </w:r>
            <w:r w:rsidRPr="007904CA">
              <w:t xml:space="preserve">. </w:t>
            </w:r>
            <w:r>
              <w:t>T</w:t>
            </w:r>
            <w:r w:rsidRPr="007904CA">
              <w:t xml:space="preserve">he gap </w:t>
            </w:r>
            <w:r>
              <w:t>grows larger</w:t>
            </w:r>
            <w:r w:rsidRPr="007904CA">
              <w:t xml:space="preserve"> </w:t>
            </w:r>
            <w:r>
              <w:t>as tenant income falls</w:t>
            </w:r>
            <w:r w:rsidRPr="007904CA">
              <w:t xml:space="preserve">, </w:t>
            </w:r>
            <w:r>
              <w:t xml:space="preserve">with </w:t>
            </w:r>
            <w:r w:rsidRPr="007904CA">
              <w:t>very low</w:t>
            </w:r>
            <w:r w:rsidR="0041289D">
              <w:t xml:space="preserve"> </w:t>
            </w:r>
            <w:r w:rsidRPr="007904CA">
              <w:t xml:space="preserve">income </w:t>
            </w:r>
            <w:r>
              <w:t xml:space="preserve">tenants </w:t>
            </w:r>
            <w:r w:rsidRPr="007904CA">
              <w:t>in social housing</w:t>
            </w:r>
            <w:r>
              <w:t xml:space="preserve"> having the largest gap</w:t>
            </w:r>
            <w:r w:rsidRPr="007904CA">
              <w:t xml:space="preserve">. </w:t>
            </w:r>
          </w:p>
          <w:p w14:paraId="722C7761" w14:textId="77777777" w:rsidR="001B1CC6" w:rsidRPr="00EB0064" w:rsidRDefault="001B1CC6" w:rsidP="001B1CC6">
            <w:pPr>
              <w:pStyle w:val="FigureMainheading"/>
              <w:rPr>
                <w:spacing w:val="-3"/>
              </w:rPr>
            </w:pPr>
            <w:r w:rsidRPr="00EB0064">
              <w:rPr>
                <w:spacing w:val="-3"/>
              </w:rPr>
              <w:t>Illustrative costs and funding gaps for different types of rental housing</w:t>
            </w:r>
          </w:p>
          <w:p w14:paraId="2EECB861" w14:textId="77777777" w:rsidR="001B1CC6" w:rsidRPr="0099326B" w:rsidRDefault="001B1CC6" w:rsidP="001B1CC6">
            <w:pPr>
              <w:pStyle w:val="ChartGraphic"/>
            </w:pPr>
            <w:r>
              <w:rPr>
                <w:noProof/>
              </w:rPr>
              <w:drawing>
                <wp:inline distT="0" distB="0" distL="0" distR="0" wp14:anchorId="6CBB53F2" wp14:editId="065690F8">
                  <wp:extent cx="5400000" cy="2914951"/>
                  <wp:effectExtent l="0" t="0" r="0" b="0"/>
                  <wp:docPr id="1662537940" name="Picture 1" descr="Figure 3.1 illustrates the funding gap for 3 different types of housing support: social housing, affordable rental housing and supported market rental housing. A funding gap exists where the cost of provision of housing is not serviceable through housing income, such as rent. Social housing, a form of non-market housing for those on very low incomes, requires the most subsidies to bridge the funding gap. These subsidies may include operating subsidies, income support, tax concessions, capital grants, government land, support services, Housing Australia finance and grants or National Housing and Homelessness agreement funding. Affordable rental housing, a form of non-market housing for those on incomes that are somewhat higher than those in social housing, requires a smaller subsidy than social housing, but a larger subsidy than 'supported market rental housing' in general. These subsidies include operating subsidies, income support, tax concessions, capital grants or the National Rental Affordability Scheme. Finally, 'supported market rental housing', which in general have the highest incomes of those in housing support, requires the smallest subsidies to bridge the funding gap. This is generally provided through income support (such as Commonwealth Rent Assi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537940" name="Picture 1" descr="Figure 3.1 illustrates the funding gap for 3 different types of housing support: social housing, affordable rental housing and supported market rental housing. A funding gap exists where the cost of provision of housing is not serviceable through housing income, such as rent. Social housing, a form of non-market housing for those on very low incomes, requires the most subsidies to bridge the funding gap. These subsidies may include operating subsidies, income support, tax concessions, capital grants, government land, support services, Housing Australia finance and grants or National Housing and Homelessness agreement funding. Affordable rental housing, a form of non-market housing for those on incomes that are somewhat higher than those in social housing, requires a smaller subsidy than social housing, but a larger subsidy than 'supported market rental housing' in general. These subsidies include operating subsidies, income support, tax concessions, capital grants or the National Rental Affordability Scheme. Finally, 'supported market rental housing', which in general have the highest incomes of those in housing support, requires the smallest subsidies to bridge the funding gap. This is generally provided through income support (such as Commonwealth Rent Assistance). "/>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00000" cy="2914951"/>
                          </a:xfrm>
                          <a:prstGeom prst="rect">
                            <a:avLst/>
                          </a:prstGeom>
                          <a:noFill/>
                        </pic:spPr>
                      </pic:pic>
                    </a:graphicData>
                  </a:graphic>
                </wp:inline>
              </w:drawing>
            </w:r>
          </w:p>
          <w:p w14:paraId="4A6A29B2" w14:textId="77777777" w:rsidR="001B1CC6" w:rsidRDefault="001B1CC6" w:rsidP="001B1CC6">
            <w:pPr>
              <w:pStyle w:val="ChartorTableNoteandSource"/>
              <w:rPr>
                <w:lang w:eastAsia="en-US"/>
              </w:rPr>
            </w:pPr>
            <w:r w:rsidRPr="0099326B">
              <w:t>Source:</w:t>
            </w:r>
            <w:r>
              <w:tab/>
            </w:r>
            <w:r w:rsidRPr="00780A40">
              <w:t>Adapted</w:t>
            </w:r>
            <w:r w:rsidRPr="0099326B">
              <w:t xml:space="preserve"> from the Barriers to </w:t>
            </w:r>
            <w:r w:rsidRPr="00EB0064">
              <w:t>Institutional</w:t>
            </w:r>
            <w:r w:rsidRPr="0099326B">
              <w:t xml:space="preserve"> Investment, Finance and Innovation in Housing Report, </w:t>
            </w:r>
            <w:r>
              <w:t xml:space="preserve">Interim </w:t>
            </w:r>
            <w:r w:rsidRPr="0099326B">
              <w:t>N</w:t>
            </w:r>
            <w:r>
              <w:t>ational Housing Supply and Affordability Council (</w:t>
            </w:r>
            <w:r w:rsidRPr="0099326B">
              <w:t>NHSAC</w:t>
            </w:r>
            <w:r>
              <w:t>) </w:t>
            </w:r>
            <w:r w:rsidRPr="0099326B">
              <w:t>2023</w:t>
            </w:r>
            <w:r>
              <w:rPr>
                <w:lang w:eastAsia="en-US"/>
              </w:rPr>
              <w:t xml:space="preserve"> </w:t>
            </w:r>
          </w:p>
          <w:p w14:paraId="65CE5DF0" w14:textId="77777777" w:rsidR="001B1CC6" w:rsidRDefault="001B1CC6" w:rsidP="001B1CC6">
            <w:pPr>
              <w:pStyle w:val="BoxText"/>
            </w:pPr>
            <w:r>
              <w:t>For</w:t>
            </w:r>
            <w:r w:rsidRPr="007904CA">
              <w:t xml:space="preserve"> supported market rental </w:t>
            </w:r>
            <w:r w:rsidRPr="00780A40">
              <w:t>housing</w:t>
            </w:r>
            <w:r w:rsidRPr="007904CA">
              <w:t xml:space="preserve">, rent is provided at a market </w:t>
            </w:r>
            <w:r>
              <w:t>rate</w:t>
            </w:r>
            <w:r w:rsidRPr="007904CA">
              <w:t xml:space="preserve"> by a private landlord, but direct income support is provided </w:t>
            </w:r>
            <w:r>
              <w:t xml:space="preserve">to the tenant </w:t>
            </w:r>
            <w:r w:rsidRPr="007904CA">
              <w:t xml:space="preserve">by the government </w:t>
            </w:r>
            <w:r w:rsidRPr="007904CA" w:rsidDel="009E785E">
              <w:t xml:space="preserve">to </w:t>
            </w:r>
            <w:r w:rsidRPr="007904CA">
              <w:t>help reduce their housing costs.</w:t>
            </w:r>
          </w:p>
          <w:p w14:paraId="64A94D0B" w14:textId="38F6BCF2" w:rsidR="001B1CC6" w:rsidRPr="00FA5B6B" w:rsidRDefault="001B1CC6" w:rsidP="00FA5B6B">
            <w:pPr>
              <w:pStyle w:val="BoxText"/>
              <w:spacing w:after="0"/>
              <w:rPr>
                <w:spacing w:val="-2"/>
              </w:rPr>
            </w:pPr>
            <w:r w:rsidRPr="00FA5B6B">
              <w:rPr>
                <w:spacing w:val="-2"/>
              </w:rPr>
              <w:t>For non</w:t>
            </w:r>
            <w:r w:rsidRPr="00FA5B6B">
              <w:rPr>
                <w:spacing w:val="-2"/>
              </w:rPr>
              <w:noBreakHyphen/>
              <w:t>market rental housing, rent is set below the market rate by the provider, which is generally subsidised to manage the property. Tenants in non</w:t>
            </w:r>
            <w:r w:rsidRPr="00FA5B6B">
              <w:rPr>
                <w:spacing w:val="-2"/>
              </w:rPr>
              <w:noBreakHyphen/>
              <w:t>market housing may also receive direct income support, such as CRA. In some instances, non</w:t>
            </w:r>
            <w:r w:rsidRPr="00FA5B6B">
              <w:rPr>
                <w:spacing w:val="-2"/>
              </w:rPr>
              <w:noBreakHyphen/>
              <w:t>market housing may not need subsidies, such as if a charity provides housing or land, or</w:t>
            </w:r>
            <w:r w:rsidRPr="00FA5B6B" w:rsidDel="0063139F">
              <w:rPr>
                <w:spacing w:val="-2"/>
              </w:rPr>
              <w:t xml:space="preserve"> </w:t>
            </w:r>
            <w:r w:rsidRPr="00FA5B6B">
              <w:rPr>
                <w:spacing w:val="-2"/>
              </w:rPr>
              <w:t>if a developer has a covenant allowing access to capital at a lower rate.</w:t>
            </w:r>
          </w:p>
        </w:tc>
      </w:tr>
    </w:tbl>
    <w:p w14:paraId="7156A73D" w14:textId="77777777" w:rsidR="0099326B" w:rsidRPr="001B1CC6" w:rsidRDefault="0099326B" w:rsidP="0099326B">
      <w:pPr>
        <w:pStyle w:val="SingleParagraph"/>
        <w:rPr>
          <w:sz w:val="2"/>
          <w:szCs w:val="2"/>
        </w:rPr>
      </w:pPr>
    </w:p>
    <w:tbl>
      <w:tblPr>
        <w:tblW w:w="5000" w:type="pct"/>
        <w:shd w:val="clear" w:color="auto" w:fill="F2E3C7" w:themeFill="background2"/>
        <w:tblCellMar>
          <w:top w:w="284" w:type="dxa"/>
          <w:left w:w="284" w:type="dxa"/>
          <w:bottom w:w="284" w:type="dxa"/>
          <w:right w:w="284" w:type="dxa"/>
        </w:tblCellMar>
        <w:tblLook w:val="0600" w:firstRow="0" w:lastRow="0" w:firstColumn="0" w:lastColumn="0" w:noHBand="1" w:noVBand="1"/>
      </w:tblPr>
      <w:tblGrid>
        <w:gridCol w:w="9070"/>
      </w:tblGrid>
      <w:tr w:rsidR="0099326B" w14:paraId="19B8663A" w14:textId="77777777">
        <w:tc>
          <w:tcPr>
            <w:tcW w:w="5000" w:type="pct"/>
            <w:shd w:val="clear" w:color="auto" w:fill="F2E3C7" w:themeFill="background2"/>
            <w:hideMark/>
          </w:tcPr>
          <w:p w14:paraId="4296E2DE" w14:textId="0CBB69F6" w:rsidR="0099326B" w:rsidRPr="0099326B" w:rsidRDefault="0099326B" w:rsidP="00956862">
            <w:pPr>
              <w:pStyle w:val="BoxHeadingBox11"/>
              <w:numPr>
                <w:ilvl w:val="5"/>
                <w:numId w:val="28"/>
              </w:numPr>
            </w:pPr>
            <w:r w:rsidRPr="0099326B">
              <w:lastRenderedPageBreak/>
              <w:t xml:space="preserve">Funding of </w:t>
            </w:r>
            <w:r w:rsidR="00B86681" w:rsidRPr="0099326B">
              <w:t>non</w:t>
            </w:r>
            <w:r w:rsidR="00B86681">
              <w:t>-</w:t>
            </w:r>
            <w:r w:rsidRPr="0099326B">
              <w:t>market and supported market rental housing</w:t>
            </w:r>
            <w:r>
              <w:t xml:space="preserve"> (continued)</w:t>
            </w:r>
          </w:p>
          <w:p w14:paraId="6C9AC517" w14:textId="0C1013AE" w:rsidR="0099326B" w:rsidRPr="00C744E2" w:rsidRDefault="0099326B" w:rsidP="00C744E2">
            <w:pPr>
              <w:pStyle w:val="BoxHeading2"/>
            </w:pPr>
            <w:r w:rsidRPr="00C744E2">
              <w:t>The funding gap is a major barrier to the expansion of social and affordable housing</w:t>
            </w:r>
          </w:p>
          <w:p w14:paraId="08880489" w14:textId="1F76E897" w:rsidR="0099326B" w:rsidRDefault="0099326B" w:rsidP="0099326B">
            <w:pPr>
              <w:pStyle w:val="BoxText"/>
              <w:rPr>
                <w:lang w:eastAsia="en-US"/>
              </w:rPr>
            </w:pPr>
            <w:r w:rsidRPr="007904CA">
              <w:rPr>
                <w:lang w:eastAsia="en-US"/>
              </w:rPr>
              <w:t>The</w:t>
            </w:r>
            <w:r w:rsidRPr="007904CA" w:rsidDel="00557DB9">
              <w:rPr>
                <w:lang w:eastAsia="en-US"/>
              </w:rPr>
              <w:t xml:space="preserve"> </w:t>
            </w:r>
            <w:r w:rsidRPr="007904CA">
              <w:rPr>
                <w:lang w:eastAsia="en-US"/>
              </w:rPr>
              <w:t xml:space="preserve">funding gap is </w:t>
            </w:r>
            <w:r>
              <w:rPr>
                <w:lang w:eastAsia="en-US"/>
              </w:rPr>
              <w:t>a</w:t>
            </w:r>
            <w:r w:rsidRPr="007904CA">
              <w:rPr>
                <w:lang w:eastAsia="en-US"/>
              </w:rPr>
              <w:t xml:space="preserve"> major barrier to private investment in </w:t>
            </w:r>
            <w:r>
              <w:rPr>
                <w:lang w:eastAsia="en-US"/>
              </w:rPr>
              <w:t>social and affordable</w:t>
            </w:r>
            <w:r w:rsidRPr="007904CA">
              <w:rPr>
                <w:lang w:eastAsia="en-US"/>
              </w:rPr>
              <w:t xml:space="preserve"> housing. </w:t>
            </w:r>
            <w:r>
              <w:rPr>
                <w:lang w:eastAsia="en-US"/>
              </w:rPr>
              <w:t>Non</w:t>
            </w:r>
            <w:r w:rsidR="00A15C79">
              <w:rPr>
                <w:lang w:eastAsia="en-US"/>
              </w:rPr>
              <w:noBreakHyphen/>
            </w:r>
            <w:r>
              <w:rPr>
                <w:lang w:eastAsia="en-US"/>
              </w:rPr>
              <w:t>government</w:t>
            </w:r>
            <w:r w:rsidRPr="007904CA">
              <w:rPr>
                <w:lang w:eastAsia="en-US"/>
              </w:rPr>
              <w:t xml:space="preserve"> providers of </w:t>
            </w:r>
            <w:r>
              <w:rPr>
                <w:lang w:eastAsia="en-US"/>
              </w:rPr>
              <w:t xml:space="preserve">social and affordable </w:t>
            </w:r>
            <w:r w:rsidRPr="007904CA">
              <w:rPr>
                <w:lang w:eastAsia="en-US"/>
              </w:rPr>
              <w:t xml:space="preserve">housing often </w:t>
            </w:r>
            <w:r>
              <w:rPr>
                <w:lang w:eastAsia="en-US"/>
              </w:rPr>
              <w:t>require multiple</w:t>
            </w:r>
            <w:r w:rsidRPr="007904CA">
              <w:rPr>
                <w:lang w:eastAsia="en-US"/>
              </w:rPr>
              <w:t xml:space="preserve"> </w:t>
            </w:r>
            <w:r>
              <w:rPr>
                <w:lang w:eastAsia="en-US"/>
              </w:rPr>
              <w:t>subsidies</w:t>
            </w:r>
            <w:r w:rsidRPr="007904CA">
              <w:rPr>
                <w:lang w:eastAsia="en-US"/>
              </w:rPr>
              <w:t xml:space="preserve"> from </w:t>
            </w:r>
            <w:r>
              <w:rPr>
                <w:lang w:eastAsia="en-US"/>
              </w:rPr>
              <w:t>the Australian and state</w:t>
            </w:r>
            <w:r w:rsidRPr="007904CA">
              <w:rPr>
                <w:lang w:eastAsia="en-US"/>
              </w:rPr>
              <w:t xml:space="preserve"> </w:t>
            </w:r>
            <w:r>
              <w:rPr>
                <w:lang w:eastAsia="en-US"/>
              </w:rPr>
              <w:t>and territory</w:t>
            </w:r>
            <w:r w:rsidRPr="007904CA">
              <w:rPr>
                <w:lang w:eastAsia="en-US"/>
              </w:rPr>
              <w:t xml:space="preserve"> government</w:t>
            </w:r>
            <w:r>
              <w:rPr>
                <w:lang w:eastAsia="en-US"/>
              </w:rPr>
              <w:t>s</w:t>
            </w:r>
            <w:r w:rsidRPr="007904CA">
              <w:rPr>
                <w:lang w:eastAsia="en-US"/>
              </w:rPr>
              <w:t xml:space="preserve"> to initiate and maintain project</w:t>
            </w:r>
            <w:r>
              <w:rPr>
                <w:lang w:eastAsia="en-US"/>
              </w:rPr>
              <w:t>s</w:t>
            </w:r>
            <w:r w:rsidRPr="007904CA">
              <w:rPr>
                <w:lang w:eastAsia="en-US"/>
              </w:rPr>
              <w:t xml:space="preserve">. </w:t>
            </w:r>
          </w:p>
          <w:p w14:paraId="38789315" w14:textId="77777777" w:rsidR="0099326B" w:rsidRDefault="0099326B" w:rsidP="0099326B">
            <w:pPr>
              <w:pStyle w:val="BoxText"/>
              <w:rPr>
                <w:lang w:eastAsia="en-US"/>
              </w:rPr>
            </w:pPr>
            <w:r w:rsidRPr="007904CA">
              <w:rPr>
                <w:lang w:eastAsia="en-US"/>
              </w:rPr>
              <w:t>Initiatives</w:t>
            </w:r>
            <w:r>
              <w:rPr>
                <w:lang w:eastAsia="en-US"/>
              </w:rPr>
              <w:t xml:space="preserve"> </w:t>
            </w:r>
            <w:r w:rsidRPr="007904CA">
              <w:rPr>
                <w:lang w:eastAsia="en-US"/>
              </w:rPr>
              <w:t xml:space="preserve">such as the </w:t>
            </w:r>
            <w:r>
              <w:rPr>
                <w:lang w:eastAsia="en-US"/>
              </w:rPr>
              <w:t>Housing Australia Future Fund Facility (HAFFF)</w:t>
            </w:r>
            <w:r w:rsidRPr="007904CA">
              <w:rPr>
                <w:lang w:eastAsia="en-US"/>
              </w:rPr>
              <w:t xml:space="preserve"> can help bridge the funding gap. The </w:t>
            </w:r>
            <w:r w:rsidRPr="00EB3C8D">
              <w:rPr>
                <w:lang w:eastAsia="en-US"/>
              </w:rPr>
              <w:t>HAFF</w:t>
            </w:r>
            <w:r>
              <w:rPr>
                <w:lang w:eastAsia="en-US"/>
              </w:rPr>
              <w:t>F</w:t>
            </w:r>
            <w:r w:rsidRPr="007904CA">
              <w:rPr>
                <w:lang w:eastAsia="en-US"/>
              </w:rPr>
              <w:t xml:space="preserve"> provides disbursements from a</w:t>
            </w:r>
            <w:r>
              <w:rPr>
                <w:lang w:eastAsia="en-US"/>
              </w:rPr>
              <w:t>n</w:t>
            </w:r>
            <w:r w:rsidRPr="002D0BC3">
              <w:rPr>
                <w:bCs/>
                <w:lang w:eastAsia="en-US"/>
              </w:rPr>
              <w:t xml:space="preserve"> Australian Government</w:t>
            </w:r>
            <w:r w:rsidRPr="007904CA">
              <w:rPr>
                <w:lang w:eastAsia="en-US"/>
              </w:rPr>
              <w:t xml:space="preserve"> investment fund to deliver </w:t>
            </w:r>
            <w:r>
              <w:rPr>
                <w:lang w:eastAsia="en-US"/>
              </w:rPr>
              <w:t>subsidies in the form of availability payments for up to 25 years for social and affordable housing</w:t>
            </w:r>
            <w:r w:rsidRPr="007904CA">
              <w:rPr>
                <w:lang w:eastAsia="en-US"/>
              </w:rPr>
              <w:t xml:space="preserve">. </w:t>
            </w:r>
            <w:r>
              <w:rPr>
                <w:lang w:eastAsia="en-US"/>
              </w:rPr>
              <w:t xml:space="preserve">The </w:t>
            </w:r>
            <w:r w:rsidRPr="00EB3C8D">
              <w:rPr>
                <w:lang w:eastAsia="en-US"/>
              </w:rPr>
              <w:t>HAF</w:t>
            </w:r>
            <w:r>
              <w:rPr>
                <w:lang w:eastAsia="en-US"/>
              </w:rPr>
              <w:t>F</w:t>
            </w:r>
            <w:r w:rsidRPr="00EB3C8D">
              <w:rPr>
                <w:lang w:eastAsia="en-US"/>
              </w:rPr>
              <w:t>F</w:t>
            </w:r>
            <w:r>
              <w:rPr>
                <w:lang w:eastAsia="en-US"/>
              </w:rPr>
              <w:t xml:space="preserve"> also supports some projects through upfront capital grants. The National Housing Accord Facility (NHAF) also provides availability payments and grants to deliver affordable housing, funded by annual appropriations. </w:t>
            </w:r>
          </w:p>
          <w:p w14:paraId="05A55ACF" w14:textId="54360C09" w:rsidR="0099326B" w:rsidRPr="00EB3C8D" w:rsidRDefault="0099326B" w:rsidP="0099326B">
            <w:pPr>
              <w:pStyle w:val="BoxText"/>
              <w:rPr>
                <w:lang w:eastAsia="en-US"/>
              </w:rPr>
            </w:pPr>
            <w:r w:rsidRPr="662B34AB">
              <w:rPr>
                <w:lang w:eastAsia="en-US"/>
              </w:rPr>
              <w:t xml:space="preserve">State and territory governments have increasingly resorted to indirect incentives through the planning system to address the funding gap. This includes density bonuses for developments that contain a certain proportion of social and affordable dwellings. </w:t>
            </w:r>
          </w:p>
          <w:p w14:paraId="339963C8" w14:textId="4915E5EC" w:rsidR="0099326B" w:rsidRDefault="0099326B" w:rsidP="0099326B">
            <w:pPr>
              <w:pStyle w:val="BoxText"/>
              <w:rPr>
                <w:lang w:eastAsia="en-US"/>
              </w:rPr>
            </w:pPr>
            <w:r w:rsidRPr="007904CA">
              <w:rPr>
                <w:lang w:eastAsia="en-US"/>
              </w:rPr>
              <w:t xml:space="preserve">Bridging the funding gap is integral to the continued operation and maintenance of </w:t>
            </w:r>
            <w:r>
              <w:rPr>
                <w:lang w:eastAsia="en-US"/>
              </w:rPr>
              <w:t>non</w:t>
            </w:r>
            <w:r w:rsidR="00A15C79">
              <w:rPr>
                <w:lang w:eastAsia="en-US"/>
              </w:rPr>
              <w:noBreakHyphen/>
            </w:r>
            <w:r>
              <w:rPr>
                <w:lang w:eastAsia="en-US"/>
              </w:rPr>
              <w:t>market</w:t>
            </w:r>
            <w:r w:rsidRPr="007904CA">
              <w:rPr>
                <w:lang w:eastAsia="en-US"/>
              </w:rPr>
              <w:t xml:space="preserve"> housing</w:t>
            </w:r>
            <w:r>
              <w:rPr>
                <w:lang w:eastAsia="en-US"/>
              </w:rPr>
              <w:t>.</w:t>
            </w:r>
            <w:r w:rsidRPr="007904CA">
              <w:rPr>
                <w:lang w:eastAsia="en-US"/>
              </w:rPr>
              <w:t xml:space="preserve"> </w:t>
            </w:r>
            <w:r>
              <w:rPr>
                <w:lang w:eastAsia="en-US"/>
              </w:rPr>
              <w:t xml:space="preserve">However, </w:t>
            </w:r>
            <w:r w:rsidRPr="007904CA">
              <w:rPr>
                <w:lang w:eastAsia="en-US"/>
              </w:rPr>
              <w:t xml:space="preserve">new </w:t>
            </w:r>
            <w:r>
              <w:rPr>
                <w:lang w:eastAsia="en-US"/>
              </w:rPr>
              <w:t>non</w:t>
            </w:r>
            <w:r w:rsidR="00A15C79">
              <w:rPr>
                <w:lang w:eastAsia="en-US"/>
              </w:rPr>
              <w:noBreakHyphen/>
            </w:r>
            <w:r>
              <w:rPr>
                <w:lang w:eastAsia="en-US"/>
              </w:rPr>
              <w:t>market</w:t>
            </w:r>
            <w:r w:rsidRPr="007904CA">
              <w:rPr>
                <w:lang w:eastAsia="en-US"/>
              </w:rPr>
              <w:t xml:space="preserve"> housing developments </w:t>
            </w:r>
            <w:r>
              <w:rPr>
                <w:lang w:eastAsia="en-US"/>
              </w:rPr>
              <w:t>are also limited by</w:t>
            </w:r>
            <w:r w:rsidRPr="007904CA">
              <w:rPr>
                <w:lang w:eastAsia="en-US"/>
              </w:rPr>
              <w:t xml:space="preserve"> difficulties </w:t>
            </w:r>
            <w:r>
              <w:rPr>
                <w:lang w:eastAsia="en-US"/>
              </w:rPr>
              <w:t>in</w:t>
            </w:r>
            <w:r w:rsidRPr="007904CA">
              <w:rPr>
                <w:lang w:eastAsia="en-US"/>
              </w:rPr>
              <w:t xml:space="preserve"> accessing financ</w:t>
            </w:r>
            <w:r>
              <w:rPr>
                <w:lang w:eastAsia="en-US"/>
              </w:rPr>
              <w:t>e</w:t>
            </w:r>
            <w:r w:rsidRPr="007904CA">
              <w:rPr>
                <w:lang w:eastAsia="en-US"/>
              </w:rPr>
              <w:t xml:space="preserve"> from the private sector. Bank loans are often unsuitable for </w:t>
            </w:r>
            <w:r>
              <w:rPr>
                <w:lang w:eastAsia="en-US"/>
              </w:rPr>
              <w:t>community housing providers (CHPs)</w:t>
            </w:r>
            <w:r w:rsidRPr="007904CA">
              <w:rPr>
                <w:lang w:eastAsia="en-US"/>
              </w:rPr>
              <w:t xml:space="preserve"> </w:t>
            </w:r>
            <w:r>
              <w:rPr>
                <w:lang w:eastAsia="en-US"/>
              </w:rPr>
              <w:t>due to</w:t>
            </w:r>
            <w:r w:rsidRPr="00EB3C8D">
              <w:rPr>
                <w:lang w:eastAsia="en-US"/>
              </w:rPr>
              <w:t xml:space="preserve"> </w:t>
            </w:r>
            <w:r w:rsidRPr="007904CA">
              <w:rPr>
                <w:lang w:eastAsia="en-US"/>
              </w:rPr>
              <w:t xml:space="preserve">high interest rates </w:t>
            </w:r>
            <w:r>
              <w:rPr>
                <w:lang w:eastAsia="en-US"/>
              </w:rPr>
              <w:t>and</w:t>
            </w:r>
            <w:r w:rsidRPr="00EB3C8D">
              <w:rPr>
                <w:lang w:eastAsia="en-US"/>
              </w:rPr>
              <w:t xml:space="preserve"> </w:t>
            </w:r>
            <w:r w:rsidRPr="007904CA">
              <w:rPr>
                <w:lang w:eastAsia="en-US"/>
              </w:rPr>
              <w:t xml:space="preserve">relatively short terms </w:t>
            </w:r>
            <w:r>
              <w:rPr>
                <w:lang w:eastAsia="en-US"/>
              </w:rPr>
              <w:t>that</w:t>
            </w:r>
            <w:r w:rsidRPr="00EB3C8D">
              <w:rPr>
                <w:lang w:eastAsia="en-US"/>
              </w:rPr>
              <w:t xml:space="preserve"> </w:t>
            </w:r>
            <w:r w:rsidRPr="007904CA">
              <w:rPr>
                <w:lang w:eastAsia="en-US"/>
              </w:rPr>
              <w:t xml:space="preserve">do not match the asset life </w:t>
            </w:r>
            <w:r>
              <w:rPr>
                <w:lang w:eastAsia="en-US"/>
              </w:rPr>
              <w:t>of the</w:t>
            </w:r>
            <w:r w:rsidRPr="007904CA">
              <w:rPr>
                <w:lang w:eastAsia="en-US"/>
              </w:rPr>
              <w:t xml:space="preserve"> dwellings (typically beyond 35 years). </w:t>
            </w:r>
          </w:p>
          <w:p w14:paraId="7FD4972C" w14:textId="0AF7BAD8" w:rsidR="0099326B" w:rsidRDefault="0099326B" w:rsidP="0099326B">
            <w:pPr>
              <w:pStyle w:val="BoxText"/>
            </w:pPr>
            <w:r>
              <w:rPr>
                <w:lang w:eastAsia="en-US"/>
              </w:rPr>
              <w:t>F</w:t>
            </w:r>
            <w:r w:rsidRPr="007904CA">
              <w:rPr>
                <w:lang w:eastAsia="en-US"/>
              </w:rPr>
              <w:t xml:space="preserve">inancers are </w:t>
            </w:r>
            <w:r>
              <w:rPr>
                <w:lang w:eastAsia="en-US"/>
              </w:rPr>
              <w:t xml:space="preserve">also </w:t>
            </w:r>
            <w:r w:rsidRPr="007904CA">
              <w:rPr>
                <w:lang w:eastAsia="en-US"/>
              </w:rPr>
              <w:t xml:space="preserve">reluctant to take exposures in </w:t>
            </w:r>
            <w:r>
              <w:rPr>
                <w:lang w:eastAsia="en-US"/>
              </w:rPr>
              <w:t>non</w:t>
            </w:r>
            <w:r w:rsidR="00A15C79">
              <w:rPr>
                <w:lang w:eastAsia="en-US"/>
              </w:rPr>
              <w:noBreakHyphen/>
            </w:r>
            <w:r>
              <w:rPr>
                <w:lang w:eastAsia="en-US"/>
              </w:rPr>
              <w:t xml:space="preserve">market </w:t>
            </w:r>
            <w:r w:rsidRPr="007904CA">
              <w:rPr>
                <w:lang w:eastAsia="en-US"/>
              </w:rPr>
              <w:t>housing</w:t>
            </w:r>
            <w:r>
              <w:rPr>
                <w:lang w:eastAsia="en-US"/>
              </w:rPr>
              <w:t>. This</w:t>
            </w:r>
            <w:r w:rsidRPr="00EB3C8D">
              <w:rPr>
                <w:lang w:eastAsia="en-US"/>
              </w:rPr>
              <w:t xml:space="preserve"> reflect</w:t>
            </w:r>
            <w:r>
              <w:rPr>
                <w:lang w:eastAsia="en-US"/>
              </w:rPr>
              <w:t xml:space="preserve">s </w:t>
            </w:r>
            <w:r w:rsidRPr="007904CA">
              <w:rPr>
                <w:lang w:eastAsia="en-US"/>
              </w:rPr>
              <w:t>low rental yields, unfamiliarity with the sector, small pools of equity among providers, the small scale of developments, policy instability and administrative complexity</w:t>
            </w:r>
            <w:r>
              <w:rPr>
                <w:lang w:eastAsia="en-US"/>
              </w:rPr>
              <w:t xml:space="preserve"> (</w:t>
            </w:r>
            <w:r w:rsidR="00220B8F">
              <w:rPr>
                <w:lang w:eastAsia="en-US"/>
              </w:rPr>
              <w:t xml:space="preserve">The </w:t>
            </w:r>
            <w:r w:rsidRPr="002D0BC3">
              <w:rPr>
                <w:bCs/>
                <w:lang w:eastAsia="en-US"/>
              </w:rPr>
              <w:t>Australian Government</w:t>
            </w:r>
            <w:r>
              <w:rPr>
                <w:lang w:eastAsia="en-US"/>
              </w:rPr>
              <w:t xml:space="preserve"> 202</w:t>
            </w:r>
            <w:r w:rsidR="00722FAE">
              <w:rPr>
                <w:lang w:eastAsia="en-US"/>
              </w:rPr>
              <w:t>1</w:t>
            </w:r>
            <w:r>
              <w:rPr>
                <w:lang w:eastAsia="en-US"/>
              </w:rPr>
              <w:t>)</w:t>
            </w:r>
            <w:r w:rsidRPr="007904CA">
              <w:rPr>
                <w:lang w:eastAsia="en-US"/>
              </w:rPr>
              <w:t xml:space="preserve">. Government initiatives to assist in the financing of </w:t>
            </w:r>
            <w:r>
              <w:rPr>
                <w:lang w:eastAsia="en-US"/>
              </w:rPr>
              <w:t>non</w:t>
            </w:r>
            <w:r w:rsidR="00A15C79">
              <w:rPr>
                <w:lang w:eastAsia="en-US"/>
              </w:rPr>
              <w:noBreakHyphen/>
            </w:r>
            <w:r>
              <w:rPr>
                <w:lang w:eastAsia="en-US"/>
              </w:rPr>
              <w:t>market</w:t>
            </w:r>
            <w:r w:rsidRPr="007904CA">
              <w:rPr>
                <w:lang w:eastAsia="en-US"/>
              </w:rPr>
              <w:t xml:space="preserve"> housing include the Affordable Housing Bond Aggregator</w:t>
            </w:r>
            <w:r>
              <w:rPr>
                <w:lang w:eastAsia="en-US"/>
              </w:rPr>
              <w:t>, which provides low</w:t>
            </w:r>
            <w:r w:rsidR="00A15C79">
              <w:rPr>
                <w:lang w:eastAsia="en-US"/>
              </w:rPr>
              <w:noBreakHyphen/>
            </w:r>
            <w:r>
              <w:rPr>
                <w:lang w:eastAsia="en-US"/>
              </w:rPr>
              <w:t>cost finance to registered CHPs for non</w:t>
            </w:r>
            <w:r w:rsidR="00A15C79">
              <w:rPr>
                <w:lang w:eastAsia="en-US"/>
              </w:rPr>
              <w:noBreakHyphen/>
            </w:r>
            <w:r>
              <w:rPr>
                <w:lang w:eastAsia="en-US"/>
              </w:rPr>
              <w:t>market housin</w:t>
            </w:r>
            <w:r w:rsidRPr="009070C2">
              <w:rPr>
                <w:lang w:eastAsia="en-US"/>
              </w:rPr>
              <w:t>g</w:t>
            </w:r>
            <w:r>
              <w:rPr>
                <w:lang w:eastAsia="en-US"/>
              </w:rPr>
              <w:t xml:space="preserve"> projects. Funding is sourced from wholesale debt capital markets through the issuance of long</w:t>
            </w:r>
            <w:r w:rsidR="00A15C79">
              <w:rPr>
                <w:lang w:eastAsia="en-US"/>
              </w:rPr>
              <w:noBreakHyphen/>
            </w:r>
            <w:r>
              <w:rPr>
                <w:lang w:eastAsia="en-US"/>
              </w:rPr>
              <w:t xml:space="preserve">term social and sustainability bonds, and from a line of credit from the </w:t>
            </w:r>
            <w:r w:rsidRPr="002D0BC3">
              <w:rPr>
                <w:bCs/>
                <w:lang w:eastAsia="en-US"/>
              </w:rPr>
              <w:t>Australian Government</w:t>
            </w:r>
            <w:r>
              <w:rPr>
                <w:lang w:eastAsia="en-US"/>
              </w:rPr>
              <w:t xml:space="preserve">. Concessional loans are also available to eligible projects under the </w:t>
            </w:r>
            <w:r w:rsidRPr="00EB3C8D">
              <w:rPr>
                <w:lang w:eastAsia="en-US"/>
              </w:rPr>
              <w:t>HA</w:t>
            </w:r>
            <w:r>
              <w:rPr>
                <w:lang w:eastAsia="en-US"/>
              </w:rPr>
              <w:t>F</w:t>
            </w:r>
            <w:r w:rsidRPr="00EB3C8D">
              <w:rPr>
                <w:lang w:eastAsia="en-US"/>
              </w:rPr>
              <w:t>FF</w:t>
            </w:r>
            <w:r>
              <w:rPr>
                <w:lang w:eastAsia="en-US"/>
              </w:rPr>
              <w:t xml:space="preserve"> and NHAF</w:t>
            </w:r>
            <w:r w:rsidRPr="00EB3C8D">
              <w:rPr>
                <w:lang w:eastAsia="en-US"/>
              </w:rPr>
              <w:t xml:space="preserve"> </w:t>
            </w:r>
            <w:r>
              <w:rPr>
                <w:lang w:eastAsia="en-US"/>
              </w:rPr>
              <w:t>to assist in upfront financing.</w:t>
            </w:r>
          </w:p>
        </w:tc>
      </w:tr>
    </w:tbl>
    <w:p w14:paraId="3DAB2ECC" w14:textId="314DBA3C" w:rsidR="00791A68" w:rsidRPr="003350C8" w:rsidRDefault="00791A68" w:rsidP="0099326B">
      <w:pPr>
        <w:pStyle w:val="Heading2Numbered"/>
        <w:numPr>
          <w:ilvl w:val="1"/>
          <w:numId w:val="12"/>
        </w:numPr>
      </w:pPr>
      <w:bookmarkStart w:id="116" w:name="_Toc195026596"/>
      <w:bookmarkStart w:id="117" w:name="_Toc196395887"/>
      <w:r>
        <w:t>Homelessness indicators are</w:t>
      </w:r>
      <w:r w:rsidRPr="00EB3C8D">
        <w:t xml:space="preserve"> </w:t>
      </w:r>
      <w:r>
        <w:t>elevated, but</w:t>
      </w:r>
      <w:r w:rsidR="00DB6DE6">
        <w:t> </w:t>
      </w:r>
      <w:r w:rsidR="00722AD5">
        <w:t xml:space="preserve">are </w:t>
      </w:r>
      <w:r>
        <w:t xml:space="preserve">also likely </w:t>
      </w:r>
      <w:r w:rsidR="00722AD5">
        <w:t xml:space="preserve">to </w:t>
      </w:r>
      <w:r>
        <w:t>understate true homelessness</w:t>
      </w:r>
      <w:bookmarkEnd w:id="116"/>
      <w:bookmarkEnd w:id="117"/>
      <w:r>
        <w:t xml:space="preserve"> </w:t>
      </w:r>
    </w:p>
    <w:p w14:paraId="6B2F1FA0" w14:textId="75A132CB" w:rsidR="00791A68" w:rsidRDefault="00791A68">
      <w:pPr>
        <w:rPr>
          <w:rFonts w:cstheme="minorHAnsi"/>
        </w:rPr>
      </w:pPr>
      <w:r>
        <w:rPr>
          <w:rFonts w:cstheme="minorHAnsi"/>
        </w:rPr>
        <w:t xml:space="preserve">Homelessness </w:t>
      </w:r>
      <w:r w:rsidR="004B4168">
        <w:rPr>
          <w:rFonts w:cstheme="minorHAnsi"/>
        </w:rPr>
        <w:softHyphen/>
        <w:t>– the most extreme form of housing stress – </w:t>
      </w:r>
      <w:r>
        <w:rPr>
          <w:rFonts w:cstheme="minorHAnsi"/>
        </w:rPr>
        <w:t>is reported in the Census every 5 years</w:t>
      </w:r>
      <w:r w:rsidR="000C1A93">
        <w:rPr>
          <w:rFonts w:cstheme="minorHAnsi"/>
        </w:rPr>
        <w:t>.</w:t>
      </w:r>
      <w:r>
        <w:rPr>
          <w:rFonts w:cstheme="minorHAnsi"/>
        </w:rPr>
        <w:t xml:space="preserve"> </w:t>
      </w:r>
      <w:r w:rsidR="000C1A93">
        <w:rPr>
          <w:rFonts w:cstheme="minorHAnsi"/>
        </w:rPr>
        <w:t>The</w:t>
      </w:r>
      <w:r>
        <w:rPr>
          <w:rFonts w:cstheme="minorHAnsi"/>
        </w:rPr>
        <w:t xml:space="preserve"> 2021 Census show</w:t>
      </w:r>
      <w:r w:rsidR="000C1A93">
        <w:rPr>
          <w:rFonts w:cstheme="minorHAnsi"/>
        </w:rPr>
        <w:t>ed</w:t>
      </w:r>
      <w:r w:rsidR="00222867">
        <w:rPr>
          <w:rFonts w:cstheme="minorHAnsi"/>
        </w:rPr>
        <w:t xml:space="preserve"> that</w:t>
      </w:r>
      <w:r>
        <w:rPr>
          <w:rFonts w:cstheme="minorHAnsi"/>
        </w:rPr>
        <w:t xml:space="preserve"> </w:t>
      </w:r>
      <w:r w:rsidRPr="00EB3C8D">
        <w:rPr>
          <w:rFonts w:cstheme="minorHAnsi"/>
        </w:rPr>
        <w:t xml:space="preserve">122,000 </w:t>
      </w:r>
      <w:r w:rsidR="00035457">
        <w:rPr>
          <w:rFonts w:cstheme="minorHAnsi"/>
        </w:rPr>
        <w:t xml:space="preserve">people </w:t>
      </w:r>
      <w:r w:rsidR="000C1A93">
        <w:rPr>
          <w:rFonts w:cstheme="minorHAnsi"/>
        </w:rPr>
        <w:t>were</w:t>
      </w:r>
      <w:r w:rsidR="00F85D1A" w:rsidRPr="00EB3C8D">
        <w:rPr>
          <w:rFonts w:cstheme="minorHAnsi"/>
        </w:rPr>
        <w:t xml:space="preserve"> </w:t>
      </w:r>
      <w:r w:rsidRPr="00EB3C8D">
        <w:rPr>
          <w:rFonts w:cstheme="minorHAnsi"/>
        </w:rPr>
        <w:t>experiencing homelessness</w:t>
      </w:r>
      <w:r w:rsidR="00A06738">
        <w:rPr>
          <w:rFonts w:cstheme="minorHAnsi"/>
        </w:rPr>
        <w:t xml:space="preserve"> – </w:t>
      </w:r>
      <w:r>
        <w:rPr>
          <w:rFonts w:cstheme="minorHAnsi"/>
        </w:rPr>
        <w:t>a rate of 48 people per 10,000. To evaluate more recent conditions, this section assesses annual data for the number of specialist homelessness services provided to clients</w:t>
      </w:r>
      <w:r w:rsidR="008E4210">
        <w:rPr>
          <w:rFonts w:cstheme="minorHAnsi"/>
        </w:rPr>
        <w:t xml:space="preserve">. </w:t>
      </w:r>
    </w:p>
    <w:p w14:paraId="09DD1CF6" w14:textId="7D3D0BDA" w:rsidR="00791A68" w:rsidRPr="007904CA" w:rsidRDefault="00791A68">
      <w:pPr>
        <w:rPr>
          <w:rFonts w:cstheme="minorHAnsi"/>
        </w:rPr>
      </w:pPr>
      <w:r>
        <w:rPr>
          <w:rFonts w:cstheme="minorHAnsi"/>
        </w:rPr>
        <w:t>Specialist homelessness services offer c</w:t>
      </w:r>
      <w:r w:rsidRPr="00A50DA4">
        <w:rPr>
          <w:rFonts w:cstheme="minorHAnsi"/>
        </w:rPr>
        <w:t>risis and transitional housing</w:t>
      </w:r>
      <w:r w:rsidRPr="007904CA" w:rsidDel="00087676">
        <w:rPr>
          <w:rFonts w:cstheme="minorHAnsi"/>
        </w:rPr>
        <w:t xml:space="preserve"> </w:t>
      </w:r>
      <w:r>
        <w:rPr>
          <w:rFonts w:cstheme="minorHAnsi"/>
        </w:rPr>
        <w:t xml:space="preserve">to those </w:t>
      </w:r>
      <w:r w:rsidR="004B1ACC">
        <w:rPr>
          <w:rFonts w:cstheme="minorHAnsi"/>
        </w:rPr>
        <w:t xml:space="preserve">who are </w:t>
      </w:r>
      <w:r>
        <w:rPr>
          <w:rFonts w:cstheme="minorHAnsi"/>
        </w:rPr>
        <w:t>experiencing</w:t>
      </w:r>
      <w:r w:rsidDel="0005584D">
        <w:rPr>
          <w:rFonts w:cstheme="minorHAnsi"/>
        </w:rPr>
        <w:t xml:space="preserve"> </w:t>
      </w:r>
      <w:r w:rsidR="00EB720D">
        <w:rPr>
          <w:rFonts w:cstheme="minorHAnsi"/>
        </w:rPr>
        <w:t xml:space="preserve">– </w:t>
      </w:r>
      <w:r w:rsidR="0005584D">
        <w:rPr>
          <w:rFonts w:cstheme="minorHAnsi"/>
        </w:rPr>
        <w:t>or</w:t>
      </w:r>
      <w:r w:rsidR="001B275F">
        <w:rPr>
          <w:rFonts w:cstheme="minorHAnsi"/>
        </w:rPr>
        <w:t xml:space="preserve"> who are </w:t>
      </w:r>
      <w:r w:rsidR="00EC0035">
        <w:rPr>
          <w:rFonts w:cstheme="minorHAnsi"/>
        </w:rPr>
        <w:t xml:space="preserve">at </w:t>
      </w:r>
      <w:r>
        <w:rPr>
          <w:rFonts w:cstheme="minorHAnsi"/>
        </w:rPr>
        <w:t>a high risk of experiencing</w:t>
      </w:r>
      <w:r w:rsidR="001B275F">
        <w:rPr>
          <w:rFonts w:cstheme="minorHAnsi"/>
        </w:rPr>
        <w:t xml:space="preserve"> </w:t>
      </w:r>
      <w:r w:rsidR="00EB720D">
        <w:rPr>
          <w:rFonts w:cstheme="minorHAnsi"/>
        </w:rPr>
        <w:t xml:space="preserve">– </w:t>
      </w:r>
      <w:r>
        <w:rPr>
          <w:rFonts w:cstheme="minorHAnsi"/>
        </w:rPr>
        <w:t xml:space="preserve">homelessness. Homelessness services </w:t>
      </w:r>
      <w:r w:rsidR="0005584D">
        <w:rPr>
          <w:rFonts w:cstheme="minorHAnsi"/>
        </w:rPr>
        <w:t xml:space="preserve">also </w:t>
      </w:r>
      <w:r w:rsidR="001B275F">
        <w:rPr>
          <w:rFonts w:cstheme="minorHAnsi"/>
        </w:rPr>
        <w:t>p</w:t>
      </w:r>
      <w:r>
        <w:rPr>
          <w:rFonts w:cstheme="minorHAnsi"/>
        </w:rPr>
        <w:t xml:space="preserve">rovide temporary shelter to clients </w:t>
      </w:r>
      <w:r w:rsidR="00432E5B">
        <w:rPr>
          <w:rFonts w:cstheme="minorHAnsi"/>
        </w:rPr>
        <w:t xml:space="preserve">who need </w:t>
      </w:r>
      <w:r>
        <w:rPr>
          <w:rFonts w:cstheme="minorHAnsi"/>
        </w:rPr>
        <w:t>more secure housing</w:t>
      </w:r>
      <w:r w:rsidDel="001B275F">
        <w:rPr>
          <w:rFonts w:cstheme="minorHAnsi"/>
        </w:rPr>
        <w:t xml:space="preserve"> </w:t>
      </w:r>
      <w:r w:rsidR="0005584D">
        <w:rPr>
          <w:rFonts w:cstheme="minorHAnsi"/>
        </w:rPr>
        <w:t>and</w:t>
      </w:r>
      <w:r>
        <w:rPr>
          <w:rFonts w:cstheme="minorHAnsi"/>
        </w:rPr>
        <w:t xml:space="preserve"> support services, including homelessness prevention support</w:t>
      </w:r>
      <w:r w:rsidRPr="00EB3C8D">
        <w:rPr>
          <w:rFonts w:cstheme="minorHAnsi"/>
        </w:rPr>
        <w:t>.</w:t>
      </w:r>
    </w:p>
    <w:p w14:paraId="02ACC923" w14:textId="4401E450" w:rsidR="00791A68" w:rsidRDefault="00791A68" w:rsidP="00DB6DE6">
      <w:r>
        <w:lastRenderedPageBreak/>
        <w:t>The number of clients accessing specialist homelessness services rose slightly in 2023</w:t>
      </w:r>
      <w:r w:rsidR="006C6EA5">
        <w:t>–</w:t>
      </w:r>
      <w:r>
        <w:t>24 to 280,000, although as a ratio of the population</w:t>
      </w:r>
      <w:r w:rsidR="006C6EA5">
        <w:t>,</w:t>
      </w:r>
      <w:r>
        <w:t xml:space="preserve"> it remained steady at 105 clients per 10,000 (</w:t>
      </w:r>
      <w:r w:rsidR="00CB4298">
        <w:t xml:space="preserve">see </w:t>
      </w:r>
      <w:r>
        <w:t xml:space="preserve">Chart 3.1). </w:t>
      </w:r>
      <w:r w:rsidRPr="00EB3C8D">
        <w:t>While th</w:t>
      </w:r>
      <w:r>
        <w:t>e number of clients supported as a proportion of the Australian population has fallen slightly over the past 5 years (</w:t>
      </w:r>
      <w:r w:rsidR="00CB4298">
        <w:t xml:space="preserve">see </w:t>
      </w:r>
      <w:r>
        <w:t>Chart 3.1)</w:t>
      </w:r>
      <w:r w:rsidRPr="00EB3C8D">
        <w:t>,</w:t>
      </w:r>
      <w:r>
        <w:t xml:space="preserve"> it is important to note that this data only captures clients </w:t>
      </w:r>
      <w:r w:rsidR="00CB4298">
        <w:t xml:space="preserve">who </w:t>
      </w:r>
      <w:r w:rsidR="00D94E61">
        <w:t xml:space="preserve">have been assisted or assessed by </w:t>
      </w:r>
      <w:r>
        <w:t>homelessness services. Providers of specialist homelessness services indicate that many people who require homelessness services are unable to access them due to service providers operating at capacity (</w:t>
      </w:r>
      <w:r w:rsidR="003B32A5">
        <w:t xml:space="preserve">Jackson </w:t>
      </w:r>
      <w:r w:rsidR="00C1165C">
        <w:t>and</w:t>
      </w:r>
      <w:r w:rsidR="003B32A5">
        <w:t xml:space="preserve"> Blane</w:t>
      </w:r>
      <w:r>
        <w:t xml:space="preserve"> 2024). </w:t>
      </w:r>
      <w:r w:rsidRPr="00CA593E">
        <w:t>For example, the number of unassisted requests for specialist homelessness services was 15</w:t>
      </w:r>
      <w:r w:rsidR="0099326B">
        <w:t> per cent</w:t>
      </w:r>
      <w:r w:rsidRPr="00CA593E">
        <w:t xml:space="preserve"> higher in 2023</w:t>
      </w:r>
      <w:r w:rsidR="00CA6701">
        <w:t>–</w:t>
      </w:r>
      <w:r w:rsidRPr="00CA593E">
        <w:t>24 than in 2019</w:t>
      </w:r>
      <w:r w:rsidR="00CA6701">
        <w:t>–</w:t>
      </w:r>
      <w:r w:rsidRPr="00CA593E">
        <w:t xml:space="preserve">20. As such, the fall in </w:t>
      </w:r>
      <w:r w:rsidR="00687B02">
        <w:t xml:space="preserve">the </w:t>
      </w:r>
      <w:r>
        <w:t>number of</w:t>
      </w:r>
      <w:r w:rsidR="00687B02">
        <w:t xml:space="preserve"> </w:t>
      </w:r>
      <w:r w:rsidRPr="00CA593E">
        <w:t xml:space="preserve">clients supported </w:t>
      </w:r>
      <w:r>
        <w:t>as a proportion of the Australian population</w:t>
      </w:r>
      <w:r w:rsidRPr="00EB3C8D">
        <w:t xml:space="preserve"> </w:t>
      </w:r>
      <w:r w:rsidRPr="00CA593E">
        <w:t>since 2019</w:t>
      </w:r>
      <w:r w:rsidR="00687B02">
        <w:t>–</w:t>
      </w:r>
      <w:r w:rsidRPr="00CA593E">
        <w:t xml:space="preserve">20 may not necessarily reflect a fall in the underlying level of, or </w:t>
      </w:r>
      <w:r w:rsidR="00D21C56">
        <w:t xml:space="preserve">number of </w:t>
      </w:r>
      <w:r w:rsidRPr="00CA593E">
        <w:t>people at risk of, homelessness.</w:t>
      </w:r>
      <w:r w:rsidRPr="007904CA">
        <w:t xml:space="preserve"> </w:t>
      </w:r>
    </w:p>
    <w:tbl>
      <w:tblPr>
        <w:tblStyle w:val="SidebySideChartTable"/>
        <w:tblW w:w="5000" w:type="pct"/>
        <w:tblCellMar>
          <w:left w:w="108" w:type="dxa"/>
          <w:right w:w="108" w:type="dxa"/>
        </w:tblCellMar>
        <w:tblLook w:val="04A0" w:firstRow="1" w:lastRow="0" w:firstColumn="1" w:lastColumn="0" w:noHBand="0" w:noVBand="1"/>
      </w:tblPr>
      <w:tblGrid>
        <w:gridCol w:w="4535"/>
        <w:gridCol w:w="4535"/>
      </w:tblGrid>
      <w:tr w:rsidR="00791A68" w:rsidRPr="007904CA" w14:paraId="3A012414" w14:textId="77777777" w:rsidTr="00DB6DE6">
        <w:tc>
          <w:tcPr>
            <w:tcW w:w="4785" w:type="dxa"/>
          </w:tcPr>
          <w:p w14:paraId="39ACE6EF" w14:textId="77777777" w:rsidR="00791A68" w:rsidRPr="00FA03D2" w:rsidRDefault="00791A68" w:rsidP="001B4EAF">
            <w:pPr>
              <w:pStyle w:val="ChartMainHeading"/>
            </w:pPr>
            <w:r w:rsidRPr="00FA03D2">
              <w:t>Homelessness services</w:t>
            </w:r>
          </w:p>
        </w:tc>
        <w:tc>
          <w:tcPr>
            <w:tcW w:w="4285" w:type="dxa"/>
          </w:tcPr>
          <w:p w14:paraId="3924208A" w14:textId="77777777" w:rsidR="00791A68" w:rsidRPr="007904CA" w:rsidRDefault="00791A68" w:rsidP="001B4EAF">
            <w:pPr>
              <w:pStyle w:val="ChartMainHeading"/>
            </w:pPr>
            <w:r>
              <w:t>Persistent homelessness</w:t>
            </w:r>
          </w:p>
        </w:tc>
      </w:tr>
      <w:tr w:rsidR="00791A68" w:rsidRPr="007904CA" w14:paraId="522840EB" w14:textId="77777777" w:rsidTr="00DB6DE6">
        <w:trPr>
          <w:trHeight w:val="3402"/>
        </w:trPr>
        <w:tc>
          <w:tcPr>
            <w:tcW w:w="4785" w:type="dxa"/>
          </w:tcPr>
          <w:p w14:paraId="58D1D3DA" w14:textId="17A0AEBA" w:rsidR="00791A68" w:rsidRPr="0099326B" w:rsidRDefault="00817937" w:rsidP="0099326B">
            <w:pPr>
              <w:pStyle w:val="ChartGraphic"/>
            </w:pPr>
            <w:r w:rsidRPr="00817937">
              <w:rPr>
                <w:noProof/>
              </w:rPr>
              <w:drawing>
                <wp:inline distT="0" distB="0" distL="0" distR="0" wp14:anchorId="52D9AD9E" wp14:editId="4645C04F">
                  <wp:extent cx="2802194" cy="2802194"/>
                  <wp:effectExtent l="0" t="0" r="0" b="0"/>
                  <wp:docPr id="133333771" name="Picture 1" descr="Chart 3.1 is a bar chart that shows the number of clients who have accessed specialist homelessness services over the financial years 2019-20 to 2023-24. It also shows the number of clients who have accessed specialist homelessness services per 10,000 persons. The number of clients declined from around 290,000 in 2019-20 to around 273,000 in 2021-22, before rising again to around 280,000 in 2023-24. The number of clients per 10,000 persons declined from 114.6 to 105.1 clients per 10,000 persons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33771" name="Picture 1" descr="Chart 3.1 is a bar chart that shows the number of clients who have accessed specialist homelessness services over the financial years 2019-20 to 2023-24. It also shows the number of clients who have accessed specialist homelessness services per 10,000 persons. The number of clients declined from around 290,000 in 2019-20 to around 273,000 in 2021-22, before rising again to around 280,000 in 2023-24. The number of clients per 10,000 persons declined from 114.6 to 105.1 clients per 10,000 persons in 2023-2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05540" cy="2805540"/>
                          </a:xfrm>
                          <a:prstGeom prst="rect">
                            <a:avLst/>
                          </a:prstGeom>
                          <a:noFill/>
                          <a:ln>
                            <a:noFill/>
                          </a:ln>
                        </pic:spPr>
                      </pic:pic>
                    </a:graphicData>
                  </a:graphic>
                </wp:inline>
              </w:drawing>
            </w:r>
          </w:p>
        </w:tc>
        <w:tc>
          <w:tcPr>
            <w:tcW w:w="4285" w:type="dxa"/>
          </w:tcPr>
          <w:p w14:paraId="04B94211" w14:textId="0A5BCAFF" w:rsidR="00791A68" w:rsidRPr="0099326B" w:rsidRDefault="000A248C" w:rsidP="0099326B">
            <w:pPr>
              <w:pStyle w:val="ChartGraphic"/>
            </w:pPr>
            <w:r w:rsidRPr="000A248C">
              <w:rPr>
                <w:noProof/>
              </w:rPr>
              <w:drawing>
                <wp:inline distT="0" distB="0" distL="0" distR="0" wp14:anchorId="21BFC124" wp14:editId="3AF58B9E">
                  <wp:extent cx="2801620" cy="2801620"/>
                  <wp:effectExtent l="0" t="0" r="0" b="0"/>
                  <wp:docPr id="1350563382" name="Picture 2" descr="Chart 3.2 is a bar chart that shows the number of clients accessing specialist homelessness services who experienced persistent homelessness, for the financial years 2019-20 to 2023-24. The chart shows the total for all clients, and for Aboriginal and Torres Strait Islander clients. The total number of clients experiencing persistent homelessness increased in each financial year, from around 30,300 in 2019-20 to around 37,800 in 2023-24. For Aboriginal and Torres Strait Islander clients, the number of clients experiencing persistent homelessness increased from around 8,600 in 2019-20 to around 12,500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563382" name="Picture 2" descr="Chart 3.2 is a bar chart that shows the number of clients accessing specialist homelessness services who experienced persistent homelessness, for the financial years 2019-20 to 2023-24. The chart shows the total for all clients, and for Aboriginal and Torres Strait Islander clients. The total number of clients experiencing persistent homelessness increased in each financial year, from around 30,300 in 2019-20 to around 37,800 in 2023-24. For Aboriginal and Torres Strait Islander clients, the number of clients experiencing persistent homelessness increased from around 8,600 in 2019-20 to around 12,500 in 2023-2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09174" cy="2809174"/>
                          </a:xfrm>
                          <a:prstGeom prst="rect">
                            <a:avLst/>
                          </a:prstGeom>
                          <a:noFill/>
                          <a:ln>
                            <a:noFill/>
                          </a:ln>
                        </pic:spPr>
                      </pic:pic>
                    </a:graphicData>
                  </a:graphic>
                </wp:inline>
              </w:drawing>
            </w:r>
          </w:p>
        </w:tc>
      </w:tr>
      <w:tr w:rsidR="00791A68" w:rsidRPr="007904CA" w14:paraId="769037AD" w14:textId="77777777" w:rsidTr="00DB6DE6">
        <w:trPr>
          <w:trHeight w:val="403"/>
        </w:trPr>
        <w:tc>
          <w:tcPr>
            <w:tcW w:w="4785" w:type="dxa"/>
          </w:tcPr>
          <w:p w14:paraId="29BA2BB3" w14:textId="13C356A3" w:rsidR="00791A68" w:rsidRDefault="00791A68" w:rsidP="00DB6DE6">
            <w:pPr>
              <w:pStyle w:val="ChartorTableNoteandSource"/>
            </w:pPr>
            <w:r w:rsidRPr="0099326B">
              <w:t>Note:</w:t>
            </w:r>
            <w:r w:rsidR="00DB6DE6">
              <w:tab/>
            </w:r>
            <w:r w:rsidRPr="0099326B">
              <w:t>Clients receiving homelessness support services.</w:t>
            </w:r>
          </w:p>
          <w:p w14:paraId="6D4F60CB" w14:textId="6E55A464" w:rsidR="004E25BA" w:rsidRPr="004E25BA" w:rsidRDefault="004E25BA" w:rsidP="004E25BA">
            <w:pPr>
              <w:pStyle w:val="ChartorTableNoteandSource"/>
            </w:pPr>
            <w:r w:rsidRPr="0099326B">
              <w:t>Source:</w:t>
            </w:r>
            <w:r>
              <w:tab/>
            </w:r>
            <w:r w:rsidRPr="0099326B">
              <w:t>Australian Institute of Health and Welfare 2024</w:t>
            </w:r>
          </w:p>
        </w:tc>
        <w:tc>
          <w:tcPr>
            <w:tcW w:w="4285" w:type="dxa"/>
          </w:tcPr>
          <w:p w14:paraId="1EC4F832" w14:textId="77777777" w:rsidR="00791A68" w:rsidRDefault="00791A68" w:rsidP="00DB6DE6">
            <w:pPr>
              <w:pStyle w:val="ChartorTableNoteandSource"/>
            </w:pPr>
            <w:r w:rsidRPr="0099326B">
              <w:t>Note:</w:t>
            </w:r>
            <w:r w:rsidR="00DB6DE6">
              <w:tab/>
            </w:r>
            <w:r w:rsidRPr="0099326B">
              <w:t>Clients experiencing persistent homelessness.</w:t>
            </w:r>
          </w:p>
          <w:p w14:paraId="19413B64" w14:textId="5691C3AA" w:rsidR="004E25BA" w:rsidRPr="004E25BA" w:rsidRDefault="004E25BA" w:rsidP="004E25BA">
            <w:pPr>
              <w:pStyle w:val="ChartorTableNoteandSource"/>
            </w:pPr>
            <w:r w:rsidRPr="0099326B">
              <w:t>Source:</w:t>
            </w:r>
            <w:r>
              <w:tab/>
            </w:r>
            <w:r w:rsidRPr="0099326B">
              <w:t>Australian Institute of Health and Welfare 2024</w:t>
            </w:r>
          </w:p>
        </w:tc>
      </w:tr>
    </w:tbl>
    <w:p w14:paraId="15B4EB93" w14:textId="4BC2D047" w:rsidR="00791A68" w:rsidRPr="007904CA" w:rsidRDefault="007F5E50" w:rsidP="00DB6DE6">
      <w:r>
        <w:t>Women</w:t>
      </w:r>
      <w:r w:rsidR="00791A68" w:rsidRPr="007904CA">
        <w:t xml:space="preserve">, children and </w:t>
      </w:r>
      <w:r w:rsidR="0099326B">
        <w:t>First Nations</w:t>
      </w:r>
      <w:r w:rsidR="00791A68" w:rsidRPr="007904CA">
        <w:t xml:space="preserve"> people </w:t>
      </w:r>
      <w:r w:rsidR="00F12318">
        <w:t xml:space="preserve">are </w:t>
      </w:r>
      <w:r w:rsidR="00791A68">
        <w:t xml:space="preserve">disproportionately </w:t>
      </w:r>
      <w:r w:rsidR="00F12318">
        <w:t xml:space="preserve">more likely to </w:t>
      </w:r>
      <w:r w:rsidR="00791A68">
        <w:t>access homelessness services.</w:t>
      </w:r>
      <w:r w:rsidR="00791A68" w:rsidRPr="007904CA">
        <w:t xml:space="preserve"> Of those who accessed services</w:t>
      </w:r>
      <w:r w:rsidR="00791A68">
        <w:t xml:space="preserve"> in 2023</w:t>
      </w:r>
      <w:r>
        <w:t>–</w:t>
      </w:r>
      <w:r w:rsidR="00791A68">
        <w:t>24</w:t>
      </w:r>
      <w:r w:rsidR="00791A68" w:rsidRPr="007904CA">
        <w:t>, 60</w:t>
      </w:r>
      <w:r w:rsidR="0099326B">
        <w:t> per cent</w:t>
      </w:r>
      <w:r w:rsidR="00791A68" w:rsidRPr="007904CA">
        <w:t xml:space="preserve"> </w:t>
      </w:r>
      <w:r w:rsidR="00791A68">
        <w:t>were</w:t>
      </w:r>
      <w:r w:rsidR="00791A68" w:rsidRPr="007904CA">
        <w:t xml:space="preserve"> </w:t>
      </w:r>
      <w:r w:rsidR="0088508C">
        <w:t>females</w:t>
      </w:r>
      <w:r w:rsidR="00791A68" w:rsidRPr="007904CA">
        <w:t>, 41</w:t>
      </w:r>
      <w:r w:rsidR="0099326B">
        <w:t> per cent</w:t>
      </w:r>
      <w:r w:rsidR="00791A68" w:rsidRPr="007904CA">
        <w:t xml:space="preserve"> </w:t>
      </w:r>
      <w:r w:rsidR="00791A68">
        <w:t>were</w:t>
      </w:r>
      <w:r w:rsidR="00791A68" w:rsidRPr="007904CA">
        <w:t xml:space="preserve"> children or </w:t>
      </w:r>
      <w:r w:rsidR="00F12318" w:rsidRPr="007904CA">
        <w:t>you</w:t>
      </w:r>
      <w:r w:rsidR="00F12318">
        <w:t>ng people</w:t>
      </w:r>
      <w:r w:rsidR="00F12318" w:rsidRPr="00EB3C8D">
        <w:t xml:space="preserve"> </w:t>
      </w:r>
      <w:r w:rsidR="00791A68" w:rsidRPr="00EB3C8D">
        <w:t>(</w:t>
      </w:r>
      <w:r w:rsidR="00904E58">
        <w:t>under the age of 2</w:t>
      </w:r>
      <w:r w:rsidR="00A728D3">
        <w:t>5</w:t>
      </w:r>
      <w:r w:rsidR="00791A68" w:rsidRPr="00EB3C8D">
        <w:t>)</w:t>
      </w:r>
      <w:r w:rsidR="00791A68">
        <w:t xml:space="preserve"> and</w:t>
      </w:r>
      <w:r w:rsidR="00791A68" w:rsidRPr="007904CA">
        <w:t xml:space="preserve"> 34</w:t>
      </w:r>
      <w:r w:rsidR="0099326B">
        <w:t> per cent</w:t>
      </w:r>
      <w:r w:rsidR="00791A68">
        <w:t xml:space="preserve"> </w:t>
      </w:r>
      <w:r w:rsidR="00791A68" w:rsidRPr="007904CA">
        <w:t>live</w:t>
      </w:r>
      <w:r w:rsidR="00791A68">
        <w:t>d</w:t>
      </w:r>
      <w:r w:rsidR="00791A68" w:rsidRPr="007904CA">
        <w:t xml:space="preserve"> </w:t>
      </w:r>
      <w:r w:rsidR="00225FE6">
        <w:t xml:space="preserve">as part of </w:t>
      </w:r>
      <w:r w:rsidR="00791A68" w:rsidRPr="007904CA">
        <w:t>single</w:t>
      </w:r>
      <w:r w:rsidR="00A15C79">
        <w:noBreakHyphen/>
      </w:r>
      <w:r w:rsidR="00791A68" w:rsidRPr="007904CA">
        <w:t>parent families</w:t>
      </w:r>
      <w:r w:rsidR="00791A68">
        <w:t>. Since 2019</w:t>
      </w:r>
      <w:r w:rsidR="00855D04">
        <w:t>–</w:t>
      </w:r>
      <w:r w:rsidR="00791A68">
        <w:t>20, the</w:t>
      </w:r>
      <w:r w:rsidR="00791A68" w:rsidRPr="007904CA">
        <w:t xml:space="preserve"> number of </w:t>
      </w:r>
      <w:r w:rsidR="0082392C">
        <w:t>First Nations</w:t>
      </w:r>
      <w:r w:rsidR="00791A68" w:rsidRPr="007904CA">
        <w:t xml:space="preserve"> clients has grown by </w:t>
      </w:r>
      <w:r w:rsidR="00791A68" w:rsidRPr="00EB3C8D">
        <w:t>9.4</w:t>
      </w:r>
      <w:r w:rsidR="0099326B">
        <w:t> per cent</w:t>
      </w:r>
      <w:r w:rsidR="00791A68" w:rsidRPr="00EB3C8D">
        <w:t>,</w:t>
      </w:r>
      <w:r w:rsidR="00791A68" w:rsidRPr="007904CA">
        <w:t xml:space="preserve"> compared to a fall of </w:t>
      </w:r>
      <w:r w:rsidR="00791A68">
        <w:t>1</w:t>
      </w:r>
      <w:r w:rsidR="00791A68" w:rsidRPr="007904CA">
        <w:t>.</w:t>
      </w:r>
      <w:r w:rsidR="00791A68" w:rsidRPr="00EB3C8D">
        <w:t>5</w:t>
      </w:r>
      <w:r w:rsidR="0099326B">
        <w:t> per cent</w:t>
      </w:r>
      <w:r w:rsidR="00791A68" w:rsidRPr="007904CA">
        <w:t xml:space="preserve"> for non</w:t>
      </w:r>
      <w:r w:rsidR="00A15C79">
        <w:noBreakHyphen/>
      </w:r>
      <w:r w:rsidR="00791A68" w:rsidRPr="007904CA">
        <w:t xml:space="preserve">Indigenous clients. Aboriginal and </w:t>
      </w:r>
      <w:r w:rsidR="0099326B">
        <w:t>Torres Strait</w:t>
      </w:r>
      <w:r w:rsidR="00791A68" w:rsidRPr="007904CA">
        <w:t xml:space="preserve"> Islander</w:t>
      </w:r>
      <w:r w:rsidR="00855D04">
        <w:t xml:space="preserve"> people</w:t>
      </w:r>
      <w:r w:rsidR="00791A68">
        <w:t xml:space="preserve"> now </w:t>
      </w:r>
      <w:r w:rsidR="00791A68" w:rsidRPr="007904CA">
        <w:t>represent 29</w:t>
      </w:r>
      <w:r w:rsidR="0099326B">
        <w:t> per cent</w:t>
      </w:r>
      <w:r w:rsidR="00791A68" w:rsidRPr="007904CA">
        <w:t xml:space="preserve"> of clients</w:t>
      </w:r>
      <w:r w:rsidR="00791A68">
        <w:t xml:space="preserve"> accessing homelessness services</w:t>
      </w:r>
      <w:r w:rsidR="00791A68" w:rsidRPr="00EB3C8D">
        <w:t>, excluding clients with Indigenous status not stated</w:t>
      </w:r>
      <w:r w:rsidR="00791A68">
        <w:t xml:space="preserve"> (see </w:t>
      </w:r>
      <w:r w:rsidR="00791A68" w:rsidRPr="003874F8">
        <w:t>Chapter 6</w:t>
      </w:r>
      <w:r w:rsidR="00F8747A" w:rsidRPr="003874F8">
        <w:t>,</w:t>
      </w:r>
      <w:r w:rsidR="00791A68">
        <w:t xml:space="preserve"> </w:t>
      </w:r>
      <w:r w:rsidR="0099326B" w:rsidRPr="00DB6DE6">
        <w:rPr>
          <w:rStyle w:val="Emphasis"/>
        </w:rPr>
        <w:t>First Nations</w:t>
      </w:r>
      <w:r w:rsidR="00791A68" w:rsidRPr="00DB6DE6">
        <w:rPr>
          <w:rStyle w:val="Emphasis"/>
        </w:rPr>
        <w:t xml:space="preserve"> housing</w:t>
      </w:r>
      <w:r w:rsidR="00791A68">
        <w:t>)</w:t>
      </w:r>
      <w:r w:rsidR="00791A68" w:rsidRPr="007904CA">
        <w:t xml:space="preserve">. </w:t>
      </w:r>
    </w:p>
    <w:p w14:paraId="58BE2677" w14:textId="40DC70DA" w:rsidR="00791A68" w:rsidRDefault="00791A68" w:rsidP="00DB6DE6">
      <w:r w:rsidRPr="007904CA">
        <w:t xml:space="preserve">Persistent homelessness </w:t>
      </w:r>
      <w:r>
        <w:t>rose</w:t>
      </w:r>
      <w:r w:rsidRPr="007904CA">
        <w:t xml:space="preserve"> over the past </w:t>
      </w:r>
      <w:r>
        <w:t>5</w:t>
      </w:r>
      <w:r w:rsidRPr="007904CA">
        <w:t xml:space="preserve"> years, </w:t>
      </w:r>
      <w:r>
        <w:t>particularly</w:t>
      </w:r>
      <w:r w:rsidRPr="007904CA">
        <w:t xml:space="preserve"> for </w:t>
      </w:r>
      <w:r>
        <w:t>cl</w:t>
      </w:r>
      <w:r w:rsidR="00D9099D">
        <w:t>i</w:t>
      </w:r>
      <w:r>
        <w:t xml:space="preserve">ents </w:t>
      </w:r>
      <w:r w:rsidR="00A63446">
        <w:t>younger than</w:t>
      </w:r>
      <w:r>
        <w:t xml:space="preserve"> 25, and women and children affected by family and domestic violence (AIHW 2024</w:t>
      </w:r>
      <w:r w:rsidR="005C58E2">
        <w:t>b</w:t>
      </w:r>
      <w:r>
        <w:t xml:space="preserve">). The number of </w:t>
      </w:r>
      <w:r w:rsidRPr="007904CA">
        <w:t xml:space="preserve">Aboriginal and </w:t>
      </w:r>
      <w:r w:rsidR="0099326B">
        <w:t>Torres Strait</w:t>
      </w:r>
      <w:r w:rsidRPr="007904CA">
        <w:t xml:space="preserve"> Islander </w:t>
      </w:r>
      <w:r>
        <w:t xml:space="preserve">clients experiencing persistent homelessness has also risen by </w:t>
      </w:r>
      <w:r w:rsidRPr="00EB3C8D">
        <w:t>46</w:t>
      </w:r>
      <w:r w:rsidR="0099326B">
        <w:t> per cent</w:t>
      </w:r>
      <w:r>
        <w:t xml:space="preserve"> since 2019</w:t>
      </w:r>
      <w:r w:rsidR="00695FAF">
        <w:t>–</w:t>
      </w:r>
      <w:r>
        <w:t xml:space="preserve">20, compared to </w:t>
      </w:r>
      <w:r w:rsidRPr="00EB3C8D">
        <w:t>25</w:t>
      </w:r>
      <w:r w:rsidR="0099326B">
        <w:t> per cent</w:t>
      </w:r>
      <w:r>
        <w:t xml:space="preserve"> for all clients</w:t>
      </w:r>
      <w:r w:rsidRPr="007904CA">
        <w:t xml:space="preserve"> </w:t>
      </w:r>
      <w:r>
        <w:t>(</w:t>
      </w:r>
      <w:r w:rsidR="00695FAF">
        <w:t xml:space="preserve">see </w:t>
      </w:r>
      <w:r>
        <w:t>Chart 3.2).</w:t>
      </w:r>
      <w:r w:rsidRPr="007904CA">
        <w:t xml:space="preserve"> </w:t>
      </w:r>
    </w:p>
    <w:p w14:paraId="11D688B0" w14:textId="77777777" w:rsidR="00791A68" w:rsidRPr="007904CA" w:rsidRDefault="00791A68">
      <w:pPr>
        <w:pStyle w:val="Heading2Numbered"/>
        <w:rPr>
          <w:rFonts w:asciiTheme="minorHAnsi" w:hAnsiTheme="minorHAnsi" w:cstheme="minorHAnsi"/>
        </w:rPr>
      </w:pPr>
      <w:bookmarkStart w:id="118" w:name="_Toc195026597"/>
      <w:bookmarkStart w:id="119" w:name="_Toc196395888"/>
      <w:r>
        <w:rPr>
          <w:rFonts w:asciiTheme="minorHAnsi" w:hAnsiTheme="minorHAnsi" w:cstheme="minorHAnsi"/>
        </w:rPr>
        <w:lastRenderedPageBreak/>
        <w:t>The stock of s</w:t>
      </w:r>
      <w:r w:rsidRPr="007904CA">
        <w:rPr>
          <w:rFonts w:asciiTheme="minorHAnsi" w:hAnsiTheme="minorHAnsi" w:cstheme="minorHAnsi"/>
        </w:rPr>
        <w:t>ocial housing</w:t>
      </w:r>
      <w:r>
        <w:rPr>
          <w:rFonts w:asciiTheme="minorHAnsi" w:hAnsiTheme="minorHAnsi" w:cstheme="minorHAnsi"/>
        </w:rPr>
        <w:t xml:space="preserve"> has increased, but has fallen as a share of total dwellings</w:t>
      </w:r>
      <w:bookmarkEnd w:id="118"/>
      <w:bookmarkEnd w:id="119"/>
    </w:p>
    <w:p w14:paraId="6E46792A" w14:textId="0014F8CF" w:rsidR="00791A68" w:rsidRPr="007904CA" w:rsidRDefault="00791A68">
      <w:pPr>
        <w:rPr>
          <w:rFonts w:cstheme="minorHAnsi"/>
        </w:rPr>
      </w:pPr>
      <w:r w:rsidRPr="00A50DA4">
        <w:rPr>
          <w:rFonts w:cstheme="minorHAnsi"/>
        </w:rPr>
        <w:t>Social housing</w:t>
      </w:r>
      <w:r w:rsidRPr="007904CA">
        <w:rPr>
          <w:rFonts w:cstheme="minorHAnsi"/>
        </w:rPr>
        <w:t xml:space="preserve"> </w:t>
      </w:r>
      <w:r>
        <w:rPr>
          <w:rFonts w:cstheme="minorHAnsi"/>
        </w:rPr>
        <w:t xml:space="preserve">has been a cornerstone of the housing system for almost 80 years. </w:t>
      </w:r>
      <w:r w:rsidR="00520372">
        <w:rPr>
          <w:rFonts w:cstheme="minorHAnsi"/>
        </w:rPr>
        <w:t>It</w:t>
      </w:r>
      <w:r>
        <w:rPr>
          <w:rFonts w:cstheme="minorHAnsi"/>
        </w:rPr>
        <w:t xml:space="preserve"> </w:t>
      </w:r>
      <w:r w:rsidRPr="00EB3C8D">
        <w:rPr>
          <w:rFonts w:cstheme="minorHAnsi"/>
        </w:rPr>
        <w:t>provide</w:t>
      </w:r>
      <w:r>
        <w:rPr>
          <w:rFonts w:cstheme="minorHAnsi"/>
        </w:rPr>
        <w:t>s</w:t>
      </w:r>
      <w:r w:rsidRPr="007904CA">
        <w:rPr>
          <w:rFonts w:cstheme="minorHAnsi"/>
        </w:rPr>
        <w:t xml:space="preserve"> secure rental</w:t>
      </w:r>
      <w:r>
        <w:rPr>
          <w:rFonts w:cstheme="minorHAnsi"/>
        </w:rPr>
        <w:t>s</w:t>
      </w:r>
      <w:r w:rsidRPr="007904CA">
        <w:rPr>
          <w:rFonts w:cstheme="minorHAnsi"/>
        </w:rPr>
        <w:t xml:space="preserve"> to households </w:t>
      </w:r>
      <w:r>
        <w:rPr>
          <w:rFonts w:cstheme="minorHAnsi"/>
        </w:rPr>
        <w:t xml:space="preserve">that </w:t>
      </w:r>
      <w:r w:rsidRPr="007904CA">
        <w:rPr>
          <w:rFonts w:cstheme="minorHAnsi"/>
        </w:rPr>
        <w:t>rel</w:t>
      </w:r>
      <w:r w:rsidR="0073168C">
        <w:rPr>
          <w:rFonts w:cstheme="minorHAnsi"/>
        </w:rPr>
        <w:t>y</w:t>
      </w:r>
      <w:r w:rsidRPr="007904CA">
        <w:rPr>
          <w:rFonts w:cstheme="minorHAnsi"/>
        </w:rPr>
        <w:t xml:space="preserve"> </w:t>
      </w:r>
      <w:r w:rsidRPr="007904CA" w:rsidDel="0073168C">
        <w:rPr>
          <w:rFonts w:cstheme="minorHAnsi"/>
        </w:rPr>
        <w:t xml:space="preserve">on </w:t>
      </w:r>
      <w:r w:rsidRPr="007904CA">
        <w:rPr>
          <w:rFonts w:cstheme="minorHAnsi"/>
        </w:rPr>
        <w:t xml:space="preserve">government </w:t>
      </w:r>
      <w:r>
        <w:rPr>
          <w:rFonts w:cstheme="minorHAnsi"/>
        </w:rPr>
        <w:t>income support</w:t>
      </w:r>
      <w:r w:rsidRPr="007904CA">
        <w:rPr>
          <w:rFonts w:cstheme="minorHAnsi"/>
        </w:rPr>
        <w:t xml:space="preserve"> or </w:t>
      </w:r>
      <w:r>
        <w:rPr>
          <w:rFonts w:cstheme="minorHAnsi"/>
        </w:rPr>
        <w:t>have</w:t>
      </w:r>
      <w:r w:rsidRPr="007904CA">
        <w:rPr>
          <w:rFonts w:cstheme="minorHAnsi"/>
        </w:rPr>
        <w:t xml:space="preserve"> very low income</w:t>
      </w:r>
      <w:r>
        <w:rPr>
          <w:rFonts w:cstheme="minorHAnsi"/>
        </w:rPr>
        <w:t>s</w:t>
      </w:r>
      <w:r w:rsidRPr="007904CA">
        <w:rPr>
          <w:rFonts w:cstheme="minorHAnsi"/>
        </w:rPr>
        <w:t>.</w:t>
      </w:r>
      <w:r w:rsidR="001C558B">
        <w:rPr>
          <w:rFonts w:cstheme="minorHAnsi"/>
        </w:rPr>
        <w:t xml:space="preserve"> It</w:t>
      </w:r>
      <w:r>
        <w:rPr>
          <w:rFonts w:cstheme="minorHAnsi"/>
        </w:rPr>
        <w:t xml:space="preserve"> also supports people who face difficulties accessing private rental housing for non</w:t>
      </w:r>
      <w:r w:rsidR="00A15C79">
        <w:rPr>
          <w:rFonts w:cstheme="minorHAnsi"/>
        </w:rPr>
        <w:noBreakHyphen/>
      </w:r>
      <w:r>
        <w:rPr>
          <w:rFonts w:cstheme="minorHAnsi"/>
        </w:rPr>
        <w:t>income</w:t>
      </w:r>
      <w:r w:rsidR="00A15C79">
        <w:rPr>
          <w:rFonts w:cstheme="minorHAnsi"/>
        </w:rPr>
        <w:noBreakHyphen/>
      </w:r>
      <w:r>
        <w:rPr>
          <w:rFonts w:cstheme="minorHAnsi"/>
        </w:rPr>
        <w:t>related reasons.</w:t>
      </w:r>
      <w:r w:rsidRPr="007904CA">
        <w:rPr>
          <w:rFonts w:cstheme="minorHAnsi"/>
        </w:rPr>
        <w:t xml:space="preserve"> For these households, social housing is a safety net</w:t>
      </w:r>
      <w:r>
        <w:rPr>
          <w:rFonts w:cstheme="minorHAnsi"/>
        </w:rPr>
        <w:t xml:space="preserve"> that provides</w:t>
      </w:r>
      <w:r w:rsidRPr="007904CA">
        <w:rPr>
          <w:rFonts w:cstheme="minorHAnsi"/>
        </w:rPr>
        <w:t xml:space="preserve"> secure shelter and prevent</w:t>
      </w:r>
      <w:r>
        <w:rPr>
          <w:rFonts w:cstheme="minorHAnsi"/>
        </w:rPr>
        <w:t>s</w:t>
      </w:r>
      <w:r w:rsidRPr="007904CA">
        <w:rPr>
          <w:rFonts w:cstheme="minorHAnsi"/>
        </w:rPr>
        <w:t xml:space="preserve"> homelessness</w:t>
      </w:r>
      <w:r w:rsidR="001A0C5C">
        <w:rPr>
          <w:rFonts w:cstheme="minorHAnsi"/>
        </w:rPr>
        <w:t xml:space="preserve"> (Pawson </w:t>
      </w:r>
      <w:r w:rsidR="001F2785">
        <w:rPr>
          <w:rFonts w:cstheme="minorHAnsi"/>
        </w:rPr>
        <w:t xml:space="preserve">et al. </w:t>
      </w:r>
      <w:r w:rsidR="001A0C5C">
        <w:rPr>
          <w:rFonts w:cstheme="minorHAnsi"/>
        </w:rPr>
        <w:t>2020)</w:t>
      </w:r>
      <w:r w:rsidRPr="007904CA">
        <w:rPr>
          <w:rFonts w:cstheme="minorHAnsi"/>
        </w:rPr>
        <w:t xml:space="preserve">. </w:t>
      </w:r>
      <w:r>
        <w:rPr>
          <w:rFonts w:cstheme="minorHAnsi"/>
        </w:rPr>
        <w:t>It</w:t>
      </w:r>
      <w:r w:rsidRPr="007904CA" w:rsidDel="005719FE">
        <w:rPr>
          <w:rFonts w:cstheme="minorHAnsi"/>
        </w:rPr>
        <w:t xml:space="preserve"> has</w:t>
      </w:r>
      <w:r w:rsidRPr="007904CA" w:rsidDel="00281B43">
        <w:rPr>
          <w:rFonts w:cstheme="minorHAnsi"/>
        </w:rPr>
        <w:t xml:space="preserve"> </w:t>
      </w:r>
      <w:r w:rsidR="00281B43">
        <w:rPr>
          <w:rFonts w:cstheme="minorHAnsi"/>
        </w:rPr>
        <w:t>2</w:t>
      </w:r>
      <w:r w:rsidR="00281B43" w:rsidRPr="007904CA">
        <w:rPr>
          <w:rFonts w:cstheme="minorHAnsi"/>
        </w:rPr>
        <w:t xml:space="preserve"> </w:t>
      </w:r>
      <w:r w:rsidRPr="007904CA">
        <w:rPr>
          <w:rFonts w:cstheme="minorHAnsi"/>
        </w:rPr>
        <w:t xml:space="preserve">components: public housing, which is provided by state and territory governments; and community housing, </w:t>
      </w:r>
      <w:r>
        <w:rPr>
          <w:rFonts w:cstheme="minorHAnsi"/>
        </w:rPr>
        <w:t xml:space="preserve">which is </w:t>
      </w:r>
      <w:r w:rsidRPr="007904CA">
        <w:rPr>
          <w:rFonts w:cstheme="minorHAnsi"/>
        </w:rPr>
        <w:t xml:space="preserve">provided by </w:t>
      </w:r>
      <w:r>
        <w:rPr>
          <w:rFonts w:cstheme="minorHAnsi"/>
        </w:rPr>
        <w:t>CHPs.</w:t>
      </w:r>
      <w:r w:rsidRPr="007904CA">
        <w:rPr>
          <w:rFonts w:cstheme="minorHAnsi"/>
        </w:rPr>
        <w:t xml:space="preserve"> </w:t>
      </w:r>
    </w:p>
    <w:p w14:paraId="20A32710" w14:textId="0ED29DB3" w:rsidR="00791A68" w:rsidRDefault="00791A68">
      <w:pPr>
        <w:rPr>
          <w:rFonts w:cstheme="minorHAnsi"/>
        </w:rPr>
      </w:pPr>
      <w:r w:rsidRPr="00CA593E">
        <w:rPr>
          <w:rFonts w:cstheme="minorHAnsi"/>
        </w:rPr>
        <w:t xml:space="preserve">The number of social housing dwellings has risen </w:t>
      </w:r>
      <w:r>
        <w:rPr>
          <w:rFonts w:cstheme="minorHAnsi"/>
        </w:rPr>
        <w:t>slightly</w:t>
      </w:r>
      <w:r w:rsidRPr="00EB3C8D">
        <w:rPr>
          <w:rFonts w:cstheme="minorHAnsi"/>
        </w:rPr>
        <w:t xml:space="preserve"> </w:t>
      </w:r>
      <w:r w:rsidRPr="00CA593E">
        <w:rPr>
          <w:rFonts w:cstheme="minorHAnsi"/>
        </w:rPr>
        <w:t>over the past decade (</w:t>
      </w:r>
      <w:r w:rsidR="00DA4549">
        <w:rPr>
          <w:rFonts w:cstheme="minorHAnsi"/>
        </w:rPr>
        <w:t xml:space="preserve">see </w:t>
      </w:r>
      <w:r w:rsidRPr="00CA593E">
        <w:rPr>
          <w:rFonts w:cstheme="minorHAnsi"/>
        </w:rPr>
        <w:t xml:space="preserve">Chart </w:t>
      </w:r>
      <w:r>
        <w:rPr>
          <w:rFonts w:cstheme="minorHAnsi"/>
        </w:rPr>
        <w:t>3</w:t>
      </w:r>
      <w:r w:rsidRPr="00CA593E">
        <w:rPr>
          <w:rFonts w:cstheme="minorHAnsi"/>
        </w:rPr>
        <w:t xml:space="preserve">.3). </w:t>
      </w:r>
      <w:r>
        <w:rPr>
          <w:rFonts w:cstheme="minorHAnsi"/>
        </w:rPr>
        <w:t>This rise has been driven by an increase in</w:t>
      </w:r>
      <w:r w:rsidRPr="00CA593E">
        <w:rPr>
          <w:rFonts w:cstheme="minorHAnsi"/>
        </w:rPr>
        <w:t xml:space="preserve"> community housing, </w:t>
      </w:r>
      <w:r w:rsidR="00780BBD">
        <w:rPr>
          <w:rFonts w:cstheme="minorHAnsi"/>
        </w:rPr>
        <w:t>particularly</w:t>
      </w:r>
      <w:r w:rsidRPr="00CA593E">
        <w:rPr>
          <w:rFonts w:cstheme="minorHAnsi"/>
        </w:rPr>
        <w:t xml:space="preserve"> in Tasmania, South Australia and New South Wales. </w:t>
      </w:r>
      <w:r>
        <w:rPr>
          <w:rFonts w:cstheme="minorHAnsi"/>
        </w:rPr>
        <w:t>By contrast, the number of public housing dwellings ha</w:t>
      </w:r>
      <w:r w:rsidR="007130B1">
        <w:rPr>
          <w:rFonts w:cstheme="minorHAnsi"/>
        </w:rPr>
        <w:t>s</w:t>
      </w:r>
      <w:r>
        <w:rPr>
          <w:rFonts w:cstheme="minorHAnsi"/>
        </w:rPr>
        <w:t xml:space="preserve"> declined, reflecting transfers to CHPs or </w:t>
      </w:r>
      <w:r w:rsidRPr="00700B1F">
        <w:rPr>
          <w:rFonts w:cstheme="minorHAnsi"/>
        </w:rPr>
        <w:t>sales</w:t>
      </w:r>
      <w:r>
        <w:rPr>
          <w:rFonts w:cstheme="minorHAnsi"/>
        </w:rPr>
        <w:t xml:space="preserve">. </w:t>
      </w:r>
    </w:p>
    <w:p w14:paraId="2E1E4C62" w14:textId="2515DC2A" w:rsidR="00791A68" w:rsidRDefault="00791A68">
      <w:pPr>
        <w:rPr>
          <w:rFonts w:cstheme="minorHAnsi"/>
        </w:rPr>
      </w:pPr>
      <w:r w:rsidRPr="00CA593E">
        <w:rPr>
          <w:rFonts w:cstheme="minorHAnsi"/>
        </w:rPr>
        <w:t>T</w:t>
      </w:r>
      <w:r>
        <w:rPr>
          <w:rFonts w:cstheme="minorHAnsi"/>
        </w:rPr>
        <w:t>he gradual rise in the number of social housing dwellings</w:t>
      </w:r>
      <w:r w:rsidRPr="00CA593E">
        <w:rPr>
          <w:rFonts w:cstheme="minorHAnsi"/>
        </w:rPr>
        <w:t xml:space="preserve"> </w:t>
      </w:r>
      <w:r>
        <w:rPr>
          <w:rFonts w:cstheme="minorHAnsi"/>
        </w:rPr>
        <w:t xml:space="preserve">continued in </w:t>
      </w:r>
      <w:r w:rsidRPr="00CA593E">
        <w:rPr>
          <w:rFonts w:cstheme="minorHAnsi"/>
        </w:rPr>
        <w:t>2023</w:t>
      </w:r>
      <w:r w:rsidR="007130B1">
        <w:rPr>
          <w:rFonts w:cstheme="minorHAnsi"/>
        </w:rPr>
        <w:t>–</w:t>
      </w:r>
      <w:r w:rsidRPr="00CA593E">
        <w:rPr>
          <w:rFonts w:cstheme="minorHAnsi"/>
        </w:rPr>
        <w:t xml:space="preserve">24, with </w:t>
      </w:r>
      <w:r>
        <w:rPr>
          <w:rFonts w:cstheme="minorHAnsi"/>
        </w:rPr>
        <w:t>community housing rising by 4</w:t>
      </w:r>
      <w:r w:rsidR="0099326B">
        <w:rPr>
          <w:rFonts w:cstheme="minorHAnsi"/>
        </w:rPr>
        <w:t> per cent</w:t>
      </w:r>
      <w:r>
        <w:rPr>
          <w:rFonts w:cstheme="minorHAnsi"/>
        </w:rPr>
        <w:t xml:space="preserve"> and public housing</w:t>
      </w:r>
      <w:r w:rsidRPr="00CA593E">
        <w:rPr>
          <w:rFonts w:cstheme="minorHAnsi"/>
        </w:rPr>
        <w:t xml:space="preserve"> </w:t>
      </w:r>
      <w:r>
        <w:rPr>
          <w:rFonts w:cstheme="minorHAnsi"/>
        </w:rPr>
        <w:t xml:space="preserve">remaining </w:t>
      </w:r>
      <w:r w:rsidRPr="00CA593E">
        <w:rPr>
          <w:rFonts w:cstheme="minorHAnsi"/>
        </w:rPr>
        <w:t>unchanged</w:t>
      </w:r>
      <w:r>
        <w:rPr>
          <w:rFonts w:cstheme="minorHAnsi"/>
        </w:rPr>
        <w:t>. S</w:t>
      </w:r>
      <w:r w:rsidRPr="00CA593E">
        <w:rPr>
          <w:rFonts w:cstheme="minorHAnsi"/>
        </w:rPr>
        <w:t xml:space="preserve">tate </w:t>
      </w:r>
      <w:r w:rsidR="00982315">
        <w:rPr>
          <w:rFonts w:cstheme="minorHAnsi"/>
        </w:rPr>
        <w:t>o</w:t>
      </w:r>
      <w:r w:rsidRPr="00CA593E">
        <w:rPr>
          <w:rFonts w:cstheme="minorHAnsi"/>
        </w:rPr>
        <w:t xml:space="preserve">wned and </w:t>
      </w:r>
      <w:r w:rsidR="00982315">
        <w:rPr>
          <w:rFonts w:cstheme="minorHAnsi"/>
        </w:rPr>
        <w:t>m</w:t>
      </w:r>
      <w:r w:rsidRPr="00CA593E">
        <w:rPr>
          <w:rFonts w:cstheme="minorHAnsi"/>
        </w:rPr>
        <w:t xml:space="preserve">anaged Indigenous </w:t>
      </w:r>
      <w:r w:rsidR="00982315">
        <w:rPr>
          <w:rFonts w:cstheme="minorHAnsi"/>
        </w:rPr>
        <w:t>h</w:t>
      </w:r>
      <w:r w:rsidRPr="00CA593E">
        <w:rPr>
          <w:rFonts w:cstheme="minorHAnsi"/>
        </w:rPr>
        <w:t>ousing</w:t>
      </w:r>
      <w:r w:rsidR="007B362B">
        <w:rPr>
          <w:rFonts w:cstheme="minorHAnsi"/>
        </w:rPr>
        <w:t xml:space="preserve"> </w:t>
      </w:r>
      <w:r w:rsidR="004625D8">
        <w:rPr>
          <w:rFonts w:cstheme="minorHAnsi"/>
        </w:rPr>
        <w:t xml:space="preserve">(SOMIH) </w:t>
      </w:r>
      <w:r w:rsidRPr="00CA593E">
        <w:rPr>
          <w:rFonts w:cstheme="minorHAnsi"/>
        </w:rPr>
        <w:t xml:space="preserve">rose by </w:t>
      </w:r>
      <w:r>
        <w:rPr>
          <w:rFonts w:cstheme="minorHAnsi"/>
        </w:rPr>
        <w:t xml:space="preserve">a significant </w:t>
      </w:r>
      <w:r w:rsidRPr="00CA593E">
        <w:rPr>
          <w:rFonts w:cstheme="minorHAnsi"/>
        </w:rPr>
        <w:t>13</w:t>
      </w:r>
      <w:r w:rsidR="0099326B">
        <w:rPr>
          <w:rFonts w:cstheme="minorHAnsi"/>
        </w:rPr>
        <w:t> per cent</w:t>
      </w:r>
      <w:r w:rsidRPr="00CA593E">
        <w:rPr>
          <w:rFonts w:cstheme="minorHAnsi"/>
        </w:rPr>
        <w:t>. Indigenous Community Housing</w:t>
      </w:r>
      <w:r w:rsidR="002D628F">
        <w:rPr>
          <w:rFonts w:cstheme="minorHAnsi"/>
        </w:rPr>
        <w:t xml:space="preserve"> (ICH)</w:t>
      </w:r>
      <w:r w:rsidRPr="00CA593E">
        <w:rPr>
          <w:rFonts w:cstheme="minorHAnsi"/>
        </w:rPr>
        <w:t xml:space="preserve"> data has not yet been released for 2023</w:t>
      </w:r>
      <w:r w:rsidR="005B5D7F">
        <w:rPr>
          <w:rFonts w:cstheme="minorHAnsi"/>
        </w:rPr>
        <w:t>–</w:t>
      </w:r>
      <w:r w:rsidRPr="00CA593E">
        <w:rPr>
          <w:rFonts w:cstheme="minorHAnsi"/>
        </w:rPr>
        <w:t>24.</w:t>
      </w:r>
    </w:p>
    <w:tbl>
      <w:tblPr>
        <w:tblStyle w:val="SidebySideChartTable"/>
        <w:tblW w:w="5000" w:type="pct"/>
        <w:tblCellMar>
          <w:left w:w="108" w:type="dxa"/>
          <w:right w:w="108" w:type="dxa"/>
        </w:tblCellMar>
        <w:tblLook w:val="04A0" w:firstRow="1" w:lastRow="0" w:firstColumn="1" w:lastColumn="0" w:noHBand="0" w:noVBand="1"/>
      </w:tblPr>
      <w:tblGrid>
        <w:gridCol w:w="4535"/>
        <w:gridCol w:w="4535"/>
      </w:tblGrid>
      <w:tr w:rsidR="00791A68" w:rsidRPr="007904CA" w14:paraId="074E36F3" w14:textId="77777777" w:rsidTr="00DB6DE6">
        <w:tc>
          <w:tcPr>
            <w:tcW w:w="4535" w:type="dxa"/>
          </w:tcPr>
          <w:p w14:paraId="5B650E96" w14:textId="40EE300E" w:rsidR="00791A68" w:rsidRPr="007904CA" w:rsidRDefault="00791A68" w:rsidP="001B4EAF">
            <w:pPr>
              <w:pStyle w:val="ChartMainHeading"/>
            </w:pPr>
            <w:r>
              <w:t xml:space="preserve"> Social housing stock, </w:t>
            </w:r>
            <w:r>
              <w:br/>
              <w:t>Australia</w:t>
            </w:r>
          </w:p>
        </w:tc>
        <w:tc>
          <w:tcPr>
            <w:tcW w:w="4535" w:type="dxa"/>
          </w:tcPr>
          <w:p w14:paraId="4EED792B" w14:textId="03C9805A" w:rsidR="00791A68" w:rsidRPr="007904CA" w:rsidRDefault="00791A68" w:rsidP="001B4EAF">
            <w:pPr>
              <w:pStyle w:val="ChartMainHeading"/>
            </w:pPr>
            <w:r w:rsidRPr="007904CA">
              <w:t xml:space="preserve">Social housing </w:t>
            </w:r>
            <w:r>
              <w:t>as a share of the</w:t>
            </w:r>
            <w:r w:rsidR="0099326B">
              <w:t> </w:t>
            </w:r>
            <w:r>
              <w:t>total housing</w:t>
            </w:r>
            <w:r w:rsidRPr="007904CA">
              <w:t xml:space="preserve"> stock, Australia</w:t>
            </w:r>
          </w:p>
        </w:tc>
      </w:tr>
      <w:tr w:rsidR="00791A68" w:rsidRPr="007904CA" w14:paraId="2376E428" w14:textId="77777777" w:rsidTr="00DB6DE6">
        <w:trPr>
          <w:trHeight w:val="3402"/>
        </w:trPr>
        <w:tc>
          <w:tcPr>
            <w:tcW w:w="4535" w:type="dxa"/>
          </w:tcPr>
          <w:p w14:paraId="5E9EB0F6" w14:textId="3F99C284" w:rsidR="00791A68" w:rsidRPr="007904CA" w:rsidRDefault="004376D6">
            <w:pPr>
              <w:pStyle w:val="ChartGraphic"/>
              <w:rPr>
                <w:rFonts w:cstheme="minorHAnsi"/>
              </w:rPr>
            </w:pPr>
            <w:r w:rsidRPr="004376D6">
              <w:rPr>
                <w:rFonts w:cstheme="minorHAnsi"/>
                <w:noProof/>
              </w:rPr>
              <w:drawing>
                <wp:inline distT="0" distB="0" distL="0" distR="0" wp14:anchorId="42C5C242" wp14:editId="0FF973E1">
                  <wp:extent cx="2881630" cy="2881630"/>
                  <wp:effectExtent l="0" t="0" r="0" b="0"/>
                  <wp:docPr id="1274332889" name="Picture 7" descr="Chart 3.3 is a bar chart that shows the annual stock of social housing, comprised of the 4 main tenure types, between 2014 and 2024. Public housing accounts for most of the social housing stock, although the number of public housing dwellings has declined over the past 10 years, from around 324,000 in 2014 to 298,000 in 2024. Over the same period, community housing increased from around 71,000 to 119,000. State Owned and Managed Indigenous Housing increased from around 10,000 to almost 16,000 over this period, while Indigenous community housing has remained relatively constant. Indigenous community housing data for 2024 was not yet available to include in this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332889" name="Picture 7" descr="Chart 3.3 is a bar chart that shows the annual stock of social housing, comprised of the 4 main tenure types, between 2014 and 2024. Public housing accounts for most of the social housing stock, although the number of public housing dwellings has declined over the past 10 years, from around 324,000 in 2014 to 298,000 in 2024. Over the same period, community housing increased from around 71,000 to 119,000. State Owned and Managed Indigenous Housing increased from around 10,000 to almost 16,000 over this period, while Indigenous community housing has remained relatively constant. Indigenous community housing data for 2024 was not yet available to include in this chart. "/>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81630" cy="2881630"/>
                          </a:xfrm>
                          <a:prstGeom prst="rect">
                            <a:avLst/>
                          </a:prstGeom>
                          <a:noFill/>
                          <a:ln>
                            <a:noFill/>
                          </a:ln>
                        </pic:spPr>
                      </pic:pic>
                    </a:graphicData>
                  </a:graphic>
                </wp:inline>
              </w:drawing>
            </w:r>
          </w:p>
        </w:tc>
        <w:tc>
          <w:tcPr>
            <w:tcW w:w="4535" w:type="dxa"/>
          </w:tcPr>
          <w:p w14:paraId="08F7BF69" w14:textId="00323160" w:rsidR="00791A68" w:rsidRPr="0099326B" w:rsidRDefault="00FD051A" w:rsidP="0041126E">
            <w:pPr>
              <w:pStyle w:val="ChartGraphic"/>
              <w:jc w:val="left"/>
            </w:pPr>
            <w:r w:rsidRPr="00FD051A">
              <w:rPr>
                <w:noProof/>
              </w:rPr>
              <w:drawing>
                <wp:inline distT="0" distB="0" distL="0" distR="0" wp14:anchorId="47075D9F" wp14:editId="544B58FB">
                  <wp:extent cx="2880995" cy="2880995"/>
                  <wp:effectExtent l="0" t="0" r="0" b="0"/>
                  <wp:docPr id="1053139919" name="Picture 9" descr="Chart 3.4 is a line chart that shows the social housing stock as a share of the total housing stock between 2014 and 2024. As Indigenous community housing data for 2024 is not yet available, the chart depicts two series: one that includes Indigenous Community Housing, and one that excludes Indigenous Community Housing. Social housing as a share of the total housing stock has fallen over time, from 4.5 per cent in 2014 to 4 per cent in 2023. Social housing (excluding Indigenous Community Housing) as a share of the total housing stock, has also declined over the period, from 4.3 per cent in 2014 to 3.9 per cent in 2023, and remained fairly constant at around 3.9 per cent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39919" name="Picture 9" descr="Chart 3.4 is a line chart that shows the social housing stock as a share of the total housing stock between 2014 and 2024. As Indigenous community housing data for 2024 is not yet available, the chart depicts two series: one that includes Indigenous Community Housing, and one that excludes Indigenous Community Housing. Social housing as a share of the total housing stock has fallen over time, from 4.5 per cent in 2014 to 4 per cent in 2023. Social housing (excluding Indigenous Community Housing) as a share of the total housing stock, has also declined over the period, from 4.3 per cent in 2014 to 3.9 per cent in 2023, and remained fairly constant at around 3.9 per cent in 202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80995" cy="2880995"/>
                          </a:xfrm>
                          <a:prstGeom prst="rect">
                            <a:avLst/>
                          </a:prstGeom>
                          <a:noFill/>
                          <a:ln>
                            <a:noFill/>
                          </a:ln>
                        </pic:spPr>
                      </pic:pic>
                    </a:graphicData>
                  </a:graphic>
                </wp:inline>
              </w:drawing>
            </w:r>
          </w:p>
        </w:tc>
      </w:tr>
      <w:tr w:rsidR="00791A68" w:rsidRPr="007904CA" w14:paraId="6CD9E027" w14:textId="77777777" w:rsidTr="00DB6DE6">
        <w:tc>
          <w:tcPr>
            <w:tcW w:w="4535" w:type="dxa"/>
          </w:tcPr>
          <w:p w14:paraId="3C739217" w14:textId="47D1CC18" w:rsidR="00791A68" w:rsidRDefault="002E6CD3" w:rsidP="00DB6DE6">
            <w:pPr>
              <w:pStyle w:val="ChartorTableNoteandSource"/>
            </w:pPr>
            <w:r w:rsidRPr="0099326B">
              <w:t>Note:</w:t>
            </w:r>
            <w:r w:rsidR="00DB6DE6">
              <w:tab/>
            </w:r>
            <w:r w:rsidRPr="0099326B">
              <w:t>Social housing stock by component. ICH data for 2023–24 will be released in mid</w:t>
            </w:r>
            <w:r w:rsidR="00A15C79">
              <w:noBreakHyphen/>
            </w:r>
            <w:r w:rsidRPr="0099326B">
              <w:t>2025.</w:t>
            </w:r>
          </w:p>
          <w:p w14:paraId="231B912C" w14:textId="07298863" w:rsidR="006579F3" w:rsidRPr="006579F3" w:rsidRDefault="006579F3" w:rsidP="00D9099D">
            <w:pPr>
              <w:pStyle w:val="ChartorTableNoteandSource"/>
            </w:pPr>
            <w:r w:rsidRPr="0099326B">
              <w:t>Source:</w:t>
            </w:r>
            <w:r>
              <w:tab/>
            </w:r>
            <w:r w:rsidRPr="0099326B">
              <w:t>Steering Committee for the Review of Government Service Provision 2025</w:t>
            </w:r>
          </w:p>
        </w:tc>
        <w:tc>
          <w:tcPr>
            <w:tcW w:w="4535" w:type="dxa"/>
          </w:tcPr>
          <w:p w14:paraId="6E4F556E" w14:textId="77777777" w:rsidR="00791A68" w:rsidRDefault="001C1D00" w:rsidP="00DB6DE6">
            <w:pPr>
              <w:pStyle w:val="ChartorTableNoteandSource"/>
            </w:pPr>
            <w:r w:rsidRPr="0099326B">
              <w:t>Note:</w:t>
            </w:r>
            <w:r w:rsidR="00DB6DE6">
              <w:tab/>
            </w:r>
            <w:r w:rsidR="00BE4EF1" w:rsidRPr="0099326B">
              <w:t>The r</w:t>
            </w:r>
            <w:r w:rsidRPr="0099326B">
              <w:t>atio of social housing stock to total dwellings. ICH data for 2023</w:t>
            </w:r>
            <w:r w:rsidR="00BE4EF1" w:rsidRPr="0099326B">
              <w:t>–</w:t>
            </w:r>
            <w:r w:rsidRPr="0099326B">
              <w:t xml:space="preserve">24 </w:t>
            </w:r>
            <w:r w:rsidR="00BE4EF1" w:rsidRPr="0099326B">
              <w:t>will</w:t>
            </w:r>
            <w:r w:rsidRPr="0099326B">
              <w:t xml:space="preserve"> be released in mid</w:t>
            </w:r>
            <w:r w:rsidR="00A15C79">
              <w:noBreakHyphen/>
            </w:r>
            <w:r w:rsidRPr="0099326B">
              <w:t>2025.</w:t>
            </w:r>
          </w:p>
          <w:p w14:paraId="739D1920" w14:textId="1DE5C93F" w:rsidR="006579F3" w:rsidRPr="006579F3" w:rsidRDefault="006579F3" w:rsidP="00D9099D">
            <w:pPr>
              <w:pStyle w:val="ChartorTableNoteandSource"/>
            </w:pPr>
            <w:r w:rsidRPr="0099326B">
              <w:t>Source:</w:t>
            </w:r>
            <w:r>
              <w:tab/>
            </w:r>
            <w:r w:rsidRPr="0099326B">
              <w:t>Steering Committee for the Review of Government Service Provision 20</w:t>
            </w:r>
            <w:r w:rsidRPr="002949B5">
              <w:t xml:space="preserve">25; ABS </w:t>
            </w:r>
            <w:r w:rsidR="00BD0488" w:rsidRPr="002949B5">
              <w:t xml:space="preserve">Total Value of Dwellings </w:t>
            </w:r>
            <w:r w:rsidRPr="002949B5">
              <w:t>2024; NHSAC 2025</w:t>
            </w:r>
          </w:p>
        </w:tc>
      </w:tr>
    </w:tbl>
    <w:p w14:paraId="7E5FA1BB" w14:textId="77777777" w:rsidR="00A77E39" w:rsidRDefault="00A77E39" w:rsidP="00163B7B">
      <w:pPr>
        <w:pStyle w:val="SingleParagraph"/>
      </w:pPr>
    </w:p>
    <w:p w14:paraId="7D7917FF" w14:textId="62FCA712" w:rsidR="00791A68" w:rsidRDefault="00791A68">
      <w:pPr>
        <w:rPr>
          <w:rFonts w:cstheme="minorHAnsi"/>
        </w:rPr>
      </w:pPr>
      <w:r>
        <w:rPr>
          <w:rFonts w:cstheme="minorHAnsi"/>
        </w:rPr>
        <w:lastRenderedPageBreak/>
        <w:t xml:space="preserve">Despite the </w:t>
      </w:r>
      <w:r w:rsidRPr="00CA593E">
        <w:rPr>
          <w:rFonts w:cstheme="minorHAnsi"/>
        </w:rPr>
        <w:t xml:space="preserve">gradual rise in the social housing stock </w:t>
      </w:r>
      <w:r>
        <w:rPr>
          <w:rFonts w:cstheme="minorHAnsi"/>
        </w:rPr>
        <w:t xml:space="preserve">over the past decade, it </w:t>
      </w:r>
      <w:r w:rsidRPr="00CA593E">
        <w:rPr>
          <w:rFonts w:cstheme="minorHAnsi"/>
        </w:rPr>
        <w:t xml:space="preserve">has not kept pace with the </w:t>
      </w:r>
      <w:r>
        <w:rPr>
          <w:rFonts w:cstheme="minorHAnsi"/>
        </w:rPr>
        <w:t xml:space="preserve">rise in the </w:t>
      </w:r>
      <w:r w:rsidRPr="00CA593E">
        <w:rPr>
          <w:rFonts w:cstheme="minorHAnsi"/>
        </w:rPr>
        <w:t xml:space="preserve">broader </w:t>
      </w:r>
      <w:r w:rsidR="00C21F7E">
        <w:rPr>
          <w:rFonts w:cstheme="minorHAnsi"/>
        </w:rPr>
        <w:t>housing</w:t>
      </w:r>
      <w:r w:rsidRPr="00CA593E">
        <w:rPr>
          <w:rFonts w:cstheme="minorHAnsi"/>
        </w:rPr>
        <w:t xml:space="preserve"> stock, resulting </w:t>
      </w:r>
      <w:r w:rsidRPr="00CA593E" w:rsidDel="00550B55">
        <w:rPr>
          <w:rFonts w:cstheme="minorHAnsi"/>
        </w:rPr>
        <w:t xml:space="preserve">in </w:t>
      </w:r>
      <w:r w:rsidR="00550B55">
        <w:rPr>
          <w:rFonts w:cstheme="minorHAnsi"/>
        </w:rPr>
        <w:t>the decline in social housing as a share of the housing stock</w:t>
      </w:r>
      <w:r w:rsidRPr="00CA593E">
        <w:rPr>
          <w:rFonts w:cstheme="minorHAnsi"/>
        </w:rPr>
        <w:t xml:space="preserve"> (</w:t>
      </w:r>
      <w:r w:rsidR="00F96A41">
        <w:rPr>
          <w:rFonts w:cstheme="minorHAnsi"/>
        </w:rPr>
        <w:t xml:space="preserve">see </w:t>
      </w:r>
      <w:r w:rsidRPr="00CA593E">
        <w:rPr>
          <w:rFonts w:cstheme="minorHAnsi"/>
        </w:rPr>
        <w:t>Chart</w:t>
      </w:r>
      <w:r w:rsidR="00670343">
        <w:rPr>
          <w:rFonts w:cstheme="minorHAnsi"/>
        </w:rPr>
        <w:t> </w:t>
      </w:r>
      <w:r>
        <w:rPr>
          <w:rFonts w:cstheme="minorHAnsi"/>
        </w:rPr>
        <w:t>3</w:t>
      </w:r>
      <w:r w:rsidRPr="00CA593E">
        <w:rPr>
          <w:rFonts w:cstheme="minorHAnsi"/>
        </w:rPr>
        <w:t xml:space="preserve">.4). </w:t>
      </w:r>
    </w:p>
    <w:p w14:paraId="299A9E21" w14:textId="767D6213" w:rsidR="00791A68" w:rsidRDefault="00791A68" w:rsidP="0041126E">
      <w:pPr>
        <w:spacing w:before="0" w:after="160" w:line="259" w:lineRule="auto"/>
        <w:rPr>
          <w:rFonts w:cstheme="minorHAnsi"/>
        </w:rPr>
      </w:pPr>
      <w:r>
        <w:rPr>
          <w:rFonts w:cstheme="minorHAnsi"/>
        </w:rPr>
        <w:t xml:space="preserve">Among the states and territories, </w:t>
      </w:r>
      <w:r w:rsidR="00F96A41">
        <w:rPr>
          <w:rFonts w:cstheme="minorHAnsi"/>
        </w:rPr>
        <w:t xml:space="preserve">the Australian Capital Territory, Western Australia and Victoria </w:t>
      </w:r>
      <w:r w:rsidR="00A25827">
        <w:rPr>
          <w:rFonts w:cstheme="minorHAnsi"/>
        </w:rPr>
        <w:t>had the</w:t>
      </w:r>
      <w:r>
        <w:rPr>
          <w:rFonts w:cstheme="minorHAnsi"/>
        </w:rPr>
        <w:t xml:space="preserve"> largest falls in social housing as a share of </w:t>
      </w:r>
      <w:r w:rsidR="00550B55">
        <w:rPr>
          <w:rFonts w:cstheme="minorHAnsi"/>
        </w:rPr>
        <w:t xml:space="preserve">housing </w:t>
      </w:r>
      <w:r>
        <w:rPr>
          <w:rFonts w:cstheme="minorHAnsi"/>
        </w:rPr>
        <w:t xml:space="preserve">stock. Tasmania </w:t>
      </w:r>
      <w:r w:rsidR="007C480A">
        <w:rPr>
          <w:rFonts w:cstheme="minorHAnsi"/>
        </w:rPr>
        <w:t xml:space="preserve">was the only state that </w:t>
      </w:r>
      <w:r w:rsidR="00ED3A79">
        <w:rPr>
          <w:rFonts w:cstheme="minorHAnsi"/>
        </w:rPr>
        <w:t xml:space="preserve">increased </w:t>
      </w:r>
      <w:r>
        <w:rPr>
          <w:rFonts w:cstheme="minorHAnsi"/>
        </w:rPr>
        <w:t>its share of social housing from 2018</w:t>
      </w:r>
      <w:r w:rsidR="006C5870">
        <w:rPr>
          <w:rFonts w:cstheme="minorHAnsi"/>
        </w:rPr>
        <w:t>–</w:t>
      </w:r>
      <w:r>
        <w:rPr>
          <w:rFonts w:cstheme="minorHAnsi"/>
        </w:rPr>
        <w:t>19 through to 2022</w:t>
      </w:r>
      <w:r w:rsidR="006C5870">
        <w:rPr>
          <w:rFonts w:cstheme="minorHAnsi"/>
        </w:rPr>
        <w:t>–</w:t>
      </w:r>
      <w:r>
        <w:rPr>
          <w:rFonts w:cstheme="minorHAnsi"/>
        </w:rPr>
        <w:t xml:space="preserve">23, </w:t>
      </w:r>
      <w:r w:rsidR="00FE2207">
        <w:rPr>
          <w:rFonts w:cstheme="minorHAnsi"/>
        </w:rPr>
        <w:t xml:space="preserve">although this may reflect an increase in </w:t>
      </w:r>
      <w:r w:rsidDel="00FE2207">
        <w:rPr>
          <w:rFonts w:cstheme="minorHAnsi"/>
        </w:rPr>
        <w:t>the</w:t>
      </w:r>
      <w:r>
        <w:rPr>
          <w:rFonts w:cstheme="minorHAnsi"/>
        </w:rPr>
        <w:t xml:space="preserve"> number of community housing providers reporting in Tasmania (</w:t>
      </w:r>
      <w:r w:rsidR="00F34634">
        <w:rPr>
          <w:rFonts w:cstheme="minorHAnsi"/>
        </w:rPr>
        <w:t xml:space="preserve">see </w:t>
      </w:r>
      <w:r>
        <w:rPr>
          <w:rFonts w:cstheme="minorHAnsi"/>
        </w:rPr>
        <w:t xml:space="preserve">Chart 3.5). </w:t>
      </w:r>
      <w:r w:rsidR="00AA21F9">
        <w:rPr>
          <w:rFonts w:cstheme="minorHAnsi"/>
        </w:rPr>
        <w:t xml:space="preserve">By contrast, </w:t>
      </w:r>
      <w:r>
        <w:rPr>
          <w:rFonts w:cstheme="minorHAnsi"/>
        </w:rPr>
        <w:t>South Australia</w:t>
      </w:r>
      <w:r w:rsidR="00B50DD9">
        <w:rPr>
          <w:rFonts w:cstheme="minorHAnsi"/>
        </w:rPr>
        <w:t xml:space="preserve"> was the only state where</w:t>
      </w:r>
      <w:r>
        <w:rPr>
          <w:rFonts w:cstheme="minorHAnsi"/>
        </w:rPr>
        <w:t xml:space="preserve"> the </w:t>
      </w:r>
      <w:r w:rsidR="00AA21F9">
        <w:rPr>
          <w:rFonts w:cstheme="minorHAnsi"/>
        </w:rPr>
        <w:t>total</w:t>
      </w:r>
      <w:r>
        <w:rPr>
          <w:rFonts w:cstheme="minorHAnsi"/>
        </w:rPr>
        <w:t xml:space="preserve"> number of social housing dwellings has fallen over the past decade</w:t>
      </w:r>
      <w:r w:rsidR="00361BBF">
        <w:rPr>
          <w:rFonts w:cstheme="minorHAnsi"/>
        </w:rPr>
        <w:t xml:space="preserve">. </w:t>
      </w:r>
    </w:p>
    <w:p w14:paraId="15844398" w14:textId="6D4C55D0" w:rsidR="0099326B" w:rsidRDefault="0099326B" w:rsidP="001B4EAF">
      <w:pPr>
        <w:pStyle w:val="ChartMainHeading"/>
        <w:rPr>
          <w:rFonts w:cstheme="minorHAnsi"/>
        </w:rPr>
      </w:pPr>
      <w:r>
        <w:t xml:space="preserve">Social housing as a share of the </w:t>
      </w:r>
      <w:r w:rsidR="001A7663">
        <w:br/>
      </w:r>
      <w:r>
        <w:t>total housing stock, by state</w:t>
      </w:r>
      <w:r w:rsidR="00C70F33">
        <w:t xml:space="preserve"> and territory</w:t>
      </w:r>
      <w:r>
        <w:t>, 2023</w:t>
      </w:r>
    </w:p>
    <w:p w14:paraId="1305C4ED" w14:textId="2837BC1B" w:rsidR="0099326B" w:rsidRDefault="009F1583" w:rsidP="002A4085">
      <w:pPr>
        <w:pStyle w:val="ChartGraphic"/>
        <w:jc w:val="left"/>
        <w:rPr>
          <w:rFonts w:cstheme="minorHAnsi"/>
        </w:rPr>
      </w:pPr>
      <w:r w:rsidRPr="009F1583">
        <w:rPr>
          <w:noProof/>
        </w:rPr>
        <w:drawing>
          <wp:inline distT="0" distB="0" distL="0" distR="0" wp14:anchorId="27AE98E7" wp14:editId="3756ACB7">
            <wp:extent cx="2880995" cy="2880995"/>
            <wp:effectExtent l="0" t="0" r="0" b="0"/>
            <wp:docPr id="305951426" name="Picture 10" descr="Chart 3.5 is a bar chart that shows the proportion of social housing as a share of the total housing stock, by state and territory, in 2023. The chart splits social housing into public housing (including State Owned and Managed Indigenous Housing) and community housing (including Indigenous Community Housing). The chart shows that the Northern Territory had the highest proportion of social housing as a share of its total housing stock, at 14.3 per cent, with the majority of this being public housing. Victoria had the lowest proportion of social housing as a share of its total housing stock, at 2.9 per cent. The other states and territories had a share of between 3 and 7 per cent. Tasmania was the only state where community housing accounted for most of the social housing stock in the st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951426" name="Picture 10" descr="Chart 3.5 is a bar chart that shows the proportion of social housing as a share of the total housing stock, by state and territory, in 2023. The chart splits social housing into public housing (including State Owned and Managed Indigenous Housing) and community housing (including Indigenous Community Housing). The chart shows that the Northern Territory had the highest proportion of social housing as a share of its total housing stock, at 14.3 per cent, with the majority of this being public housing. Victoria had the lowest proportion of social housing as a share of its total housing stock, at 2.9 per cent. The other states and territories had a share of between 3 and 7 per cent. Tasmania was the only state where community housing accounted for most of the social housing stock in the state. "/>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80995" cy="2880995"/>
                    </a:xfrm>
                    <a:prstGeom prst="rect">
                      <a:avLst/>
                    </a:prstGeom>
                    <a:noFill/>
                    <a:ln>
                      <a:noFill/>
                    </a:ln>
                  </pic:spPr>
                </pic:pic>
              </a:graphicData>
            </a:graphic>
          </wp:inline>
        </w:drawing>
      </w:r>
    </w:p>
    <w:p w14:paraId="299B231E" w14:textId="5F32199C" w:rsidR="0099326B" w:rsidRDefault="0099326B" w:rsidP="00DB6DE6">
      <w:pPr>
        <w:pStyle w:val="ChartorTableNoteandSource"/>
      </w:pPr>
      <w:r w:rsidRPr="007904CA">
        <w:t>Note:</w:t>
      </w:r>
      <w:r w:rsidR="00DB6DE6">
        <w:tab/>
      </w:r>
      <w:r>
        <w:t>The r</w:t>
      </w:r>
      <w:r w:rsidRPr="007904CA">
        <w:t>atio of social housing components to total dwellings</w:t>
      </w:r>
      <w:r w:rsidR="006579F3">
        <w:t>.</w:t>
      </w:r>
    </w:p>
    <w:p w14:paraId="078D12D4" w14:textId="0B98BBB6" w:rsidR="006579F3" w:rsidRPr="006579F3" w:rsidRDefault="006579F3" w:rsidP="006579F3">
      <w:pPr>
        <w:pStyle w:val="ChartorTableNoteandSource"/>
      </w:pPr>
      <w:r w:rsidRPr="00EB3C8D">
        <w:t>Source:</w:t>
      </w:r>
      <w:r>
        <w:tab/>
        <w:t>Steering Committee for the Review of Government</w:t>
      </w:r>
      <w:r w:rsidR="00CE6852">
        <w:br/>
      </w:r>
      <w:r>
        <w:t>Service Provision</w:t>
      </w:r>
      <w:r w:rsidRPr="00EB3C8D">
        <w:t xml:space="preserve"> 202</w:t>
      </w:r>
      <w:r>
        <w:t>4</w:t>
      </w:r>
      <w:r w:rsidRPr="00EB3C8D">
        <w:t xml:space="preserve">; ABS </w:t>
      </w:r>
      <w:r w:rsidR="00E71111">
        <w:t xml:space="preserve">Total Value of Dwellings </w:t>
      </w:r>
      <w:r w:rsidRPr="00EB3C8D">
        <w:t>2024</w:t>
      </w:r>
    </w:p>
    <w:p w14:paraId="5BEE542D" w14:textId="78A96D5A" w:rsidR="00EB7D2C" w:rsidRDefault="00791A68">
      <w:pPr>
        <w:rPr>
          <w:rFonts w:cstheme="minorHAnsi"/>
        </w:rPr>
      </w:pPr>
      <w:r w:rsidRPr="00562415">
        <w:rPr>
          <w:rFonts w:cstheme="minorHAnsi"/>
        </w:rPr>
        <w:t xml:space="preserve">As social housing has </w:t>
      </w:r>
      <w:r>
        <w:rPr>
          <w:rFonts w:cstheme="minorHAnsi"/>
        </w:rPr>
        <w:t>declined</w:t>
      </w:r>
      <w:r w:rsidRPr="00562415">
        <w:rPr>
          <w:rFonts w:cstheme="minorHAnsi"/>
        </w:rPr>
        <w:t xml:space="preserve"> as a share of the housing stock, affordability challenges for renters in the lowest income quintiles have added pressure to public housing waitlists. </w:t>
      </w:r>
      <w:r w:rsidR="0001374A">
        <w:rPr>
          <w:rFonts w:cstheme="minorHAnsi"/>
        </w:rPr>
        <w:t>These</w:t>
      </w:r>
      <w:r w:rsidRPr="00562415">
        <w:rPr>
          <w:rFonts w:cstheme="minorHAnsi"/>
        </w:rPr>
        <w:t xml:space="preserve"> waitlists remained near </w:t>
      </w:r>
      <w:r w:rsidRPr="00562415" w:rsidDel="0001374A">
        <w:rPr>
          <w:rFonts w:cstheme="minorHAnsi"/>
        </w:rPr>
        <w:t>record</w:t>
      </w:r>
      <w:r w:rsidR="00A15C79">
        <w:rPr>
          <w:rFonts w:cstheme="minorHAnsi"/>
        </w:rPr>
        <w:noBreakHyphen/>
      </w:r>
      <w:r w:rsidRPr="00562415">
        <w:rPr>
          <w:rFonts w:cstheme="minorHAnsi"/>
        </w:rPr>
        <w:t xml:space="preserve">high levels in </w:t>
      </w:r>
      <w:r w:rsidR="00B9601B">
        <w:rPr>
          <w:rFonts w:cstheme="minorHAnsi"/>
        </w:rPr>
        <w:t>June 2024</w:t>
      </w:r>
      <w:r w:rsidRPr="00562415">
        <w:rPr>
          <w:rFonts w:cstheme="minorHAnsi"/>
        </w:rPr>
        <w:t xml:space="preserve"> (</w:t>
      </w:r>
      <w:r w:rsidR="000D2163">
        <w:rPr>
          <w:rFonts w:cstheme="minorHAnsi"/>
        </w:rPr>
        <w:t xml:space="preserve">see </w:t>
      </w:r>
      <w:r w:rsidRPr="00562415">
        <w:rPr>
          <w:rFonts w:cstheme="minorHAnsi"/>
        </w:rPr>
        <w:t xml:space="preserve">Chart 3.6). </w:t>
      </w:r>
      <w:r>
        <w:rPr>
          <w:rFonts w:cstheme="minorHAnsi"/>
        </w:rPr>
        <w:t>In particular, greatest need households on the public housing waitlist, such as applicants experiencing homelessness, have increased by 66</w:t>
      </w:r>
      <w:r w:rsidR="0099326B">
        <w:rPr>
          <w:rFonts w:cstheme="minorHAnsi"/>
        </w:rPr>
        <w:t> per cent</w:t>
      </w:r>
      <w:r>
        <w:rPr>
          <w:rFonts w:cstheme="minorHAnsi"/>
        </w:rPr>
        <w:t xml:space="preserve"> since June 2014. Greatest need households now represent </w:t>
      </w:r>
      <w:r w:rsidR="00BE2A28">
        <w:rPr>
          <w:rFonts w:cstheme="minorHAnsi"/>
        </w:rPr>
        <w:t>almost</w:t>
      </w:r>
      <w:r>
        <w:rPr>
          <w:rFonts w:cstheme="minorHAnsi"/>
        </w:rPr>
        <w:t xml:space="preserve"> 43</w:t>
      </w:r>
      <w:r w:rsidR="0099326B">
        <w:rPr>
          <w:rFonts w:cstheme="minorHAnsi"/>
        </w:rPr>
        <w:t> per cent</w:t>
      </w:r>
      <w:r>
        <w:rPr>
          <w:rFonts w:cstheme="minorHAnsi"/>
        </w:rPr>
        <w:t xml:space="preserve"> of all households on the public housing waitlist. </w:t>
      </w:r>
    </w:p>
    <w:tbl>
      <w:tblPr>
        <w:tblStyle w:val="SidebySideChartTable"/>
        <w:tblW w:w="5000" w:type="pct"/>
        <w:tblLook w:val="04A0" w:firstRow="1" w:lastRow="0" w:firstColumn="1" w:lastColumn="0" w:noHBand="0" w:noVBand="1"/>
      </w:tblPr>
      <w:tblGrid>
        <w:gridCol w:w="4538"/>
        <w:gridCol w:w="4532"/>
      </w:tblGrid>
      <w:tr w:rsidR="00791A68" w:rsidRPr="007904CA" w14:paraId="0929DD77" w14:textId="77777777" w:rsidTr="00DE1AE6">
        <w:tc>
          <w:tcPr>
            <w:tcW w:w="4538" w:type="dxa"/>
          </w:tcPr>
          <w:p w14:paraId="5AD8166C" w14:textId="77777777" w:rsidR="00791A68" w:rsidRPr="0099326B" w:rsidRDefault="00791A68" w:rsidP="006F5BB5">
            <w:pPr>
              <w:pStyle w:val="ChartMainHeading"/>
              <w:spacing w:before="0"/>
            </w:pPr>
            <w:r w:rsidRPr="0099326B">
              <w:lastRenderedPageBreak/>
              <w:t xml:space="preserve">Public housing waitlists, </w:t>
            </w:r>
            <w:r w:rsidRPr="0099326B">
              <w:br/>
              <w:t>Australia</w:t>
            </w:r>
          </w:p>
        </w:tc>
        <w:tc>
          <w:tcPr>
            <w:tcW w:w="4532" w:type="dxa"/>
          </w:tcPr>
          <w:p w14:paraId="2EE10281" w14:textId="7AFBF20E" w:rsidR="00791A68" w:rsidRPr="0099326B" w:rsidRDefault="00791A68" w:rsidP="006F5BB5">
            <w:pPr>
              <w:pStyle w:val="ChartMainHeading"/>
              <w:spacing w:before="0"/>
            </w:pPr>
            <w:r w:rsidRPr="002949B5">
              <w:t>Public dwelling approvals and completions, Australia</w:t>
            </w:r>
          </w:p>
        </w:tc>
      </w:tr>
      <w:tr w:rsidR="00791A68" w:rsidRPr="007904CA" w14:paraId="0F7068B4" w14:textId="77777777" w:rsidTr="00DE1AE6">
        <w:trPr>
          <w:trHeight w:val="3402"/>
        </w:trPr>
        <w:tc>
          <w:tcPr>
            <w:tcW w:w="4538" w:type="dxa"/>
          </w:tcPr>
          <w:p w14:paraId="2621E677" w14:textId="1A25F6B5" w:rsidR="00791A68" w:rsidRPr="007904CA" w:rsidRDefault="0090415D">
            <w:pPr>
              <w:pStyle w:val="ChartGraphic"/>
              <w:rPr>
                <w:rFonts w:cstheme="minorHAnsi"/>
              </w:rPr>
            </w:pPr>
            <w:r w:rsidRPr="0090415D">
              <w:rPr>
                <w:rFonts w:cstheme="minorHAnsi"/>
                <w:noProof/>
              </w:rPr>
              <w:drawing>
                <wp:inline distT="0" distB="0" distL="0" distR="0" wp14:anchorId="7982D093" wp14:editId="48AA45CC">
                  <wp:extent cx="2880000" cy="2880000"/>
                  <wp:effectExtent l="0" t="0" r="0" b="0"/>
                  <wp:docPr id="2010366078" name="Picture 14" descr="Chart 3.6 is a bar chart that shows the number of households on the public housing waiting lists between 2013-14 and 2023-24, which is comprised of 'greatest need households' and 'other households'. The total number of households on the waitlist declined from around 155,000 in 2013-14 to around 141,000 in 2017-18 but has since increased to around 169,000 in 2023-24. Over the 10 years to June 2024, the number of 'other households' on the waitlist declined slightly, from around 111,000 to 97,000. In contrast, the number of greatest need households increased over the period, from around 43,000 to 7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66078" name="Picture 14" descr="Chart 3.6 is a bar chart that shows the number of households on the public housing waiting lists between 2013-14 and 2023-24, which is comprised of 'greatest need households' and 'other households'. The total number of households on the waitlist declined from around 155,000 in 2013-14 to around 141,000 in 2017-18 but has since increased to around 169,000 in 2023-24. Over the 10 years to June 2024, the number of 'other households' on the waitlist declined slightly, from around 111,000 to 97,000. In contrast, the number of greatest need households increased over the period, from around 43,000 to 72,00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sidRPr="0090415D" w:rsidDel="008E6B3F">
              <w:rPr>
                <w:rFonts w:cstheme="minorHAnsi"/>
              </w:rPr>
              <w:t xml:space="preserve"> </w:t>
            </w:r>
          </w:p>
        </w:tc>
        <w:tc>
          <w:tcPr>
            <w:tcW w:w="4532" w:type="dxa"/>
          </w:tcPr>
          <w:p w14:paraId="7D931A99" w14:textId="5450D8A5" w:rsidR="00791A68" w:rsidRPr="007904CA" w:rsidRDefault="0066306A" w:rsidP="0041126E">
            <w:pPr>
              <w:pStyle w:val="ChartGraphic"/>
              <w:jc w:val="left"/>
              <w:rPr>
                <w:rFonts w:cstheme="minorHAnsi"/>
              </w:rPr>
            </w:pPr>
            <w:r w:rsidRPr="00ED7488">
              <w:rPr>
                <w:rFonts w:cstheme="minorHAnsi"/>
                <w:noProof/>
              </w:rPr>
              <w:drawing>
                <wp:inline distT="0" distB="0" distL="0" distR="0" wp14:anchorId="3C94263B" wp14:editId="7377B81A">
                  <wp:extent cx="2813332" cy="2879725"/>
                  <wp:effectExtent l="0" t="0" r="6350" b="0"/>
                  <wp:docPr id="169894035" name="Picture 1" descr="Chart 3.7 is a line chart that shows the rolling annual number of public dwelling approvals and completions from February 2015 through to February 2025 (with the most recent completions data available to December 2024). The rolling annual number of approvals fell from around 3,400 in February 2015 to around 2,300 in late 2019, before rebounding between 2020 and 2022. Rolling annual approvals declined again in 2023, before rebounding to around 4,000 in February 2025. Rolling annual completions fell from around 3,300 in February 2015 to around 2,000 in September 2020, before increasing to around 3,300 again in September 2024. Rolling annual completions have since fallen to around 2,600 in December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4035" name="Picture 1" descr="Chart 3.7 is a line chart that shows the rolling annual number of public dwelling approvals and completions from February 2015 through to February 2025 (with the most recent completions data available to December 2024). The rolling annual number of approvals fell from around 3,400 in February 2015 to around 2,300 in late 2019, before rebounding between 2020 and 2022. Rolling annual approvals declined again in 2023, before rebounding to around 4,000 in February 2025. Rolling annual completions fell from around 3,300 in February 2015 to around 2,000 in September 2020, before increasing to around 3,300 again in September 2024. Rolling annual completions have since fallen to around 2,600 in December 2024. "/>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16808" cy="2883283"/>
                          </a:xfrm>
                          <a:prstGeom prst="rect">
                            <a:avLst/>
                          </a:prstGeom>
                          <a:noFill/>
                          <a:ln>
                            <a:noFill/>
                          </a:ln>
                        </pic:spPr>
                      </pic:pic>
                    </a:graphicData>
                  </a:graphic>
                </wp:inline>
              </w:drawing>
            </w:r>
          </w:p>
        </w:tc>
      </w:tr>
      <w:tr w:rsidR="00791A68" w:rsidRPr="007904CA" w14:paraId="31E53E70" w14:textId="77777777" w:rsidTr="00DE1AE6">
        <w:tc>
          <w:tcPr>
            <w:tcW w:w="4538" w:type="dxa"/>
          </w:tcPr>
          <w:p w14:paraId="31A3E2A9" w14:textId="400E94D5" w:rsidR="00030147" w:rsidRDefault="00030147" w:rsidP="00DB6DE6">
            <w:pPr>
              <w:pStyle w:val="ChartorTableNoteandSource"/>
            </w:pPr>
            <w:r w:rsidRPr="0099326B">
              <w:t>Note:</w:t>
            </w:r>
            <w:r>
              <w:tab/>
            </w:r>
            <w:r w:rsidRPr="0099326B">
              <w:t>The number of households on waitlists.</w:t>
            </w:r>
          </w:p>
          <w:p w14:paraId="666D8473" w14:textId="7980B422" w:rsidR="00791A68" w:rsidRPr="0099326B" w:rsidRDefault="00791A68" w:rsidP="00030147">
            <w:pPr>
              <w:pStyle w:val="ChartorTableNoteandSource"/>
            </w:pPr>
            <w:r w:rsidRPr="0099326B">
              <w:t>Source:</w:t>
            </w:r>
            <w:r w:rsidR="00DB6DE6">
              <w:tab/>
            </w:r>
            <w:r w:rsidRPr="0099326B">
              <w:t>Steering Committee for the Review of Government Service Provision 2025</w:t>
            </w:r>
          </w:p>
        </w:tc>
        <w:tc>
          <w:tcPr>
            <w:tcW w:w="4532" w:type="dxa"/>
          </w:tcPr>
          <w:p w14:paraId="1FDF9455" w14:textId="151B871A" w:rsidR="00791A68" w:rsidRDefault="003E5ABF" w:rsidP="00DB6DE6">
            <w:pPr>
              <w:pStyle w:val="ChartorTableNoteandSource"/>
            </w:pPr>
            <w:r w:rsidRPr="0099326B">
              <w:t>Note:</w:t>
            </w:r>
            <w:r w:rsidR="00DB6DE6">
              <w:tab/>
            </w:r>
            <w:r w:rsidRPr="0099326B">
              <w:t>The rolling annual number</w:t>
            </w:r>
            <w:r w:rsidR="008E4210" w:rsidRPr="0099326B">
              <w:t xml:space="preserve">. </w:t>
            </w:r>
          </w:p>
          <w:p w14:paraId="127F1F6C" w14:textId="2A8F72C9" w:rsidR="00030147" w:rsidRPr="00030147" w:rsidRDefault="00030147" w:rsidP="00030147">
            <w:pPr>
              <w:pStyle w:val="ChartorTableNoteandSource"/>
            </w:pPr>
            <w:r w:rsidRPr="0099326B">
              <w:t>Source:</w:t>
            </w:r>
            <w:r>
              <w:tab/>
            </w:r>
            <w:r w:rsidRPr="0099326B">
              <w:t xml:space="preserve">ABS Building Approvals 2025; </w:t>
            </w:r>
            <w:r w:rsidR="00E71111">
              <w:t xml:space="preserve">ABS </w:t>
            </w:r>
            <w:r w:rsidRPr="0099326B">
              <w:t>Building Activity 2025</w:t>
            </w:r>
          </w:p>
        </w:tc>
      </w:tr>
    </w:tbl>
    <w:p w14:paraId="5573F2BC" w14:textId="5FF4FB86" w:rsidR="005D6DFB" w:rsidRPr="002949B5" w:rsidRDefault="00460525">
      <w:pPr>
        <w:spacing w:after="0"/>
        <w:rPr>
          <w:rFonts w:cstheme="minorBidi"/>
        </w:rPr>
      </w:pPr>
      <w:r w:rsidRPr="002949B5">
        <w:rPr>
          <w:rFonts w:cstheme="minorBidi"/>
        </w:rPr>
        <w:t xml:space="preserve">The number of public dwelling completions </w:t>
      </w:r>
      <w:r w:rsidR="00B676EC" w:rsidRPr="002949B5">
        <w:rPr>
          <w:rFonts w:cstheme="minorBidi"/>
        </w:rPr>
        <w:t>fell</w:t>
      </w:r>
      <w:r w:rsidRPr="002949B5">
        <w:rPr>
          <w:rFonts w:cstheme="minorBidi"/>
        </w:rPr>
        <w:t xml:space="preserve"> </w:t>
      </w:r>
      <w:r w:rsidR="007A444C" w:rsidRPr="002949B5">
        <w:rPr>
          <w:rFonts w:cstheme="minorBidi"/>
        </w:rPr>
        <w:t xml:space="preserve">by </w:t>
      </w:r>
      <w:r w:rsidR="00B676EC" w:rsidRPr="002949B5">
        <w:rPr>
          <w:rFonts w:cstheme="minorBidi"/>
        </w:rPr>
        <w:t xml:space="preserve">20 per cent </w:t>
      </w:r>
      <w:r w:rsidR="00E777CD" w:rsidRPr="002949B5">
        <w:rPr>
          <w:rFonts w:cstheme="minorBidi"/>
        </w:rPr>
        <w:t>in 2024 compared to 2023</w:t>
      </w:r>
      <w:r w:rsidR="007A444C" w:rsidRPr="002949B5">
        <w:rPr>
          <w:rFonts w:cstheme="minorBidi"/>
        </w:rPr>
        <w:t xml:space="preserve">, although </w:t>
      </w:r>
      <w:r w:rsidR="00E777CD" w:rsidRPr="002949B5">
        <w:rPr>
          <w:rFonts w:cstheme="minorBidi"/>
        </w:rPr>
        <w:t xml:space="preserve">public dwelling </w:t>
      </w:r>
      <w:r w:rsidR="007A444C" w:rsidRPr="002949B5">
        <w:rPr>
          <w:rFonts w:cstheme="minorBidi"/>
        </w:rPr>
        <w:t>completions still remain around their 5-year average levels (</w:t>
      </w:r>
      <w:r w:rsidR="00B61990" w:rsidRPr="0041126E">
        <w:rPr>
          <w:rFonts w:cstheme="minorBidi"/>
        </w:rPr>
        <w:t xml:space="preserve">see </w:t>
      </w:r>
      <w:r w:rsidR="007A444C" w:rsidRPr="002949B5">
        <w:rPr>
          <w:rFonts w:cstheme="minorBidi"/>
        </w:rPr>
        <w:t xml:space="preserve">Chart 3.7). </w:t>
      </w:r>
      <w:r w:rsidR="00E777CD" w:rsidRPr="002949B5">
        <w:rPr>
          <w:rFonts w:cstheme="minorBidi"/>
        </w:rPr>
        <w:t>In contrast, a</w:t>
      </w:r>
      <w:r w:rsidR="006D51E5" w:rsidRPr="002949B5">
        <w:rPr>
          <w:rFonts w:cstheme="minorBidi"/>
        </w:rPr>
        <w:t xml:space="preserve">nnual public </w:t>
      </w:r>
      <w:r w:rsidR="00DB2662" w:rsidRPr="0041126E">
        <w:rPr>
          <w:rFonts w:cstheme="minorBidi"/>
        </w:rPr>
        <w:t>dwelling</w:t>
      </w:r>
      <w:r w:rsidR="006D51E5" w:rsidRPr="002949B5">
        <w:rPr>
          <w:rFonts w:cstheme="minorBidi"/>
        </w:rPr>
        <w:t xml:space="preserve"> approvals rose by </w:t>
      </w:r>
      <w:r w:rsidR="006D51E5" w:rsidRPr="0041126E">
        <w:rPr>
          <w:rFonts w:cstheme="minorBidi"/>
        </w:rPr>
        <w:t>28 per cent over the year to February 2025</w:t>
      </w:r>
      <w:r w:rsidR="006D51E5" w:rsidRPr="002949B5">
        <w:rPr>
          <w:rFonts w:cstheme="minorBidi"/>
        </w:rPr>
        <w:t xml:space="preserve"> (see Chart 3.7). </w:t>
      </w:r>
      <w:r w:rsidR="00E777CD" w:rsidRPr="002949B5">
        <w:rPr>
          <w:rFonts w:cstheme="minorBidi"/>
        </w:rPr>
        <w:t>This</w:t>
      </w:r>
      <w:r w:rsidRPr="002949B5">
        <w:rPr>
          <w:rFonts w:cstheme="minorBidi"/>
        </w:rPr>
        <w:t xml:space="preserve"> increase in public dwelling approvals suggests a pick</w:t>
      </w:r>
      <w:r w:rsidR="00E777CD" w:rsidRPr="002949B5">
        <w:rPr>
          <w:rFonts w:cstheme="minorBidi"/>
        </w:rPr>
        <w:t>-</w:t>
      </w:r>
      <w:r w:rsidRPr="002949B5">
        <w:rPr>
          <w:rFonts w:cstheme="minorBidi"/>
        </w:rPr>
        <w:t xml:space="preserve">up in </w:t>
      </w:r>
      <w:r w:rsidR="00E777CD" w:rsidRPr="002949B5">
        <w:rPr>
          <w:rFonts w:cstheme="minorBidi"/>
        </w:rPr>
        <w:t xml:space="preserve">public dwelling </w:t>
      </w:r>
      <w:r w:rsidRPr="002949B5">
        <w:rPr>
          <w:rFonts w:cstheme="minorBidi"/>
        </w:rPr>
        <w:t>completions in the period ahead</w:t>
      </w:r>
      <w:r w:rsidR="00BE1FA7" w:rsidRPr="002949B5">
        <w:rPr>
          <w:rFonts w:cstheme="minorBidi"/>
        </w:rPr>
        <w:t xml:space="preserve">, </w:t>
      </w:r>
      <w:r w:rsidR="006D51E5" w:rsidRPr="0041126E">
        <w:rPr>
          <w:rFonts w:cstheme="minorBidi"/>
        </w:rPr>
        <w:t xml:space="preserve">supported by the pipeline of work from </w:t>
      </w:r>
      <w:r w:rsidR="00D644A5" w:rsidRPr="0041126E">
        <w:rPr>
          <w:rFonts w:cstheme="minorBidi"/>
        </w:rPr>
        <w:t>Commonwealth</w:t>
      </w:r>
      <w:r w:rsidR="00DF270A">
        <w:rPr>
          <w:rFonts w:cstheme="minorBidi"/>
        </w:rPr>
        <w:t xml:space="preserve"> and </w:t>
      </w:r>
      <w:r w:rsidR="006D51E5" w:rsidRPr="0041126E">
        <w:rPr>
          <w:rFonts w:cstheme="minorBidi"/>
        </w:rPr>
        <w:t>state and territory programs.</w:t>
      </w:r>
      <w:r w:rsidR="006D51E5" w:rsidRPr="002949B5">
        <w:rPr>
          <w:rFonts w:cstheme="minorBidi"/>
        </w:rPr>
        <w:t xml:space="preserve"> </w:t>
      </w:r>
    </w:p>
    <w:p w14:paraId="072506B2" w14:textId="5348A3FB" w:rsidR="00791A68" w:rsidRDefault="00844F1B">
      <w:pPr>
        <w:spacing w:after="0"/>
        <w:rPr>
          <w:rFonts w:cstheme="minorBidi"/>
        </w:rPr>
      </w:pPr>
      <w:r w:rsidRPr="002949B5">
        <w:rPr>
          <w:rFonts w:cstheme="minorBidi"/>
        </w:rPr>
        <w:t>Even</w:t>
      </w:r>
      <w:r w:rsidR="006D51E5" w:rsidRPr="002949B5">
        <w:rPr>
          <w:rFonts w:cstheme="minorBidi"/>
        </w:rPr>
        <w:t xml:space="preserve"> with significant commitments to social housing through the HAFFF, it may be difficult for </w:t>
      </w:r>
      <w:r w:rsidRPr="002949B5">
        <w:rPr>
          <w:rFonts w:cstheme="minorBidi"/>
        </w:rPr>
        <w:t>such</w:t>
      </w:r>
      <w:r w:rsidR="006D51E5" w:rsidRPr="002949B5">
        <w:rPr>
          <w:rFonts w:cstheme="minorBidi"/>
        </w:rPr>
        <w:t xml:space="preserve"> initiatives to reverse the </w:t>
      </w:r>
      <w:r w:rsidR="00D644A5" w:rsidRPr="002949B5">
        <w:rPr>
          <w:rFonts w:cstheme="minorBidi"/>
        </w:rPr>
        <w:t xml:space="preserve">long-run </w:t>
      </w:r>
      <w:r w:rsidR="004A442C" w:rsidRPr="002949B5">
        <w:rPr>
          <w:rFonts w:cstheme="minorBidi"/>
        </w:rPr>
        <w:t>decline</w:t>
      </w:r>
      <w:r w:rsidR="006D51E5" w:rsidRPr="002949B5">
        <w:rPr>
          <w:rFonts w:cstheme="minorBidi"/>
        </w:rPr>
        <w:t xml:space="preserve"> in social housing as a share of </w:t>
      </w:r>
      <w:r w:rsidR="003B6BE0">
        <w:rPr>
          <w:rFonts w:cstheme="minorBidi"/>
        </w:rPr>
        <w:t xml:space="preserve">the </w:t>
      </w:r>
      <w:r w:rsidR="006D51E5" w:rsidRPr="002949B5">
        <w:rPr>
          <w:rFonts w:cstheme="minorBidi"/>
        </w:rPr>
        <w:t xml:space="preserve">housing stock. </w:t>
      </w:r>
      <w:r w:rsidRPr="002949B5">
        <w:rPr>
          <w:rFonts w:cstheme="minorBidi"/>
        </w:rPr>
        <w:t>New public housing completions</w:t>
      </w:r>
      <w:r w:rsidR="006D51E5" w:rsidRPr="002949B5">
        <w:rPr>
          <w:rFonts w:cstheme="minorBidi"/>
        </w:rPr>
        <w:t xml:space="preserve"> may be partly offset by a decline in </w:t>
      </w:r>
      <w:r w:rsidR="00DD5916" w:rsidRPr="002949B5">
        <w:rPr>
          <w:rFonts w:cstheme="minorBidi"/>
        </w:rPr>
        <w:t xml:space="preserve">the </w:t>
      </w:r>
      <w:r w:rsidR="006D51E5" w:rsidRPr="002949B5">
        <w:rPr>
          <w:rFonts w:cstheme="minorBidi"/>
        </w:rPr>
        <w:t xml:space="preserve">existing public housing </w:t>
      </w:r>
      <w:r w:rsidR="00DD5916" w:rsidRPr="002949B5">
        <w:rPr>
          <w:rFonts w:cstheme="minorBidi"/>
        </w:rPr>
        <w:t xml:space="preserve">stock, due to demolitions </w:t>
      </w:r>
      <w:r w:rsidR="006D51E5" w:rsidRPr="002949B5">
        <w:rPr>
          <w:rFonts w:cstheme="minorBidi"/>
        </w:rPr>
        <w:t xml:space="preserve">for redevelopment. Reversing the falling share of social housing will require substantial additional investment by </w:t>
      </w:r>
      <w:r w:rsidR="00DD5916" w:rsidRPr="002949B5">
        <w:rPr>
          <w:rFonts w:cstheme="minorBidi"/>
        </w:rPr>
        <w:t>Commonwealth</w:t>
      </w:r>
      <w:r w:rsidR="0081654A">
        <w:rPr>
          <w:rFonts w:cstheme="minorBidi"/>
        </w:rPr>
        <w:t xml:space="preserve"> and</w:t>
      </w:r>
      <w:r w:rsidR="00DD5916">
        <w:rPr>
          <w:rFonts w:cstheme="minorBidi"/>
        </w:rPr>
        <w:t xml:space="preserve"> </w:t>
      </w:r>
      <w:r w:rsidR="006D51E5" w:rsidRPr="0065638F">
        <w:rPr>
          <w:rFonts w:cstheme="minorBidi"/>
        </w:rPr>
        <w:t>state</w:t>
      </w:r>
      <w:r w:rsidR="006D51E5">
        <w:rPr>
          <w:rFonts w:cstheme="minorBidi"/>
        </w:rPr>
        <w:t xml:space="preserve"> and </w:t>
      </w:r>
      <w:r w:rsidR="006D51E5" w:rsidRPr="0065638F">
        <w:rPr>
          <w:rFonts w:cstheme="minorBidi"/>
        </w:rPr>
        <w:t xml:space="preserve">territory governments (see </w:t>
      </w:r>
      <w:r w:rsidR="006D51E5" w:rsidRPr="00E15045">
        <w:rPr>
          <w:rFonts w:cstheme="minorBidi"/>
        </w:rPr>
        <w:t>Chapter 7,</w:t>
      </w:r>
      <w:r w:rsidR="006D51E5" w:rsidRPr="0065638F">
        <w:rPr>
          <w:rFonts w:cstheme="minorBidi"/>
          <w:i/>
          <w:iCs/>
        </w:rPr>
        <w:t xml:space="preserve"> </w:t>
      </w:r>
      <w:r w:rsidR="006D51E5" w:rsidRPr="00DB6DE6">
        <w:rPr>
          <w:rStyle w:val="Emphasis"/>
        </w:rPr>
        <w:t>Towards a better housing system</w:t>
      </w:r>
      <w:r w:rsidR="006D51E5" w:rsidRPr="0065638F">
        <w:rPr>
          <w:rFonts w:cstheme="minorBidi"/>
        </w:rPr>
        <w:t>)</w:t>
      </w:r>
      <w:r w:rsidR="006D51E5">
        <w:rPr>
          <w:rFonts w:cstheme="minorBidi"/>
        </w:rPr>
        <w:t>.</w:t>
      </w:r>
    </w:p>
    <w:tbl>
      <w:tblPr>
        <w:tblW w:w="5000" w:type="pct"/>
        <w:shd w:val="clear" w:color="auto" w:fill="F2E3C7" w:themeFill="background2"/>
        <w:tblCellMar>
          <w:top w:w="284" w:type="dxa"/>
          <w:left w:w="284" w:type="dxa"/>
          <w:bottom w:w="284" w:type="dxa"/>
          <w:right w:w="284" w:type="dxa"/>
        </w:tblCellMar>
        <w:tblLook w:val="0600" w:firstRow="0" w:lastRow="0" w:firstColumn="0" w:lastColumn="0" w:noHBand="1" w:noVBand="1"/>
      </w:tblPr>
      <w:tblGrid>
        <w:gridCol w:w="9070"/>
      </w:tblGrid>
      <w:tr w:rsidR="0099326B" w14:paraId="6DCDA41B" w14:textId="77777777">
        <w:tc>
          <w:tcPr>
            <w:tcW w:w="5000" w:type="pct"/>
            <w:shd w:val="clear" w:color="auto" w:fill="F2E3C7" w:themeFill="background2"/>
            <w:hideMark/>
          </w:tcPr>
          <w:p w14:paraId="5D2FC83B" w14:textId="18E0EB86" w:rsidR="0099326B" w:rsidRPr="0099326B" w:rsidRDefault="0099326B" w:rsidP="001B4EAF">
            <w:pPr>
              <w:pStyle w:val="BoxHeadingBox11"/>
            </w:pPr>
            <w:r w:rsidRPr="0099326B">
              <w:lastRenderedPageBreak/>
              <w:t>Housing co</w:t>
            </w:r>
            <w:r w:rsidR="006660FC">
              <w:t>-</w:t>
            </w:r>
            <w:r w:rsidRPr="0099326B">
              <w:t xml:space="preserve">operatives in Australia </w:t>
            </w:r>
          </w:p>
          <w:p w14:paraId="22EC774A" w14:textId="07B82583" w:rsidR="0099326B" w:rsidRPr="0015531E" w:rsidRDefault="0099326B" w:rsidP="0099326B">
            <w:pPr>
              <w:pStyle w:val="BoxText"/>
              <w:rPr>
                <w:b/>
                <w:lang w:eastAsia="en-US"/>
              </w:rPr>
            </w:pPr>
            <w:r w:rsidRPr="0015531E">
              <w:rPr>
                <w:lang w:eastAsia="en-US"/>
              </w:rPr>
              <w:t>Housing co</w:t>
            </w:r>
            <w:r w:rsidR="00A15C79">
              <w:rPr>
                <w:lang w:eastAsia="en-US"/>
              </w:rPr>
              <w:noBreakHyphen/>
            </w:r>
            <w:r w:rsidRPr="0015531E">
              <w:rPr>
                <w:lang w:eastAsia="en-US"/>
              </w:rPr>
              <w:t xml:space="preserve">operatives are a distinct housing tenure type that </w:t>
            </w:r>
            <w:r>
              <w:rPr>
                <w:lang w:eastAsia="en-US"/>
              </w:rPr>
              <w:t>represent</w:t>
            </w:r>
            <w:r w:rsidRPr="0015531E">
              <w:rPr>
                <w:lang w:eastAsia="en-US"/>
              </w:rPr>
              <w:t xml:space="preserve"> </w:t>
            </w:r>
            <w:r>
              <w:rPr>
                <w:lang w:eastAsia="en-US"/>
              </w:rPr>
              <w:t>a blend</w:t>
            </w:r>
            <w:r w:rsidRPr="0015531E">
              <w:rPr>
                <w:lang w:eastAsia="en-US"/>
              </w:rPr>
              <w:t xml:space="preserve"> of market and non</w:t>
            </w:r>
            <w:r w:rsidR="00A15C79">
              <w:rPr>
                <w:lang w:eastAsia="en-US"/>
              </w:rPr>
              <w:noBreakHyphen/>
            </w:r>
            <w:r w:rsidRPr="0015531E">
              <w:rPr>
                <w:lang w:eastAsia="en-US"/>
              </w:rPr>
              <w:t xml:space="preserve">market housing. </w:t>
            </w:r>
            <w:r>
              <w:rPr>
                <w:lang w:eastAsia="en-US"/>
              </w:rPr>
              <w:t>Households in h</w:t>
            </w:r>
            <w:r w:rsidRPr="0015531E">
              <w:rPr>
                <w:lang w:eastAsia="en-US"/>
              </w:rPr>
              <w:t>ousing co</w:t>
            </w:r>
            <w:r w:rsidR="00A15C79">
              <w:rPr>
                <w:lang w:eastAsia="en-US"/>
              </w:rPr>
              <w:noBreakHyphen/>
            </w:r>
            <w:r w:rsidRPr="0015531E">
              <w:rPr>
                <w:lang w:eastAsia="en-US"/>
              </w:rPr>
              <w:t xml:space="preserve">operatives share costs through a collective ownership model, </w:t>
            </w:r>
            <w:r>
              <w:rPr>
                <w:lang w:eastAsia="en-US"/>
              </w:rPr>
              <w:t xml:space="preserve">making </w:t>
            </w:r>
            <w:r w:rsidRPr="0015531E" w:rsidDel="0085792E">
              <w:rPr>
                <w:lang w:eastAsia="en-US"/>
              </w:rPr>
              <w:t xml:space="preserve">decisions </w:t>
            </w:r>
            <w:r>
              <w:rPr>
                <w:lang w:eastAsia="en-US"/>
              </w:rPr>
              <w:t>on</w:t>
            </w:r>
            <w:r w:rsidRPr="0015531E">
              <w:rPr>
                <w:lang w:eastAsia="en-US"/>
              </w:rPr>
              <w:t xml:space="preserve"> a </w:t>
            </w:r>
            <w:r w:rsidR="00A15C79">
              <w:rPr>
                <w:lang w:eastAsia="en-US"/>
              </w:rPr>
              <w:t>‘</w:t>
            </w:r>
            <w:r w:rsidRPr="0015531E">
              <w:rPr>
                <w:lang w:eastAsia="en-US"/>
              </w:rPr>
              <w:t>one member, one vote</w:t>
            </w:r>
            <w:r w:rsidR="00A15C79">
              <w:rPr>
                <w:lang w:eastAsia="en-US"/>
              </w:rPr>
              <w:t>’</w:t>
            </w:r>
            <w:r w:rsidRPr="0015531E">
              <w:rPr>
                <w:lang w:eastAsia="en-US"/>
              </w:rPr>
              <w:t xml:space="preserve"> </w:t>
            </w:r>
            <w:r>
              <w:rPr>
                <w:lang w:eastAsia="en-US"/>
              </w:rPr>
              <w:t>basis</w:t>
            </w:r>
            <w:r w:rsidRPr="0015531E">
              <w:rPr>
                <w:lang w:eastAsia="en-US"/>
              </w:rPr>
              <w:t>. A household may participate as either an owner</w:t>
            </w:r>
            <w:r w:rsidR="00A15C79">
              <w:rPr>
                <w:lang w:eastAsia="en-US"/>
              </w:rPr>
              <w:noBreakHyphen/>
            </w:r>
            <w:r w:rsidRPr="0015531E">
              <w:rPr>
                <w:lang w:eastAsia="en-US"/>
              </w:rPr>
              <w:t xml:space="preserve">occupier with selling rights or as a </w:t>
            </w:r>
            <w:r w:rsidR="00A15C79">
              <w:rPr>
                <w:lang w:eastAsia="en-US"/>
              </w:rPr>
              <w:t>‘</w:t>
            </w:r>
            <w:r w:rsidRPr="0015531E">
              <w:rPr>
                <w:lang w:eastAsia="en-US"/>
              </w:rPr>
              <w:t>non</w:t>
            </w:r>
            <w:r w:rsidR="00A15C79">
              <w:rPr>
                <w:lang w:eastAsia="en-US"/>
              </w:rPr>
              <w:noBreakHyphen/>
            </w:r>
            <w:r w:rsidRPr="0015531E">
              <w:rPr>
                <w:lang w:eastAsia="en-US"/>
              </w:rPr>
              <w:t>equity</w:t>
            </w:r>
            <w:r w:rsidR="00A15C79">
              <w:rPr>
                <w:lang w:eastAsia="en-US"/>
              </w:rPr>
              <w:t>’</w:t>
            </w:r>
            <w:r w:rsidRPr="0015531E">
              <w:rPr>
                <w:lang w:eastAsia="en-US"/>
              </w:rPr>
              <w:t xml:space="preserve"> renter with secure tenancy. A key goal of a housing co</w:t>
            </w:r>
            <w:r w:rsidR="00A15C79">
              <w:rPr>
                <w:lang w:eastAsia="en-US"/>
              </w:rPr>
              <w:noBreakHyphen/>
            </w:r>
            <w:r w:rsidRPr="0015531E">
              <w:rPr>
                <w:lang w:eastAsia="en-US"/>
              </w:rPr>
              <w:t>operative, as a not</w:t>
            </w:r>
            <w:r w:rsidR="00A15C79">
              <w:rPr>
                <w:lang w:eastAsia="en-US"/>
              </w:rPr>
              <w:noBreakHyphen/>
            </w:r>
            <w:r w:rsidRPr="0015531E">
              <w:rPr>
                <w:lang w:eastAsia="en-US"/>
              </w:rPr>
              <w:t>for</w:t>
            </w:r>
            <w:r w:rsidR="00A15C79">
              <w:rPr>
                <w:lang w:eastAsia="en-US"/>
              </w:rPr>
              <w:noBreakHyphen/>
            </w:r>
            <w:r w:rsidRPr="0015531E">
              <w:rPr>
                <w:lang w:eastAsia="en-US"/>
              </w:rPr>
              <w:t xml:space="preserve">profit, is </w:t>
            </w:r>
            <w:r>
              <w:rPr>
                <w:lang w:eastAsia="en-US"/>
              </w:rPr>
              <w:t>to make</w:t>
            </w:r>
            <w:r w:rsidRPr="0015531E">
              <w:rPr>
                <w:lang w:eastAsia="en-US"/>
              </w:rPr>
              <w:t xml:space="preserve"> housing affordable rather than profitable (Housing Europe and ICA Housing 2012). </w:t>
            </w:r>
          </w:p>
          <w:p w14:paraId="64A9207B" w14:textId="06D16508" w:rsidR="0099326B" w:rsidRPr="0015531E" w:rsidRDefault="0099326B" w:rsidP="0099326B">
            <w:pPr>
              <w:pStyle w:val="BoxText"/>
              <w:rPr>
                <w:b/>
                <w:lang w:eastAsia="en-US"/>
              </w:rPr>
            </w:pPr>
            <w:r w:rsidRPr="0015531E">
              <w:rPr>
                <w:lang w:eastAsia="en-US"/>
              </w:rPr>
              <w:t>Housing co</w:t>
            </w:r>
            <w:r w:rsidR="00A15C79">
              <w:rPr>
                <w:lang w:eastAsia="en-US"/>
              </w:rPr>
              <w:noBreakHyphen/>
            </w:r>
            <w:r w:rsidRPr="0015531E">
              <w:rPr>
                <w:lang w:eastAsia="en-US"/>
              </w:rPr>
              <w:t>operatives are popular in Scandinavia, accounting for over a quarter of housing in parts of Sweden, Norway and Denmark (</w:t>
            </w:r>
            <w:r w:rsidR="00EA2678">
              <w:rPr>
                <w:lang w:eastAsia="en-US"/>
              </w:rPr>
              <w:t>Adhikari</w:t>
            </w:r>
            <w:r w:rsidRPr="0015531E">
              <w:rPr>
                <w:lang w:eastAsia="en-US"/>
              </w:rPr>
              <w:t xml:space="preserve"> 2024). In Scandinavia, regulations tend to ensure prices are kept </w:t>
            </w:r>
            <w:r>
              <w:rPr>
                <w:lang w:eastAsia="en-US"/>
              </w:rPr>
              <w:t>below those</w:t>
            </w:r>
            <w:r w:rsidRPr="0015531E">
              <w:rPr>
                <w:lang w:eastAsia="en-US"/>
              </w:rPr>
              <w:t xml:space="preserve"> in the private sector (</w:t>
            </w:r>
            <w:r w:rsidR="0036094C">
              <w:rPr>
                <w:lang w:eastAsia="en-US"/>
              </w:rPr>
              <w:t>Adhikari</w:t>
            </w:r>
            <w:r w:rsidRPr="0015531E">
              <w:rPr>
                <w:lang w:eastAsia="en-US"/>
              </w:rPr>
              <w:t xml:space="preserve"> 2024). In the United</w:t>
            </w:r>
            <w:r w:rsidR="00DB6DE6">
              <w:rPr>
                <w:lang w:eastAsia="en-US"/>
              </w:rPr>
              <w:t> </w:t>
            </w:r>
            <w:r w:rsidRPr="0015531E">
              <w:rPr>
                <w:lang w:eastAsia="en-US"/>
              </w:rPr>
              <w:t>States, co</w:t>
            </w:r>
            <w:r w:rsidR="00A15C79">
              <w:rPr>
                <w:lang w:eastAsia="en-US"/>
              </w:rPr>
              <w:noBreakHyphen/>
            </w:r>
            <w:r w:rsidRPr="0015531E">
              <w:rPr>
                <w:lang w:eastAsia="en-US"/>
              </w:rPr>
              <w:t>operatives are concentrated in New York City, where they account for a significant share of owner</w:t>
            </w:r>
            <w:r w:rsidR="00A15C79">
              <w:rPr>
                <w:lang w:eastAsia="en-US"/>
              </w:rPr>
              <w:noBreakHyphen/>
            </w:r>
            <w:r w:rsidRPr="0015531E">
              <w:rPr>
                <w:lang w:eastAsia="en-US"/>
              </w:rPr>
              <w:t>occupied apartments (New York City Comptroller 2024). Unlike in Scandinavia, most co</w:t>
            </w:r>
            <w:r w:rsidR="00A15C79">
              <w:rPr>
                <w:lang w:eastAsia="en-US"/>
              </w:rPr>
              <w:noBreakHyphen/>
            </w:r>
            <w:r w:rsidRPr="0015531E">
              <w:rPr>
                <w:lang w:eastAsia="en-US"/>
              </w:rPr>
              <w:t>operatives in the United States are market</w:t>
            </w:r>
            <w:r w:rsidR="00A15C79">
              <w:rPr>
                <w:lang w:eastAsia="en-US"/>
              </w:rPr>
              <w:noBreakHyphen/>
            </w:r>
            <w:r>
              <w:rPr>
                <w:lang w:eastAsia="en-US"/>
              </w:rPr>
              <w:t xml:space="preserve">rate </w:t>
            </w:r>
            <w:r w:rsidRPr="0015531E">
              <w:rPr>
                <w:lang w:eastAsia="en-US"/>
              </w:rPr>
              <w:t>and are often targeted at higher</w:t>
            </w:r>
            <w:r w:rsidR="00A15C79">
              <w:rPr>
                <w:lang w:eastAsia="en-US"/>
              </w:rPr>
              <w:noBreakHyphen/>
            </w:r>
            <w:r w:rsidRPr="0015531E">
              <w:rPr>
                <w:lang w:eastAsia="en-US"/>
              </w:rPr>
              <w:t>income cohorts</w:t>
            </w:r>
            <w:r>
              <w:rPr>
                <w:lang w:eastAsia="en-US"/>
              </w:rPr>
              <w:t xml:space="preserve">. However, there are </w:t>
            </w:r>
            <w:r w:rsidRPr="0015531E">
              <w:rPr>
                <w:lang w:eastAsia="en-US"/>
              </w:rPr>
              <w:t>affordable co</w:t>
            </w:r>
            <w:r w:rsidR="00A15C79">
              <w:rPr>
                <w:lang w:eastAsia="en-US"/>
              </w:rPr>
              <w:noBreakHyphen/>
            </w:r>
            <w:r w:rsidRPr="0015531E">
              <w:rPr>
                <w:lang w:eastAsia="en-US"/>
              </w:rPr>
              <w:t>operatives</w:t>
            </w:r>
            <w:r>
              <w:rPr>
                <w:lang w:eastAsia="en-US"/>
              </w:rPr>
              <w:t>, which</w:t>
            </w:r>
            <w:r w:rsidRPr="0015531E" w:rsidDel="003E3B73">
              <w:rPr>
                <w:lang w:eastAsia="en-US"/>
              </w:rPr>
              <w:t xml:space="preserve"> </w:t>
            </w:r>
            <w:r w:rsidRPr="0015531E">
              <w:rPr>
                <w:lang w:eastAsia="en-US"/>
              </w:rPr>
              <w:t>are often sponsored by government financing (</w:t>
            </w:r>
            <w:r w:rsidR="00652BE1">
              <w:rPr>
                <w:lang w:eastAsia="en-US"/>
              </w:rPr>
              <w:t xml:space="preserve">Cooperative </w:t>
            </w:r>
            <w:r w:rsidRPr="0015531E">
              <w:rPr>
                <w:lang w:eastAsia="en-US"/>
              </w:rPr>
              <w:t xml:space="preserve">Housing International </w:t>
            </w:r>
            <w:r w:rsidR="004B7925">
              <w:rPr>
                <w:lang w:eastAsia="en-US"/>
              </w:rPr>
              <w:t>n.d.</w:t>
            </w:r>
            <w:r w:rsidRPr="0015531E">
              <w:rPr>
                <w:lang w:eastAsia="en-US"/>
              </w:rPr>
              <w:t xml:space="preserve">). </w:t>
            </w:r>
          </w:p>
          <w:p w14:paraId="474FFD47" w14:textId="410EE9DC" w:rsidR="0099326B" w:rsidRPr="0015531E" w:rsidRDefault="0099326B" w:rsidP="0099326B">
            <w:pPr>
              <w:pStyle w:val="BoxText"/>
              <w:rPr>
                <w:b/>
                <w:lang w:eastAsia="en-US"/>
              </w:rPr>
            </w:pPr>
            <w:r w:rsidRPr="0015531E">
              <w:rPr>
                <w:lang w:eastAsia="en-US"/>
              </w:rPr>
              <w:t>In Australia, less than 0.1</w:t>
            </w:r>
            <w:r>
              <w:rPr>
                <w:b/>
                <w:lang w:eastAsia="en-US"/>
              </w:rPr>
              <w:t> </w:t>
            </w:r>
            <w:r w:rsidRPr="00DB6DE6">
              <w:rPr>
                <w:bCs/>
                <w:lang w:eastAsia="en-US"/>
              </w:rPr>
              <w:t>per cent</w:t>
            </w:r>
            <w:r w:rsidRPr="0015531E">
              <w:rPr>
                <w:lang w:eastAsia="en-US"/>
              </w:rPr>
              <w:t xml:space="preserve"> of housing is provided by housing co</w:t>
            </w:r>
            <w:r w:rsidR="00A15C79">
              <w:rPr>
                <w:lang w:eastAsia="en-US"/>
              </w:rPr>
              <w:noBreakHyphen/>
            </w:r>
            <w:r w:rsidRPr="0015531E">
              <w:rPr>
                <w:lang w:eastAsia="en-US"/>
              </w:rPr>
              <w:t>operatives (</w:t>
            </w:r>
            <w:r w:rsidR="00210E9C">
              <w:rPr>
                <w:lang w:eastAsia="en-US"/>
              </w:rPr>
              <w:t>Seaborn</w:t>
            </w:r>
            <w:r w:rsidRPr="0015531E">
              <w:rPr>
                <w:lang w:eastAsia="en-US"/>
              </w:rPr>
              <w:t xml:space="preserve"> 2024). Generally, these are rental co</w:t>
            </w:r>
            <w:r w:rsidR="00A15C79">
              <w:rPr>
                <w:lang w:eastAsia="en-US"/>
              </w:rPr>
              <w:noBreakHyphen/>
            </w:r>
            <w:r w:rsidRPr="0015531E">
              <w:rPr>
                <w:lang w:eastAsia="en-US"/>
              </w:rPr>
              <w:t>operatives</w:t>
            </w:r>
            <w:r>
              <w:rPr>
                <w:lang w:eastAsia="en-US"/>
              </w:rPr>
              <w:t>,</w:t>
            </w:r>
            <w:r w:rsidRPr="0015531E">
              <w:rPr>
                <w:lang w:eastAsia="en-US"/>
              </w:rPr>
              <w:t xml:space="preserve"> although </w:t>
            </w:r>
            <w:r>
              <w:rPr>
                <w:lang w:eastAsia="en-US"/>
              </w:rPr>
              <w:t xml:space="preserve">there are </w:t>
            </w:r>
            <w:r w:rsidRPr="0015531E">
              <w:rPr>
                <w:lang w:eastAsia="en-US"/>
              </w:rPr>
              <w:t>a small number of equity</w:t>
            </w:r>
            <w:r w:rsidR="00A15C79">
              <w:rPr>
                <w:lang w:eastAsia="en-US"/>
              </w:rPr>
              <w:noBreakHyphen/>
            </w:r>
            <w:r w:rsidRPr="0015531E">
              <w:rPr>
                <w:lang w:eastAsia="en-US"/>
              </w:rPr>
              <w:t>based ownership co</w:t>
            </w:r>
            <w:r w:rsidR="00A15C79">
              <w:rPr>
                <w:lang w:eastAsia="en-US"/>
              </w:rPr>
              <w:noBreakHyphen/>
            </w:r>
            <w:r w:rsidRPr="0015531E">
              <w:rPr>
                <w:lang w:eastAsia="en-US"/>
              </w:rPr>
              <w:t>operatives (</w:t>
            </w:r>
            <w:r w:rsidR="00210E9C">
              <w:rPr>
                <w:lang w:eastAsia="en-US"/>
              </w:rPr>
              <w:t>Seaborn</w:t>
            </w:r>
            <w:r w:rsidRPr="0015531E">
              <w:rPr>
                <w:lang w:eastAsia="en-US"/>
              </w:rPr>
              <w:t xml:space="preserve"> 2024). Most</w:t>
            </w:r>
            <w:r w:rsidRPr="0015531E" w:rsidDel="001706BA">
              <w:rPr>
                <w:lang w:eastAsia="en-US"/>
              </w:rPr>
              <w:t xml:space="preserve"> </w:t>
            </w:r>
            <w:r w:rsidRPr="0015531E">
              <w:rPr>
                <w:lang w:eastAsia="en-US"/>
              </w:rPr>
              <w:t>housing co</w:t>
            </w:r>
            <w:r w:rsidR="00A15C79">
              <w:rPr>
                <w:lang w:eastAsia="en-US"/>
              </w:rPr>
              <w:noBreakHyphen/>
            </w:r>
            <w:r w:rsidRPr="0015531E">
              <w:rPr>
                <w:lang w:eastAsia="en-US"/>
              </w:rPr>
              <w:t>operatives in Australia access some form of subsidy</w:t>
            </w:r>
            <w:r>
              <w:rPr>
                <w:lang w:eastAsia="en-US"/>
              </w:rPr>
              <w:t>. However,</w:t>
            </w:r>
            <w:r w:rsidRPr="0015531E" w:rsidDel="00C93178">
              <w:rPr>
                <w:lang w:eastAsia="en-US"/>
              </w:rPr>
              <w:t xml:space="preserve"> </w:t>
            </w:r>
            <w:r w:rsidRPr="0015531E">
              <w:rPr>
                <w:lang w:eastAsia="en-US"/>
              </w:rPr>
              <w:t>in principle</w:t>
            </w:r>
            <w:r>
              <w:rPr>
                <w:lang w:eastAsia="en-US"/>
              </w:rPr>
              <w:t>,</w:t>
            </w:r>
            <w:r w:rsidRPr="0015531E">
              <w:rPr>
                <w:lang w:eastAsia="en-US"/>
              </w:rPr>
              <w:t xml:space="preserve"> this housing tenure type can exist without subsidies, as is often the case overseas. In Australia</w:t>
            </w:r>
            <w:r>
              <w:rPr>
                <w:lang w:eastAsia="en-US"/>
              </w:rPr>
              <w:t>, there are two main types of housing co</w:t>
            </w:r>
            <w:r w:rsidR="00A15C79">
              <w:rPr>
                <w:lang w:eastAsia="en-US"/>
              </w:rPr>
              <w:noBreakHyphen/>
            </w:r>
            <w:r>
              <w:rPr>
                <w:lang w:eastAsia="en-US"/>
              </w:rPr>
              <w:t>operatives</w:t>
            </w:r>
            <w:r w:rsidRPr="0015531E">
              <w:rPr>
                <w:lang w:eastAsia="en-US"/>
              </w:rPr>
              <w:t>:</w:t>
            </w:r>
          </w:p>
          <w:p w14:paraId="052274AA" w14:textId="7D089608" w:rsidR="0099326B" w:rsidRPr="0015531E" w:rsidRDefault="0099326B" w:rsidP="0099326B">
            <w:pPr>
              <w:pStyle w:val="Boxbullet"/>
              <w:rPr>
                <w:b/>
              </w:rPr>
            </w:pPr>
            <w:r w:rsidRPr="0015531E">
              <w:t>Common equity rental co</w:t>
            </w:r>
            <w:r w:rsidR="00A15C79">
              <w:noBreakHyphen/>
            </w:r>
            <w:r w:rsidRPr="0015531E">
              <w:t>operatives are groups of co</w:t>
            </w:r>
            <w:r w:rsidR="00A15C79">
              <w:noBreakHyphen/>
            </w:r>
            <w:r w:rsidRPr="0015531E">
              <w:t>operatives whose property is held in common in a jointly</w:t>
            </w:r>
            <w:r>
              <w:t xml:space="preserve"> </w:t>
            </w:r>
            <w:r w:rsidRPr="0015531E">
              <w:t>owned company (</w:t>
            </w:r>
            <w:r w:rsidR="00210E9C">
              <w:t>Seaborn</w:t>
            </w:r>
            <w:r w:rsidRPr="0015531E">
              <w:t xml:space="preserve"> 2024). Individual co</w:t>
            </w:r>
            <w:r w:rsidR="00A15C79">
              <w:noBreakHyphen/>
            </w:r>
            <w:r w:rsidRPr="0015531E">
              <w:t xml:space="preserve">operatives typically manage tenancy and monitor maintenance, while the common equity company manages major maintenance, holds contracts and titles to the properties, and is responsible for capital funding and regulatory </w:t>
            </w:r>
            <w:r w:rsidRPr="0099326B">
              <w:t>compliance</w:t>
            </w:r>
            <w:r w:rsidRPr="0015531E">
              <w:t>. This model provides sufficient scale for co</w:t>
            </w:r>
            <w:r w:rsidR="00A15C79">
              <w:noBreakHyphen/>
            </w:r>
            <w:r w:rsidRPr="0015531E">
              <w:t>operatives to remain financially viable. Common equity rental co</w:t>
            </w:r>
            <w:r w:rsidR="00A15C79">
              <w:noBreakHyphen/>
            </w:r>
            <w:r w:rsidRPr="0015531E">
              <w:t>operatives are registered CHPs that receive government funding (</w:t>
            </w:r>
            <w:r w:rsidR="00210E9C">
              <w:t>Seaborn</w:t>
            </w:r>
            <w:r w:rsidR="00DB6DE6">
              <w:t> </w:t>
            </w:r>
            <w:r w:rsidRPr="0015531E">
              <w:t xml:space="preserve">2024). </w:t>
            </w:r>
          </w:p>
          <w:p w14:paraId="15E25D71" w14:textId="597BBBB0" w:rsidR="0099326B" w:rsidRPr="0015531E" w:rsidRDefault="0099326B" w:rsidP="0099326B">
            <w:pPr>
              <w:pStyle w:val="Boxbullet"/>
              <w:rPr>
                <w:b/>
              </w:rPr>
            </w:pPr>
            <w:r w:rsidRPr="0015531E">
              <w:t>Equity</w:t>
            </w:r>
            <w:r w:rsidR="00A15C79">
              <w:noBreakHyphen/>
            </w:r>
            <w:r w:rsidRPr="0015531E">
              <w:t>based ownership co</w:t>
            </w:r>
            <w:r w:rsidR="00A15C79">
              <w:noBreakHyphen/>
            </w:r>
            <w:r w:rsidRPr="0015531E">
              <w:t xml:space="preserve">operatives enable members to own individual homes, with the </w:t>
            </w:r>
            <w:r w:rsidRPr="0099326B">
              <w:t>co</w:t>
            </w:r>
            <w:r w:rsidR="00A15C79">
              <w:noBreakHyphen/>
            </w:r>
            <w:r w:rsidRPr="0015531E">
              <w:t>operative retaining ownership of common areas. This model is less common in Australia. Co</w:t>
            </w:r>
            <w:r w:rsidR="00A15C79">
              <w:noBreakHyphen/>
            </w:r>
            <w:r w:rsidRPr="0015531E">
              <w:t xml:space="preserve">operative members may only have to </w:t>
            </w:r>
            <w:r w:rsidRPr="005B2645">
              <w:t>cover 75–80 per cent of the</w:t>
            </w:r>
            <w:r w:rsidRPr="0015531E">
              <w:t xml:space="preserve"> dwelling costs, wh</w:t>
            </w:r>
            <w:r>
              <w:t>ile</w:t>
            </w:r>
            <w:r w:rsidRPr="0015531E" w:rsidDel="005B2DDD">
              <w:t xml:space="preserve"> </w:t>
            </w:r>
            <w:r w:rsidRPr="0015531E" w:rsidDel="00831635">
              <w:t xml:space="preserve">the </w:t>
            </w:r>
            <w:r w:rsidRPr="0015531E">
              <w:t>co</w:t>
            </w:r>
            <w:r w:rsidR="00A15C79">
              <w:noBreakHyphen/>
            </w:r>
            <w:r w:rsidRPr="0015531E">
              <w:t>operative</w:t>
            </w:r>
            <w:r>
              <w:t xml:space="preserve"> covers the rest</w:t>
            </w:r>
            <w:r w:rsidRPr="0015531E">
              <w:t>.</w:t>
            </w:r>
          </w:p>
          <w:p w14:paraId="767E7EA6" w14:textId="7AB973B9" w:rsidR="0099326B" w:rsidRDefault="0099326B" w:rsidP="0099326B">
            <w:pPr>
              <w:pStyle w:val="BoxText"/>
            </w:pPr>
            <w:r w:rsidRPr="0015531E">
              <w:rPr>
                <w:lang w:eastAsia="en-US"/>
              </w:rPr>
              <w:t>The outlook for housing co</w:t>
            </w:r>
            <w:r w:rsidR="00A15C79">
              <w:rPr>
                <w:lang w:eastAsia="en-US"/>
              </w:rPr>
              <w:noBreakHyphen/>
            </w:r>
            <w:r w:rsidRPr="0015531E">
              <w:rPr>
                <w:lang w:eastAsia="en-US"/>
              </w:rPr>
              <w:t>operatives in Australia is uncertain, and they are likely to remain a marginal element of the housing stock in the near term. Nevertheless, co</w:t>
            </w:r>
            <w:r w:rsidR="00A15C79">
              <w:rPr>
                <w:lang w:eastAsia="en-US"/>
              </w:rPr>
              <w:noBreakHyphen/>
            </w:r>
            <w:r w:rsidRPr="0015531E">
              <w:rPr>
                <w:lang w:eastAsia="en-US"/>
              </w:rPr>
              <w:t xml:space="preserve">operatives represent </w:t>
            </w:r>
            <w:r>
              <w:rPr>
                <w:lang w:eastAsia="en-US"/>
              </w:rPr>
              <w:t xml:space="preserve">an </w:t>
            </w:r>
            <w:r w:rsidRPr="0015531E">
              <w:rPr>
                <w:lang w:eastAsia="en-US"/>
              </w:rPr>
              <w:t xml:space="preserve">existing housing pathway that could </w:t>
            </w:r>
            <w:r>
              <w:rPr>
                <w:lang w:eastAsia="en-US"/>
              </w:rPr>
              <w:t xml:space="preserve">be developed to </w:t>
            </w:r>
            <w:r w:rsidRPr="0015531E">
              <w:rPr>
                <w:lang w:eastAsia="en-US"/>
              </w:rPr>
              <w:t>diversify the stock of affordable housing in Australia.</w:t>
            </w:r>
          </w:p>
        </w:tc>
      </w:tr>
    </w:tbl>
    <w:p w14:paraId="235F7AE7" w14:textId="77777777" w:rsidR="0099326B" w:rsidRDefault="0099326B" w:rsidP="0099326B">
      <w:bookmarkStart w:id="120" w:name="_Toc195026598"/>
      <w:r>
        <w:br w:type="page"/>
      </w:r>
    </w:p>
    <w:p w14:paraId="2B62C485" w14:textId="2199C677" w:rsidR="00791A68" w:rsidRPr="007904CA" w:rsidRDefault="00791A68" w:rsidP="0099326B">
      <w:pPr>
        <w:pStyle w:val="Heading2Numbered"/>
      </w:pPr>
      <w:bookmarkStart w:id="121" w:name="_Toc196395889"/>
      <w:r>
        <w:lastRenderedPageBreak/>
        <w:t xml:space="preserve">The stock </w:t>
      </w:r>
      <w:r w:rsidRPr="0099326B">
        <w:t>of</w:t>
      </w:r>
      <w:r>
        <w:t xml:space="preserve"> affordable housing has also grown, but </w:t>
      </w:r>
      <w:r w:rsidR="008F6882">
        <w:t>it</w:t>
      </w:r>
      <w:r w:rsidRPr="00EB3C8D">
        <w:t xml:space="preserve"> </w:t>
      </w:r>
      <w:r>
        <w:t>is hard to measure</w:t>
      </w:r>
      <w:bookmarkEnd w:id="120"/>
      <w:bookmarkEnd w:id="121"/>
    </w:p>
    <w:p w14:paraId="0719E6F4" w14:textId="254A5B2E" w:rsidR="00791A68" w:rsidRPr="00EB3C8D" w:rsidRDefault="00791A68">
      <w:pPr>
        <w:rPr>
          <w:rFonts w:cstheme="minorBidi"/>
        </w:rPr>
      </w:pPr>
      <w:r w:rsidRPr="2E095741">
        <w:rPr>
          <w:rFonts w:cstheme="minorBidi"/>
        </w:rPr>
        <w:t xml:space="preserve">Affordable housing is </w:t>
      </w:r>
      <w:r w:rsidRPr="2E095741" w:rsidDel="0068359F">
        <w:rPr>
          <w:rFonts w:cstheme="minorBidi"/>
        </w:rPr>
        <w:t>housing</w:t>
      </w:r>
      <w:r w:rsidRPr="2E095741">
        <w:rPr>
          <w:rFonts w:cstheme="minorBidi"/>
        </w:rPr>
        <w:t xml:space="preserve"> provided at below</w:t>
      </w:r>
      <w:r w:rsidR="00A15C79">
        <w:rPr>
          <w:rFonts w:cstheme="minorBidi"/>
        </w:rPr>
        <w:noBreakHyphen/>
      </w:r>
      <w:r w:rsidRPr="2E095741">
        <w:rPr>
          <w:rFonts w:cstheme="minorBidi"/>
        </w:rPr>
        <w:t xml:space="preserve">market rates to households that face affordability challenges but are not as vulnerable as cohorts serviced by social housing. It has </w:t>
      </w:r>
      <w:r w:rsidR="00417004">
        <w:rPr>
          <w:rFonts w:cstheme="minorBidi"/>
        </w:rPr>
        <w:t>become</w:t>
      </w:r>
      <w:r w:rsidRPr="2E095741">
        <w:rPr>
          <w:rFonts w:cstheme="minorBidi"/>
        </w:rPr>
        <w:t xml:space="preserve"> a </w:t>
      </w:r>
      <w:r w:rsidR="001D5F87">
        <w:rPr>
          <w:rFonts w:cstheme="minorBidi"/>
        </w:rPr>
        <w:t xml:space="preserve">more common </w:t>
      </w:r>
      <w:r w:rsidRPr="2E095741">
        <w:rPr>
          <w:rFonts w:cstheme="minorBidi"/>
        </w:rPr>
        <w:t>tenure type</w:t>
      </w:r>
      <w:r w:rsidR="001D5F87">
        <w:rPr>
          <w:rFonts w:cstheme="minorBidi"/>
        </w:rPr>
        <w:t xml:space="preserve"> in recent years</w:t>
      </w:r>
      <w:r w:rsidRPr="2E095741">
        <w:rPr>
          <w:rFonts w:cstheme="minorBidi"/>
        </w:rPr>
        <w:t xml:space="preserve"> as affordability challenges have </w:t>
      </w:r>
      <w:r>
        <w:rPr>
          <w:rFonts w:cstheme="minorBidi"/>
        </w:rPr>
        <w:t>risen</w:t>
      </w:r>
      <w:r w:rsidRPr="2E095741">
        <w:rPr>
          <w:rFonts w:cstheme="minorBidi"/>
        </w:rPr>
        <w:t xml:space="preserve"> for lower</w:t>
      </w:r>
      <w:r w:rsidR="00A15C79">
        <w:rPr>
          <w:rFonts w:cstheme="minorBidi"/>
        </w:rPr>
        <w:noBreakHyphen/>
      </w:r>
      <w:r w:rsidRPr="2E095741">
        <w:rPr>
          <w:rFonts w:cstheme="minorBidi"/>
        </w:rPr>
        <w:t>income households. Although affordable housing may refer to different tenure types, such as affordable pathways to home ownership</w:t>
      </w:r>
      <w:r>
        <w:rPr>
          <w:rFonts w:cstheme="minorBidi"/>
        </w:rPr>
        <w:t xml:space="preserve">, this </w:t>
      </w:r>
      <w:r w:rsidRPr="2E095741">
        <w:rPr>
          <w:rFonts w:cstheme="minorBidi"/>
        </w:rPr>
        <w:t>report limits its analysis of affordable housing programs to rent</w:t>
      </w:r>
      <w:r w:rsidR="00A15C79">
        <w:rPr>
          <w:rFonts w:cstheme="minorBidi"/>
        </w:rPr>
        <w:noBreakHyphen/>
      </w:r>
      <w:r w:rsidRPr="2E095741">
        <w:rPr>
          <w:rFonts w:cstheme="minorBidi"/>
        </w:rPr>
        <w:t>restricted housing</w:t>
      </w:r>
      <w:r w:rsidR="00AB0EAF">
        <w:rPr>
          <w:rFonts w:cstheme="minorBidi"/>
        </w:rPr>
        <w:t xml:space="preserve">; that is, </w:t>
      </w:r>
      <w:r w:rsidRPr="2E095741">
        <w:rPr>
          <w:rFonts w:cstheme="minorBidi"/>
        </w:rPr>
        <w:t>where rent is provided at below</w:t>
      </w:r>
      <w:r w:rsidR="00A15C79">
        <w:rPr>
          <w:rFonts w:cstheme="minorBidi"/>
        </w:rPr>
        <w:noBreakHyphen/>
      </w:r>
      <w:r w:rsidRPr="2E095741">
        <w:rPr>
          <w:rFonts w:cstheme="minorBidi"/>
        </w:rPr>
        <w:t xml:space="preserve">market rates. </w:t>
      </w:r>
    </w:p>
    <w:p w14:paraId="07BDE0CE" w14:textId="4D70B527" w:rsidR="00791A68" w:rsidRDefault="00791A68">
      <w:pPr>
        <w:rPr>
          <w:rFonts w:cstheme="minorHAnsi"/>
        </w:rPr>
      </w:pPr>
      <w:r>
        <w:rPr>
          <w:rFonts w:cstheme="minorHAnsi"/>
        </w:rPr>
        <w:t xml:space="preserve">Estimating the stock of affordable housing is challenging. </w:t>
      </w:r>
      <w:r w:rsidRPr="00EB3C8D">
        <w:rPr>
          <w:rFonts w:cstheme="minorHAnsi"/>
        </w:rPr>
        <w:t xml:space="preserve">Unlike social housing, </w:t>
      </w:r>
      <w:r w:rsidR="00AB0EAF">
        <w:rPr>
          <w:rFonts w:cstheme="minorHAnsi"/>
        </w:rPr>
        <w:t xml:space="preserve">there is </w:t>
      </w:r>
      <w:r w:rsidRPr="00EB3C8D">
        <w:rPr>
          <w:rFonts w:cstheme="minorHAnsi"/>
        </w:rPr>
        <w:t xml:space="preserve">no national register to quantify the stock of affordable housing. </w:t>
      </w:r>
      <w:r>
        <w:rPr>
          <w:rFonts w:cstheme="minorHAnsi"/>
        </w:rPr>
        <w:t>In 2022, 104 of the largest CHPs reported managing 19,000 affordable rental homes, with an additional 400 homes in the pipeline (</w:t>
      </w:r>
      <w:r w:rsidR="006C15BD">
        <w:rPr>
          <w:rFonts w:cstheme="minorHAnsi"/>
        </w:rPr>
        <w:t>Community Housing Industry Association [</w:t>
      </w:r>
      <w:r>
        <w:rPr>
          <w:rFonts w:cstheme="minorHAnsi"/>
        </w:rPr>
        <w:t>CHIA</w:t>
      </w:r>
      <w:r w:rsidR="006C15BD">
        <w:rPr>
          <w:rFonts w:cstheme="minorHAnsi"/>
        </w:rPr>
        <w:t>]</w:t>
      </w:r>
      <w:r>
        <w:rPr>
          <w:rFonts w:cstheme="minorHAnsi"/>
        </w:rPr>
        <w:t xml:space="preserve"> 2024). However, these CHPs only represent a fraction of all affordable housing providers, and many do not distinguish between social and affordable housing units under development, which may underestimate the affordable housing pipeline. The HAFFF also adds to the supply of affordable housing, with up to 9,500 units expected to receive funding in the first round. </w:t>
      </w:r>
    </w:p>
    <w:p w14:paraId="1A66013A" w14:textId="7E646EE0" w:rsidR="00791A68" w:rsidRDefault="00791A68" w:rsidP="00D579A4">
      <w:pPr>
        <w:tabs>
          <w:tab w:val="left" w:pos="6663"/>
        </w:tabs>
        <w:rPr>
          <w:rFonts w:cstheme="minorHAnsi"/>
        </w:rPr>
      </w:pPr>
      <w:r>
        <w:rPr>
          <w:rFonts w:cstheme="minorBidi"/>
        </w:rPr>
        <w:t>Estimating</w:t>
      </w:r>
      <w:r w:rsidRPr="6DE5C653">
        <w:rPr>
          <w:rFonts w:cstheme="minorBidi"/>
        </w:rPr>
        <w:t xml:space="preserve"> the need for affordable housing</w:t>
      </w:r>
      <w:r>
        <w:rPr>
          <w:rFonts w:cstheme="minorBidi"/>
        </w:rPr>
        <w:t xml:space="preserve"> is also challenging</w:t>
      </w:r>
      <w:r w:rsidR="000C4693">
        <w:rPr>
          <w:rFonts w:cstheme="minorBidi"/>
        </w:rPr>
        <w:t xml:space="preserve">. Nonetheless, multiple </w:t>
      </w:r>
      <w:r>
        <w:rPr>
          <w:rFonts w:cstheme="minorBidi"/>
        </w:rPr>
        <w:t xml:space="preserve">studies have attempted to assess unmet housing need. </w:t>
      </w:r>
      <w:r>
        <w:rPr>
          <w:rFonts w:cstheme="minorHAnsi"/>
        </w:rPr>
        <w:t>A</w:t>
      </w:r>
      <w:r w:rsidRPr="00F95066">
        <w:rPr>
          <w:rFonts w:cstheme="minorHAnsi"/>
        </w:rPr>
        <w:t xml:space="preserve"> recent study estimated housing need </w:t>
      </w:r>
      <w:r>
        <w:rPr>
          <w:rFonts w:cstheme="minorHAnsi"/>
        </w:rPr>
        <w:t>in Australia</w:t>
      </w:r>
      <w:r w:rsidRPr="00F95066">
        <w:rPr>
          <w:rFonts w:cstheme="minorHAnsi"/>
        </w:rPr>
        <w:t xml:space="preserve"> as the number </w:t>
      </w:r>
      <w:r>
        <w:rPr>
          <w:rFonts w:cstheme="minorHAnsi"/>
        </w:rPr>
        <w:t xml:space="preserve">of people </w:t>
      </w:r>
      <w:r w:rsidR="009B4577">
        <w:rPr>
          <w:rFonts w:cstheme="minorHAnsi"/>
        </w:rPr>
        <w:t xml:space="preserve">who </w:t>
      </w:r>
      <w:r w:rsidR="009B4577" w:rsidRPr="002949B5">
        <w:rPr>
          <w:rFonts w:cstheme="minorHAnsi"/>
        </w:rPr>
        <w:t xml:space="preserve">are </w:t>
      </w:r>
      <w:r w:rsidRPr="002949B5">
        <w:rPr>
          <w:rFonts w:cstheme="minorHAnsi"/>
        </w:rPr>
        <w:t>experiencing homelessness</w:t>
      </w:r>
      <w:r w:rsidR="009B4577" w:rsidRPr="002949B5">
        <w:rPr>
          <w:rFonts w:cstheme="minorHAnsi"/>
        </w:rPr>
        <w:t xml:space="preserve"> or </w:t>
      </w:r>
      <w:r w:rsidR="00E729FF" w:rsidRPr="002949B5">
        <w:rPr>
          <w:rFonts w:cstheme="minorHAnsi"/>
        </w:rPr>
        <w:t xml:space="preserve">who live </w:t>
      </w:r>
      <w:r w:rsidRPr="002949B5">
        <w:rPr>
          <w:rFonts w:cstheme="minorHAnsi"/>
        </w:rPr>
        <w:t xml:space="preserve">in overcrowded housing or </w:t>
      </w:r>
      <w:r w:rsidR="00EF6540" w:rsidRPr="002949B5">
        <w:rPr>
          <w:rFonts w:cstheme="minorHAnsi"/>
        </w:rPr>
        <w:t>are</w:t>
      </w:r>
      <w:r w:rsidRPr="002949B5">
        <w:rPr>
          <w:rFonts w:cstheme="minorHAnsi"/>
        </w:rPr>
        <w:t xml:space="preserve"> in the lowest</w:t>
      </w:r>
      <w:r w:rsidR="00DB6DE6" w:rsidRPr="002949B5">
        <w:rPr>
          <w:rFonts w:cstheme="minorHAnsi"/>
        </w:rPr>
        <w:t> </w:t>
      </w:r>
      <w:r w:rsidR="00825CC1" w:rsidRPr="002949B5">
        <w:rPr>
          <w:rFonts w:cstheme="minorHAnsi"/>
        </w:rPr>
        <w:t xml:space="preserve">2 </w:t>
      </w:r>
      <w:r w:rsidRPr="002949B5">
        <w:rPr>
          <w:rFonts w:cstheme="minorHAnsi"/>
        </w:rPr>
        <w:t>income quintiles</w:t>
      </w:r>
      <w:r w:rsidR="00C7744B" w:rsidRPr="002949B5">
        <w:rPr>
          <w:rFonts w:cstheme="minorHAnsi"/>
        </w:rPr>
        <w:t xml:space="preserve"> and experiencing rental stress</w:t>
      </w:r>
      <w:r w:rsidRPr="002949B5">
        <w:rPr>
          <w:rFonts w:cstheme="minorHAnsi"/>
        </w:rPr>
        <w:t xml:space="preserve"> (van den </w:t>
      </w:r>
      <w:proofErr w:type="spellStart"/>
      <w:r w:rsidRPr="002949B5">
        <w:rPr>
          <w:rFonts w:cstheme="minorHAnsi"/>
        </w:rPr>
        <w:t>Nouwelant</w:t>
      </w:r>
      <w:proofErr w:type="spellEnd"/>
      <w:r w:rsidRPr="002949B5">
        <w:rPr>
          <w:rFonts w:cstheme="minorHAnsi"/>
        </w:rPr>
        <w:t xml:space="preserve"> et al</w:t>
      </w:r>
      <w:r w:rsidR="00825CC1" w:rsidRPr="002949B5">
        <w:rPr>
          <w:rFonts w:cstheme="minorHAnsi"/>
        </w:rPr>
        <w:t>.</w:t>
      </w:r>
      <w:r w:rsidRPr="002949B5">
        <w:rPr>
          <w:rFonts w:cstheme="minorHAnsi"/>
        </w:rPr>
        <w:t xml:space="preserve"> 2022). </w:t>
      </w:r>
      <w:r w:rsidR="0066064A" w:rsidRPr="002949B5">
        <w:rPr>
          <w:rFonts w:cstheme="minorHAnsi"/>
        </w:rPr>
        <w:t>Using this measure, a</w:t>
      </w:r>
      <w:r w:rsidRPr="002949B5">
        <w:rPr>
          <w:rFonts w:cstheme="minorHAnsi"/>
        </w:rPr>
        <w:t>round 640,000</w:t>
      </w:r>
      <w:r w:rsidR="00DB6DE6" w:rsidRPr="002949B5">
        <w:rPr>
          <w:rFonts w:cstheme="minorHAnsi"/>
        </w:rPr>
        <w:t> </w:t>
      </w:r>
      <w:r w:rsidRPr="002949B5">
        <w:rPr>
          <w:rFonts w:cstheme="minorHAnsi"/>
        </w:rPr>
        <w:t>households were found to have needed housing support in 2021</w:t>
      </w:r>
      <w:r w:rsidR="00A70335" w:rsidRPr="002949B5">
        <w:rPr>
          <w:rFonts w:cstheme="minorHAnsi"/>
        </w:rPr>
        <w:t xml:space="preserve">, </w:t>
      </w:r>
      <w:r w:rsidRPr="002949B5">
        <w:rPr>
          <w:rFonts w:cstheme="minorHAnsi"/>
        </w:rPr>
        <w:t>includ</w:t>
      </w:r>
      <w:r w:rsidR="00A70335" w:rsidRPr="002949B5">
        <w:rPr>
          <w:rFonts w:cstheme="minorHAnsi"/>
        </w:rPr>
        <w:t>ing</w:t>
      </w:r>
      <w:r w:rsidRPr="002949B5">
        <w:rPr>
          <w:rFonts w:cstheme="minorHAnsi"/>
        </w:rPr>
        <w:t xml:space="preserve"> 203,500</w:t>
      </w:r>
      <w:r w:rsidR="00DB6DE6" w:rsidRPr="002949B5">
        <w:rPr>
          <w:rFonts w:cstheme="minorHAnsi"/>
        </w:rPr>
        <w:t> </w:t>
      </w:r>
      <w:r w:rsidRPr="002949B5">
        <w:rPr>
          <w:rFonts w:cstheme="minorHAnsi"/>
        </w:rPr>
        <w:t>households in the second</w:t>
      </w:r>
      <w:r w:rsidR="00A15C79" w:rsidRPr="002949B5">
        <w:rPr>
          <w:rFonts w:cstheme="minorHAnsi"/>
        </w:rPr>
        <w:noBreakHyphen/>
      </w:r>
      <w:r w:rsidRPr="002949B5">
        <w:rPr>
          <w:rFonts w:cstheme="minorHAnsi"/>
        </w:rPr>
        <w:t xml:space="preserve">lowest income quintile </w:t>
      </w:r>
      <w:r w:rsidR="00024729" w:rsidRPr="002949B5">
        <w:rPr>
          <w:rFonts w:cstheme="minorHAnsi"/>
        </w:rPr>
        <w:t>that</w:t>
      </w:r>
      <w:r w:rsidRPr="002949B5" w:rsidDel="00024729">
        <w:rPr>
          <w:rFonts w:cstheme="minorHAnsi"/>
        </w:rPr>
        <w:t xml:space="preserve"> </w:t>
      </w:r>
      <w:r w:rsidR="00024729" w:rsidRPr="002949B5">
        <w:rPr>
          <w:rFonts w:cstheme="minorHAnsi"/>
        </w:rPr>
        <w:t xml:space="preserve">may </w:t>
      </w:r>
      <w:r w:rsidRPr="002949B5">
        <w:rPr>
          <w:rFonts w:cstheme="minorHAnsi"/>
        </w:rPr>
        <w:t xml:space="preserve">have benefited from affordable housing (van den </w:t>
      </w:r>
      <w:proofErr w:type="spellStart"/>
      <w:r w:rsidRPr="002949B5">
        <w:rPr>
          <w:rFonts w:cstheme="minorHAnsi"/>
        </w:rPr>
        <w:t>Nouwelant</w:t>
      </w:r>
      <w:proofErr w:type="spellEnd"/>
      <w:r w:rsidRPr="002949B5">
        <w:rPr>
          <w:rFonts w:cstheme="minorHAnsi"/>
        </w:rPr>
        <w:t xml:space="preserve"> et al</w:t>
      </w:r>
      <w:r w:rsidR="00603906" w:rsidRPr="002949B5">
        <w:rPr>
          <w:rFonts w:cstheme="minorHAnsi"/>
        </w:rPr>
        <w:t>.</w:t>
      </w:r>
      <w:r w:rsidRPr="002949B5">
        <w:rPr>
          <w:rFonts w:cstheme="minorHAnsi"/>
        </w:rPr>
        <w:t xml:space="preserve"> 2022). However, it should be noted that </w:t>
      </w:r>
      <w:r w:rsidR="00AD6186" w:rsidRPr="002949B5">
        <w:rPr>
          <w:rFonts w:cstheme="minorHAnsi"/>
        </w:rPr>
        <w:t xml:space="preserve">one challenge with using this type of measure is that </w:t>
      </w:r>
      <w:r w:rsidRPr="002949B5">
        <w:rPr>
          <w:rFonts w:cstheme="minorBidi"/>
        </w:rPr>
        <w:t xml:space="preserve">some renters who are technically defined as being in housing stress may not </w:t>
      </w:r>
      <w:r w:rsidR="00A37675" w:rsidRPr="002949B5">
        <w:rPr>
          <w:rFonts w:cstheme="minorBidi"/>
        </w:rPr>
        <w:t xml:space="preserve">necessarily </w:t>
      </w:r>
      <w:r w:rsidR="00AD6186" w:rsidRPr="002949B5">
        <w:rPr>
          <w:rFonts w:cstheme="minorBidi"/>
        </w:rPr>
        <w:t xml:space="preserve">be </w:t>
      </w:r>
      <w:r w:rsidR="009976D4" w:rsidRPr="002949B5">
        <w:rPr>
          <w:rFonts w:cstheme="minorBidi"/>
        </w:rPr>
        <w:t>experiencing</w:t>
      </w:r>
      <w:r w:rsidR="00AD6186" w:rsidRPr="002949B5">
        <w:rPr>
          <w:rFonts w:cstheme="minorBidi"/>
        </w:rPr>
        <w:t xml:space="preserve"> financial stress</w:t>
      </w:r>
      <w:r w:rsidR="009976D4" w:rsidRPr="002949B5">
        <w:rPr>
          <w:rFonts w:cstheme="minorBidi"/>
        </w:rPr>
        <w:t xml:space="preserve"> </w:t>
      </w:r>
      <w:r w:rsidR="009742EC" w:rsidRPr="002949B5">
        <w:rPr>
          <w:rFonts w:cstheme="minorBidi"/>
        </w:rPr>
        <w:t>(Rowley</w:t>
      </w:r>
      <w:r w:rsidR="00DB6DE6" w:rsidRPr="002949B5">
        <w:rPr>
          <w:rFonts w:cstheme="minorBidi"/>
        </w:rPr>
        <w:t> </w:t>
      </w:r>
      <w:r w:rsidR="00C1165C" w:rsidRPr="002949B5">
        <w:rPr>
          <w:rFonts w:cstheme="minorBidi"/>
        </w:rPr>
        <w:t>and</w:t>
      </w:r>
      <w:r w:rsidR="009742EC" w:rsidRPr="002949B5">
        <w:rPr>
          <w:rFonts w:cstheme="minorBidi"/>
        </w:rPr>
        <w:t xml:space="preserve"> Ong 2012).</w:t>
      </w:r>
      <w:r w:rsidR="009742EC">
        <w:rPr>
          <w:rFonts w:cstheme="minorBidi"/>
        </w:rPr>
        <w:t xml:space="preserve"> </w:t>
      </w:r>
    </w:p>
    <w:p w14:paraId="5649BEFF" w14:textId="13B2FDA2" w:rsidR="00791A68" w:rsidRDefault="00791A68">
      <w:pPr>
        <w:rPr>
          <w:rFonts w:cstheme="minorHAnsi"/>
        </w:rPr>
      </w:pPr>
      <w:r>
        <w:rPr>
          <w:rFonts w:cstheme="minorHAnsi"/>
        </w:rPr>
        <w:t xml:space="preserve">While estimating </w:t>
      </w:r>
      <w:r w:rsidR="003675C2">
        <w:rPr>
          <w:rFonts w:cstheme="minorHAnsi"/>
        </w:rPr>
        <w:t xml:space="preserve">the </w:t>
      </w:r>
      <w:r>
        <w:rPr>
          <w:rFonts w:cstheme="minorHAnsi"/>
        </w:rPr>
        <w:t>need for affordable housing is challenging, the rise in rental stress for many people means that a growing number of people may need housing options outside the market</w:t>
      </w:r>
      <w:r w:rsidR="00C2568D">
        <w:rPr>
          <w:rFonts w:cstheme="minorHAnsi"/>
        </w:rPr>
        <w:t xml:space="preserve"> (see Chapter 4,</w:t>
      </w:r>
      <w:r w:rsidR="00C2568D">
        <w:rPr>
          <w:rFonts w:cstheme="minorHAnsi"/>
          <w:i/>
          <w:iCs/>
        </w:rPr>
        <w:t xml:space="preserve"> </w:t>
      </w:r>
      <w:r w:rsidR="00C2568D" w:rsidRPr="00DB6DE6">
        <w:rPr>
          <w:rStyle w:val="Emphasis"/>
        </w:rPr>
        <w:t>Housing affordability</w:t>
      </w:r>
      <w:r w:rsidR="00C2568D">
        <w:rPr>
          <w:rFonts w:cstheme="minorHAnsi"/>
        </w:rPr>
        <w:t>)</w:t>
      </w:r>
      <w:r>
        <w:rPr>
          <w:rFonts w:cstheme="minorHAnsi"/>
        </w:rPr>
        <w:t>.</w:t>
      </w:r>
    </w:p>
    <w:p w14:paraId="66312DED" w14:textId="77777777" w:rsidR="00791A68" w:rsidRDefault="00791A68" w:rsidP="0099326B">
      <w:pPr>
        <w:pStyle w:val="Heading3Numbered"/>
      </w:pPr>
      <w:r>
        <w:t>Towards a nationally consistent approach to affordable housing</w:t>
      </w:r>
    </w:p>
    <w:p w14:paraId="07BBCF84" w14:textId="2140893A" w:rsidR="00791A68" w:rsidRDefault="00784A7C">
      <w:pPr>
        <w:rPr>
          <w:rFonts w:cstheme="minorHAnsi"/>
          <w:szCs w:val="22"/>
        </w:rPr>
      </w:pPr>
      <w:r>
        <w:rPr>
          <w:rFonts w:cstheme="minorHAnsi"/>
        </w:rPr>
        <w:t>S</w:t>
      </w:r>
      <w:r w:rsidR="00791A68" w:rsidRPr="00EB3C8D">
        <w:rPr>
          <w:rFonts w:cstheme="minorHAnsi"/>
        </w:rPr>
        <w:t xml:space="preserve">eparate </w:t>
      </w:r>
      <w:r w:rsidR="007C194C">
        <w:rPr>
          <w:rFonts w:cstheme="minorHAnsi"/>
        </w:rPr>
        <w:t>Commonwealth and</w:t>
      </w:r>
      <w:r w:rsidR="00791A68" w:rsidRPr="00EB3C8D">
        <w:rPr>
          <w:rFonts w:cstheme="minorHAnsi"/>
        </w:rPr>
        <w:t xml:space="preserve"> state and territory government programs</w:t>
      </w:r>
      <w:r w:rsidR="003675C2">
        <w:rPr>
          <w:rFonts w:cstheme="minorHAnsi"/>
        </w:rPr>
        <w:t xml:space="preserve"> support affordable housing</w:t>
      </w:r>
      <w:r w:rsidR="00791A68" w:rsidRPr="00EB3C8D">
        <w:rPr>
          <w:rFonts w:cstheme="minorHAnsi"/>
        </w:rPr>
        <w:t xml:space="preserve">. </w:t>
      </w:r>
      <w:r w:rsidR="00791A68">
        <w:rPr>
          <w:rFonts w:cstheme="minorHAnsi"/>
          <w:szCs w:val="22"/>
        </w:rPr>
        <w:t xml:space="preserve">One key barrier to developing an </w:t>
      </w:r>
      <w:r w:rsidR="00791A68" w:rsidRPr="006162DC">
        <w:rPr>
          <w:rFonts w:cstheme="minorHAnsi"/>
          <w:szCs w:val="22"/>
        </w:rPr>
        <w:t xml:space="preserve">affordable housing </w:t>
      </w:r>
      <w:r w:rsidR="00791A68">
        <w:rPr>
          <w:rFonts w:cstheme="minorHAnsi"/>
          <w:szCs w:val="22"/>
        </w:rPr>
        <w:t xml:space="preserve">sector </w:t>
      </w:r>
      <w:r w:rsidR="00791A68" w:rsidRPr="006162DC">
        <w:rPr>
          <w:rFonts w:cstheme="minorHAnsi"/>
          <w:szCs w:val="22"/>
        </w:rPr>
        <w:t xml:space="preserve">is that no single definition exists across </w:t>
      </w:r>
      <w:r w:rsidR="00791A68">
        <w:rPr>
          <w:rFonts w:cstheme="minorHAnsi"/>
          <w:szCs w:val="22"/>
        </w:rPr>
        <w:t xml:space="preserve">these </w:t>
      </w:r>
      <w:r w:rsidR="00791A68" w:rsidRPr="006162DC">
        <w:rPr>
          <w:rFonts w:cstheme="minorHAnsi"/>
          <w:szCs w:val="22"/>
        </w:rPr>
        <w:t xml:space="preserve">programs. </w:t>
      </w:r>
    </w:p>
    <w:p w14:paraId="3E3850A1" w14:textId="15DABEAD" w:rsidR="00304455" w:rsidRDefault="00791A68" w:rsidP="00AF5044">
      <w:r>
        <w:rPr>
          <w:rFonts w:cstheme="minorHAnsi"/>
          <w:szCs w:val="22"/>
        </w:rPr>
        <w:t>Approaches</w:t>
      </w:r>
      <w:r w:rsidRPr="006162DC">
        <w:rPr>
          <w:rFonts w:cstheme="minorHAnsi"/>
          <w:szCs w:val="22"/>
        </w:rPr>
        <w:t xml:space="preserve"> </w:t>
      </w:r>
      <w:r>
        <w:rPr>
          <w:rFonts w:cstheme="minorHAnsi"/>
          <w:szCs w:val="22"/>
        </w:rPr>
        <w:t xml:space="preserve">used to </w:t>
      </w:r>
      <w:r w:rsidRPr="006162DC">
        <w:rPr>
          <w:rFonts w:cstheme="minorHAnsi"/>
          <w:szCs w:val="22"/>
        </w:rPr>
        <w:t>characteris</w:t>
      </w:r>
      <w:r>
        <w:rPr>
          <w:rFonts w:cstheme="minorHAnsi"/>
          <w:szCs w:val="22"/>
        </w:rPr>
        <w:t>e</w:t>
      </w:r>
      <w:r w:rsidRPr="006162DC">
        <w:rPr>
          <w:rFonts w:cstheme="minorHAnsi"/>
          <w:szCs w:val="22"/>
        </w:rPr>
        <w:t xml:space="preserve"> affordable housing include </w:t>
      </w:r>
      <w:r>
        <w:rPr>
          <w:rFonts w:cstheme="minorHAnsi"/>
          <w:szCs w:val="22"/>
        </w:rPr>
        <w:t>the tenure type</w:t>
      </w:r>
      <w:r w:rsidRPr="006162DC">
        <w:rPr>
          <w:rFonts w:cstheme="minorHAnsi"/>
          <w:szCs w:val="22"/>
        </w:rPr>
        <w:t xml:space="preserve">, </w:t>
      </w:r>
      <w:r w:rsidR="005D78F6">
        <w:rPr>
          <w:rFonts w:cstheme="minorHAnsi"/>
          <w:szCs w:val="22"/>
        </w:rPr>
        <w:t xml:space="preserve">the </w:t>
      </w:r>
      <w:r w:rsidRPr="006162DC">
        <w:rPr>
          <w:rFonts w:cstheme="minorHAnsi"/>
          <w:szCs w:val="22"/>
        </w:rPr>
        <w:t xml:space="preserve">rent setting approach, </w:t>
      </w:r>
      <w:r>
        <w:rPr>
          <w:rFonts w:cstheme="minorHAnsi"/>
          <w:szCs w:val="22"/>
        </w:rPr>
        <w:t>tenant eligibility</w:t>
      </w:r>
      <w:r w:rsidRPr="006162DC">
        <w:rPr>
          <w:rFonts w:cstheme="minorHAnsi"/>
          <w:szCs w:val="22"/>
        </w:rPr>
        <w:t xml:space="preserve">, and </w:t>
      </w:r>
      <w:r>
        <w:rPr>
          <w:rFonts w:cstheme="minorHAnsi"/>
          <w:szCs w:val="22"/>
        </w:rPr>
        <w:t xml:space="preserve">determining </w:t>
      </w:r>
      <w:r w:rsidRPr="006162DC">
        <w:rPr>
          <w:rFonts w:cstheme="minorHAnsi"/>
          <w:szCs w:val="22"/>
        </w:rPr>
        <w:t>how long propert</w:t>
      </w:r>
      <w:r>
        <w:rPr>
          <w:rFonts w:cstheme="minorHAnsi"/>
          <w:szCs w:val="22"/>
        </w:rPr>
        <w:t xml:space="preserve">ies </w:t>
      </w:r>
      <w:r w:rsidR="00320A4F">
        <w:rPr>
          <w:rFonts w:cstheme="minorHAnsi"/>
          <w:szCs w:val="22"/>
        </w:rPr>
        <w:t>must</w:t>
      </w:r>
      <w:r w:rsidRPr="006162DC">
        <w:rPr>
          <w:rFonts w:cstheme="minorHAnsi"/>
          <w:szCs w:val="22"/>
        </w:rPr>
        <w:t xml:space="preserve"> remain </w:t>
      </w:r>
      <w:r w:rsidR="00146B17">
        <w:rPr>
          <w:rFonts w:cstheme="minorHAnsi"/>
          <w:szCs w:val="22"/>
        </w:rPr>
        <w:t xml:space="preserve">as </w:t>
      </w:r>
      <w:r w:rsidRPr="006162DC">
        <w:rPr>
          <w:rFonts w:cstheme="minorHAnsi"/>
          <w:szCs w:val="22"/>
        </w:rPr>
        <w:t xml:space="preserve">affordable </w:t>
      </w:r>
      <w:r>
        <w:rPr>
          <w:rFonts w:cstheme="minorHAnsi"/>
          <w:szCs w:val="22"/>
        </w:rPr>
        <w:t>housing.</w:t>
      </w:r>
      <w:r w:rsidR="00304455">
        <w:br w:type="page"/>
      </w:r>
    </w:p>
    <w:p w14:paraId="655A10CB" w14:textId="249689FC" w:rsidR="00791A68" w:rsidRPr="006162DC" w:rsidRDefault="00791A68" w:rsidP="0099326B">
      <w:pPr>
        <w:pStyle w:val="Heading4"/>
      </w:pPr>
      <w:r w:rsidRPr="006162DC">
        <w:lastRenderedPageBreak/>
        <w:t>Approaches used to characterise affordable housing</w:t>
      </w:r>
    </w:p>
    <w:p w14:paraId="4B4329AA" w14:textId="4D0698DF" w:rsidR="00791A68" w:rsidRPr="00304455" w:rsidRDefault="00791A68" w:rsidP="00CC12B5">
      <w:pPr>
        <w:spacing w:after="120"/>
        <w:rPr>
          <w:rFonts w:cstheme="minorHAnsi"/>
          <w:spacing w:val="-4"/>
          <w:szCs w:val="22"/>
        </w:rPr>
      </w:pPr>
      <w:r w:rsidRPr="00304455">
        <w:rPr>
          <w:rFonts w:cstheme="minorHAnsi"/>
          <w:spacing w:val="-4"/>
          <w:szCs w:val="22"/>
        </w:rPr>
        <w:t>Affordable housing may refer to multiple tenure types. At its broadest, affordable housing is housing</w:t>
      </w:r>
      <w:r w:rsidR="00491AC5" w:rsidRPr="00304455">
        <w:rPr>
          <w:rFonts w:cstheme="minorHAnsi"/>
          <w:spacing w:val="-4"/>
          <w:szCs w:val="22"/>
        </w:rPr>
        <w:t xml:space="preserve"> that is</w:t>
      </w:r>
      <w:r w:rsidRPr="00304455">
        <w:rPr>
          <w:rFonts w:cstheme="minorHAnsi"/>
          <w:spacing w:val="-4"/>
          <w:szCs w:val="22"/>
        </w:rPr>
        <w:t xml:space="preserve"> available to rent or purchase at a price related to a measure of affordability</w:t>
      </w:r>
      <w:r w:rsidR="00694315" w:rsidRPr="00304455">
        <w:rPr>
          <w:rFonts w:cstheme="minorHAnsi"/>
          <w:spacing w:val="-4"/>
          <w:szCs w:val="22"/>
        </w:rPr>
        <w:t>. It</w:t>
      </w:r>
      <w:r w:rsidRPr="00304455">
        <w:rPr>
          <w:rFonts w:cstheme="minorHAnsi"/>
          <w:spacing w:val="-4"/>
          <w:szCs w:val="22"/>
        </w:rPr>
        <w:t xml:space="preserve"> could feasibly cover:</w:t>
      </w:r>
    </w:p>
    <w:p w14:paraId="6AA24A81" w14:textId="77777777" w:rsidR="00791A68" w:rsidRPr="00304455" w:rsidRDefault="00791A68" w:rsidP="00304455">
      <w:pPr>
        <w:pStyle w:val="Bullet"/>
        <w:spacing w:before="0"/>
      </w:pPr>
      <w:r w:rsidRPr="00304455">
        <w:t>social housing</w:t>
      </w:r>
    </w:p>
    <w:p w14:paraId="6F111858" w14:textId="1D82F78B" w:rsidR="00791A68" w:rsidRPr="00304455" w:rsidRDefault="00791A68" w:rsidP="00304455">
      <w:pPr>
        <w:pStyle w:val="Bullet"/>
        <w:spacing w:before="0"/>
      </w:pPr>
      <w:r w:rsidRPr="00304455">
        <w:t>rent</w:t>
      </w:r>
      <w:r w:rsidR="00A15C79" w:rsidRPr="00304455">
        <w:noBreakHyphen/>
      </w:r>
      <w:r w:rsidRPr="00304455">
        <w:t>restricted private housing</w:t>
      </w:r>
    </w:p>
    <w:p w14:paraId="7DDFCDDE" w14:textId="157F3D4C" w:rsidR="00791A68" w:rsidRPr="00304455" w:rsidRDefault="00791A68" w:rsidP="00304455">
      <w:pPr>
        <w:pStyle w:val="Bullet"/>
        <w:spacing w:before="0"/>
      </w:pPr>
      <w:r w:rsidRPr="00304455">
        <w:t>shared ownership and housing co</w:t>
      </w:r>
      <w:r w:rsidR="00A15C79" w:rsidRPr="00304455">
        <w:noBreakHyphen/>
      </w:r>
      <w:r w:rsidRPr="00304455">
        <w:t>operatives</w:t>
      </w:r>
    </w:p>
    <w:p w14:paraId="0DE9BF0E" w14:textId="6DFE7C1C" w:rsidR="00791A68" w:rsidRPr="000C2F67" w:rsidRDefault="00791A68" w:rsidP="00304455">
      <w:pPr>
        <w:pStyle w:val="Bullet"/>
        <w:spacing w:before="0"/>
      </w:pPr>
      <w:r w:rsidRPr="00304455">
        <w:t>low</w:t>
      </w:r>
      <w:r w:rsidR="00A15C79" w:rsidRPr="00304455">
        <w:noBreakHyphen/>
      </w:r>
      <w:r w:rsidRPr="00304455">
        <w:t>income</w:t>
      </w:r>
      <w:r w:rsidRPr="000C2F67">
        <w:t xml:space="preserve"> pathways to home ownership (Pawson et al. 2020).</w:t>
      </w:r>
    </w:p>
    <w:p w14:paraId="5B5323DF" w14:textId="155E6E87" w:rsidR="00791A68" w:rsidRPr="000C2F67" w:rsidRDefault="00791A68">
      <w:pPr>
        <w:rPr>
          <w:rFonts w:cstheme="minorHAnsi"/>
          <w:szCs w:val="22"/>
        </w:rPr>
      </w:pPr>
      <w:r>
        <w:rPr>
          <w:rFonts w:cstheme="minorHAnsi"/>
          <w:szCs w:val="22"/>
        </w:rPr>
        <w:t>A</w:t>
      </w:r>
      <w:r w:rsidRPr="006162DC">
        <w:rPr>
          <w:rFonts w:cstheme="minorHAnsi"/>
          <w:szCs w:val="22"/>
        </w:rPr>
        <w:t>ffordable housing programs are</w:t>
      </w:r>
      <w:r>
        <w:rPr>
          <w:rFonts w:cstheme="minorHAnsi"/>
          <w:szCs w:val="22"/>
        </w:rPr>
        <w:t xml:space="preserve"> often</w:t>
      </w:r>
      <w:r w:rsidRPr="006162DC">
        <w:rPr>
          <w:rFonts w:cstheme="minorHAnsi"/>
          <w:szCs w:val="22"/>
        </w:rPr>
        <w:t xml:space="preserve"> limited to affordable rental housing</w:t>
      </w:r>
      <w:r>
        <w:rPr>
          <w:rFonts w:cstheme="minorHAnsi"/>
          <w:szCs w:val="22"/>
        </w:rPr>
        <w:t>, which is the approach used in this chapter. Nevertheless, some</w:t>
      </w:r>
      <w:r w:rsidRPr="006162DC">
        <w:rPr>
          <w:rFonts w:cstheme="minorHAnsi"/>
          <w:szCs w:val="22"/>
        </w:rPr>
        <w:t xml:space="preserve"> forms of subsidised rental housing programs may include pathways to home ownership or may be provided through build</w:t>
      </w:r>
      <w:r w:rsidR="00A15C79">
        <w:rPr>
          <w:rFonts w:cstheme="minorHAnsi"/>
          <w:szCs w:val="22"/>
        </w:rPr>
        <w:noBreakHyphen/>
      </w:r>
      <w:r w:rsidRPr="006162DC">
        <w:rPr>
          <w:rFonts w:cstheme="minorHAnsi"/>
          <w:szCs w:val="22"/>
        </w:rPr>
        <w:t>to</w:t>
      </w:r>
      <w:r w:rsidR="00A15C79">
        <w:rPr>
          <w:rFonts w:cstheme="minorHAnsi"/>
          <w:szCs w:val="22"/>
        </w:rPr>
        <w:noBreakHyphen/>
      </w:r>
      <w:r w:rsidRPr="006162DC">
        <w:rPr>
          <w:rFonts w:cstheme="minorHAnsi"/>
          <w:szCs w:val="22"/>
        </w:rPr>
        <w:t>rent developments.</w:t>
      </w:r>
    </w:p>
    <w:p w14:paraId="1F940D29" w14:textId="2A14AF5F" w:rsidR="00791A68" w:rsidRPr="000C2F67" w:rsidRDefault="00D417E3" w:rsidP="00CC12B5">
      <w:pPr>
        <w:spacing w:after="120"/>
        <w:rPr>
          <w:rFonts w:cstheme="minorHAnsi"/>
          <w:szCs w:val="22"/>
        </w:rPr>
      </w:pPr>
      <w:r>
        <w:rPr>
          <w:rFonts w:cstheme="minorHAnsi"/>
          <w:szCs w:val="22"/>
        </w:rPr>
        <w:t>The f</w:t>
      </w:r>
      <w:r w:rsidR="00F93BB9">
        <w:rPr>
          <w:rFonts w:cstheme="minorHAnsi"/>
          <w:szCs w:val="22"/>
        </w:rPr>
        <w:t xml:space="preserve">ollowing </w:t>
      </w:r>
      <w:r w:rsidR="00791A68">
        <w:rPr>
          <w:rFonts w:cstheme="minorHAnsi"/>
          <w:szCs w:val="22"/>
        </w:rPr>
        <w:t xml:space="preserve">methods </w:t>
      </w:r>
      <w:r>
        <w:rPr>
          <w:rFonts w:cstheme="minorHAnsi"/>
          <w:szCs w:val="22"/>
        </w:rPr>
        <w:t xml:space="preserve">are used </w:t>
      </w:r>
      <w:r w:rsidR="00791A68">
        <w:rPr>
          <w:rFonts w:cstheme="minorHAnsi"/>
          <w:szCs w:val="22"/>
        </w:rPr>
        <w:t>for setting rents in affordable housing</w:t>
      </w:r>
      <w:r>
        <w:rPr>
          <w:rFonts w:cstheme="minorHAnsi"/>
          <w:szCs w:val="22"/>
        </w:rPr>
        <w:t>:</w:t>
      </w:r>
      <w:r w:rsidR="00791A68" w:rsidRPr="006162DC" w:rsidDel="000516D3">
        <w:rPr>
          <w:rFonts w:cstheme="minorHAnsi"/>
          <w:szCs w:val="22"/>
        </w:rPr>
        <w:t xml:space="preserve"> </w:t>
      </w:r>
    </w:p>
    <w:p w14:paraId="0DC9ADFF" w14:textId="4D24DCD0" w:rsidR="00791A68" w:rsidRPr="00CC12B5" w:rsidRDefault="00791A68" w:rsidP="00304455">
      <w:pPr>
        <w:pStyle w:val="Bullet"/>
        <w:spacing w:before="0"/>
      </w:pPr>
      <w:r w:rsidRPr="00CC12B5">
        <w:t>Income</w:t>
      </w:r>
      <w:r w:rsidR="00A15C79">
        <w:noBreakHyphen/>
      </w:r>
      <w:r w:rsidRPr="00CC12B5">
        <w:t>based rate: rent is set as a proportion of a household</w:t>
      </w:r>
      <w:r w:rsidR="00A15C79">
        <w:t>’</w:t>
      </w:r>
      <w:r w:rsidRPr="00CC12B5">
        <w:t>s ability to pay, generally below 30</w:t>
      </w:r>
      <w:r w:rsidR="0099326B" w:rsidRPr="00CC12B5">
        <w:t> per cent</w:t>
      </w:r>
      <w:r w:rsidRPr="00CC12B5">
        <w:t xml:space="preserve"> of gross household income and capped at the market rent.</w:t>
      </w:r>
    </w:p>
    <w:p w14:paraId="0D24C9C9" w14:textId="4135A012" w:rsidR="00791A68" w:rsidRPr="00CC12B5" w:rsidRDefault="00791A68" w:rsidP="00304455">
      <w:pPr>
        <w:pStyle w:val="Bullet"/>
        <w:spacing w:before="0"/>
      </w:pPr>
      <w:r w:rsidRPr="00CC12B5">
        <w:t>Discount</w:t>
      </w:r>
      <w:r w:rsidR="00A15C79">
        <w:noBreakHyphen/>
      </w:r>
      <w:r w:rsidRPr="00CC12B5">
        <w:t>to</w:t>
      </w:r>
      <w:r w:rsidR="00A15C79">
        <w:noBreakHyphen/>
      </w:r>
      <w:r w:rsidRPr="00CC12B5">
        <w:t>market rate: rent is set as a proportion of the market rent at the location, usually 75</w:t>
      </w:r>
      <w:r w:rsidR="005D2D08" w:rsidRPr="00CC12B5">
        <w:t>–</w:t>
      </w:r>
      <w:r w:rsidR="005B2645">
        <w:t>‍</w:t>
      </w:r>
      <w:r w:rsidRPr="00CC12B5">
        <w:t>80</w:t>
      </w:r>
      <w:r w:rsidR="0099326B" w:rsidRPr="00CC12B5">
        <w:t> per cent</w:t>
      </w:r>
      <w:r w:rsidRPr="00CC12B5">
        <w:t xml:space="preserve"> of market rent.</w:t>
      </w:r>
    </w:p>
    <w:p w14:paraId="575DD5B2" w14:textId="4F42DAD5" w:rsidR="00791A68" w:rsidRPr="000C2F67" w:rsidRDefault="00791A68" w:rsidP="00304455">
      <w:pPr>
        <w:pStyle w:val="Bullet"/>
        <w:spacing w:before="0"/>
      </w:pPr>
      <w:r w:rsidRPr="00CC12B5">
        <w:t>Hybrid/</w:t>
      </w:r>
      <w:r w:rsidRPr="000C2F67">
        <w:t xml:space="preserve">flexible </w:t>
      </w:r>
      <w:r>
        <w:t>rate</w:t>
      </w:r>
      <w:r w:rsidRPr="000C2F67">
        <w:t>: housing is provided a</w:t>
      </w:r>
      <w:r w:rsidR="005D2D08">
        <w:t>t</w:t>
      </w:r>
      <w:r w:rsidRPr="000C2F67">
        <w:t xml:space="preserve"> a discount to the market rate as long as the tenant pay</w:t>
      </w:r>
      <w:r w:rsidR="00A54558">
        <w:t>s</w:t>
      </w:r>
      <w:r w:rsidRPr="000C2F67">
        <w:t xml:space="preserve"> no more than a certain percentage of income.</w:t>
      </w:r>
    </w:p>
    <w:p w14:paraId="45DBF7EA" w14:textId="3D8FD29B" w:rsidR="00791A68" w:rsidRPr="000C2F67" w:rsidRDefault="00791A68">
      <w:pPr>
        <w:rPr>
          <w:rFonts w:cstheme="minorHAnsi"/>
          <w:szCs w:val="22"/>
        </w:rPr>
      </w:pPr>
      <w:r>
        <w:rPr>
          <w:rFonts w:cstheme="minorHAnsi"/>
          <w:szCs w:val="22"/>
        </w:rPr>
        <w:t xml:space="preserve">A provision may exist for </w:t>
      </w:r>
      <w:r w:rsidR="00742BE6">
        <w:rPr>
          <w:rFonts w:cstheme="minorHAnsi"/>
          <w:szCs w:val="22"/>
        </w:rPr>
        <w:t>setting the ren</w:t>
      </w:r>
      <w:r>
        <w:rPr>
          <w:rFonts w:cstheme="minorHAnsi"/>
          <w:szCs w:val="22"/>
        </w:rPr>
        <w:t xml:space="preserve">t so households can meet essential </w:t>
      </w:r>
      <w:r w:rsidRPr="006162DC">
        <w:rPr>
          <w:rFonts w:cstheme="minorHAnsi"/>
          <w:szCs w:val="22"/>
        </w:rPr>
        <w:t xml:space="preserve">living costs. </w:t>
      </w:r>
      <w:r>
        <w:rPr>
          <w:rFonts w:cstheme="minorHAnsi"/>
          <w:szCs w:val="22"/>
        </w:rPr>
        <w:t>It is common for a</w:t>
      </w:r>
      <w:r w:rsidRPr="006162DC">
        <w:rPr>
          <w:rFonts w:cstheme="minorHAnsi"/>
          <w:szCs w:val="22"/>
        </w:rPr>
        <w:t xml:space="preserve">ffordable housing </w:t>
      </w:r>
      <w:r>
        <w:rPr>
          <w:rFonts w:cstheme="minorHAnsi"/>
          <w:szCs w:val="22"/>
        </w:rPr>
        <w:t xml:space="preserve">to be </w:t>
      </w:r>
      <w:r w:rsidRPr="006162DC">
        <w:rPr>
          <w:rFonts w:cstheme="minorHAnsi"/>
          <w:szCs w:val="22"/>
        </w:rPr>
        <w:t>rented at</w:t>
      </w:r>
      <w:r>
        <w:rPr>
          <w:rFonts w:cstheme="minorHAnsi"/>
          <w:szCs w:val="22"/>
        </w:rPr>
        <w:t xml:space="preserve"> discount</w:t>
      </w:r>
      <w:r w:rsidR="00A54558">
        <w:rPr>
          <w:rFonts w:cstheme="minorHAnsi"/>
          <w:szCs w:val="22"/>
        </w:rPr>
        <w:t>s</w:t>
      </w:r>
      <w:r>
        <w:rPr>
          <w:rFonts w:cstheme="minorHAnsi"/>
          <w:szCs w:val="22"/>
        </w:rPr>
        <w:t xml:space="preserve"> to </w:t>
      </w:r>
      <w:r w:rsidRPr="006162DC">
        <w:rPr>
          <w:rFonts w:cstheme="minorHAnsi"/>
          <w:szCs w:val="22"/>
        </w:rPr>
        <w:t xml:space="preserve">market </w:t>
      </w:r>
      <w:r w:rsidRPr="00EB3C8D">
        <w:rPr>
          <w:rFonts w:cstheme="minorHAnsi"/>
          <w:szCs w:val="22"/>
        </w:rPr>
        <w:t>rate</w:t>
      </w:r>
      <w:r>
        <w:rPr>
          <w:rFonts w:cstheme="minorHAnsi"/>
          <w:szCs w:val="22"/>
        </w:rPr>
        <w:t>s</w:t>
      </w:r>
      <w:r w:rsidRPr="00EB3C8D">
        <w:rPr>
          <w:rFonts w:cstheme="minorHAnsi"/>
          <w:szCs w:val="22"/>
        </w:rPr>
        <w:t>.</w:t>
      </w:r>
      <w:r w:rsidRPr="006162DC">
        <w:rPr>
          <w:rFonts w:cstheme="minorHAnsi"/>
          <w:szCs w:val="22"/>
        </w:rPr>
        <w:t xml:space="preserve"> However, setting rates </w:t>
      </w:r>
      <w:r>
        <w:rPr>
          <w:rFonts w:cstheme="minorHAnsi"/>
          <w:szCs w:val="22"/>
        </w:rPr>
        <w:t>at this level</w:t>
      </w:r>
      <w:r w:rsidRPr="006162DC">
        <w:rPr>
          <w:rFonts w:cstheme="minorHAnsi"/>
          <w:szCs w:val="22"/>
        </w:rPr>
        <w:t xml:space="preserve"> may exclude lower</w:t>
      </w:r>
      <w:r w:rsidR="00A15C79">
        <w:rPr>
          <w:rFonts w:cstheme="minorHAnsi"/>
          <w:szCs w:val="22"/>
        </w:rPr>
        <w:noBreakHyphen/>
      </w:r>
      <w:r w:rsidRPr="006162DC">
        <w:rPr>
          <w:rFonts w:cstheme="minorHAnsi"/>
          <w:szCs w:val="22"/>
        </w:rPr>
        <w:t xml:space="preserve">income cohorts in areas with high market rents. </w:t>
      </w:r>
      <w:r>
        <w:rPr>
          <w:rFonts w:cstheme="minorHAnsi"/>
          <w:szCs w:val="22"/>
        </w:rPr>
        <w:t>As such,</w:t>
      </w:r>
      <w:r w:rsidRPr="006162DC">
        <w:rPr>
          <w:rFonts w:cstheme="minorHAnsi"/>
          <w:szCs w:val="22"/>
        </w:rPr>
        <w:t xml:space="preserve"> jurisdictions often use a hybrid approach to accommodate lower</w:t>
      </w:r>
      <w:r w:rsidR="00A15C79">
        <w:rPr>
          <w:rFonts w:cstheme="minorHAnsi"/>
          <w:szCs w:val="22"/>
        </w:rPr>
        <w:noBreakHyphen/>
      </w:r>
      <w:r w:rsidRPr="006162DC">
        <w:rPr>
          <w:rFonts w:cstheme="minorHAnsi"/>
          <w:szCs w:val="22"/>
        </w:rPr>
        <w:t xml:space="preserve">income cohorts. </w:t>
      </w:r>
    </w:p>
    <w:p w14:paraId="22C29537" w14:textId="02443EB1" w:rsidR="00791A68" w:rsidRPr="000C2F67" w:rsidRDefault="00791A68" w:rsidP="00CC12B5">
      <w:pPr>
        <w:spacing w:after="120"/>
        <w:rPr>
          <w:rFonts w:cstheme="minorHAnsi"/>
          <w:szCs w:val="22"/>
        </w:rPr>
      </w:pPr>
      <w:r w:rsidRPr="006162DC">
        <w:rPr>
          <w:rFonts w:cstheme="minorHAnsi"/>
          <w:szCs w:val="22"/>
        </w:rPr>
        <w:t>Regulations set tenant eligibility for affordable housing occupancy. Income is the main criteria, with most affordable housing programs targeted at low</w:t>
      </w:r>
      <w:r>
        <w:rPr>
          <w:rFonts w:cstheme="minorHAnsi"/>
          <w:szCs w:val="22"/>
        </w:rPr>
        <w:t>er</w:t>
      </w:r>
      <w:r w:rsidR="00A15C79">
        <w:rPr>
          <w:rFonts w:cstheme="minorHAnsi"/>
          <w:szCs w:val="22"/>
        </w:rPr>
        <w:noBreakHyphen/>
      </w:r>
      <w:r w:rsidRPr="006162DC">
        <w:rPr>
          <w:rFonts w:cstheme="minorHAnsi"/>
          <w:szCs w:val="22"/>
        </w:rPr>
        <w:t>income households</w:t>
      </w:r>
      <w:r w:rsidR="00140FD5">
        <w:rPr>
          <w:rFonts w:cstheme="minorHAnsi"/>
          <w:szCs w:val="22"/>
        </w:rPr>
        <w:t>. However, it</w:t>
      </w:r>
      <w:r w:rsidRPr="006162DC" w:rsidDel="00140FD5">
        <w:rPr>
          <w:rFonts w:cstheme="minorHAnsi"/>
          <w:szCs w:val="22"/>
        </w:rPr>
        <w:t xml:space="preserve"> </w:t>
      </w:r>
      <w:r w:rsidRPr="006162DC">
        <w:rPr>
          <w:rFonts w:cstheme="minorHAnsi"/>
          <w:szCs w:val="22"/>
        </w:rPr>
        <w:t xml:space="preserve">may </w:t>
      </w:r>
      <w:r>
        <w:rPr>
          <w:rFonts w:cstheme="minorHAnsi"/>
          <w:szCs w:val="22"/>
        </w:rPr>
        <w:t xml:space="preserve">also </w:t>
      </w:r>
      <w:r w:rsidRPr="006162DC">
        <w:rPr>
          <w:rFonts w:cstheme="minorHAnsi"/>
          <w:szCs w:val="22"/>
        </w:rPr>
        <w:t>extend to:</w:t>
      </w:r>
    </w:p>
    <w:p w14:paraId="1DE32437" w14:textId="33F66118" w:rsidR="00791A68" w:rsidRPr="00CC12B5" w:rsidRDefault="00791A68" w:rsidP="00304455">
      <w:pPr>
        <w:pStyle w:val="Bullet"/>
        <w:spacing w:before="0"/>
      </w:pPr>
      <w:r w:rsidRPr="00CC12B5">
        <w:t>very low</w:t>
      </w:r>
      <w:r w:rsidR="00A15C79">
        <w:noBreakHyphen/>
      </w:r>
      <w:r w:rsidRPr="00CC12B5">
        <w:t>income households (</w:t>
      </w:r>
      <w:r w:rsidR="00F06138" w:rsidRPr="00CC12B5">
        <w:t xml:space="preserve">in the </w:t>
      </w:r>
      <w:r w:rsidRPr="00CC12B5">
        <w:t xml:space="preserve">lowest </w:t>
      </w:r>
      <w:r w:rsidR="00F06138" w:rsidRPr="00CC12B5">
        <w:t xml:space="preserve">income </w:t>
      </w:r>
      <w:r w:rsidRPr="00CC12B5">
        <w:t>quintile), despite being better matched to social housing</w:t>
      </w:r>
    </w:p>
    <w:p w14:paraId="2DF12587" w14:textId="6DFDA1D3" w:rsidR="00791A68" w:rsidRPr="000C2F67" w:rsidRDefault="00F06138" w:rsidP="00304455">
      <w:pPr>
        <w:pStyle w:val="Bullet"/>
        <w:spacing w:before="0"/>
      </w:pPr>
      <w:r w:rsidRPr="00CC12B5">
        <w:t>m</w:t>
      </w:r>
      <w:r w:rsidR="00791A68" w:rsidRPr="00CC12B5">
        <w:t>o</w:t>
      </w:r>
      <w:r w:rsidR="00791A68" w:rsidRPr="00EB3C8D">
        <w:t>derate</w:t>
      </w:r>
      <w:r w:rsidR="00A15C79">
        <w:noBreakHyphen/>
      </w:r>
      <w:r w:rsidR="00791A68" w:rsidRPr="000C2F67">
        <w:t>income households (</w:t>
      </w:r>
      <w:r>
        <w:t xml:space="preserve">in the </w:t>
      </w:r>
      <w:r w:rsidR="00791A68" w:rsidRPr="000C2F67">
        <w:t>middle</w:t>
      </w:r>
      <w:r w:rsidR="00DF6DBD">
        <w:t xml:space="preserve"> </w:t>
      </w:r>
      <w:r>
        <w:t xml:space="preserve">income </w:t>
      </w:r>
      <w:r w:rsidR="00791A68" w:rsidRPr="000C2F67">
        <w:t>quintile).</w:t>
      </w:r>
    </w:p>
    <w:p w14:paraId="173973D4" w14:textId="7B022D31" w:rsidR="00791A68" w:rsidRPr="000C2F67" w:rsidRDefault="00791A68">
      <w:pPr>
        <w:rPr>
          <w:rFonts w:cstheme="minorHAnsi"/>
          <w:szCs w:val="22"/>
        </w:rPr>
      </w:pPr>
      <w:r w:rsidRPr="006162DC">
        <w:rPr>
          <w:rFonts w:cstheme="minorHAnsi"/>
          <w:szCs w:val="22"/>
        </w:rPr>
        <w:t>Definitions of affordable housing exclude high</w:t>
      </w:r>
      <w:r w:rsidR="00A15C79">
        <w:rPr>
          <w:rFonts w:cstheme="minorHAnsi"/>
          <w:szCs w:val="22"/>
        </w:rPr>
        <w:noBreakHyphen/>
      </w:r>
      <w:r w:rsidRPr="006162DC">
        <w:rPr>
          <w:rFonts w:cstheme="minorHAnsi"/>
          <w:szCs w:val="22"/>
        </w:rPr>
        <w:t>income households</w:t>
      </w:r>
      <w:r w:rsidR="00E10A6C">
        <w:rPr>
          <w:rFonts w:cstheme="minorHAnsi"/>
          <w:szCs w:val="22"/>
        </w:rPr>
        <w:t xml:space="preserve"> that</w:t>
      </w:r>
      <w:r w:rsidRPr="006162DC">
        <w:rPr>
          <w:rFonts w:cstheme="minorHAnsi"/>
          <w:szCs w:val="22"/>
        </w:rPr>
        <w:t xml:space="preserve"> have the discretion to spend </w:t>
      </w:r>
      <w:r>
        <w:rPr>
          <w:rFonts w:cstheme="minorHAnsi"/>
          <w:szCs w:val="22"/>
        </w:rPr>
        <w:t>more</w:t>
      </w:r>
      <w:r w:rsidRPr="006162DC">
        <w:rPr>
          <w:rFonts w:cstheme="minorHAnsi"/>
          <w:szCs w:val="22"/>
        </w:rPr>
        <w:t xml:space="preserve"> than 30</w:t>
      </w:r>
      <w:r w:rsidR="0099326B">
        <w:rPr>
          <w:rFonts w:cstheme="minorHAnsi"/>
          <w:szCs w:val="22"/>
        </w:rPr>
        <w:t> per cent</w:t>
      </w:r>
      <w:r w:rsidRPr="006162DC">
        <w:rPr>
          <w:rFonts w:cstheme="minorHAnsi"/>
          <w:szCs w:val="22"/>
        </w:rPr>
        <w:t xml:space="preserve"> of household income on housing. Key worker housing is often considered affordable housing, although the</w:t>
      </w:r>
      <w:r w:rsidRPr="006162DC" w:rsidDel="006B6425">
        <w:rPr>
          <w:rFonts w:cstheme="minorHAnsi"/>
          <w:szCs w:val="22"/>
        </w:rPr>
        <w:t xml:space="preserve"> </w:t>
      </w:r>
      <w:r w:rsidRPr="006162DC">
        <w:rPr>
          <w:rFonts w:cstheme="minorHAnsi"/>
          <w:szCs w:val="22"/>
        </w:rPr>
        <w:t xml:space="preserve">policy </w:t>
      </w:r>
      <w:r>
        <w:rPr>
          <w:rFonts w:cstheme="minorHAnsi"/>
          <w:szCs w:val="22"/>
        </w:rPr>
        <w:t>rationale</w:t>
      </w:r>
      <w:r w:rsidRPr="006162DC">
        <w:rPr>
          <w:rFonts w:cstheme="minorHAnsi"/>
          <w:szCs w:val="22"/>
        </w:rPr>
        <w:t xml:space="preserve"> may be more specific, such as </w:t>
      </w:r>
      <w:r>
        <w:rPr>
          <w:rFonts w:cstheme="minorHAnsi"/>
          <w:szCs w:val="22"/>
        </w:rPr>
        <w:t xml:space="preserve">to ensure </w:t>
      </w:r>
      <w:r w:rsidRPr="006162DC">
        <w:rPr>
          <w:rFonts w:cstheme="minorHAnsi"/>
          <w:szCs w:val="22"/>
        </w:rPr>
        <w:t>key workers can live close to work or to address labour market shortages</w:t>
      </w:r>
      <w:r w:rsidR="0033053C">
        <w:rPr>
          <w:rFonts w:cstheme="minorHAnsi"/>
          <w:szCs w:val="22"/>
        </w:rPr>
        <w:t xml:space="preserve"> (for example in the </w:t>
      </w:r>
      <w:r w:rsidRPr="006162DC">
        <w:rPr>
          <w:rFonts w:cstheme="minorHAnsi"/>
          <w:szCs w:val="22"/>
        </w:rPr>
        <w:t>Northern Territory</w:t>
      </w:r>
      <w:r w:rsidR="006B3A2C">
        <w:rPr>
          <w:rFonts w:cstheme="minorHAnsi"/>
          <w:szCs w:val="22"/>
        </w:rPr>
        <w:t>)</w:t>
      </w:r>
      <w:r w:rsidRPr="006162DC">
        <w:rPr>
          <w:rFonts w:cstheme="minorHAnsi"/>
          <w:szCs w:val="22"/>
        </w:rPr>
        <w:t xml:space="preserve">. </w:t>
      </w:r>
      <w:r>
        <w:rPr>
          <w:rFonts w:cstheme="minorHAnsi"/>
          <w:szCs w:val="22"/>
        </w:rPr>
        <w:t>K</w:t>
      </w:r>
      <w:r w:rsidRPr="006162DC">
        <w:rPr>
          <w:rFonts w:cstheme="minorHAnsi"/>
          <w:szCs w:val="22"/>
        </w:rPr>
        <w:t xml:space="preserve">ey worker housing may be distinguished from affordable housing in certain government programs. </w:t>
      </w:r>
    </w:p>
    <w:p w14:paraId="1153E827" w14:textId="18FB1B8B" w:rsidR="00791A68" w:rsidRDefault="00791A68">
      <w:pPr>
        <w:rPr>
          <w:b/>
        </w:rPr>
      </w:pPr>
      <w:r>
        <w:rPr>
          <w:rFonts w:cstheme="minorHAnsi"/>
          <w:szCs w:val="22"/>
        </w:rPr>
        <w:t>The length</w:t>
      </w:r>
      <w:r w:rsidRPr="006162DC">
        <w:rPr>
          <w:rFonts w:cstheme="minorHAnsi"/>
          <w:szCs w:val="22"/>
        </w:rPr>
        <w:t xml:space="preserve"> of time a property is designated affordable is often not specified, </w:t>
      </w:r>
      <w:r>
        <w:rPr>
          <w:rFonts w:cstheme="minorHAnsi"/>
          <w:szCs w:val="22"/>
        </w:rPr>
        <w:t>al</w:t>
      </w:r>
      <w:r w:rsidRPr="006162DC">
        <w:rPr>
          <w:rFonts w:cstheme="minorHAnsi"/>
          <w:szCs w:val="22"/>
        </w:rPr>
        <w:t xml:space="preserve">though there may be requirements to provide the affordable housing in perpetuity to be eligible for government subsidies. This decision should balance the benefit of security of tenure to clients </w:t>
      </w:r>
      <w:r w:rsidR="00EE5D65">
        <w:rPr>
          <w:rFonts w:cstheme="minorHAnsi"/>
          <w:szCs w:val="22"/>
        </w:rPr>
        <w:t>with</w:t>
      </w:r>
      <w:r w:rsidR="00EE5D65" w:rsidRPr="006162DC">
        <w:rPr>
          <w:rFonts w:cstheme="minorHAnsi"/>
          <w:szCs w:val="22"/>
        </w:rPr>
        <w:t xml:space="preserve"> </w:t>
      </w:r>
      <w:r w:rsidRPr="006162DC">
        <w:rPr>
          <w:rFonts w:cstheme="minorHAnsi"/>
          <w:szCs w:val="22"/>
        </w:rPr>
        <w:t>the wider system benefits of retaining flexibility to deliver more housing. For example, the future capital gain by selling some affordable housing may be part of the required subsid</w:t>
      </w:r>
      <w:r>
        <w:rPr>
          <w:rFonts w:cstheme="minorHAnsi"/>
          <w:szCs w:val="22"/>
        </w:rPr>
        <w:t xml:space="preserve">y to address the funding gap. Subsidies for affordable housing properties may be </w:t>
      </w:r>
      <w:r w:rsidDel="00BE5056">
        <w:rPr>
          <w:rFonts w:cstheme="minorHAnsi"/>
          <w:szCs w:val="22"/>
        </w:rPr>
        <w:t>time</w:t>
      </w:r>
      <w:r w:rsidR="00A15C79">
        <w:rPr>
          <w:rFonts w:cstheme="minorHAnsi"/>
          <w:szCs w:val="22"/>
        </w:rPr>
        <w:noBreakHyphen/>
      </w:r>
      <w:r>
        <w:rPr>
          <w:rFonts w:cstheme="minorHAnsi"/>
          <w:szCs w:val="22"/>
        </w:rPr>
        <w:t>limited. If a household no longer meets the eligibility criteria for a property, the household may be required to exit the property, or the subsidies for the property may stop</w:t>
      </w:r>
      <w:r w:rsidR="00CC5207">
        <w:rPr>
          <w:rFonts w:cstheme="minorHAnsi"/>
          <w:szCs w:val="22"/>
        </w:rPr>
        <w:t>,</w:t>
      </w:r>
      <w:r>
        <w:rPr>
          <w:rFonts w:cstheme="minorHAnsi"/>
          <w:szCs w:val="22"/>
        </w:rPr>
        <w:t xml:space="preserve"> and the tenant </w:t>
      </w:r>
      <w:r w:rsidR="00CC5207">
        <w:rPr>
          <w:rFonts w:cstheme="minorHAnsi"/>
          <w:szCs w:val="22"/>
        </w:rPr>
        <w:t>may default</w:t>
      </w:r>
      <w:r>
        <w:rPr>
          <w:rFonts w:cstheme="minorHAnsi"/>
          <w:szCs w:val="22"/>
        </w:rPr>
        <w:t xml:space="preserve"> to paying market rent. </w:t>
      </w:r>
    </w:p>
    <w:p w14:paraId="7B371C79" w14:textId="77777777" w:rsidR="00791A68" w:rsidRPr="006162DC" w:rsidRDefault="00791A68" w:rsidP="0099326B">
      <w:pPr>
        <w:pStyle w:val="Heading4"/>
      </w:pPr>
      <w:r w:rsidRPr="006162DC">
        <w:lastRenderedPageBreak/>
        <w:t>A nationally consistent definition of affordable housing</w:t>
      </w:r>
    </w:p>
    <w:p w14:paraId="0C4C525C" w14:textId="0938D5E6" w:rsidR="00791A68" w:rsidRPr="009263E6" w:rsidRDefault="00791A68" w:rsidP="00CC12B5">
      <w:pPr>
        <w:spacing w:after="120"/>
      </w:pPr>
      <w:r w:rsidRPr="006162DC">
        <w:t xml:space="preserve">A nationally consistent definition </w:t>
      </w:r>
      <w:r>
        <w:t>may help develop affordable housing into a</w:t>
      </w:r>
      <w:r w:rsidRPr="006162DC">
        <w:t xml:space="preserve"> distinct </w:t>
      </w:r>
      <w:r>
        <w:t xml:space="preserve">housing </w:t>
      </w:r>
      <w:r w:rsidRPr="006162DC">
        <w:t xml:space="preserve">sector in Australia. </w:t>
      </w:r>
      <w:r>
        <w:t>Currently</w:t>
      </w:r>
      <w:r w:rsidRPr="006162DC">
        <w:t xml:space="preserve">, </w:t>
      </w:r>
      <w:r w:rsidR="00FC73CA">
        <w:t xml:space="preserve">there are </w:t>
      </w:r>
      <w:r w:rsidRPr="006162DC">
        <w:t xml:space="preserve">different approaches to </w:t>
      </w:r>
      <w:r w:rsidR="002261B6">
        <w:t xml:space="preserve">providing </w:t>
      </w:r>
      <w:r w:rsidR="00A15C79">
        <w:t>‘</w:t>
      </w:r>
      <w:r w:rsidRPr="006162DC">
        <w:t>affordable housing</w:t>
      </w:r>
      <w:r w:rsidR="00A15C79">
        <w:t>’</w:t>
      </w:r>
      <w:r w:rsidRPr="006162DC">
        <w:t xml:space="preserve"> at </w:t>
      </w:r>
      <w:r w:rsidR="00C72CE5">
        <w:t>Commonwealth</w:t>
      </w:r>
      <w:r w:rsidR="007E6B72">
        <w:t xml:space="preserve"> and </w:t>
      </w:r>
      <w:r w:rsidRPr="006162DC">
        <w:t xml:space="preserve">state and territory levels. </w:t>
      </w:r>
      <w:r w:rsidR="00FC73CA">
        <w:t>Having a</w:t>
      </w:r>
      <w:r w:rsidRPr="006162DC">
        <w:t xml:space="preserve"> consistent definition</w:t>
      </w:r>
      <w:r w:rsidRPr="006162DC" w:rsidDel="00E607AB">
        <w:t xml:space="preserve"> </w:t>
      </w:r>
      <w:r w:rsidRPr="006162DC">
        <w:t>could:</w:t>
      </w:r>
    </w:p>
    <w:p w14:paraId="67004566" w14:textId="19DD1347" w:rsidR="00791A68" w:rsidRPr="00CC12B5" w:rsidRDefault="00CA00E1" w:rsidP="00304455">
      <w:pPr>
        <w:pStyle w:val="Bullet"/>
        <w:spacing w:before="0"/>
      </w:pPr>
      <w:r w:rsidRPr="00CC12B5">
        <w:t>e</w:t>
      </w:r>
      <w:r w:rsidR="00791A68" w:rsidRPr="00CC12B5">
        <w:t>ncourage institutional investment by reducing the complexity of working across jurisdictions</w:t>
      </w:r>
    </w:p>
    <w:p w14:paraId="107339D1" w14:textId="2B2742CD" w:rsidR="00791A68" w:rsidRPr="00CC12B5" w:rsidRDefault="00CA00E1" w:rsidP="00304455">
      <w:pPr>
        <w:pStyle w:val="Bullet"/>
        <w:spacing w:before="0"/>
      </w:pPr>
      <w:r w:rsidRPr="00CC12B5">
        <w:t>i</w:t>
      </w:r>
      <w:r w:rsidR="00791A68" w:rsidRPr="00CC12B5">
        <w:t xml:space="preserve">mprove the measurement of affordable housing supply and need, especially at </w:t>
      </w:r>
      <w:r w:rsidR="00E607AB" w:rsidRPr="00CC12B5">
        <w:t>the</w:t>
      </w:r>
      <w:r w:rsidR="00791A68" w:rsidRPr="00CC12B5">
        <w:t xml:space="preserve"> national level</w:t>
      </w:r>
    </w:p>
    <w:p w14:paraId="2F7DBFA6" w14:textId="013D84AA" w:rsidR="00791A68" w:rsidRPr="006162DC" w:rsidRDefault="00CA00E1" w:rsidP="00304455">
      <w:pPr>
        <w:pStyle w:val="Bullet"/>
        <w:spacing w:before="0"/>
      </w:pPr>
      <w:r w:rsidRPr="00CC12B5">
        <w:t>s</w:t>
      </w:r>
      <w:r w:rsidR="00791A68" w:rsidRPr="00CC12B5">
        <w:t>upport the deli</w:t>
      </w:r>
      <w:r w:rsidR="00791A68" w:rsidRPr="009263E6">
        <w:t>very of a set of national definitions for key housing terms.</w:t>
      </w:r>
    </w:p>
    <w:p w14:paraId="062E0A0A" w14:textId="7D514BD8" w:rsidR="00791A68" w:rsidRPr="000C2F67" w:rsidRDefault="00791A68">
      <w:pPr>
        <w:rPr>
          <w:rFonts w:cstheme="minorHAnsi"/>
          <w:szCs w:val="22"/>
        </w:rPr>
      </w:pPr>
      <w:r w:rsidRPr="006162DC">
        <w:rPr>
          <w:rFonts w:cstheme="minorHAnsi"/>
          <w:szCs w:val="22"/>
        </w:rPr>
        <w:t xml:space="preserve">However, </w:t>
      </w:r>
      <w:r>
        <w:rPr>
          <w:rFonts w:cstheme="minorHAnsi"/>
          <w:szCs w:val="22"/>
        </w:rPr>
        <w:t xml:space="preserve">tensions </w:t>
      </w:r>
      <w:r w:rsidRPr="006162DC">
        <w:rPr>
          <w:rFonts w:cstheme="minorHAnsi"/>
          <w:szCs w:val="22"/>
        </w:rPr>
        <w:t xml:space="preserve">exist in developing </w:t>
      </w:r>
      <w:r>
        <w:rPr>
          <w:rFonts w:cstheme="minorHAnsi"/>
          <w:szCs w:val="22"/>
        </w:rPr>
        <w:t>a</w:t>
      </w:r>
      <w:r w:rsidRPr="006162DC">
        <w:rPr>
          <w:rFonts w:cstheme="minorHAnsi"/>
          <w:szCs w:val="22"/>
        </w:rPr>
        <w:t xml:space="preserve"> definition. Governments must balance the policy goal of providing in</w:t>
      </w:r>
      <w:r w:rsidR="00A15C79">
        <w:rPr>
          <w:rFonts w:cstheme="minorHAnsi"/>
          <w:szCs w:val="22"/>
        </w:rPr>
        <w:noBreakHyphen/>
      </w:r>
      <w:r w:rsidRPr="006162DC">
        <w:rPr>
          <w:rFonts w:cstheme="minorHAnsi"/>
          <w:szCs w:val="22"/>
        </w:rPr>
        <w:t>need households with subsidised housing whil</w:t>
      </w:r>
      <w:r>
        <w:rPr>
          <w:rFonts w:cstheme="minorHAnsi"/>
          <w:szCs w:val="22"/>
        </w:rPr>
        <w:t>e</w:t>
      </w:r>
      <w:r w:rsidRPr="006162DC">
        <w:rPr>
          <w:rFonts w:cstheme="minorHAnsi"/>
          <w:szCs w:val="22"/>
        </w:rPr>
        <w:t xml:space="preserve"> ensuring affordable housing projects </w:t>
      </w:r>
      <w:r w:rsidR="00E54CA0">
        <w:rPr>
          <w:rFonts w:cstheme="minorHAnsi"/>
          <w:szCs w:val="22"/>
        </w:rPr>
        <w:t>are</w:t>
      </w:r>
      <w:r w:rsidR="00E54CA0" w:rsidRPr="006162DC">
        <w:rPr>
          <w:rFonts w:cstheme="minorHAnsi"/>
          <w:szCs w:val="22"/>
        </w:rPr>
        <w:t xml:space="preserve"> </w:t>
      </w:r>
      <w:r w:rsidRPr="006162DC">
        <w:rPr>
          <w:rFonts w:cstheme="minorHAnsi"/>
          <w:szCs w:val="22"/>
        </w:rPr>
        <w:t>financially viable. This</w:t>
      </w:r>
      <w:r w:rsidRPr="006162DC" w:rsidDel="00DA625D">
        <w:rPr>
          <w:rFonts w:cstheme="minorHAnsi"/>
          <w:szCs w:val="22"/>
        </w:rPr>
        <w:t xml:space="preserve"> </w:t>
      </w:r>
      <w:r w:rsidR="00DA625D">
        <w:rPr>
          <w:rFonts w:cstheme="minorHAnsi"/>
          <w:szCs w:val="22"/>
        </w:rPr>
        <w:t>may</w:t>
      </w:r>
      <w:r w:rsidR="00DA625D" w:rsidRPr="006162DC">
        <w:rPr>
          <w:rFonts w:cstheme="minorHAnsi"/>
          <w:szCs w:val="22"/>
        </w:rPr>
        <w:t xml:space="preserve"> </w:t>
      </w:r>
      <w:r w:rsidRPr="006162DC">
        <w:rPr>
          <w:rFonts w:cstheme="minorHAnsi"/>
          <w:szCs w:val="22"/>
        </w:rPr>
        <w:t>be difficult to achieve with stricter definitions of affordable housing. Further</w:t>
      </w:r>
      <w:r>
        <w:rPr>
          <w:rFonts w:cstheme="minorHAnsi"/>
          <w:szCs w:val="22"/>
        </w:rPr>
        <w:t>more</w:t>
      </w:r>
      <w:r w:rsidRPr="006162DC">
        <w:rPr>
          <w:rFonts w:cstheme="minorHAnsi"/>
          <w:szCs w:val="22"/>
        </w:rPr>
        <w:t>, restrictive definitions risk not being flexible to region</w:t>
      </w:r>
      <w:r w:rsidR="00A15C79">
        <w:rPr>
          <w:rFonts w:cstheme="minorHAnsi"/>
          <w:szCs w:val="22"/>
        </w:rPr>
        <w:noBreakHyphen/>
      </w:r>
      <w:r w:rsidRPr="006162DC">
        <w:rPr>
          <w:rFonts w:cstheme="minorHAnsi"/>
          <w:szCs w:val="22"/>
        </w:rPr>
        <w:t xml:space="preserve">specific housing needs. </w:t>
      </w:r>
    </w:p>
    <w:p w14:paraId="2F43E718" w14:textId="412E31DE" w:rsidR="00791A68" w:rsidRPr="009263E6" w:rsidRDefault="00791A68">
      <w:r>
        <w:t>The key</w:t>
      </w:r>
      <w:r w:rsidRPr="006162DC">
        <w:t xml:space="preserve"> historical affordable housing program</w:t>
      </w:r>
      <w:r>
        <w:t xml:space="preserve"> at the </w:t>
      </w:r>
      <w:r w:rsidR="00E1696F">
        <w:t xml:space="preserve">federal </w:t>
      </w:r>
      <w:r>
        <w:t>level</w:t>
      </w:r>
      <w:r w:rsidRPr="006162DC">
        <w:t xml:space="preserve"> was the National Rental Affordability Scheme (NRAS). Under NRAS, the </w:t>
      </w:r>
      <w:r w:rsidR="0099326B">
        <w:t>Australian Government</w:t>
      </w:r>
      <w:r w:rsidRPr="006162DC">
        <w:t xml:space="preserve"> provided an annual financial incentive for up to 10 years to housing providers to rent dwellings to eligible low</w:t>
      </w:r>
      <w:r w:rsidR="00A15C79">
        <w:noBreakHyphen/>
      </w:r>
      <w:r w:rsidRPr="006162DC">
        <w:t xml:space="preserve"> to moderate</w:t>
      </w:r>
      <w:r w:rsidR="00A15C79">
        <w:noBreakHyphen/>
      </w:r>
      <w:r w:rsidRPr="006162DC">
        <w:t>income earners at a rate of at least 20</w:t>
      </w:r>
      <w:r w:rsidR="0099326B">
        <w:t> per cent</w:t>
      </w:r>
      <w:r w:rsidRPr="006162DC">
        <w:t xml:space="preserve"> below market rent</w:t>
      </w:r>
      <w:r w:rsidR="00153E68">
        <w:t xml:space="preserve"> (Department of Social Services (DSS) 2024)</w:t>
      </w:r>
      <w:r w:rsidRPr="006162DC">
        <w:t xml:space="preserve">. </w:t>
      </w:r>
      <w:r>
        <w:t xml:space="preserve">At </w:t>
      </w:r>
      <w:r w:rsidRPr="00EB3C8D">
        <w:t>December</w:t>
      </w:r>
      <w:r w:rsidRPr="006162DC">
        <w:t xml:space="preserve"> 2024, there were </w:t>
      </w:r>
      <w:r>
        <w:t xml:space="preserve">around </w:t>
      </w:r>
      <w:r w:rsidRPr="00EB3C8D">
        <w:t>8,400</w:t>
      </w:r>
      <w:r w:rsidRPr="006162DC">
        <w:t xml:space="preserve"> </w:t>
      </w:r>
      <w:r>
        <w:t xml:space="preserve">remaining </w:t>
      </w:r>
      <w:r w:rsidRPr="006162DC">
        <w:t>active NRAS allocations</w:t>
      </w:r>
      <w:r w:rsidR="00153E68">
        <w:t xml:space="preserve"> (DSS 2025</w:t>
      </w:r>
      <w:r w:rsidR="0080260C">
        <w:t>b</w:t>
      </w:r>
      <w:r w:rsidR="00153E68">
        <w:t>)</w:t>
      </w:r>
      <w:r w:rsidRPr="006162DC">
        <w:t xml:space="preserve">. </w:t>
      </w:r>
      <w:r>
        <w:t>W</w:t>
      </w:r>
      <w:r w:rsidRPr="006162DC">
        <w:t xml:space="preserve">ith NRAS funding due to expire in June 2026, the </w:t>
      </w:r>
      <w:r w:rsidR="0099326B">
        <w:t>Australian Government</w:t>
      </w:r>
      <w:r w:rsidR="00A15C79">
        <w:t>’</w:t>
      </w:r>
      <w:r w:rsidR="003C4D58">
        <w:t>s</w:t>
      </w:r>
      <w:r w:rsidR="003C4D58" w:rsidRPr="006162DC">
        <w:t xml:space="preserve"> </w:t>
      </w:r>
      <w:r>
        <w:t>approach to supporting</w:t>
      </w:r>
      <w:r w:rsidRPr="006162DC">
        <w:t xml:space="preserve"> affordable housing has shifted to the </w:t>
      </w:r>
      <w:r w:rsidRPr="00EB3C8D">
        <w:t>HA</w:t>
      </w:r>
      <w:r>
        <w:t>F</w:t>
      </w:r>
      <w:r w:rsidRPr="00EB3C8D">
        <w:t>FF</w:t>
      </w:r>
      <w:r>
        <w:t xml:space="preserve"> and NHAF</w:t>
      </w:r>
      <w:r w:rsidRPr="00EB3C8D">
        <w:t>.</w:t>
      </w:r>
      <w:r w:rsidRPr="006162DC">
        <w:t xml:space="preserve"> For the purpose of funding affordable housing in the </w:t>
      </w:r>
      <w:r w:rsidRPr="00EB3C8D">
        <w:t>HA</w:t>
      </w:r>
      <w:r>
        <w:t>F</w:t>
      </w:r>
      <w:r w:rsidRPr="00EB3C8D">
        <w:t>FF</w:t>
      </w:r>
      <w:r>
        <w:t xml:space="preserve"> and NHAF</w:t>
      </w:r>
      <w:r w:rsidRPr="006162DC">
        <w:t>, Housing Australia uses the following definition:</w:t>
      </w:r>
    </w:p>
    <w:p w14:paraId="5B0545CE" w14:textId="0C9683EE" w:rsidR="00791A68" w:rsidRPr="00CC12B5" w:rsidRDefault="00A15C79" w:rsidP="005B2645">
      <w:pPr>
        <w:pStyle w:val="Quote"/>
      </w:pPr>
      <w:r>
        <w:t>‘</w:t>
      </w:r>
      <w:r w:rsidR="00791A68" w:rsidRPr="00CC12B5">
        <w:t>Affordable housing means dwellings that are provided at a rent that is</w:t>
      </w:r>
      <w:r w:rsidR="007C3AD9">
        <w:t> </w:t>
      </w:r>
      <w:r w:rsidR="00791A68" w:rsidRPr="00CC12B5">
        <w:t>74.9%</w:t>
      </w:r>
      <w:r w:rsidR="007C3AD9">
        <w:t> </w:t>
      </w:r>
      <w:r w:rsidR="00791A68" w:rsidRPr="00CC12B5">
        <w:t>or</w:t>
      </w:r>
      <w:r w:rsidR="007C3AD9">
        <w:t> </w:t>
      </w:r>
      <w:r w:rsidR="00791A68" w:rsidRPr="00CC12B5">
        <w:t>less of the market</w:t>
      </w:r>
      <w:r w:rsidR="00CC12B5">
        <w:t> </w:t>
      </w:r>
      <w:r w:rsidR="00791A68" w:rsidRPr="00CC12B5">
        <w:t>rent for each dwelling to households meeting the</w:t>
      </w:r>
      <w:r w:rsidR="007C3AD9">
        <w:t> </w:t>
      </w:r>
      <w:r w:rsidR="00791A68" w:rsidRPr="00CC12B5">
        <w:t>income eligibility limits. These limits are</w:t>
      </w:r>
      <w:r w:rsidR="00CC12B5">
        <w:t> </w:t>
      </w:r>
      <w:r w:rsidR="00791A68" w:rsidRPr="00CC12B5">
        <w:t>based on median equivalised household incomes from the Australian Bureau of Statistics (ABS</w:t>
      </w:r>
      <w:r w:rsidR="007C3AD9">
        <w:t xml:space="preserve">) </w:t>
      </w:r>
      <w:r w:rsidR="00791A68" w:rsidRPr="00CC12B5">
        <w:t>by</w:t>
      </w:r>
      <w:r w:rsidR="007C3AD9">
        <w:t> </w:t>
      </w:r>
      <w:r w:rsidR="00791A68" w:rsidRPr="00CC12B5">
        <w:t>area</w:t>
      </w:r>
      <w:r w:rsidR="007C3AD9">
        <w:t> </w:t>
      </w:r>
      <w:r w:rsidR="00791A68" w:rsidRPr="00CC12B5">
        <w:t>and</w:t>
      </w:r>
      <w:r w:rsidR="007C3AD9">
        <w:t> </w:t>
      </w:r>
      <w:r w:rsidR="00791A68" w:rsidRPr="00CC12B5">
        <w:t>will</w:t>
      </w:r>
      <w:r w:rsidR="007C3AD9">
        <w:t> </w:t>
      </w:r>
      <w:r w:rsidR="00791A68" w:rsidRPr="00CC12B5">
        <w:t>be</w:t>
      </w:r>
      <w:r w:rsidR="007C3AD9">
        <w:t> </w:t>
      </w:r>
      <w:r w:rsidR="00791A68" w:rsidRPr="00CC12B5">
        <w:t>updated</w:t>
      </w:r>
      <w:r w:rsidR="007C3AD9">
        <w:t> </w:t>
      </w:r>
      <w:r w:rsidR="00791A68" w:rsidRPr="00CC12B5">
        <w:t>annually.</w:t>
      </w:r>
      <w:r>
        <w:t>’</w:t>
      </w:r>
    </w:p>
    <w:p w14:paraId="7453D19D" w14:textId="78747841" w:rsidR="00791A68" w:rsidRPr="009263E6" w:rsidRDefault="00791A68">
      <w:r w:rsidRPr="006162DC">
        <w:t>The 74.9</w:t>
      </w:r>
      <w:r w:rsidR="0099326B">
        <w:t> per cent</w:t>
      </w:r>
      <w:r w:rsidRPr="006162DC">
        <w:t xml:space="preserve"> figure reflects a tax ruling that rent must be set </w:t>
      </w:r>
      <w:r w:rsidR="00F71C64">
        <w:t>at less than 75</w:t>
      </w:r>
      <w:r w:rsidR="0099326B">
        <w:t> per cent</w:t>
      </w:r>
      <w:r w:rsidR="00F71C64">
        <w:t xml:space="preserve"> of </w:t>
      </w:r>
      <w:r w:rsidRPr="006162DC">
        <w:t>market rent to be non</w:t>
      </w:r>
      <w:r w:rsidR="00A15C79">
        <w:noBreakHyphen/>
      </w:r>
      <w:r w:rsidRPr="00031256">
        <w:t>commercial (</w:t>
      </w:r>
      <w:r w:rsidR="00C80E14">
        <w:t>Australian Taxation Office [</w:t>
      </w:r>
      <w:r w:rsidRPr="0065638F">
        <w:t>ATO</w:t>
      </w:r>
      <w:r w:rsidR="003F7530">
        <w:t>]</w:t>
      </w:r>
      <w:r w:rsidRPr="00031256">
        <w:t xml:space="preserve"> 2024)</w:t>
      </w:r>
      <w:r w:rsidR="008E4210">
        <w:t xml:space="preserve">. </w:t>
      </w:r>
    </w:p>
    <w:p w14:paraId="4CC59FC6" w14:textId="17329DD9" w:rsidR="00DF49DC" w:rsidRDefault="00791A68" w:rsidP="00AF5044">
      <w:r>
        <w:t>S</w:t>
      </w:r>
      <w:r w:rsidRPr="006162DC">
        <w:t>tates and territories regulate their own affordable housing programs</w:t>
      </w:r>
      <w:r>
        <w:t xml:space="preserve">. </w:t>
      </w:r>
      <w:r w:rsidRPr="006162DC">
        <w:t xml:space="preserve">Table </w:t>
      </w:r>
      <w:r>
        <w:t>3</w:t>
      </w:r>
      <w:r w:rsidRPr="006162DC">
        <w:t>.1 summarises the approaches each state and territory</w:t>
      </w:r>
      <w:r w:rsidR="00A975CC">
        <w:t xml:space="preserve"> use</w:t>
      </w:r>
      <w:r w:rsidR="00866219">
        <w:t>s</w:t>
      </w:r>
      <w:r w:rsidRPr="006162DC">
        <w:t xml:space="preserve"> </w:t>
      </w:r>
      <w:r w:rsidR="00880CEE">
        <w:t>to</w:t>
      </w:r>
      <w:r w:rsidRPr="006162DC">
        <w:t xml:space="preserve"> characteri</w:t>
      </w:r>
      <w:r w:rsidR="00880CEE">
        <w:t>se</w:t>
      </w:r>
      <w:r w:rsidRPr="006162DC">
        <w:t xml:space="preserve"> affordable rental housing programs. Though definitions of affordable housing may extend to home ownership, most jurisdictions do not have specific programs that target affordable home ownership.</w:t>
      </w:r>
      <w:r w:rsidRPr="006162DC">
        <w:rPr>
          <w:rStyle w:val="FootnoteReference"/>
          <w:rFonts w:cstheme="minorHAnsi"/>
          <w:sz w:val="22"/>
          <w:szCs w:val="22"/>
        </w:rPr>
        <w:footnoteReference w:id="7"/>
      </w:r>
      <w:r w:rsidRPr="006162DC">
        <w:t xml:space="preserve"> Housing programs provide more clarity when they are legally enshrined by government. However, not all states and territories have affordable housing programs or definitions enshrined in legislation or planning codes. </w:t>
      </w:r>
      <w:r>
        <w:t>For example, in</w:t>
      </w:r>
      <w:r w:rsidRPr="006162DC">
        <w:t xml:space="preserve"> Western Australia, Tasmania and the Northern Territory,</w:t>
      </w:r>
      <w:r>
        <w:t xml:space="preserve"> </w:t>
      </w:r>
      <w:r w:rsidRPr="006162DC">
        <w:t xml:space="preserve">affordable housing </w:t>
      </w:r>
      <w:r w:rsidR="00245BF6">
        <w:t>definitions</w:t>
      </w:r>
      <w:r w:rsidRPr="006162DC">
        <w:t xml:space="preserve"> are limited to government housing strateg</w:t>
      </w:r>
      <w:r w:rsidR="00245BF6">
        <w:t>y documents</w:t>
      </w:r>
      <w:r w:rsidRPr="006162DC">
        <w:t xml:space="preserve"> or government website material.</w:t>
      </w:r>
      <w:r w:rsidR="00DF49DC">
        <w:br w:type="page"/>
      </w:r>
    </w:p>
    <w:p w14:paraId="5199BD0D" w14:textId="6347AE69" w:rsidR="00791A68" w:rsidRPr="006162DC" w:rsidRDefault="00791A68" w:rsidP="00BD2E5A">
      <w:pPr>
        <w:pStyle w:val="TableMainHeading"/>
      </w:pPr>
      <w:r w:rsidRPr="006162DC">
        <w:lastRenderedPageBreak/>
        <w:t>Characteristics of affordable rental housing across states and territories</w:t>
      </w:r>
    </w:p>
    <w:tbl>
      <w:tblPr>
        <w:tblStyle w:val="TableGrid"/>
        <w:tblW w:w="5000" w:type="pct"/>
        <w:tblLayout w:type="fixed"/>
        <w:tblLook w:val="04A0" w:firstRow="1" w:lastRow="0" w:firstColumn="1" w:lastColumn="0" w:noHBand="0" w:noVBand="1"/>
      </w:tblPr>
      <w:tblGrid>
        <w:gridCol w:w="709"/>
        <w:gridCol w:w="1393"/>
        <w:gridCol w:w="1394"/>
        <w:gridCol w:w="1393"/>
        <w:gridCol w:w="1394"/>
        <w:gridCol w:w="1393"/>
        <w:gridCol w:w="1394"/>
      </w:tblGrid>
      <w:tr w:rsidR="00EC59F5" w:rsidRPr="007904CA" w14:paraId="7D630396" w14:textId="77777777" w:rsidTr="00EC59F5">
        <w:trPr>
          <w:cnfStyle w:val="100000000000" w:firstRow="1" w:lastRow="0" w:firstColumn="0" w:lastColumn="0" w:oddVBand="0" w:evenVBand="0" w:oddHBand="0" w:evenHBand="0" w:firstRowFirstColumn="0" w:firstRowLastColumn="0" w:lastRowFirstColumn="0" w:lastRowLastColumn="0"/>
        </w:trPr>
        <w:tc>
          <w:tcPr>
            <w:tcW w:w="709" w:type="dxa"/>
            <w:tcBorders>
              <w:bottom w:val="single" w:sz="8" w:space="0" w:color="FFFFFF" w:themeColor="background1"/>
              <w:right w:val="single" w:sz="8" w:space="0" w:color="FFFFFF" w:themeColor="background1"/>
            </w:tcBorders>
            <w:shd w:val="clear" w:color="auto" w:fill="F2E3C7" w:themeFill="accent6"/>
          </w:tcPr>
          <w:p w14:paraId="313858C8" w14:textId="77777777" w:rsidR="00EC59F5" w:rsidRPr="006162DC" w:rsidRDefault="00EC59F5" w:rsidP="00EC59F5">
            <w:pPr>
              <w:pStyle w:val="TableColumnHeadingLeft"/>
            </w:pPr>
          </w:p>
        </w:tc>
        <w:tc>
          <w:tcPr>
            <w:tcW w:w="4180" w:type="dxa"/>
            <w:gridSpan w:val="3"/>
            <w:tcBorders>
              <w:left w:val="single" w:sz="8" w:space="0" w:color="FFFFFF" w:themeColor="background1"/>
              <w:bottom w:val="single" w:sz="8" w:space="0" w:color="FFFFFF" w:themeColor="background1"/>
              <w:right w:val="single" w:sz="8" w:space="0" w:color="FFFFFF" w:themeColor="background1"/>
            </w:tcBorders>
            <w:shd w:val="clear" w:color="auto" w:fill="F2E3C7" w:themeFill="accent6"/>
          </w:tcPr>
          <w:p w14:paraId="1B438A18" w14:textId="145510E4" w:rsidR="00EC59F5" w:rsidRPr="006162DC" w:rsidRDefault="00EC59F5" w:rsidP="00EC59F5">
            <w:pPr>
              <w:pStyle w:val="TableColumnHeadingCentred"/>
            </w:pPr>
            <w:r w:rsidRPr="005B2645">
              <w:rPr>
                <w:rStyle w:val="Strong"/>
              </w:rPr>
              <w:t>Rent setting</w:t>
            </w:r>
          </w:p>
        </w:tc>
        <w:tc>
          <w:tcPr>
            <w:tcW w:w="4181" w:type="dxa"/>
            <w:gridSpan w:val="3"/>
            <w:tcBorders>
              <w:left w:val="single" w:sz="8" w:space="0" w:color="FFFFFF" w:themeColor="background1"/>
              <w:bottom w:val="single" w:sz="8" w:space="0" w:color="FFFFFF" w:themeColor="background1"/>
            </w:tcBorders>
            <w:shd w:val="clear" w:color="auto" w:fill="F2E3C7" w:themeFill="accent6"/>
          </w:tcPr>
          <w:p w14:paraId="22B10D96" w14:textId="1E75C622" w:rsidR="00EC59F5" w:rsidRPr="006162DC" w:rsidRDefault="00EC59F5" w:rsidP="00EC59F5">
            <w:pPr>
              <w:pStyle w:val="TableColumnHeadingCentred"/>
            </w:pPr>
            <w:r w:rsidRPr="005B2645">
              <w:rPr>
                <w:rStyle w:val="Strong"/>
              </w:rPr>
              <w:t>Tenant eligibility</w:t>
            </w:r>
          </w:p>
        </w:tc>
      </w:tr>
      <w:tr w:rsidR="00791A68" w:rsidRPr="007904CA" w14:paraId="52E9CA68" w14:textId="77777777" w:rsidTr="00EC59F5">
        <w:tc>
          <w:tcPr>
            <w:tcW w:w="709" w:type="dxa"/>
            <w:tcBorders>
              <w:top w:val="single" w:sz="8" w:space="0" w:color="FFFFFF" w:themeColor="background1"/>
              <w:right w:val="single" w:sz="8" w:space="0" w:color="FFFFFF" w:themeColor="background1"/>
            </w:tcBorders>
            <w:shd w:val="clear" w:color="auto" w:fill="F2E3C7" w:themeFill="accent6"/>
          </w:tcPr>
          <w:p w14:paraId="04F8308C" w14:textId="77777777" w:rsidR="00791A68" w:rsidRPr="00EC59F5" w:rsidRDefault="00791A68" w:rsidP="000643F0">
            <w:pPr>
              <w:pStyle w:val="TableColumnHeadingLeft"/>
              <w:rPr>
                <w:rFonts w:asciiTheme="minorHAnsi" w:hAnsiTheme="minorHAnsi"/>
              </w:rPr>
            </w:pPr>
            <w:r w:rsidRPr="00EC59F5">
              <w:t>State</w:t>
            </w:r>
          </w:p>
        </w:tc>
        <w:tc>
          <w:tcPr>
            <w:tcW w:w="1393" w:type="dxa"/>
            <w:tcBorders>
              <w:top w:val="single" w:sz="8" w:space="0" w:color="FFFFFF" w:themeColor="background1"/>
              <w:left w:val="single" w:sz="8" w:space="0" w:color="FFFFFF" w:themeColor="background1"/>
            </w:tcBorders>
            <w:shd w:val="clear" w:color="auto" w:fill="F2E3C7" w:themeFill="accent6"/>
          </w:tcPr>
          <w:p w14:paraId="406B1472" w14:textId="42D72AAF" w:rsidR="00791A68" w:rsidRPr="00EC59F5" w:rsidRDefault="00791A68" w:rsidP="00EC59F5">
            <w:pPr>
              <w:pStyle w:val="TableColumnHeadingCentred"/>
              <w:rPr>
                <w:rFonts w:asciiTheme="minorHAnsi" w:hAnsiTheme="minorHAnsi"/>
              </w:rPr>
            </w:pPr>
            <w:r w:rsidRPr="00EC59F5">
              <w:t>Income</w:t>
            </w:r>
            <w:r w:rsidR="00EC59F5" w:rsidRPr="00EC59F5">
              <w:t>-</w:t>
            </w:r>
            <w:r w:rsidRPr="00EC59F5">
              <w:t>based rate</w:t>
            </w:r>
          </w:p>
        </w:tc>
        <w:tc>
          <w:tcPr>
            <w:tcW w:w="1394" w:type="dxa"/>
            <w:tcBorders>
              <w:top w:val="single" w:sz="8" w:space="0" w:color="FFFFFF" w:themeColor="background1"/>
            </w:tcBorders>
            <w:shd w:val="clear" w:color="auto" w:fill="F2E3C7" w:themeFill="accent6"/>
          </w:tcPr>
          <w:p w14:paraId="66FC2BFC" w14:textId="30C7B427" w:rsidR="00791A68" w:rsidRPr="00EC59F5" w:rsidRDefault="00791A68" w:rsidP="00EC59F5">
            <w:pPr>
              <w:pStyle w:val="TableColumnHeadingCentred"/>
              <w:rPr>
                <w:rFonts w:asciiTheme="minorHAnsi" w:hAnsiTheme="minorHAnsi"/>
              </w:rPr>
            </w:pPr>
            <w:r w:rsidRPr="00EC59F5">
              <w:t>Discount</w:t>
            </w:r>
            <w:r w:rsidR="00A15C79" w:rsidRPr="00EC59F5">
              <w:noBreakHyphen/>
            </w:r>
            <w:r w:rsidRPr="00EC59F5">
              <w:t>to</w:t>
            </w:r>
            <w:r w:rsidR="00EC59F5" w:rsidRPr="00EC59F5">
              <w:t>-</w:t>
            </w:r>
            <w:r w:rsidRPr="00EC59F5">
              <w:t>market rate</w:t>
            </w:r>
          </w:p>
        </w:tc>
        <w:tc>
          <w:tcPr>
            <w:tcW w:w="1393" w:type="dxa"/>
            <w:tcBorders>
              <w:top w:val="single" w:sz="8" w:space="0" w:color="FFFFFF" w:themeColor="background1"/>
              <w:right w:val="single" w:sz="8" w:space="0" w:color="FFFFFF" w:themeColor="background1"/>
            </w:tcBorders>
            <w:shd w:val="clear" w:color="auto" w:fill="F2E3C7" w:themeFill="accent6"/>
          </w:tcPr>
          <w:p w14:paraId="733042D4" w14:textId="77777777" w:rsidR="00791A68" w:rsidRPr="00EC59F5" w:rsidRDefault="00791A68" w:rsidP="00EC59F5">
            <w:pPr>
              <w:pStyle w:val="TableColumnHeadingCentred"/>
              <w:rPr>
                <w:rFonts w:asciiTheme="minorHAnsi" w:hAnsiTheme="minorHAnsi"/>
              </w:rPr>
            </w:pPr>
            <w:r w:rsidRPr="00EC59F5">
              <w:t>Flexible rate</w:t>
            </w:r>
          </w:p>
        </w:tc>
        <w:tc>
          <w:tcPr>
            <w:tcW w:w="1394" w:type="dxa"/>
            <w:tcBorders>
              <w:top w:val="single" w:sz="8" w:space="0" w:color="FFFFFF" w:themeColor="background1"/>
              <w:left w:val="single" w:sz="8" w:space="0" w:color="FFFFFF" w:themeColor="background1"/>
            </w:tcBorders>
            <w:shd w:val="clear" w:color="auto" w:fill="F2E3C7" w:themeFill="accent6"/>
          </w:tcPr>
          <w:p w14:paraId="1D80A884" w14:textId="2C3F7790" w:rsidR="00791A68" w:rsidRPr="00EC59F5" w:rsidRDefault="00791A68" w:rsidP="00EC59F5">
            <w:pPr>
              <w:pStyle w:val="TableColumnHeadingCentred"/>
              <w:rPr>
                <w:rFonts w:asciiTheme="minorHAnsi" w:hAnsiTheme="minorHAnsi"/>
              </w:rPr>
            </w:pPr>
            <w:r w:rsidRPr="00EC59F5">
              <w:t>Very</w:t>
            </w:r>
            <w:r w:rsidR="003C2828" w:rsidRPr="00EC59F5">
              <w:t xml:space="preserve"> </w:t>
            </w:r>
            <w:r w:rsidRPr="00EC59F5">
              <w:t>low</w:t>
            </w:r>
            <w:r w:rsidR="00EC59F5" w:rsidRPr="00EC59F5">
              <w:t>-</w:t>
            </w:r>
            <w:r w:rsidRPr="00EC59F5">
              <w:t>income households</w:t>
            </w:r>
          </w:p>
        </w:tc>
        <w:tc>
          <w:tcPr>
            <w:tcW w:w="1393" w:type="dxa"/>
            <w:tcBorders>
              <w:top w:val="single" w:sz="8" w:space="0" w:color="FFFFFF" w:themeColor="background1"/>
            </w:tcBorders>
            <w:shd w:val="clear" w:color="auto" w:fill="F2E3C7" w:themeFill="accent6"/>
          </w:tcPr>
          <w:p w14:paraId="6BCDA033" w14:textId="43BDA1DC" w:rsidR="00791A68" w:rsidRPr="00EC59F5" w:rsidRDefault="00791A68" w:rsidP="00EC59F5">
            <w:pPr>
              <w:pStyle w:val="TableColumnHeadingCentred"/>
              <w:rPr>
                <w:rFonts w:asciiTheme="minorHAnsi" w:hAnsiTheme="minorHAnsi"/>
              </w:rPr>
            </w:pPr>
            <w:r w:rsidRPr="00EC59F5">
              <w:t>Low</w:t>
            </w:r>
            <w:r w:rsidR="00A15C79" w:rsidRPr="00EC59F5">
              <w:noBreakHyphen/>
            </w:r>
            <w:r w:rsidRPr="00EC59F5">
              <w:t>income households</w:t>
            </w:r>
          </w:p>
        </w:tc>
        <w:tc>
          <w:tcPr>
            <w:tcW w:w="1394" w:type="dxa"/>
            <w:tcBorders>
              <w:top w:val="single" w:sz="8" w:space="0" w:color="FFFFFF" w:themeColor="background1"/>
            </w:tcBorders>
            <w:shd w:val="clear" w:color="auto" w:fill="F2E3C7" w:themeFill="accent6"/>
          </w:tcPr>
          <w:p w14:paraId="4A87B2F9" w14:textId="041D4FFF" w:rsidR="00791A68" w:rsidRPr="00EC59F5" w:rsidRDefault="00791A68" w:rsidP="00EC59F5">
            <w:pPr>
              <w:pStyle w:val="TableColumnHeadingCentred"/>
              <w:rPr>
                <w:rFonts w:asciiTheme="minorHAnsi" w:hAnsiTheme="minorHAnsi"/>
              </w:rPr>
            </w:pPr>
            <w:r w:rsidRPr="00EC59F5">
              <w:t>Moderate</w:t>
            </w:r>
            <w:r w:rsidR="00EC59F5" w:rsidRPr="00EC59F5">
              <w:t>-</w:t>
            </w:r>
            <w:r w:rsidRPr="00EC59F5">
              <w:t>in</w:t>
            </w:r>
            <w:r w:rsidR="00EC59F5" w:rsidRPr="00EC59F5">
              <w:t>c</w:t>
            </w:r>
            <w:r w:rsidRPr="00EC59F5">
              <w:t>ome households</w:t>
            </w:r>
          </w:p>
        </w:tc>
      </w:tr>
      <w:tr w:rsidR="00791A68" w:rsidRPr="007904CA" w14:paraId="19252DD1" w14:textId="77777777" w:rsidTr="00EC59F5">
        <w:tc>
          <w:tcPr>
            <w:tcW w:w="709" w:type="dxa"/>
            <w:tcBorders>
              <w:bottom w:val="single" w:sz="4" w:space="0" w:color="F2E3C7" w:themeColor="accent6"/>
              <w:right w:val="single" w:sz="8" w:space="0" w:color="FFFFFF" w:themeColor="background1"/>
            </w:tcBorders>
          </w:tcPr>
          <w:p w14:paraId="6E06CA5A" w14:textId="77777777" w:rsidR="00791A68" w:rsidRPr="000643F0" w:rsidRDefault="00791A68" w:rsidP="000643F0">
            <w:pPr>
              <w:pStyle w:val="TableTextLeft"/>
              <w:rPr>
                <w:rStyle w:val="Strong"/>
              </w:rPr>
            </w:pPr>
            <w:r w:rsidRPr="000643F0">
              <w:rPr>
                <w:rStyle w:val="Strong"/>
              </w:rPr>
              <w:t>ACT</w:t>
            </w:r>
          </w:p>
        </w:tc>
        <w:sdt>
          <w:sdtPr>
            <w:id w:val="-282966678"/>
            <w14:checkbox>
              <w14:checked w14:val="0"/>
              <w14:checkedState w14:val="2612" w14:font="MS Gothic"/>
              <w14:uncheckedState w14:val="2610" w14:font="MS Gothic"/>
            </w14:checkbox>
          </w:sdtPr>
          <w:sdtEndPr/>
          <w:sdtContent>
            <w:tc>
              <w:tcPr>
                <w:tcW w:w="1393" w:type="dxa"/>
                <w:tcBorders>
                  <w:left w:val="single" w:sz="8" w:space="0" w:color="FFFFFF" w:themeColor="background1"/>
                  <w:bottom w:val="single" w:sz="4" w:space="0" w:color="F2E3C7" w:themeColor="accent6"/>
                </w:tcBorders>
              </w:tcPr>
              <w:p w14:paraId="158DBEFB" w14:textId="77777777" w:rsidR="00791A68" w:rsidRPr="006162DC" w:rsidRDefault="00791A68" w:rsidP="00CC12B5">
                <w:pPr>
                  <w:pStyle w:val="TableTextCentered"/>
                  <w:rPr>
                    <w:rFonts w:asciiTheme="minorHAnsi" w:hAnsiTheme="minorHAnsi"/>
                  </w:rPr>
                </w:pPr>
                <w:r w:rsidRPr="00453FF0">
                  <w:rPr>
                    <w:rFonts w:ascii="Segoe UI Symbol" w:eastAsia="MS Gothic" w:hAnsi="Segoe UI Symbol" w:cs="Segoe UI Symbol"/>
                  </w:rPr>
                  <w:t>☐</w:t>
                </w:r>
              </w:p>
            </w:tc>
          </w:sdtContent>
        </w:sdt>
        <w:sdt>
          <w:sdtPr>
            <w:id w:val="1162737199"/>
            <w14:checkbox>
              <w14:checked w14:val="1"/>
              <w14:checkedState w14:val="2612" w14:font="MS Gothic"/>
              <w14:uncheckedState w14:val="2610" w14:font="MS Gothic"/>
            </w14:checkbox>
          </w:sdtPr>
          <w:sdtEndPr/>
          <w:sdtContent>
            <w:tc>
              <w:tcPr>
                <w:tcW w:w="1394" w:type="dxa"/>
                <w:tcBorders>
                  <w:bottom w:val="single" w:sz="4" w:space="0" w:color="F2E3C7" w:themeColor="accent6"/>
                </w:tcBorders>
              </w:tcPr>
              <w:p w14:paraId="79E46664" w14:textId="77777777" w:rsidR="00791A68" w:rsidRPr="006162DC" w:rsidRDefault="00791A68" w:rsidP="00CC12B5">
                <w:pPr>
                  <w:pStyle w:val="TableTextCentered"/>
                  <w:rPr>
                    <w:rFonts w:asciiTheme="minorHAnsi" w:hAnsiTheme="minorHAnsi"/>
                  </w:rPr>
                </w:pPr>
                <w:r w:rsidRPr="00453FF0">
                  <w:rPr>
                    <w:rFonts w:ascii="Segoe UI Symbol" w:eastAsia="MS Gothic" w:hAnsi="Segoe UI Symbol" w:cs="Segoe UI Symbol"/>
                  </w:rPr>
                  <w:t>☒</w:t>
                </w:r>
              </w:p>
            </w:tc>
          </w:sdtContent>
        </w:sdt>
        <w:sdt>
          <w:sdtPr>
            <w:id w:val="-675036546"/>
            <w14:checkbox>
              <w14:checked w14:val="0"/>
              <w14:checkedState w14:val="2612" w14:font="MS Gothic"/>
              <w14:uncheckedState w14:val="2610" w14:font="MS Gothic"/>
            </w14:checkbox>
          </w:sdtPr>
          <w:sdtEndPr/>
          <w:sdtContent>
            <w:tc>
              <w:tcPr>
                <w:tcW w:w="1393" w:type="dxa"/>
                <w:tcBorders>
                  <w:bottom w:val="single" w:sz="4" w:space="0" w:color="F2E3C7" w:themeColor="accent6"/>
                  <w:right w:val="single" w:sz="8" w:space="0" w:color="FFFFFF" w:themeColor="background1"/>
                </w:tcBorders>
              </w:tcPr>
              <w:p w14:paraId="4A3907E8" w14:textId="77777777" w:rsidR="00791A68" w:rsidRPr="006162DC" w:rsidRDefault="00791A68" w:rsidP="00CC12B5">
                <w:pPr>
                  <w:pStyle w:val="TableTextCentered"/>
                  <w:rPr>
                    <w:rFonts w:asciiTheme="minorHAnsi" w:hAnsiTheme="minorHAnsi"/>
                  </w:rPr>
                </w:pPr>
                <w:r w:rsidRPr="00453FF0">
                  <w:rPr>
                    <w:rFonts w:ascii="Segoe UI Symbol" w:eastAsia="MS Gothic" w:hAnsi="Segoe UI Symbol" w:cs="Segoe UI Symbol"/>
                  </w:rPr>
                  <w:t>☐</w:t>
                </w:r>
              </w:p>
            </w:tc>
          </w:sdtContent>
        </w:sdt>
        <w:tc>
          <w:tcPr>
            <w:tcW w:w="1394" w:type="dxa"/>
            <w:tcBorders>
              <w:left w:val="single" w:sz="8" w:space="0" w:color="FFFFFF" w:themeColor="background1"/>
              <w:bottom w:val="single" w:sz="4" w:space="0" w:color="F2E3C7" w:themeColor="accent6"/>
            </w:tcBorders>
          </w:tcPr>
          <w:p w14:paraId="08F1399C" w14:textId="77777777" w:rsidR="00791A68" w:rsidRPr="006162DC" w:rsidRDefault="00287FB0" w:rsidP="00CC12B5">
            <w:pPr>
              <w:pStyle w:val="TableTextCentered"/>
              <w:rPr>
                <w:rFonts w:asciiTheme="minorHAnsi" w:hAnsiTheme="minorHAnsi"/>
              </w:rPr>
            </w:pPr>
            <w:sdt>
              <w:sdtPr>
                <w:id w:val="-1259514757"/>
                <w14:checkbox>
                  <w14:checked w14:val="1"/>
                  <w14:checkedState w14:val="2612" w14:font="MS Gothic"/>
                  <w14:uncheckedState w14:val="2610" w14:font="MS Gothic"/>
                </w14:checkbox>
              </w:sdtPr>
              <w:sdtEndPr/>
              <w:sdtContent>
                <w:r w:rsidR="00791A68" w:rsidRPr="00453FF0">
                  <w:rPr>
                    <w:rFonts w:ascii="Segoe UI Symbol" w:eastAsia="MS Gothic" w:hAnsi="Segoe UI Symbol" w:cs="Segoe UI Symbol"/>
                  </w:rPr>
                  <w:t>☒</w:t>
                </w:r>
              </w:sdtContent>
            </w:sdt>
          </w:p>
        </w:tc>
        <w:tc>
          <w:tcPr>
            <w:tcW w:w="1393" w:type="dxa"/>
            <w:tcBorders>
              <w:bottom w:val="single" w:sz="4" w:space="0" w:color="F2E3C7" w:themeColor="accent6"/>
            </w:tcBorders>
          </w:tcPr>
          <w:sdt>
            <w:sdtPr>
              <w:id w:val="959457359"/>
              <w14:checkbox>
                <w14:checked w14:val="1"/>
                <w14:checkedState w14:val="2612" w14:font="MS Gothic"/>
                <w14:uncheckedState w14:val="2610" w14:font="MS Gothic"/>
              </w14:checkbox>
            </w:sdtPr>
            <w:sdtEndPr/>
            <w:sdtContent>
              <w:p w14:paraId="293BBF7C" w14:textId="77777777" w:rsidR="00791A68" w:rsidRPr="006162DC" w:rsidRDefault="00791A68" w:rsidP="00CC12B5">
                <w:pPr>
                  <w:pStyle w:val="TableTextCentered"/>
                  <w:rPr>
                    <w:rFonts w:asciiTheme="minorHAnsi" w:eastAsia="MS Gothic" w:hAnsiTheme="minorHAnsi"/>
                  </w:rPr>
                </w:pPr>
                <w:r w:rsidRPr="00453FF0">
                  <w:rPr>
                    <w:rFonts w:ascii="Segoe UI Symbol" w:eastAsia="MS Gothic" w:hAnsi="Segoe UI Symbol" w:cs="Segoe UI Symbol"/>
                  </w:rPr>
                  <w:t>☒</w:t>
                </w:r>
              </w:p>
            </w:sdtContent>
          </w:sdt>
        </w:tc>
        <w:sdt>
          <w:sdtPr>
            <w:id w:val="-1321111170"/>
            <w14:checkbox>
              <w14:checked w14:val="1"/>
              <w14:checkedState w14:val="2612" w14:font="MS Gothic"/>
              <w14:uncheckedState w14:val="2610" w14:font="MS Gothic"/>
            </w14:checkbox>
          </w:sdtPr>
          <w:sdtEndPr/>
          <w:sdtContent>
            <w:tc>
              <w:tcPr>
                <w:tcW w:w="1394" w:type="dxa"/>
                <w:tcBorders>
                  <w:bottom w:val="single" w:sz="4" w:space="0" w:color="F2E3C7" w:themeColor="accent6"/>
                </w:tcBorders>
              </w:tcPr>
              <w:p w14:paraId="742DB928" w14:textId="77777777" w:rsidR="00791A68" w:rsidRPr="006162DC" w:rsidRDefault="00791A68" w:rsidP="00CC12B5">
                <w:pPr>
                  <w:pStyle w:val="TableTextCentered"/>
                  <w:rPr>
                    <w:rFonts w:asciiTheme="minorHAnsi" w:eastAsia="MS Gothic" w:hAnsiTheme="minorHAnsi"/>
                  </w:rPr>
                </w:pPr>
                <w:r w:rsidRPr="00453FF0">
                  <w:rPr>
                    <w:rFonts w:ascii="Segoe UI Symbol" w:eastAsia="MS Gothic" w:hAnsi="Segoe UI Symbol" w:cs="Segoe UI Symbol"/>
                  </w:rPr>
                  <w:t>☒</w:t>
                </w:r>
              </w:p>
            </w:tc>
          </w:sdtContent>
        </w:sdt>
      </w:tr>
      <w:tr w:rsidR="00791A68" w:rsidRPr="007904CA" w14:paraId="5DC803A1" w14:textId="77777777" w:rsidTr="00EC59F5">
        <w:tc>
          <w:tcPr>
            <w:tcW w:w="709" w:type="dxa"/>
            <w:tcBorders>
              <w:top w:val="single" w:sz="4" w:space="0" w:color="F2E3C7" w:themeColor="accent6"/>
              <w:bottom w:val="single" w:sz="4" w:space="0" w:color="F2E3C7" w:themeColor="accent6"/>
              <w:right w:val="single" w:sz="8" w:space="0" w:color="FFFFFF" w:themeColor="background1"/>
            </w:tcBorders>
          </w:tcPr>
          <w:p w14:paraId="425B6F30" w14:textId="77777777" w:rsidR="00791A68" w:rsidRPr="000643F0" w:rsidRDefault="00791A68" w:rsidP="000643F0">
            <w:pPr>
              <w:pStyle w:val="TableTextLeft"/>
              <w:rPr>
                <w:rStyle w:val="Strong"/>
              </w:rPr>
            </w:pPr>
            <w:r w:rsidRPr="000643F0">
              <w:rPr>
                <w:rStyle w:val="Strong"/>
              </w:rPr>
              <w:t>NSW</w:t>
            </w:r>
          </w:p>
        </w:tc>
        <w:sdt>
          <w:sdtPr>
            <w:id w:val="1185859743"/>
            <w14:checkbox>
              <w14:checked w14:val="0"/>
              <w14:checkedState w14:val="2612" w14:font="MS Gothic"/>
              <w14:uncheckedState w14:val="2610" w14:font="MS Gothic"/>
            </w14:checkbox>
          </w:sdtPr>
          <w:sdtEndPr/>
          <w:sdtContent>
            <w:tc>
              <w:tcPr>
                <w:tcW w:w="1393" w:type="dxa"/>
                <w:tcBorders>
                  <w:top w:val="single" w:sz="4" w:space="0" w:color="F2E3C7" w:themeColor="accent6"/>
                  <w:left w:val="single" w:sz="8" w:space="0" w:color="FFFFFF" w:themeColor="background1"/>
                  <w:bottom w:val="single" w:sz="4" w:space="0" w:color="F2E3C7" w:themeColor="accent6"/>
                </w:tcBorders>
              </w:tcPr>
              <w:p w14:paraId="48C54A1F" w14:textId="77777777" w:rsidR="00791A68" w:rsidRPr="006162DC" w:rsidRDefault="00791A68" w:rsidP="00CC12B5">
                <w:pPr>
                  <w:pStyle w:val="TableTextCentered"/>
                  <w:rPr>
                    <w:rFonts w:asciiTheme="minorHAnsi" w:hAnsiTheme="minorHAnsi"/>
                  </w:rPr>
                </w:pPr>
                <w:r w:rsidRPr="00453FF0">
                  <w:rPr>
                    <w:rFonts w:ascii="Segoe UI Symbol" w:eastAsia="MS Gothic" w:hAnsi="Segoe UI Symbol" w:cs="Segoe UI Symbol"/>
                  </w:rPr>
                  <w:t>☐</w:t>
                </w:r>
              </w:p>
            </w:tc>
          </w:sdtContent>
        </w:sdt>
        <w:sdt>
          <w:sdtPr>
            <w:id w:val="-549305016"/>
            <w14:checkbox>
              <w14:checked w14:val="0"/>
              <w14:checkedState w14:val="2612" w14:font="MS Gothic"/>
              <w14:uncheckedState w14:val="2610" w14:font="MS Gothic"/>
            </w14:checkbox>
          </w:sdtPr>
          <w:sdtEndPr/>
          <w:sdtContent>
            <w:tc>
              <w:tcPr>
                <w:tcW w:w="1394" w:type="dxa"/>
                <w:tcBorders>
                  <w:top w:val="single" w:sz="4" w:space="0" w:color="F2E3C7" w:themeColor="accent6"/>
                  <w:bottom w:val="single" w:sz="4" w:space="0" w:color="F2E3C7" w:themeColor="accent6"/>
                </w:tcBorders>
              </w:tcPr>
              <w:p w14:paraId="53B95E41" w14:textId="77777777" w:rsidR="00791A68" w:rsidRPr="006162DC" w:rsidRDefault="00791A68" w:rsidP="00CC12B5">
                <w:pPr>
                  <w:pStyle w:val="TableTextCentered"/>
                  <w:rPr>
                    <w:rFonts w:asciiTheme="minorHAnsi" w:hAnsiTheme="minorHAnsi"/>
                  </w:rPr>
                </w:pPr>
                <w:r w:rsidRPr="00453FF0">
                  <w:rPr>
                    <w:rFonts w:ascii="Segoe UI Symbol" w:eastAsia="MS Gothic" w:hAnsi="Segoe UI Symbol" w:cs="Segoe UI Symbol"/>
                  </w:rPr>
                  <w:t>☐</w:t>
                </w:r>
              </w:p>
            </w:tc>
          </w:sdtContent>
        </w:sdt>
        <w:sdt>
          <w:sdtPr>
            <w:id w:val="692034917"/>
            <w14:checkbox>
              <w14:checked w14:val="1"/>
              <w14:checkedState w14:val="2612" w14:font="MS Gothic"/>
              <w14:uncheckedState w14:val="2610" w14:font="MS Gothic"/>
            </w14:checkbox>
          </w:sdtPr>
          <w:sdtEndPr/>
          <w:sdtContent>
            <w:tc>
              <w:tcPr>
                <w:tcW w:w="1393" w:type="dxa"/>
                <w:tcBorders>
                  <w:top w:val="single" w:sz="4" w:space="0" w:color="F2E3C7" w:themeColor="accent6"/>
                  <w:bottom w:val="single" w:sz="4" w:space="0" w:color="F2E3C7" w:themeColor="accent6"/>
                  <w:right w:val="single" w:sz="8" w:space="0" w:color="FFFFFF" w:themeColor="background1"/>
                </w:tcBorders>
              </w:tcPr>
              <w:p w14:paraId="0961B909" w14:textId="77777777" w:rsidR="00791A68" w:rsidRPr="006162DC" w:rsidRDefault="00791A68" w:rsidP="00CC12B5">
                <w:pPr>
                  <w:pStyle w:val="TableTextCentered"/>
                  <w:rPr>
                    <w:rFonts w:asciiTheme="minorHAnsi" w:hAnsiTheme="minorHAnsi"/>
                  </w:rPr>
                </w:pPr>
                <w:r w:rsidRPr="00453FF0">
                  <w:rPr>
                    <w:rFonts w:ascii="Segoe UI Symbol" w:eastAsia="MS Gothic" w:hAnsi="Segoe UI Symbol" w:cs="Segoe UI Symbol"/>
                  </w:rPr>
                  <w:t>☒</w:t>
                </w:r>
              </w:p>
            </w:tc>
          </w:sdtContent>
        </w:sdt>
        <w:sdt>
          <w:sdtPr>
            <w:id w:val="-1942978983"/>
            <w14:checkbox>
              <w14:checked w14:val="1"/>
              <w14:checkedState w14:val="2612" w14:font="MS Gothic"/>
              <w14:uncheckedState w14:val="2610" w14:font="MS Gothic"/>
            </w14:checkbox>
          </w:sdtPr>
          <w:sdtEndPr/>
          <w:sdtContent>
            <w:tc>
              <w:tcPr>
                <w:tcW w:w="1394" w:type="dxa"/>
                <w:tcBorders>
                  <w:top w:val="single" w:sz="4" w:space="0" w:color="F2E3C7" w:themeColor="accent6"/>
                  <w:left w:val="single" w:sz="8" w:space="0" w:color="FFFFFF" w:themeColor="background1"/>
                  <w:bottom w:val="single" w:sz="4" w:space="0" w:color="F2E3C7" w:themeColor="accent6"/>
                </w:tcBorders>
              </w:tcPr>
              <w:p w14:paraId="05044472" w14:textId="77777777" w:rsidR="00791A68" w:rsidRPr="006162DC" w:rsidRDefault="00791A68" w:rsidP="00CC12B5">
                <w:pPr>
                  <w:pStyle w:val="TableTextCentered"/>
                  <w:rPr>
                    <w:rFonts w:asciiTheme="minorHAnsi" w:hAnsiTheme="minorHAnsi"/>
                  </w:rPr>
                </w:pPr>
                <w:r w:rsidRPr="00453FF0">
                  <w:rPr>
                    <w:rFonts w:ascii="Segoe UI Symbol" w:eastAsia="MS Gothic" w:hAnsi="Segoe UI Symbol" w:cs="Segoe UI Symbol"/>
                  </w:rPr>
                  <w:t>☒</w:t>
                </w:r>
              </w:p>
            </w:tc>
          </w:sdtContent>
        </w:sdt>
        <w:sdt>
          <w:sdtPr>
            <w:id w:val="1931770600"/>
            <w14:checkbox>
              <w14:checked w14:val="1"/>
              <w14:checkedState w14:val="2612" w14:font="MS Gothic"/>
              <w14:uncheckedState w14:val="2610" w14:font="MS Gothic"/>
            </w14:checkbox>
          </w:sdtPr>
          <w:sdtEndPr/>
          <w:sdtContent>
            <w:tc>
              <w:tcPr>
                <w:tcW w:w="1393" w:type="dxa"/>
                <w:tcBorders>
                  <w:top w:val="single" w:sz="4" w:space="0" w:color="F2E3C7" w:themeColor="accent6"/>
                  <w:bottom w:val="single" w:sz="4" w:space="0" w:color="F2E3C7" w:themeColor="accent6"/>
                </w:tcBorders>
              </w:tcPr>
              <w:p w14:paraId="0FC28968" w14:textId="77777777" w:rsidR="00791A68" w:rsidRPr="006162DC" w:rsidRDefault="00791A68" w:rsidP="00CC12B5">
                <w:pPr>
                  <w:pStyle w:val="TableTextCentered"/>
                  <w:rPr>
                    <w:rFonts w:asciiTheme="minorHAnsi" w:hAnsiTheme="minorHAnsi"/>
                  </w:rPr>
                </w:pPr>
                <w:r w:rsidRPr="00453FF0">
                  <w:rPr>
                    <w:rFonts w:ascii="Segoe UI Symbol" w:eastAsia="MS Gothic" w:hAnsi="Segoe UI Symbol" w:cs="Segoe UI Symbol"/>
                  </w:rPr>
                  <w:t>☒</w:t>
                </w:r>
              </w:p>
            </w:tc>
          </w:sdtContent>
        </w:sdt>
        <w:tc>
          <w:tcPr>
            <w:tcW w:w="1394" w:type="dxa"/>
            <w:tcBorders>
              <w:top w:val="single" w:sz="4" w:space="0" w:color="F2E3C7" w:themeColor="accent6"/>
              <w:bottom w:val="single" w:sz="4" w:space="0" w:color="F2E3C7" w:themeColor="accent6"/>
            </w:tcBorders>
          </w:tcPr>
          <w:sdt>
            <w:sdtPr>
              <w:rPr>
                <w:rFonts w:eastAsia="MS Gothic"/>
              </w:rPr>
              <w:id w:val="-2141802523"/>
              <w14:checkbox>
                <w14:checked w14:val="1"/>
                <w14:checkedState w14:val="2612" w14:font="MS Gothic"/>
                <w14:uncheckedState w14:val="2610" w14:font="MS Gothic"/>
              </w14:checkbox>
            </w:sdtPr>
            <w:sdtEndPr/>
            <w:sdtContent>
              <w:p w14:paraId="351E12E7" w14:textId="77777777" w:rsidR="00791A68" w:rsidRPr="006162DC" w:rsidRDefault="00791A68" w:rsidP="00CC12B5">
                <w:pPr>
                  <w:pStyle w:val="TableTextCentered"/>
                  <w:rPr>
                    <w:rFonts w:asciiTheme="minorHAnsi" w:hAnsiTheme="minorHAnsi"/>
                  </w:rPr>
                </w:pPr>
                <w:r w:rsidRPr="00453FF0">
                  <w:rPr>
                    <w:rFonts w:ascii="Segoe UI Symbol" w:eastAsia="MS Gothic" w:hAnsi="Segoe UI Symbol" w:cs="Segoe UI Symbol"/>
                  </w:rPr>
                  <w:t>☒</w:t>
                </w:r>
              </w:p>
            </w:sdtContent>
          </w:sdt>
        </w:tc>
      </w:tr>
      <w:tr w:rsidR="00EC59F5" w:rsidRPr="007904CA" w14:paraId="0152B6A2" w14:textId="77777777" w:rsidTr="00EC59F5">
        <w:tc>
          <w:tcPr>
            <w:tcW w:w="709" w:type="dxa"/>
            <w:tcBorders>
              <w:top w:val="single" w:sz="4" w:space="0" w:color="F2E3C7" w:themeColor="accent6"/>
              <w:bottom w:val="single" w:sz="4" w:space="0" w:color="F2E3C7" w:themeColor="accent6"/>
              <w:right w:val="single" w:sz="8" w:space="0" w:color="FFFFFF" w:themeColor="background1"/>
            </w:tcBorders>
          </w:tcPr>
          <w:p w14:paraId="7BBCE580" w14:textId="3D9EE78A" w:rsidR="00EC59F5" w:rsidRPr="000643F0" w:rsidRDefault="00EC59F5" w:rsidP="000643F0">
            <w:pPr>
              <w:pStyle w:val="TableTextLeft"/>
              <w:rPr>
                <w:rStyle w:val="Strong"/>
              </w:rPr>
            </w:pPr>
            <w:r w:rsidRPr="000643F0">
              <w:rPr>
                <w:rStyle w:val="Strong"/>
              </w:rPr>
              <w:t>NT</w:t>
            </w:r>
          </w:p>
        </w:tc>
        <w:sdt>
          <w:sdtPr>
            <w:id w:val="-1848626861"/>
            <w14:checkbox>
              <w14:checked w14:val="0"/>
              <w14:checkedState w14:val="2612" w14:font="MS Gothic"/>
              <w14:uncheckedState w14:val="2610" w14:font="MS Gothic"/>
            </w14:checkbox>
          </w:sdtPr>
          <w:sdtEndPr/>
          <w:sdtContent>
            <w:tc>
              <w:tcPr>
                <w:tcW w:w="1393" w:type="dxa"/>
                <w:tcBorders>
                  <w:top w:val="single" w:sz="4" w:space="0" w:color="F2E3C7" w:themeColor="accent6"/>
                  <w:left w:val="single" w:sz="8" w:space="0" w:color="FFFFFF" w:themeColor="background1"/>
                  <w:bottom w:val="single" w:sz="4" w:space="0" w:color="F2E3C7" w:themeColor="accent6"/>
                </w:tcBorders>
              </w:tcPr>
              <w:p w14:paraId="18BD49D3" w14:textId="14257898" w:rsidR="00EC59F5" w:rsidRDefault="00EC59F5" w:rsidP="000643F0">
                <w:pPr>
                  <w:pStyle w:val="TableTextCentered"/>
                </w:pPr>
                <w:r w:rsidRPr="00453FF0">
                  <w:rPr>
                    <w:rFonts w:ascii="Segoe UI Symbol" w:eastAsia="MS Gothic" w:hAnsi="Segoe UI Symbol" w:cs="Segoe UI Symbol"/>
                  </w:rPr>
                  <w:t>☐</w:t>
                </w:r>
              </w:p>
            </w:tc>
          </w:sdtContent>
        </w:sdt>
        <w:sdt>
          <w:sdtPr>
            <w:id w:val="-1901210327"/>
            <w14:checkbox>
              <w14:checked w14:val="1"/>
              <w14:checkedState w14:val="2612" w14:font="MS Gothic"/>
              <w14:uncheckedState w14:val="2610" w14:font="MS Gothic"/>
            </w14:checkbox>
          </w:sdtPr>
          <w:sdtEndPr/>
          <w:sdtContent>
            <w:tc>
              <w:tcPr>
                <w:tcW w:w="1394" w:type="dxa"/>
                <w:tcBorders>
                  <w:top w:val="single" w:sz="4" w:space="0" w:color="F2E3C7" w:themeColor="accent6"/>
                  <w:bottom w:val="single" w:sz="4" w:space="0" w:color="F2E3C7" w:themeColor="accent6"/>
                </w:tcBorders>
              </w:tcPr>
              <w:p w14:paraId="30C5F3E7" w14:textId="7C90226D" w:rsidR="00EC59F5" w:rsidRDefault="00EC59F5" w:rsidP="000643F0">
                <w:pPr>
                  <w:pStyle w:val="TableTextCentered"/>
                </w:pPr>
                <w:r w:rsidRPr="00453FF0">
                  <w:rPr>
                    <w:rFonts w:ascii="Segoe UI Symbol" w:eastAsia="MS Gothic" w:hAnsi="Segoe UI Symbol" w:cs="Segoe UI Symbol"/>
                  </w:rPr>
                  <w:t>☒</w:t>
                </w:r>
              </w:p>
            </w:tc>
          </w:sdtContent>
        </w:sdt>
        <w:sdt>
          <w:sdtPr>
            <w:id w:val="-356205307"/>
            <w14:checkbox>
              <w14:checked w14:val="0"/>
              <w14:checkedState w14:val="2612" w14:font="MS Gothic"/>
              <w14:uncheckedState w14:val="2610" w14:font="MS Gothic"/>
            </w14:checkbox>
          </w:sdtPr>
          <w:sdtEndPr/>
          <w:sdtContent>
            <w:tc>
              <w:tcPr>
                <w:tcW w:w="1393" w:type="dxa"/>
                <w:tcBorders>
                  <w:top w:val="single" w:sz="4" w:space="0" w:color="F2E3C7" w:themeColor="accent6"/>
                  <w:bottom w:val="single" w:sz="4" w:space="0" w:color="F2E3C7" w:themeColor="accent6"/>
                  <w:right w:val="single" w:sz="8" w:space="0" w:color="FFFFFF" w:themeColor="background1"/>
                </w:tcBorders>
              </w:tcPr>
              <w:p w14:paraId="352AAD00" w14:textId="4085AD2E" w:rsidR="00EC59F5" w:rsidRDefault="00EC59F5" w:rsidP="000643F0">
                <w:pPr>
                  <w:pStyle w:val="TableTextCentered"/>
                </w:pPr>
                <w:r w:rsidRPr="00453FF0">
                  <w:rPr>
                    <w:rFonts w:ascii="Segoe UI Symbol" w:eastAsia="MS Gothic" w:hAnsi="Segoe UI Symbol" w:cs="Segoe UI Symbol"/>
                  </w:rPr>
                  <w:t>☐</w:t>
                </w:r>
              </w:p>
            </w:tc>
          </w:sdtContent>
        </w:sdt>
        <w:tc>
          <w:tcPr>
            <w:tcW w:w="4181" w:type="dxa"/>
            <w:gridSpan w:val="3"/>
            <w:tcBorders>
              <w:top w:val="single" w:sz="4" w:space="0" w:color="F2E3C7" w:themeColor="accent6"/>
              <w:left w:val="single" w:sz="8" w:space="0" w:color="FFFFFF" w:themeColor="background1"/>
              <w:bottom w:val="single" w:sz="4" w:space="0" w:color="F2E3C7" w:themeColor="accent6"/>
            </w:tcBorders>
          </w:tcPr>
          <w:p w14:paraId="094A4556" w14:textId="602E3255" w:rsidR="00EC59F5" w:rsidRDefault="00EC59F5" w:rsidP="000643F0">
            <w:pPr>
              <w:pStyle w:val="TableTextCentered"/>
              <w:rPr>
                <w:rFonts w:eastAsia="MS Gothic"/>
              </w:rPr>
            </w:pPr>
            <w:r w:rsidRPr="006162DC">
              <w:t xml:space="preserve">Only key service workers </w:t>
            </w:r>
            <w:r>
              <w:t xml:space="preserve">are </w:t>
            </w:r>
            <w:r w:rsidRPr="006162DC">
              <w:t>eligible, with a maximum</w:t>
            </w:r>
            <w:r w:rsidR="00324BAD">
              <w:t> </w:t>
            </w:r>
            <w:r w:rsidRPr="006162DC">
              <w:t>household income threshold at the moderate</w:t>
            </w:r>
            <w:r>
              <w:noBreakHyphen/>
            </w:r>
            <w:r w:rsidRPr="006162DC">
              <w:t>income</w:t>
            </w:r>
            <w:r w:rsidR="00324BAD">
              <w:t> </w:t>
            </w:r>
            <w:r w:rsidRPr="006162DC">
              <w:t>level.</w:t>
            </w:r>
          </w:p>
        </w:tc>
      </w:tr>
      <w:tr w:rsidR="00791A68" w:rsidRPr="007904CA" w14:paraId="22F97047" w14:textId="77777777" w:rsidTr="00EC59F5">
        <w:trPr>
          <w:trHeight w:val="80"/>
        </w:trPr>
        <w:tc>
          <w:tcPr>
            <w:tcW w:w="709" w:type="dxa"/>
            <w:tcBorders>
              <w:top w:val="single" w:sz="4" w:space="0" w:color="F2E3C7" w:themeColor="accent6"/>
              <w:bottom w:val="single" w:sz="4" w:space="0" w:color="F2E3C7" w:themeColor="accent6"/>
              <w:right w:val="single" w:sz="8" w:space="0" w:color="FFFFFF" w:themeColor="background1"/>
            </w:tcBorders>
          </w:tcPr>
          <w:p w14:paraId="0EB7639B" w14:textId="66307452" w:rsidR="00791A68" w:rsidRPr="000643F0" w:rsidRDefault="00791A68" w:rsidP="000643F0">
            <w:pPr>
              <w:pStyle w:val="TableTextLeft"/>
              <w:rPr>
                <w:rStyle w:val="Strong"/>
              </w:rPr>
            </w:pPr>
            <w:r w:rsidRPr="000643F0">
              <w:rPr>
                <w:rStyle w:val="Strong"/>
              </w:rPr>
              <w:t>Q</w:t>
            </w:r>
            <w:r w:rsidR="00243BEC" w:rsidRPr="000643F0">
              <w:rPr>
                <w:rStyle w:val="Strong"/>
              </w:rPr>
              <w:t>ld</w:t>
            </w:r>
            <w:r w:rsidRPr="000643F0">
              <w:rPr>
                <w:rStyle w:val="Strong"/>
              </w:rPr>
              <w:t>*</w:t>
            </w:r>
          </w:p>
        </w:tc>
        <w:sdt>
          <w:sdtPr>
            <w:id w:val="443046780"/>
            <w14:checkbox>
              <w14:checked w14:val="1"/>
              <w14:checkedState w14:val="2612" w14:font="MS Gothic"/>
              <w14:uncheckedState w14:val="2610" w14:font="MS Gothic"/>
            </w14:checkbox>
          </w:sdtPr>
          <w:sdtEndPr/>
          <w:sdtContent>
            <w:tc>
              <w:tcPr>
                <w:tcW w:w="1393" w:type="dxa"/>
                <w:tcBorders>
                  <w:top w:val="single" w:sz="4" w:space="0" w:color="F2E3C7" w:themeColor="accent6"/>
                  <w:left w:val="single" w:sz="8" w:space="0" w:color="FFFFFF" w:themeColor="background1"/>
                  <w:bottom w:val="single" w:sz="4" w:space="0" w:color="F2E3C7" w:themeColor="accent6"/>
                </w:tcBorders>
              </w:tcPr>
              <w:p w14:paraId="2C74D7C0" w14:textId="77777777" w:rsidR="00791A68" w:rsidRPr="006162DC" w:rsidRDefault="00791A68" w:rsidP="00CC12B5">
                <w:pPr>
                  <w:pStyle w:val="TableTextCentered"/>
                  <w:rPr>
                    <w:rFonts w:asciiTheme="minorHAnsi" w:hAnsiTheme="minorHAnsi"/>
                  </w:rPr>
                </w:pPr>
                <w:r w:rsidRPr="00453FF0">
                  <w:rPr>
                    <w:rFonts w:ascii="Segoe UI Symbol" w:eastAsia="MS Gothic" w:hAnsi="Segoe UI Symbol" w:cs="Segoe UI Symbol"/>
                  </w:rPr>
                  <w:t>☒</w:t>
                </w:r>
              </w:p>
            </w:tc>
          </w:sdtContent>
        </w:sdt>
        <w:sdt>
          <w:sdtPr>
            <w:id w:val="-99793526"/>
            <w14:checkbox>
              <w14:checked w14:val="1"/>
              <w14:checkedState w14:val="2612" w14:font="MS Gothic"/>
              <w14:uncheckedState w14:val="2610" w14:font="MS Gothic"/>
            </w14:checkbox>
          </w:sdtPr>
          <w:sdtEndPr/>
          <w:sdtContent>
            <w:tc>
              <w:tcPr>
                <w:tcW w:w="1394" w:type="dxa"/>
                <w:tcBorders>
                  <w:top w:val="single" w:sz="4" w:space="0" w:color="F2E3C7" w:themeColor="accent6"/>
                  <w:bottom w:val="single" w:sz="4" w:space="0" w:color="F2E3C7" w:themeColor="accent6"/>
                </w:tcBorders>
              </w:tcPr>
              <w:p w14:paraId="19859B32" w14:textId="77777777" w:rsidR="00791A68" w:rsidRPr="006162DC" w:rsidRDefault="00791A68" w:rsidP="00CC12B5">
                <w:pPr>
                  <w:pStyle w:val="TableTextCentered"/>
                  <w:rPr>
                    <w:rFonts w:asciiTheme="minorHAnsi" w:hAnsiTheme="minorHAnsi"/>
                  </w:rPr>
                </w:pPr>
                <w:r w:rsidRPr="00D0533A">
                  <w:rPr>
                    <w:rFonts w:eastAsia="MS Gothic" w:cs="Segoe UI Symbol" w:hint="eastAsia"/>
                  </w:rPr>
                  <w:t>☒</w:t>
                </w:r>
              </w:p>
            </w:tc>
          </w:sdtContent>
        </w:sdt>
        <w:sdt>
          <w:sdtPr>
            <w:id w:val="244463041"/>
            <w14:checkbox>
              <w14:checked w14:val="1"/>
              <w14:checkedState w14:val="2612" w14:font="MS Gothic"/>
              <w14:uncheckedState w14:val="2610" w14:font="MS Gothic"/>
            </w14:checkbox>
          </w:sdtPr>
          <w:sdtEndPr/>
          <w:sdtContent>
            <w:tc>
              <w:tcPr>
                <w:tcW w:w="1393" w:type="dxa"/>
                <w:tcBorders>
                  <w:top w:val="single" w:sz="4" w:space="0" w:color="F2E3C7" w:themeColor="accent6"/>
                  <w:bottom w:val="single" w:sz="4" w:space="0" w:color="F2E3C7" w:themeColor="accent6"/>
                  <w:right w:val="single" w:sz="8" w:space="0" w:color="FFFFFF" w:themeColor="background1"/>
                </w:tcBorders>
              </w:tcPr>
              <w:p w14:paraId="359F9AB7" w14:textId="77777777" w:rsidR="00791A68" w:rsidRPr="006162DC" w:rsidRDefault="00791A68" w:rsidP="00CC12B5">
                <w:pPr>
                  <w:pStyle w:val="TableTextCentered"/>
                  <w:rPr>
                    <w:rFonts w:asciiTheme="minorHAnsi" w:hAnsiTheme="minorHAnsi"/>
                  </w:rPr>
                </w:pPr>
                <w:r>
                  <w:rPr>
                    <w:rFonts w:ascii="MS Gothic" w:eastAsia="MS Gothic" w:hAnsi="MS Gothic" w:hint="eastAsia"/>
                  </w:rPr>
                  <w:t>☒</w:t>
                </w:r>
              </w:p>
            </w:tc>
          </w:sdtContent>
        </w:sdt>
        <w:sdt>
          <w:sdtPr>
            <w:id w:val="-1965886997"/>
            <w14:checkbox>
              <w14:checked w14:val="1"/>
              <w14:checkedState w14:val="2612" w14:font="MS Gothic"/>
              <w14:uncheckedState w14:val="2610" w14:font="MS Gothic"/>
            </w14:checkbox>
          </w:sdtPr>
          <w:sdtEndPr/>
          <w:sdtContent>
            <w:tc>
              <w:tcPr>
                <w:tcW w:w="1394" w:type="dxa"/>
                <w:tcBorders>
                  <w:top w:val="single" w:sz="4" w:space="0" w:color="F2E3C7" w:themeColor="accent6"/>
                  <w:left w:val="single" w:sz="8" w:space="0" w:color="FFFFFF" w:themeColor="background1"/>
                  <w:bottom w:val="single" w:sz="4" w:space="0" w:color="F2E3C7" w:themeColor="accent6"/>
                </w:tcBorders>
              </w:tcPr>
              <w:p w14:paraId="46FF383F" w14:textId="77777777" w:rsidR="00791A68" w:rsidRPr="006162DC" w:rsidRDefault="00791A68" w:rsidP="00CC12B5">
                <w:pPr>
                  <w:pStyle w:val="TableTextCentered"/>
                  <w:rPr>
                    <w:rFonts w:asciiTheme="minorHAnsi" w:hAnsiTheme="minorHAnsi"/>
                  </w:rPr>
                </w:pPr>
                <w:r w:rsidRPr="00453FF0">
                  <w:rPr>
                    <w:rFonts w:ascii="Segoe UI Symbol" w:eastAsia="MS Gothic" w:hAnsi="Segoe UI Symbol" w:cs="Segoe UI Symbol"/>
                  </w:rPr>
                  <w:t>☒</w:t>
                </w:r>
              </w:p>
            </w:tc>
          </w:sdtContent>
        </w:sdt>
        <w:tc>
          <w:tcPr>
            <w:tcW w:w="1393" w:type="dxa"/>
            <w:tcBorders>
              <w:top w:val="single" w:sz="4" w:space="0" w:color="F2E3C7" w:themeColor="accent6"/>
              <w:bottom w:val="single" w:sz="4" w:space="0" w:color="F2E3C7" w:themeColor="accent6"/>
            </w:tcBorders>
          </w:tcPr>
          <w:sdt>
            <w:sdtPr>
              <w:rPr>
                <w:rFonts w:eastAsia="MS Gothic"/>
              </w:rPr>
              <w:id w:val="776596733"/>
              <w14:checkbox>
                <w14:checked w14:val="1"/>
                <w14:checkedState w14:val="2612" w14:font="MS Gothic"/>
                <w14:uncheckedState w14:val="2610" w14:font="MS Gothic"/>
              </w14:checkbox>
            </w:sdtPr>
            <w:sdtEndPr/>
            <w:sdtContent>
              <w:p w14:paraId="31B3E55E" w14:textId="290C55FE" w:rsidR="00791A68" w:rsidRPr="00CC12B5" w:rsidRDefault="00791A68" w:rsidP="00CC12B5">
                <w:pPr>
                  <w:pStyle w:val="TableTextCentered"/>
                  <w:rPr>
                    <w:rFonts w:asciiTheme="minorHAnsi" w:eastAsia="MS Gothic" w:hAnsiTheme="minorHAnsi"/>
                  </w:rPr>
                </w:pPr>
                <w:r w:rsidRPr="00CC12B5">
                  <w:rPr>
                    <w:rFonts w:ascii="Segoe UI Symbol" w:eastAsia="MS Gothic" w:hAnsi="Segoe UI Symbol" w:cs="Segoe UI Symbol"/>
                  </w:rPr>
                  <w:t>☒</w:t>
                </w:r>
              </w:p>
            </w:sdtContent>
          </w:sdt>
        </w:tc>
        <w:sdt>
          <w:sdtPr>
            <w:id w:val="611249722"/>
            <w14:checkbox>
              <w14:checked w14:val="1"/>
              <w14:checkedState w14:val="2612" w14:font="MS Gothic"/>
              <w14:uncheckedState w14:val="2610" w14:font="MS Gothic"/>
            </w14:checkbox>
          </w:sdtPr>
          <w:sdtEndPr/>
          <w:sdtContent>
            <w:tc>
              <w:tcPr>
                <w:tcW w:w="1394" w:type="dxa"/>
                <w:tcBorders>
                  <w:top w:val="single" w:sz="4" w:space="0" w:color="F2E3C7" w:themeColor="accent6"/>
                  <w:bottom w:val="single" w:sz="4" w:space="0" w:color="F2E3C7" w:themeColor="accent6"/>
                </w:tcBorders>
              </w:tcPr>
              <w:p w14:paraId="5D7314FF" w14:textId="77777777" w:rsidR="00791A68" w:rsidRPr="006162DC" w:rsidRDefault="00791A68" w:rsidP="00CC12B5">
                <w:pPr>
                  <w:pStyle w:val="TableTextCentered"/>
                  <w:rPr>
                    <w:rFonts w:asciiTheme="minorHAnsi" w:hAnsiTheme="minorHAnsi"/>
                  </w:rPr>
                </w:pPr>
                <w:r w:rsidRPr="00453FF0">
                  <w:rPr>
                    <w:rFonts w:ascii="Segoe UI Symbol" w:eastAsia="MS Gothic" w:hAnsi="Segoe UI Symbol" w:cs="Segoe UI Symbol"/>
                  </w:rPr>
                  <w:t>☒</w:t>
                </w:r>
              </w:p>
            </w:tc>
          </w:sdtContent>
        </w:sdt>
      </w:tr>
      <w:tr w:rsidR="00791A68" w:rsidRPr="007904CA" w14:paraId="45C37C8D" w14:textId="77777777" w:rsidTr="00EC59F5">
        <w:tc>
          <w:tcPr>
            <w:tcW w:w="709" w:type="dxa"/>
            <w:tcBorders>
              <w:top w:val="single" w:sz="4" w:space="0" w:color="F2E3C7" w:themeColor="accent6"/>
              <w:bottom w:val="single" w:sz="4" w:space="0" w:color="F2E3C7" w:themeColor="accent6"/>
              <w:right w:val="single" w:sz="8" w:space="0" w:color="FFFFFF" w:themeColor="background1"/>
            </w:tcBorders>
          </w:tcPr>
          <w:p w14:paraId="56550E03" w14:textId="77777777" w:rsidR="00791A68" w:rsidRPr="000643F0" w:rsidRDefault="00791A68" w:rsidP="000643F0">
            <w:pPr>
              <w:pStyle w:val="TableTextLeft"/>
              <w:rPr>
                <w:rStyle w:val="Strong"/>
              </w:rPr>
            </w:pPr>
            <w:r w:rsidRPr="000643F0">
              <w:rPr>
                <w:rStyle w:val="Strong"/>
              </w:rPr>
              <w:t>SA</w:t>
            </w:r>
          </w:p>
        </w:tc>
        <w:sdt>
          <w:sdtPr>
            <w:id w:val="-1803379280"/>
            <w14:checkbox>
              <w14:checked w14:val="1"/>
              <w14:checkedState w14:val="2612" w14:font="MS Gothic"/>
              <w14:uncheckedState w14:val="2610" w14:font="MS Gothic"/>
            </w14:checkbox>
          </w:sdtPr>
          <w:sdtEndPr/>
          <w:sdtContent>
            <w:tc>
              <w:tcPr>
                <w:tcW w:w="1393" w:type="dxa"/>
                <w:tcBorders>
                  <w:top w:val="single" w:sz="4" w:space="0" w:color="F2E3C7" w:themeColor="accent6"/>
                  <w:left w:val="single" w:sz="8" w:space="0" w:color="FFFFFF" w:themeColor="background1"/>
                  <w:bottom w:val="single" w:sz="4" w:space="0" w:color="F2E3C7" w:themeColor="accent6"/>
                </w:tcBorders>
              </w:tcPr>
              <w:p w14:paraId="1807681A" w14:textId="77777777" w:rsidR="00791A68" w:rsidRPr="006162DC" w:rsidRDefault="00791A68" w:rsidP="00CC12B5">
                <w:pPr>
                  <w:pStyle w:val="TableTextCentered"/>
                  <w:rPr>
                    <w:rFonts w:asciiTheme="minorHAnsi" w:hAnsiTheme="minorHAnsi"/>
                  </w:rPr>
                </w:pPr>
                <w:r w:rsidRPr="00453FF0">
                  <w:rPr>
                    <w:rFonts w:ascii="Segoe UI Symbol" w:eastAsia="MS Gothic" w:hAnsi="Segoe UI Symbol" w:cs="Segoe UI Symbol"/>
                  </w:rPr>
                  <w:t>☒</w:t>
                </w:r>
              </w:p>
            </w:tc>
          </w:sdtContent>
        </w:sdt>
        <w:sdt>
          <w:sdtPr>
            <w:id w:val="-847171549"/>
            <w14:checkbox>
              <w14:checked w14:val="0"/>
              <w14:checkedState w14:val="2612" w14:font="MS Gothic"/>
              <w14:uncheckedState w14:val="2610" w14:font="MS Gothic"/>
            </w14:checkbox>
          </w:sdtPr>
          <w:sdtEndPr/>
          <w:sdtContent>
            <w:tc>
              <w:tcPr>
                <w:tcW w:w="1394" w:type="dxa"/>
                <w:tcBorders>
                  <w:top w:val="single" w:sz="4" w:space="0" w:color="F2E3C7" w:themeColor="accent6"/>
                  <w:bottom w:val="single" w:sz="4" w:space="0" w:color="F2E3C7" w:themeColor="accent6"/>
                </w:tcBorders>
              </w:tcPr>
              <w:p w14:paraId="6F316D35" w14:textId="77777777" w:rsidR="00791A68" w:rsidRPr="006162DC" w:rsidRDefault="00791A68" w:rsidP="00CC12B5">
                <w:pPr>
                  <w:pStyle w:val="TableTextCentered"/>
                  <w:rPr>
                    <w:rFonts w:asciiTheme="minorHAnsi" w:hAnsiTheme="minorHAnsi"/>
                  </w:rPr>
                </w:pPr>
                <w:r w:rsidRPr="00453FF0">
                  <w:rPr>
                    <w:rFonts w:ascii="Segoe UI Symbol" w:eastAsia="MS Gothic" w:hAnsi="Segoe UI Symbol" w:cs="Segoe UI Symbol"/>
                  </w:rPr>
                  <w:t>☐</w:t>
                </w:r>
              </w:p>
            </w:tc>
          </w:sdtContent>
        </w:sdt>
        <w:sdt>
          <w:sdtPr>
            <w:id w:val="42109785"/>
            <w14:checkbox>
              <w14:checked w14:val="0"/>
              <w14:checkedState w14:val="2612" w14:font="MS Gothic"/>
              <w14:uncheckedState w14:val="2610" w14:font="MS Gothic"/>
            </w14:checkbox>
          </w:sdtPr>
          <w:sdtEndPr/>
          <w:sdtContent>
            <w:tc>
              <w:tcPr>
                <w:tcW w:w="1393" w:type="dxa"/>
                <w:tcBorders>
                  <w:top w:val="single" w:sz="4" w:space="0" w:color="F2E3C7" w:themeColor="accent6"/>
                  <w:bottom w:val="single" w:sz="4" w:space="0" w:color="F2E3C7" w:themeColor="accent6"/>
                  <w:right w:val="single" w:sz="8" w:space="0" w:color="FFFFFF" w:themeColor="background1"/>
                </w:tcBorders>
              </w:tcPr>
              <w:p w14:paraId="56377A32" w14:textId="77777777" w:rsidR="00791A68" w:rsidRPr="006162DC" w:rsidRDefault="00791A68" w:rsidP="00CC12B5">
                <w:pPr>
                  <w:pStyle w:val="TableTextCentered"/>
                  <w:rPr>
                    <w:rFonts w:asciiTheme="minorHAnsi" w:hAnsiTheme="minorHAnsi"/>
                  </w:rPr>
                </w:pPr>
                <w:r w:rsidRPr="00453FF0">
                  <w:rPr>
                    <w:rFonts w:ascii="Segoe UI Symbol" w:eastAsia="MS Gothic" w:hAnsi="Segoe UI Symbol" w:cs="Segoe UI Symbol"/>
                  </w:rPr>
                  <w:t>☐</w:t>
                </w:r>
              </w:p>
            </w:tc>
          </w:sdtContent>
        </w:sdt>
        <w:sdt>
          <w:sdtPr>
            <w:id w:val="992841067"/>
            <w14:checkbox>
              <w14:checked w14:val="1"/>
              <w14:checkedState w14:val="2612" w14:font="MS Gothic"/>
              <w14:uncheckedState w14:val="2610" w14:font="MS Gothic"/>
            </w14:checkbox>
          </w:sdtPr>
          <w:sdtEndPr/>
          <w:sdtContent>
            <w:tc>
              <w:tcPr>
                <w:tcW w:w="1394" w:type="dxa"/>
                <w:tcBorders>
                  <w:top w:val="single" w:sz="4" w:space="0" w:color="F2E3C7" w:themeColor="accent6"/>
                  <w:left w:val="single" w:sz="8" w:space="0" w:color="FFFFFF" w:themeColor="background1"/>
                  <w:bottom w:val="single" w:sz="4" w:space="0" w:color="F2E3C7" w:themeColor="accent6"/>
                </w:tcBorders>
              </w:tcPr>
              <w:p w14:paraId="2957B864" w14:textId="77777777" w:rsidR="00791A68" w:rsidRPr="006162DC" w:rsidRDefault="00791A68" w:rsidP="00CC12B5">
                <w:pPr>
                  <w:pStyle w:val="TableTextCentered"/>
                  <w:rPr>
                    <w:rFonts w:asciiTheme="minorHAnsi" w:hAnsiTheme="minorHAnsi"/>
                  </w:rPr>
                </w:pPr>
                <w:r w:rsidRPr="00453FF0">
                  <w:rPr>
                    <w:rFonts w:ascii="Segoe UI Symbol" w:eastAsia="MS Gothic" w:hAnsi="Segoe UI Symbol" w:cs="Segoe UI Symbol"/>
                  </w:rPr>
                  <w:t>☒</w:t>
                </w:r>
              </w:p>
            </w:tc>
          </w:sdtContent>
        </w:sdt>
        <w:sdt>
          <w:sdtPr>
            <w:id w:val="-1920314526"/>
            <w14:checkbox>
              <w14:checked w14:val="1"/>
              <w14:checkedState w14:val="2612" w14:font="MS Gothic"/>
              <w14:uncheckedState w14:val="2610" w14:font="MS Gothic"/>
            </w14:checkbox>
          </w:sdtPr>
          <w:sdtEndPr/>
          <w:sdtContent>
            <w:tc>
              <w:tcPr>
                <w:tcW w:w="1393" w:type="dxa"/>
                <w:tcBorders>
                  <w:top w:val="single" w:sz="4" w:space="0" w:color="F2E3C7" w:themeColor="accent6"/>
                  <w:bottom w:val="single" w:sz="4" w:space="0" w:color="F2E3C7" w:themeColor="accent6"/>
                </w:tcBorders>
              </w:tcPr>
              <w:p w14:paraId="2549A135" w14:textId="77777777" w:rsidR="00791A68" w:rsidRPr="006162DC" w:rsidRDefault="00791A68" w:rsidP="00CC12B5">
                <w:pPr>
                  <w:pStyle w:val="TableTextCentered"/>
                  <w:rPr>
                    <w:rFonts w:asciiTheme="minorHAnsi" w:hAnsiTheme="minorHAnsi"/>
                  </w:rPr>
                </w:pPr>
                <w:r w:rsidRPr="00453FF0">
                  <w:rPr>
                    <w:rFonts w:ascii="Segoe UI Symbol" w:eastAsia="MS Gothic" w:hAnsi="Segoe UI Symbol" w:cs="Segoe UI Symbol"/>
                  </w:rPr>
                  <w:t>☒</w:t>
                </w:r>
              </w:p>
            </w:tc>
          </w:sdtContent>
        </w:sdt>
        <w:sdt>
          <w:sdtPr>
            <w:id w:val="901332737"/>
            <w14:checkbox>
              <w14:checked w14:val="1"/>
              <w14:checkedState w14:val="2612" w14:font="MS Gothic"/>
              <w14:uncheckedState w14:val="2610" w14:font="MS Gothic"/>
            </w14:checkbox>
          </w:sdtPr>
          <w:sdtEndPr/>
          <w:sdtContent>
            <w:tc>
              <w:tcPr>
                <w:tcW w:w="1394" w:type="dxa"/>
                <w:tcBorders>
                  <w:top w:val="single" w:sz="4" w:space="0" w:color="F2E3C7" w:themeColor="accent6"/>
                  <w:bottom w:val="single" w:sz="4" w:space="0" w:color="F2E3C7" w:themeColor="accent6"/>
                </w:tcBorders>
              </w:tcPr>
              <w:p w14:paraId="14BA2FAB" w14:textId="77777777" w:rsidR="00791A68" w:rsidRPr="006162DC" w:rsidRDefault="00791A68" w:rsidP="00CC12B5">
                <w:pPr>
                  <w:pStyle w:val="TableTextCentered"/>
                  <w:rPr>
                    <w:rFonts w:asciiTheme="minorHAnsi" w:hAnsiTheme="minorHAnsi"/>
                  </w:rPr>
                </w:pPr>
                <w:r w:rsidRPr="00453FF0">
                  <w:rPr>
                    <w:rFonts w:ascii="Segoe UI Symbol" w:eastAsia="MS Gothic" w:hAnsi="Segoe UI Symbol" w:cs="Segoe UI Symbol"/>
                  </w:rPr>
                  <w:t>☒</w:t>
                </w:r>
              </w:p>
            </w:tc>
          </w:sdtContent>
        </w:sdt>
      </w:tr>
      <w:tr w:rsidR="00791A68" w:rsidRPr="007904CA" w14:paraId="51CFEB39" w14:textId="77777777" w:rsidTr="00EC59F5">
        <w:tc>
          <w:tcPr>
            <w:tcW w:w="709" w:type="dxa"/>
            <w:tcBorders>
              <w:top w:val="single" w:sz="4" w:space="0" w:color="F2E3C7" w:themeColor="accent6"/>
              <w:bottom w:val="single" w:sz="4" w:space="0" w:color="F2E3C7" w:themeColor="accent6"/>
              <w:right w:val="single" w:sz="8" w:space="0" w:color="FFFFFF" w:themeColor="background1"/>
            </w:tcBorders>
          </w:tcPr>
          <w:p w14:paraId="778E075C" w14:textId="6CFA695B" w:rsidR="00791A68" w:rsidRPr="000643F0" w:rsidRDefault="00791A68" w:rsidP="000643F0">
            <w:pPr>
              <w:pStyle w:val="TableTextLeft"/>
              <w:rPr>
                <w:rStyle w:val="Strong"/>
              </w:rPr>
            </w:pPr>
            <w:r w:rsidRPr="000643F0">
              <w:rPr>
                <w:rStyle w:val="Strong"/>
              </w:rPr>
              <w:t>T</w:t>
            </w:r>
            <w:r w:rsidR="00243BEC" w:rsidRPr="000643F0">
              <w:rPr>
                <w:rStyle w:val="Strong"/>
              </w:rPr>
              <w:t>as</w:t>
            </w:r>
          </w:p>
        </w:tc>
        <w:sdt>
          <w:sdtPr>
            <w:id w:val="1636063180"/>
            <w14:checkbox>
              <w14:checked w14:val="0"/>
              <w14:checkedState w14:val="2612" w14:font="MS Gothic"/>
              <w14:uncheckedState w14:val="2610" w14:font="MS Gothic"/>
            </w14:checkbox>
          </w:sdtPr>
          <w:sdtEndPr/>
          <w:sdtContent>
            <w:tc>
              <w:tcPr>
                <w:tcW w:w="1393" w:type="dxa"/>
                <w:tcBorders>
                  <w:top w:val="single" w:sz="4" w:space="0" w:color="F2E3C7" w:themeColor="accent6"/>
                  <w:left w:val="single" w:sz="8" w:space="0" w:color="FFFFFF" w:themeColor="background1"/>
                  <w:bottom w:val="single" w:sz="4" w:space="0" w:color="F2E3C7" w:themeColor="accent6"/>
                </w:tcBorders>
              </w:tcPr>
              <w:p w14:paraId="1EBD41F8" w14:textId="77777777" w:rsidR="00791A68" w:rsidRPr="006162DC" w:rsidRDefault="00791A68" w:rsidP="00CC12B5">
                <w:pPr>
                  <w:pStyle w:val="TableTextCentered"/>
                  <w:rPr>
                    <w:rFonts w:asciiTheme="minorHAnsi" w:hAnsiTheme="minorHAnsi"/>
                  </w:rPr>
                </w:pPr>
                <w:r w:rsidRPr="00453FF0">
                  <w:rPr>
                    <w:rFonts w:ascii="Segoe UI Symbol" w:eastAsia="MS Gothic" w:hAnsi="Segoe UI Symbol" w:cs="Segoe UI Symbol"/>
                  </w:rPr>
                  <w:t>☐</w:t>
                </w:r>
              </w:p>
            </w:tc>
          </w:sdtContent>
        </w:sdt>
        <w:sdt>
          <w:sdtPr>
            <w:id w:val="-2031096252"/>
            <w14:checkbox>
              <w14:checked w14:val="0"/>
              <w14:checkedState w14:val="2612" w14:font="MS Gothic"/>
              <w14:uncheckedState w14:val="2610" w14:font="MS Gothic"/>
            </w14:checkbox>
          </w:sdtPr>
          <w:sdtEndPr/>
          <w:sdtContent>
            <w:tc>
              <w:tcPr>
                <w:tcW w:w="1394" w:type="dxa"/>
                <w:tcBorders>
                  <w:top w:val="single" w:sz="4" w:space="0" w:color="F2E3C7" w:themeColor="accent6"/>
                  <w:bottom w:val="single" w:sz="4" w:space="0" w:color="F2E3C7" w:themeColor="accent6"/>
                </w:tcBorders>
              </w:tcPr>
              <w:p w14:paraId="5D989026" w14:textId="77777777" w:rsidR="00791A68" w:rsidRPr="006162DC" w:rsidRDefault="00791A68" w:rsidP="00CC12B5">
                <w:pPr>
                  <w:pStyle w:val="TableTextCentered"/>
                  <w:rPr>
                    <w:rFonts w:asciiTheme="minorHAnsi" w:hAnsiTheme="minorHAnsi"/>
                  </w:rPr>
                </w:pPr>
                <w:r w:rsidRPr="00453FF0">
                  <w:rPr>
                    <w:rFonts w:ascii="Segoe UI Symbol" w:eastAsia="MS Gothic" w:hAnsi="Segoe UI Symbol" w:cs="Segoe UI Symbol"/>
                  </w:rPr>
                  <w:t>☐</w:t>
                </w:r>
              </w:p>
            </w:tc>
          </w:sdtContent>
        </w:sdt>
        <w:sdt>
          <w:sdtPr>
            <w:id w:val="322622366"/>
            <w14:checkbox>
              <w14:checked w14:val="1"/>
              <w14:checkedState w14:val="2612" w14:font="MS Gothic"/>
              <w14:uncheckedState w14:val="2610" w14:font="MS Gothic"/>
            </w14:checkbox>
          </w:sdtPr>
          <w:sdtEndPr/>
          <w:sdtContent>
            <w:tc>
              <w:tcPr>
                <w:tcW w:w="1393" w:type="dxa"/>
                <w:tcBorders>
                  <w:top w:val="single" w:sz="4" w:space="0" w:color="F2E3C7" w:themeColor="accent6"/>
                  <w:bottom w:val="single" w:sz="4" w:space="0" w:color="F2E3C7" w:themeColor="accent6"/>
                  <w:right w:val="single" w:sz="8" w:space="0" w:color="FFFFFF" w:themeColor="background1"/>
                </w:tcBorders>
              </w:tcPr>
              <w:p w14:paraId="40DEDF77" w14:textId="77777777" w:rsidR="00791A68" w:rsidRPr="006162DC" w:rsidRDefault="00791A68" w:rsidP="00CC12B5">
                <w:pPr>
                  <w:pStyle w:val="TableTextCentered"/>
                  <w:rPr>
                    <w:rFonts w:asciiTheme="minorHAnsi" w:hAnsiTheme="minorHAnsi"/>
                  </w:rPr>
                </w:pPr>
                <w:r w:rsidRPr="00453FF0">
                  <w:rPr>
                    <w:rFonts w:ascii="Segoe UI Symbol" w:eastAsia="MS Gothic" w:hAnsi="Segoe UI Symbol" w:cs="Segoe UI Symbol"/>
                  </w:rPr>
                  <w:t>☒</w:t>
                </w:r>
              </w:p>
            </w:tc>
          </w:sdtContent>
        </w:sdt>
        <w:sdt>
          <w:sdtPr>
            <w:id w:val="-1382783118"/>
            <w14:checkbox>
              <w14:checked w14:val="1"/>
              <w14:checkedState w14:val="2612" w14:font="MS Gothic"/>
              <w14:uncheckedState w14:val="2610" w14:font="MS Gothic"/>
            </w14:checkbox>
          </w:sdtPr>
          <w:sdtEndPr/>
          <w:sdtContent>
            <w:tc>
              <w:tcPr>
                <w:tcW w:w="1394" w:type="dxa"/>
                <w:tcBorders>
                  <w:top w:val="single" w:sz="4" w:space="0" w:color="F2E3C7" w:themeColor="accent6"/>
                  <w:left w:val="single" w:sz="8" w:space="0" w:color="FFFFFF" w:themeColor="background1"/>
                  <w:bottom w:val="single" w:sz="4" w:space="0" w:color="F2E3C7" w:themeColor="accent6"/>
                </w:tcBorders>
              </w:tcPr>
              <w:p w14:paraId="412FB405" w14:textId="77777777" w:rsidR="00791A68" w:rsidRPr="006162DC" w:rsidRDefault="00791A68" w:rsidP="00CC12B5">
                <w:pPr>
                  <w:pStyle w:val="TableTextCentered"/>
                  <w:rPr>
                    <w:rFonts w:asciiTheme="minorHAnsi" w:hAnsiTheme="minorHAnsi"/>
                  </w:rPr>
                </w:pPr>
                <w:r w:rsidRPr="00453FF0">
                  <w:rPr>
                    <w:rFonts w:ascii="Segoe UI Symbol" w:eastAsia="MS Gothic" w:hAnsi="Segoe UI Symbol" w:cs="Segoe UI Symbol"/>
                  </w:rPr>
                  <w:t>☒</w:t>
                </w:r>
              </w:p>
            </w:tc>
          </w:sdtContent>
        </w:sdt>
        <w:sdt>
          <w:sdtPr>
            <w:id w:val="-832523227"/>
            <w14:checkbox>
              <w14:checked w14:val="1"/>
              <w14:checkedState w14:val="2612" w14:font="MS Gothic"/>
              <w14:uncheckedState w14:val="2610" w14:font="MS Gothic"/>
            </w14:checkbox>
          </w:sdtPr>
          <w:sdtEndPr/>
          <w:sdtContent>
            <w:tc>
              <w:tcPr>
                <w:tcW w:w="1393" w:type="dxa"/>
                <w:tcBorders>
                  <w:top w:val="single" w:sz="4" w:space="0" w:color="F2E3C7" w:themeColor="accent6"/>
                  <w:bottom w:val="single" w:sz="4" w:space="0" w:color="F2E3C7" w:themeColor="accent6"/>
                </w:tcBorders>
              </w:tcPr>
              <w:p w14:paraId="5E19EAD9" w14:textId="77777777" w:rsidR="00791A68" w:rsidRPr="006162DC" w:rsidRDefault="00791A68" w:rsidP="00CC12B5">
                <w:pPr>
                  <w:pStyle w:val="TableTextCentered"/>
                  <w:rPr>
                    <w:rFonts w:asciiTheme="minorHAnsi" w:hAnsiTheme="minorHAnsi"/>
                  </w:rPr>
                </w:pPr>
                <w:r w:rsidRPr="00453FF0">
                  <w:rPr>
                    <w:rFonts w:ascii="Segoe UI Symbol" w:eastAsia="MS Gothic" w:hAnsi="Segoe UI Symbol" w:cs="Segoe UI Symbol"/>
                  </w:rPr>
                  <w:t>☒</w:t>
                </w:r>
              </w:p>
            </w:tc>
          </w:sdtContent>
        </w:sdt>
        <w:sdt>
          <w:sdtPr>
            <w:id w:val="1263345364"/>
            <w14:checkbox>
              <w14:checked w14:val="1"/>
              <w14:checkedState w14:val="2612" w14:font="MS Gothic"/>
              <w14:uncheckedState w14:val="2610" w14:font="MS Gothic"/>
            </w14:checkbox>
          </w:sdtPr>
          <w:sdtEndPr/>
          <w:sdtContent>
            <w:tc>
              <w:tcPr>
                <w:tcW w:w="1394" w:type="dxa"/>
                <w:tcBorders>
                  <w:top w:val="single" w:sz="4" w:space="0" w:color="F2E3C7" w:themeColor="accent6"/>
                  <w:bottom w:val="single" w:sz="4" w:space="0" w:color="F2E3C7" w:themeColor="accent6"/>
                </w:tcBorders>
              </w:tcPr>
              <w:p w14:paraId="2353682A" w14:textId="77777777" w:rsidR="00791A68" w:rsidRPr="006162DC" w:rsidRDefault="00791A68" w:rsidP="00CC12B5">
                <w:pPr>
                  <w:pStyle w:val="TableTextCentered"/>
                  <w:rPr>
                    <w:rFonts w:asciiTheme="minorHAnsi" w:hAnsiTheme="minorHAnsi"/>
                  </w:rPr>
                </w:pPr>
                <w:r w:rsidRPr="00453FF0">
                  <w:rPr>
                    <w:rFonts w:ascii="Segoe UI Symbol" w:eastAsia="MS Gothic" w:hAnsi="Segoe UI Symbol" w:cs="Segoe UI Symbol"/>
                  </w:rPr>
                  <w:t>☒</w:t>
                </w:r>
              </w:p>
            </w:tc>
          </w:sdtContent>
        </w:sdt>
      </w:tr>
      <w:tr w:rsidR="00791A68" w:rsidRPr="007904CA" w14:paraId="53C0F217" w14:textId="77777777" w:rsidTr="00EC59F5">
        <w:trPr>
          <w:trHeight w:val="80"/>
        </w:trPr>
        <w:tc>
          <w:tcPr>
            <w:tcW w:w="709" w:type="dxa"/>
            <w:tcBorders>
              <w:top w:val="single" w:sz="4" w:space="0" w:color="F2E3C7" w:themeColor="accent6"/>
              <w:bottom w:val="single" w:sz="4" w:space="0" w:color="F2E3C7" w:themeColor="accent6"/>
              <w:right w:val="single" w:sz="8" w:space="0" w:color="FFFFFF" w:themeColor="background1"/>
            </w:tcBorders>
          </w:tcPr>
          <w:p w14:paraId="307FCCFD" w14:textId="77777777" w:rsidR="00791A68" w:rsidRPr="000643F0" w:rsidRDefault="00791A68" w:rsidP="000643F0">
            <w:pPr>
              <w:pStyle w:val="TableTextLeft"/>
              <w:rPr>
                <w:rStyle w:val="Strong"/>
              </w:rPr>
            </w:pPr>
            <w:r w:rsidRPr="000643F0">
              <w:rPr>
                <w:rStyle w:val="Strong"/>
              </w:rPr>
              <w:t>WA</w:t>
            </w:r>
          </w:p>
        </w:tc>
        <w:sdt>
          <w:sdtPr>
            <w:id w:val="174548064"/>
            <w14:checkbox>
              <w14:checked w14:val="0"/>
              <w14:checkedState w14:val="2612" w14:font="MS Gothic"/>
              <w14:uncheckedState w14:val="2610" w14:font="MS Gothic"/>
            </w14:checkbox>
          </w:sdtPr>
          <w:sdtEndPr/>
          <w:sdtContent>
            <w:tc>
              <w:tcPr>
                <w:tcW w:w="1393" w:type="dxa"/>
                <w:tcBorders>
                  <w:top w:val="single" w:sz="4" w:space="0" w:color="F2E3C7" w:themeColor="accent6"/>
                  <w:left w:val="single" w:sz="8" w:space="0" w:color="FFFFFF" w:themeColor="background1"/>
                  <w:bottom w:val="single" w:sz="4" w:space="0" w:color="F2E3C7" w:themeColor="accent6"/>
                </w:tcBorders>
              </w:tcPr>
              <w:p w14:paraId="31E7D33D" w14:textId="77777777" w:rsidR="00791A68" w:rsidRPr="006162DC" w:rsidRDefault="00791A68" w:rsidP="00CC12B5">
                <w:pPr>
                  <w:pStyle w:val="TableTextCentered"/>
                  <w:rPr>
                    <w:rFonts w:asciiTheme="minorHAnsi" w:hAnsiTheme="minorHAnsi"/>
                  </w:rPr>
                </w:pPr>
                <w:r w:rsidRPr="00453FF0">
                  <w:rPr>
                    <w:rFonts w:ascii="Segoe UI Symbol" w:eastAsia="MS Gothic" w:hAnsi="Segoe UI Symbol" w:cs="Segoe UI Symbol"/>
                  </w:rPr>
                  <w:t>☐</w:t>
                </w:r>
              </w:p>
            </w:tc>
          </w:sdtContent>
        </w:sdt>
        <w:sdt>
          <w:sdtPr>
            <w:id w:val="409972932"/>
            <w14:checkbox>
              <w14:checked w14:val="0"/>
              <w14:checkedState w14:val="2612" w14:font="MS Gothic"/>
              <w14:uncheckedState w14:val="2610" w14:font="MS Gothic"/>
            </w14:checkbox>
          </w:sdtPr>
          <w:sdtEndPr/>
          <w:sdtContent>
            <w:tc>
              <w:tcPr>
                <w:tcW w:w="1394" w:type="dxa"/>
                <w:tcBorders>
                  <w:top w:val="single" w:sz="4" w:space="0" w:color="F2E3C7" w:themeColor="accent6"/>
                  <w:bottom w:val="single" w:sz="4" w:space="0" w:color="F2E3C7" w:themeColor="accent6"/>
                </w:tcBorders>
              </w:tcPr>
              <w:p w14:paraId="259F9005" w14:textId="77777777" w:rsidR="00791A68" w:rsidRPr="006162DC" w:rsidRDefault="00791A68" w:rsidP="00CC12B5">
                <w:pPr>
                  <w:pStyle w:val="TableTextCentered"/>
                  <w:rPr>
                    <w:rFonts w:asciiTheme="minorHAnsi" w:hAnsiTheme="minorHAnsi"/>
                  </w:rPr>
                </w:pPr>
                <w:r w:rsidRPr="00453FF0">
                  <w:rPr>
                    <w:rFonts w:ascii="Segoe UI Symbol" w:eastAsia="MS Gothic" w:hAnsi="Segoe UI Symbol" w:cs="Segoe UI Symbol"/>
                  </w:rPr>
                  <w:t>☐</w:t>
                </w:r>
              </w:p>
            </w:tc>
          </w:sdtContent>
        </w:sdt>
        <w:sdt>
          <w:sdtPr>
            <w:id w:val="-1529013788"/>
            <w14:checkbox>
              <w14:checked w14:val="1"/>
              <w14:checkedState w14:val="2612" w14:font="MS Gothic"/>
              <w14:uncheckedState w14:val="2610" w14:font="MS Gothic"/>
            </w14:checkbox>
          </w:sdtPr>
          <w:sdtEndPr/>
          <w:sdtContent>
            <w:tc>
              <w:tcPr>
                <w:tcW w:w="1393" w:type="dxa"/>
                <w:tcBorders>
                  <w:top w:val="single" w:sz="4" w:space="0" w:color="F2E3C7" w:themeColor="accent6"/>
                  <w:bottom w:val="single" w:sz="4" w:space="0" w:color="F2E3C7" w:themeColor="accent6"/>
                  <w:right w:val="single" w:sz="8" w:space="0" w:color="FFFFFF" w:themeColor="background1"/>
                </w:tcBorders>
              </w:tcPr>
              <w:p w14:paraId="7564E6E1" w14:textId="77777777" w:rsidR="00791A68" w:rsidRPr="006162DC" w:rsidRDefault="00791A68" w:rsidP="00CC12B5">
                <w:pPr>
                  <w:pStyle w:val="TableTextCentered"/>
                  <w:rPr>
                    <w:rFonts w:asciiTheme="minorHAnsi" w:hAnsiTheme="minorHAnsi"/>
                  </w:rPr>
                </w:pPr>
                <w:r w:rsidRPr="00453FF0">
                  <w:rPr>
                    <w:rFonts w:ascii="Segoe UI Symbol" w:eastAsia="MS Gothic" w:hAnsi="Segoe UI Symbol" w:cs="Segoe UI Symbol"/>
                  </w:rPr>
                  <w:t>☒</w:t>
                </w:r>
              </w:p>
            </w:tc>
          </w:sdtContent>
        </w:sdt>
        <w:sdt>
          <w:sdtPr>
            <w:id w:val="-1716492396"/>
            <w14:checkbox>
              <w14:checked w14:val="1"/>
              <w14:checkedState w14:val="2612" w14:font="MS Gothic"/>
              <w14:uncheckedState w14:val="2610" w14:font="MS Gothic"/>
            </w14:checkbox>
          </w:sdtPr>
          <w:sdtEndPr/>
          <w:sdtContent>
            <w:tc>
              <w:tcPr>
                <w:tcW w:w="1394" w:type="dxa"/>
                <w:tcBorders>
                  <w:top w:val="single" w:sz="4" w:space="0" w:color="F2E3C7" w:themeColor="accent6"/>
                  <w:left w:val="single" w:sz="8" w:space="0" w:color="FFFFFF" w:themeColor="background1"/>
                  <w:bottom w:val="single" w:sz="4" w:space="0" w:color="F2E3C7" w:themeColor="accent6"/>
                </w:tcBorders>
              </w:tcPr>
              <w:p w14:paraId="3AFA487D" w14:textId="77777777" w:rsidR="00791A68" w:rsidRPr="004466CA" w:rsidRDefault="00791A68" w:rsidP="00CC12B5">
                <w:pPr>
                  <w:pStyle w:val="TableTextCentered"/>
                  <w:rPr>
                    <w:rFonts w:asciiTheme="minorHAnsi" w:hAnsiTheme="minorHAnsi"/>
                  </w:rPr>
                </w:pPr>
                <w:r w:rsidRPr="004466CA">
                  <w:rPr>
                    <w:rFonts w:eastAsia="MS Gothic" w:cs="Segoe UI Symbol" w:hint="eastAsia"/>
                  </w:rPr>
                  <w:t>☒</w:t>
                </w:r>
              </w:p>
            </w:tc>
          </w:sdtContent>
        </w:sdt>
        <w:sdt>
          <w:sdtPr>
            <w:id w:val="-508378520"/>
            <w14:checkbox>
              <w14:checked w14:val="1"/>
              <w14:checkedState w14:val="2612" w14:font="MS Gothic"/>
              <w14:uncheckedState w14:val="2610" w14:font="MS Gothic"/>
            </w14:checkbox>
          </w:sdtPr>
          <w:sdtEndPr/>
          <w:sdtContent>
            <w:tc>
              <w:tcPr>
                <w:tcW w:w="1393" w:type="dxa"/>
                <w:tcBorders>
                  <w:top w:val="single" w:sz="4" w:space="0" w:color="F2E3C7" w:themeColor="accent6"/>
                  <w:bottom w:val="single" w:sz="4" w:space="0" w:color="F2E3C7" w:themeColor="accent6"/>
                </w:tcBorders>
              </w:tcPr>
              <w:p w14:paraId="2EBBBBE7" w14:textId="77777777" w:rsidR="00791A68" w:rsidRPr="006162DC" w:rsidRDefault="00791A68" w:rsidP="00CC12B5">
                <w:pPr>
                  <w:pStyle w:val="TableTextCentered"/>
                  <w:rPr>
                    <w:rFonts w:asciiTheme="minorHAnsi" w:hAnsiTheme="minorHAnsi"/>
                  </w:rPr>
                </w:pPr>
                <w:r w:rsidRPr="00453FF0">
                  <w:rPr>
                    <w:rFonts w:ascii="Segoe UI Symbol" w:eastAsia="MS Gothic" w:hAnsi="Segoe UI Symbol" w:cs="Segoe UI Symbol"/>
                  </w:rPr>
                  <w:t>☒</w:t>
                </w:r>
              </w:p>
            </w:tc>
          </w:sdtContent>
        </w:sdt>
        <w:sdt>
          <w:sdtPr>
            <w:id w:val="-2080130035"/>
            <w14:checkbox>
              <w14:checked w14:val="0"/>
              <w14:checkedState w14:val="2612" w14:font="MS Gothic"/>
              <w14:uncheckedState w14:val="2610" w14:font="MS Gothic"/>
            </w14:checkbox>
          </w:sdtPr>
          <w:sdtEndPr/>
          <w:sdtContent>
            <w:tc>
              <w:tcPr>
                <w:tcW w:w="1394" w:type="dxa"/>
                <w:tcBorders>
                  <w:top w:val="single" w:sz="4" w:space="0" w:color="F2E3C7" w:themeColor="accent6"/>
                  <w:bottom w:val="single" w:sz="4" w:space="0" w:color="F2E3C7" w:themeColor="accent6"/>
                </w:tcBorders>
              </w:tcPr>
              <w:p w14:paraId="7324543F" w14:textId="77777777" w:rsidR="00791A68" w:rsidRPr="004466CA" w:rsidRDefault="00791A68" w:rsidP="00CC12B5">
                <w:pPr>
                  <w:pStyle w:val="TableTextCentered"/>
                  <w:rPr>
                    <w:rFonts w:asciiTheme="minorHAnsi" w:hAnsiTheme="minorHAnsi"/>
                  </w:rPr>
                </w:pPr>
                <w:r w:rsidRPr="004466CA">
                  <w:rPr>
                    <w:rFonts w:ascii="MS Gothic" w:eastAsia="MS Gothic" w:hAnsi="MS Gothic" w:hint="eastAsia"/>
                  </w:rPr>
                  <w:t>☐</w:t>
                </w:r>
              </w:p>
            </w:tc>
          </w:sdtContent>
        </w:sdt>
      </w:tr>
      <w:tr w:rsidR="00791A68" w:rsidRPr="007904CA" w14:paraId="52017ECA" w14:textId="77777777" w:rsidTr="00EC59F5">
        <w:trPr>
          <w:trHeight w:val="278"/>
        </w:trPr>
        <w:tc>
          <w:tcPr>
            <w:tcW w:w="709" w:type="dxa"/>
            <w:tcBorders>
              <w:top w:val="single" w:sz="4" w:space="0" w:color="F2E3C7" w:themeColor="accent6"/>
              <w:bottom w:val="single" w:sz="4" w:space="0" w:color="F2E3C7" w:themeColor="accent6"/>
              <w:right w:val="single" w:sz="8" w:space="0" w:color="FFFFFF" w:themeColor="background1"/>
            </w:tcBorders>
          </w:tcPr>
          <w:p w14:paraId="2C144A47" w14:textId="06AA944D" w:rsidR="00791A68" w:rsidRPr="000643F0" w:rsidRDefault="00791A68" w:rsidP="000643F0">
            <w:pPr>
              <w:pStyle w:val="TableTextLeft"/>
              <w:rPr>
                <w:rStyle w:val="Strong"/>
              </w:rPr>
            </w:pPr>
            <w:r w:rsidRPr="000643F0">
              <w:rPr>
                <w:rStyle w:val="Strong"/>
              </w:rPr>
              <w:t>V</w:t>
            </w:r>
            <w:r w:rsidR="00243BEC" w:rsidRPr="000643F0">
              <w:rPr>
                <w:rStyle w:val="Strong"/>
              </w:rPr>
              <w:t>i</w:t>
            </w:r>
            <w:r w:rsidR="002F0A4A" w:rsidRPr="000643F0">
              <w:rPr>
                <w:rStyle w:val="Strong"/>
              </w:rPr>
              <w:t>c</w:t>
            </w:r>
          </w:p>
        </w:tc>
        <w:sdt>
          <w:sdtPr>
            <w:id w:val="-1445762851"/>
            <w14:checkbox>
              <w14:checked w14:val="0"/>
              <w14:checkedState w14:val="2612" w14:font="MS Gothic"/>
              <w14:uncheckedState w14:val="2610" w14:font="MS Gothic"/>
            </w14:checkbox>
          </w:sdtPr>
          <w:sdtEndPr/>
          <w:sdtContent>
            <w:tc>
              <w:tcPr>
                <w:tcW w:w="1393" w:type="dxa"/>
                <w:tcBorders>
                  <w:top w:val="single" w:sz="4" w:space="0" w:color="F2E3C7" w:themeColor="accent6"/>
                  <w:left w:val="single" w:sz="8" w:space="0" w:color="FFFFFF" w:themeColor="background1"/>
                  <w:bottom w:val="single" w:sz="4" w:space="0" w:color="F2E3C7" w:themeColor="accent6"/>
                </w:tcBorders>
              </w:tcPr>
              <w:p w14:paraId="21724B2E" w14:textId="77777777" w:rsidR="00791A68" w:rsidRPr="006162DC" w:rsidRDefault="00791A68" w:rsidP="00CC12B5">
                <w:pPr>
                  <w:pStyle w:val="TableTextCentered"/>
                  <w:rPr>
                    <w:rFonts w:asciiTheme="minorHAnsi" w:hAnsiTheme="minorHAnsi"/>
                  </w:rPr>
                </w:pPr>
                <w:r w:rsidRPr="00453FF0">
                  <w:rPr>
                    <w:rFonts w:ascii="Segoe UI Symbol" w:eastAsia="MS Gothic" w:hAnsi="Segoe UI Symbol" w:cs="Segoe UI Symbol"/>
                  </w:rPr>
                  <w:t>☐</w:t>
                </w:r>
              </w:p>
            </w:tc>
          </w:sdtContent>
        </w:sdt>
        <w:sdt>
          <w:sdtPr>
            <w:id w:val="992223425"/>
            <w14:checkbox>
              <w14:checked w14:val="0"/>
              <w14:checkedState w14:val="2612" w14:font="MS Gothic"/>
              <w14:uncheckedState w14:val="2610" w14:font="MS Gothic"/>
            </w14:checkbox>
          </w:sdtPr>
          <w:sdtEndPr/>
          <w:sdtContent>
            <w:tc>
              <w:tcPr>
                <w:tcW w:w="1394" w:type="dxa"/>
                <w:tcBorders>
                  <w:top w:val="single" w:sz="4" w:space="0" w:color="F2E3C7" w:themeColor="accent6"/>
                  <w:bottom w:val="single" w:sz="4" w:space="0" w:color="F2E3C7" w:themeColor="accent6"/>
                </w:tcBorders>
              </w:tcPr>
              <w:p w14:paraId="38BADED5" w14:textId="77777777" w:rsidR="00791A68" w:rsidRPr="006162DC" w:rsidRDefault="00791A68" w:rsidP="00CC12B5">
                <w:pPr>
                  <w:pStyle w:val="TableTextCentered"/>
                  <w:rPr>
                    <w:rFonts w:asciiTheme="minorHAnsi" w:hAnsiTheme="minorHAnsi"/>
                  </w:rPr>
                </w:pPr>
                <w:r w:rsidRPr="00453FF0">
                  <w:rPr>
                    <w:rFonts w:ascii="Segoe UI Symbol" w:eastAsia="MS Gothic" w:hAnsi="Segoe UI Symbol" w:cs="Segoe UI Symbol"/>
                  </w:rPr>
                  <w:t>☐</w:t>
                </w:r>
              </w:p>
            </w:tc>
          </w:sdtContent>
        </w:sdt>
        <w:sdt>
          <w:sdtPr>
            <w:id w:val="-425956800"/>
            <w14:checkbox>
              <w14:checked w14:val="1"/>
              <w14:checkedState w14:val="2612" w14:font="MS Gothic"/>
              <w14:uncheckedState w14:val="2610" w14:font="MS Gothic"/>
            </w14:checkbox>
          </w:sdtPr>
          <w:sdtEndPr/>
          <w:sdtContent>
            <w:tc>
              <w:tcPr>
                <w:tcW w:w="1393" w:type="dxa"/>
                <w:tcBorders>
                  <w:top w:val="single" w:sz="4" w:space="0" w:color="F2E3C7" w:themeColor="accent6"/>
                  <w:bottom w:val="single" w:sz="4" w:space="0" w:color="F2E3C7" w:themeColor="accent6"/>
                  <w:right w:val="single" w:sz="8" w:space="0" w:color="FFFFFF" w:themeColor="background1"/>
                </w:tcBorders>
              </w:tcPr>
              <w:p w14:paraId="740350EA" w14:textId="77777777" w:rsidR="00791A68" w:rsidRPr="006162DC" w:rsidRDefault="00791A68" w:rsidP="00CC12B5">
                <w:pPr>
                  <w:pStyle w:val="TableTextCentered"/>
                  <w:rPr>
                    <w:rFonts w:asciiTheme="minorHAnsi" w:hAnsiTheme="minorHAnsi"/>
                  </w:rPr>
                </w:pPr>
                <w:r w:rsidRPr="00453FF0">
                  <w:rPr>
                    <w:rFonts w:ascii="Segoe UI Symbol" w:eastAsia="MS Gothic" w:hAnsi="Segoe UI Symbol" w:cs="Segoe UI Symbol"/>
                  </w:rPr>
                  <w:t>☒</w:t>
                </w:r>
              </w:p>
            </w:tc>
          </w:sdtContent>
        </w:sdt>
        <w:sdt>
          <w:sdtPr>
            <w:id w:val="1975796781"/>
            <w14:checkbox>
              <w14:checked w14:val="1"/>
              <w14:checkedState w14:val="2612" w14:font="MS Gothic"/>
              <w14:uncheckedState w14:val="2610" w14:font="MS Gothic"/>
            </w14:checkbox>
          </w:sdtPr>
          <w:sdtEndPr/>
          <w:sdtContent>
            <w:tc>
              <w:tcPr>
                <w:tcW w:w="1394" w:type="dxa"/>
                <w:tcBorders>
                  <w:top w:val="single" w:sz="4" w:space="0" w:color="F2E3C7" w:themeColor="accent6"/>
                  <w:left w:val="single" w:sz="8" w:space="0" w:color="FFFFFF" w:themeColor="background1"/>
                  <w:bottom w:val="single" w:sz="4" w:space="0" w:color="F2E3C7" w:themeColor="accent6"/>
                </w:tcBorders>
              </w:tcPr>
              <w:p w14:paraId="3E442269" w14:textId="77777777" w:rsidR="00791A68" w:rsidRPr="006162DC" w:rsidRDefault="00791A68" w:rsidP="00CC12B5">
                <w:pPr>
                  <w:pStyle w:val="TableTextCentered"/>
                  <w:rPr>
                    <w:rFonts w:asciiTheme="minorHAnsi" w:hAnsiTheme="minorHAnsi"/>
                  </w:rPr>
                </w:pPr>
                <w:r w:rsidRPr="00453FF0">
                  <w:rPr>
                    <w:rFonts w:ascii="Segoe UI Symbol" w:eastAsia="MS Gothic" w:hAnsi="Segoe UI Symbol" w:cs="Segoe UI Symbol"/>
                  </w:rPr>
                  <w:t>☒</w:t>
                </w:r>
              </w:p>
            </w:tc>
          </w:sdtContent>
        </w:sdt>
        <w:sdt>
          <w:sdtPr>
            <w:id w:val="-1002901617"/>
            <w14:checkbox>
              <w14:checked w14:val="1"/>
              <w14:checkedState w14:val="2612" w14:font="MS Gothic"/>
              <w14:uncheckedState w14:val="2610" w14:font="MS Gothic"/>
            </w14:checkbox>
          </w:sdtPr>
          <w:sdtEndPr/>
          <w:sdtContent>
            <w:tc>
              <w:tcPr>
                <w:tcW w:w="1393" w:type="dxa"/>
                <w:tcBorders>
                  <w:top w:val="single" w:sz="4" w:space="0" w:color="F2E3C7" w:themeColor="accent6"/>
                  <w:bottom w:val="single" w:sz="4" w:space="0" w:color="F2E3C7" w:themeColor="accent6"/>
                </w:tcBorders>
              </w:tcPr>
              <w:p w14:paraId="56E8E44B" w14:textId="77777777" w:rsidR="00791A68" w:rsidRPr="006162DC" w:rsidRDefault="00791A68" w:rsidP="00CC12B5">
                <w:pPr>
                  <w:pStyle w:val="TableTextCentered"/>
                  <w:rPr>
                    <w:rFonts w:asciiTheme="minorHAnsi" w:hAnsiTheme="minorHAnsi"/>
                  </w:rPr>
                </w:pPr>
                <w:r w:rsidRPr="00453FF0">
                  <w:rPr>
                    <w:rFonts w:ascii="Segoe UI Symbol" w:eastAsia="MS Gothic" w:hAnsi="Segoe UI Symbol" w:cs="Segoe UI Symbol"/>
                  </w:rPr>
                  <w:t>☒</w:t>
                </w:r>
              </w:p>
            </w:tc>
          </w:sdtContent>
        </w:sdt>
        <w:sdt>
          <w:sdtPr>
            <w:id w:val="-1567034303"/>
            <w14:checkbox>
              <w14:checked w14:val="1"/>
              <w14:checkedState w14:val="2612" w14:font="MS Gothic"/>
              <w14:uncheckedState w14:val="2610" w14:font="MS Gothic"/>
            </w14:checkbox>
          </w:sdtPr>
          <w:sdtEndPr/>
          <w:sdtContent>
            <w:tc>
              <w:tcPr>
                <w:tcW w:w="1394" w:type="dxa"/>
                <w:tcBorders>
                  <w:top w:val="single" w:sz="4" w:space="0" w:color="F2E3C7" w:themeColor="accent6"/>
                  <w:bottom w:val="single" w:sz="4" w:space="0" w:color="F2E3C7" w:themeColor="accent6"/>
                </w:tcBorders>
              </w:tcPr>
              <w:p w14:paraId="3F8AFC65" w14:textId="77777777" w:rsidR="00791A68" w:rsidRPr="006162DC" w:rsidRDefault="00791A68" w:rsidP="00CC12B5">
                <w:pPr>
                  <w:pStyle w:val="TableTextCentered"/>
                  <w:rPr>
                    <w:rFonts w:asciiTheme="minorHAnsi" w:hAnsiTheme="minorHAnsi"/>
                  </w:rPr>
                </w:pPr>
                <w:r w:rsidRPr="00453FF0">
                  <w:rPr>
                    <w:rFonts w:ascii="Segoe UI Symbol" w:eastAsia="MS Gothic" w:hAnsi="Segoe UI Symbol" w:cs="Segoe UI Symbol"/>
                  </w:rPr>
                  <w:t>☒</w:t>
                </w:r>
              </w:p>
            </w:tc>
          </w:sdtContent>
        </w:sdt>
      </w:tr>
    </w:tbl>
    <w:p w14:paraId="7B59E15F" w14:textId="01EA4832" w:rsidR="0099326B" w:rsidRDefault="0099326B" w:rsidP="00DB6DE6">
      <w:pPr>
        <w:pStyle w:val="ChartorTableNoteandSource"/>
      </w:pPr>
      <w:r>
        <w:t>*</w:t>
      </w:r>
      <w:r w:rsidR="00CC12B5">
        <w:tab/>
      </w:r>
      <w:r>
        <w:t>Affordable housing in Queensland may satisfy either an income</w:t>
      </w:r>
      <w:r w:rsidR="00A15C79">
        <w:noBreakHyphen/>
      </w:r>
      <w:r>
        <w:t>based rate (below 30 per cent of household income) or a discount</w:t>
      </w:r>
      <w:r w:rsidR="00A15C79">
        <w:noBreakHyphen/>
      </w:r>
      <w:r>
        <w:t>to</w:t>
      </w:r>
      <w:r w:rsidR="00A15C79">
        <w:noBreakHyphen/>
      </w:r>
      <w:r>
        <w:t>market rate (at least 25 per cent below the market rate), but does not require both.</w:t>
      </w:r>
    </w:p>
    <w:p w14:paraId="098CAC1A" w14:textId="5AC8FA6D" w:rsidR="00357C23" w:rsidRPr="00150FE5" w:rsidRDefault="004A0AE9" w:rsidP="00150FE5">
      <w:pPr>
        <w:pStyle w:val="ChartorTableNoteandSource"/>
      </w:pPr>
      <w:r>
        <w:t>Note</w:t>
      </w:r>
      <w:r w:rsidR="00357C23" w:rsidRPr="0099326B">
        <w:t>:</w:t>
      </w:r>
      <w:r w:rsidR="00357C23">
        <w:tab/>
      </w:r>
      <w:r w:rsidRPr="004A0AE9">
        <w:t>NHSAC analysis of state and territory regulations and legislation</w:t>
      </w:r>
      <w:r w:rsidR="00357C23" w:rsidRPr="0099326B">
        <w:t>.</w:t>
      </w:r>
    </w:p>
    <w:p w14:paraId="5E366BE5" w14:textId="1E496F27" w:rsidR="00791A68" w:rsidRPr="009263E6" w:rsidRDefault="00791A68">
      <w:r>
        <w:t>In general,</w:t>
      </w:r>
      <w:r w:rsidRPr="006162DC">
        <w:t xml:space="preserve"> states and territories </w:t>
      </w:r>
      <w:r>
        <w:t>s</w:t>
      </w:r>
      <w:r w:rsidRPr="006162DC">
        <w:t xml:space="preserve">pecify a flexible approach to rent setting to try </w:t>
      </w:r>
      <w:r w:rsidR="00CE4D66">
        <w:t>to</w:t>
      </w:r>
      <w:r w:rsidRPr="006162DC">
        <w:t xml:space="preserve"> capture low</w:t>
      </w:r>
      <w:r w:rsidR="00A15C79">
        <w:noBreakHyphen/>
      </w:r>
      <w:r w:rsidRPr="006162DC">
        <w:t xml:space="preserve">income cohorts. However, this approach </w:t>
      </w:r>
      <w:r>
        <w:t>may</w:t>
      </w:r>
      <w:r w:rsidRPr="006162DC">
        <w:t xml:space="preserve"> not always</w:t>
      </w:r>
      <w:r>
        <w:t xml:space="preserve"> be</w:t>
      </w:r>
      <w:r w:rsidRPr="006162DC">
        <w:t xml:space="preserve"> effective. In New South Wales, affordable housing must be let at a discount of at least 20</w:t>
      </w:r>
      <w:r w:rsidR="0099326B">
        <w:t> per cent</w:t>
      </w:r>
      <w:r w:rsidRPr="006162DC">
        <w:t xml:space="preserve"> of market rent to </w:t>
      </w:r>
      <w:r w:rsidR="00571CC7">
        <w:t xml:space="preserve">households with </w:t>
      </w:r>
      <w:r w:rsidRPr="006162DC">
        <w:t>very low</w:t>
      </w:r>
      <w:r w:rsidR="00571CC7">
        <w:t xml:space="preserve"> </w:t>
      </w:r>
      <w:r w:rsidRPr="006162DC">
        <w:t>to</w:t>
      </w:r>
      <w:r w:rsidR="00571CC7">
        <w:t xml:space="preserve"> </w:t>
      </w:r>
      <w:r w:rsidRPr="006162DC">
        <w:t>moderate</w:t>
      </w:r>
      <w:r w:rsidR="00571CC7">
        <w:t xml:space="preserve"> </w:t>
      </w:r>
      <w:r w:rsidRPr="006162DC">
        <w:t>income</w:t>
      </w:r>
      <w:r w:rsidR="00571CC7">
        <w:t>s</w:t>
      </w:r>
      <w:r w:rsidRPr="006162DC">
        <w:t xml:space="preserve">. There is also a general guideline that households on </w:t>
      </w:r>
      <w:r>
        <w:t>lower incomes</w:t>
      </w:r>
      <w:r w:rsidRPr="006162DC">
        <w:t xml:space="preserve"> should not pay more than 25</w:t>
      </w:r>
      <w:r w:rsidR="007F1F67">
        <w:t>–</w:t>
      </w:r>
      <w:r w:rsidRPr="006162DC">
        <w:t>30</w:t>
      </w:r>
      <w:r w:rsidR="0099326B">
        <w:t> per cent</w:t>
      </w:r>
      <w:r w:rsidRPr="006162DC">
        <w:t xml:space="preserve"> of their gross income </w:t>
      </w:r>
      <w:r w:rsidR="007F1F67">
        <w:t>o</w:t>
      </w:r>
      <w:r w:rsidRPr="006162DC">
        <w:t>n rent.</w:t>
      </w:r>
      <w:r>
        <w:t xml:space="preserve"> </w:t>
      </w:r>
      <w:r w:rsidRPr="006162DC">
        <w:t>In this instance, it is possible that affordable housing in more expensive markets is only available at 20</w:t>
      </w:r>
      <w:r w:rsidR="0099326B">
        <w:t> per cent</w:t>
      </w:r>
      <w:r w:rsidRPr="006162DC">
        <w:t xml:space="preserve"> below market rent</w:t>
      </w:r>
      <w:r w:rsidR="00ED2765">
        <w:t xml:space="preserve"> and, </w:t>
      </w:r>
      <w:r w:rsidRPr="006162DC">
        <w:t>therefore</w:t>
      </w:r>
      <w:r w:rsidR="008B6908">
        <w:t>,</w:t>
      </w:r>
      <w:r w:rsidRPr="006162DC">
        <w:t xml:space="preserve"> remains unaffordable to </w:t>
      </w:r>
      <w:r>
        <w:t xml:space="preserve">most </w:t>
      </w:r>
      <w:r w:rsidRPr="006162DC">
        <w:t>lower</w:t>
      </w:r>
      <w:r w:rsidR="00A15C79">
        <w:noBreakHyphen/>
      </w:r>
      <w:r w:rsidRPr="006162DC">
        <w:t xml:space="preserve">income households. </w:t>
      </w:r>
    </w:p>
    <w:p w14:paraId="34764D9F" w14:textId="0BDE4F9F" w:rsidR="0099326B" w:rsidRDefault="00791A68" w:rsidP="00AF5044">
      <w:r w:rsidRPr="006162DC">
        <w:t xml:space="preserve">Most jurisdictions do not specify </w:t>
      </w:r>
      <w:r w:rsidR="00E261B3">
        <w:t>how long</w:t>
      </w:r>
      <w:r w:rsidRPr="006162DC">
        <w:t xml:space="preserve"> a property remains </w:t>
      </w:r>
      <w:r w:rsidR="00A15C79">
        <w:t>‘</w:t>
      </w:r>
      <w:r w:rsidRPr="006162DC">
        <w:t>affordable</w:t>
      </w:r>
      <w:r w:rsidR="00A15C79">
        <w:t>’</w:t>
      </w:r>
      <w:r w:rsidRPr="006162DC">
        <w:t xml:space="preserve"> through formal guidance. However, they may provide explicit policies around timeframes for specific affordable housing agreements between developers and responsible authorities, such as local </w:t>
      </w:r>
      <w:r w:rsidRPr="00EB3C8D">
        <w:t>council</w:t>
      </w:r>
      <w:r>
        <w:t>s</w:t>
      </w:r>
      <w:r w:rsidRPr="00EB3C8D">
        <w:t>.</w:t>
      </w:r>
      <w:r>
        <w:t xml:space="preserve"> </w:t>
      </w:r>
      <w:r w:rsidRPr="00F95066">
        <w:t xml:space="preserve">The length of time affordable housing properties are required to be affordable is often </w:t>
      </w:r>
      <w:r>
        <w:t>not tracked or monitored for compliance</w:t>
      </w:r>
      <w:r w:rsidRPr="00F95066">
        <w:t>.</w:t>
      </w:r>
      <w:r>
        <w:t xml:space="preserve"> </w:t>
      </w:r>
      <w:r w:rsidRPr="00F95066">
        <w:rPr>
          <w:rFonts w:cstheme="minorHAnsi"/>
          <w:szCs w:val="22"/>
        </w:rPr>
        <w:t xml:space="preserve">An innovative approach to registering </w:t>
      </w:r>
      <w:r w:rsidR="00E06175">
        <w:rPr>
          <w:rFonts w:cstheme="minorHAnsi"/>
          <w:szCs w:val="22"/>
        </w:rPr>
        <w:t>how long</w:t>
      </w:r>
      <w:r w:rsidRPr="00F95066">
        <w:rPr>
          <w:rFonts w:cstheme="minorHAnsi"/>
          <w:szCs w:val="22"/>
        </w:rPr>
        <w:t xml:space="preserve"> a property is committed as affordable housing could involve securing these obligations on the title, so there is full transparency for all relevant stakeholders (Housing All Australians 202</w:t>
      </w:r>
      <w:r w:rsidR="00085FDA">
        <w:rPr>
          <w:rFonts w:cstheme="minorHAnsi"/>
          <w:szCs w:val="22"/>
        </w:rPr>
        <w:t>5</w:t>
      </w:r>
      <w:r w:rsidRPr="00F95066">
        <w:rPr>
          <w:rFonts w:cstheme="minorHAnsi"/>
          <w:szCs w:val="22"/>
        </w:rPr>
        <w:t>).</w:t>
      </w:r>
      <w:r w:rsidR="0099326B">
        <w:br w:type="page"/>
      </w:r>
    </w:p>
    <w:p w14:paraId="3B064973" w14:textId="43371D92" w:rsidR="00791A68" w:rsidRPr="006162DC" w:rsidRDefault="00791A68" w:rsidP="0099326B">
      <w:pPr>
        <w:pStyle w:val="Heading4"/>
      </w:pPr>
      <w:r w:rsidRPr="006162DC">
        <w:lastRenderedPageBreak/>
        <w:t>Provision of affordable housing in Australia</w:t>
      </w:r>
    </w:p>
    <w:p w14:paraId="5C52901B" w14:textId="73A85345" w:rsidR="00791A68" w:rsidRDefault="00791A68">
      <w:pPr>
        <w:rPr>
          <w:rFonts w:cstheme="minorHAnsi"/>
        </w:rPr>
      </w:pPr>
      <w:r>
        <w:t xml:space="preserve">Affordable housing is in </w:t>
      </w:r>
      <w:r w:rsidR="00015CD2">
        <w:t xml:space="preserve">its </w:t>
      </w:r>
      <w:r>
        <w:t xml:space="preserve">infancy as a sector. The provision and ownership of affordable housing </w:t>
      </w:r>
      <w:r w:rsidR="00E06175">
        <w:t>are</w:t>
      </w:r>
      <w:r>
        <w:t xml:space="preserve"> often unclear (</w:t>
      </w:r>
      <w:r w:rsidR="00E06175">
        <w:t xml:space="preserve">see </w:t>
      </w:r>
      <w:r>
        <w:t>Table 3.2), while the sector is also affected by funding and financing constraints that impact social housing (</w:t>
      </w:r>
      <w:r w:rsidR="00E06175">
        <w:t xml:space="preserve">see </w:t>
      </w:r>
      <w:r>
        <w:t xml:space="preserve">Box 3.1). </w:t>
      </w:r>
      <w:r w:rsidRPr="006162DC">
        <w:t xml:space="preserve">The lack of regulation </w:t>
      </w:r>
      <w:r>
        <w:t>of</w:t>
      </w:r>
      <w:r w:rsidRPr="006162DC">
        <w:t xml:space="preserve"> affordable housing</w:t>
      </w:r>
      <w:r>
        <w:t xml:space="preserve"> means</w:t>
      </w:r>
      <w:r w:rsidRPr="006162DC">
        <w:t xml:space="preserve"> it</w:t>
      </w:r>
      <w:r>
        <w:t xml:space="preserve"> is</w:t>
      </w:r>
      <w:r w:rsidRPr="006162DC">
        <w:t xml:space="preserve"> difficult to identify </w:t>
      </w:r>
      <w:r w:rsidR="00696EB9">
        <w:t>its</w:t>
      </w:r>
      <w:r>
        <w:t xml:space="preserve"> scale </w:t>
      </w:r>
      <w:r w:rsidRPr="006162DC">
        <w:t xml:space="preserve">in Australia. </w:t>
      </w:r>
      <w:r>
        <w:t>The</w:t>
      </w:r>
      <w:r w:rsidRPr="006162DC">
        <w:t xml:space="preserve"> characteristics of tenants are </w:t>
      </w:r>
      <w:r>
        <w:t xml:space="preserve">also </w:t>
      </w:r>
      <w:r w:rsidRPr="006162DC">
        <w:t xml:space="preserve">unclear. </w:t>
      </w:r>
      <w:r>
        <w:t xml:space="preserve">Broad eligibility requirements create </w:t>
      </w:r>
      <w:r w:rsidRPr="006162DC">
        <w:t xml:space="preserve">risks for government, as it is not always clear if subsidies </w:t>
      </w:r>
      <w:r>
        <w:t>are</w:t>
      </w:r>
      <w:r w:rsidRPr="006162DC">
        <w:t xml:space="preserve"> funding affordable housing outcomes </w:t>
      </w:r>
      <w:r>
        <w:t>for households in housing need</w:t>
      </w:r>
      <w:r w:rsidRPr="006162DC">
        <w:t xml:space="preserve">. </w:t>
      </w:r>
      <w:r>
        <w:t>This</w:t>
      </w:r>
      <w:r w:rsidRPr="00F02AA9">
        <w:t xml:space="preserve"> contrasts with the social housing sector, </w:t>
      </w:r>
      <w:r>
        <w:t>where</w:t>
      </w:r>
      <w:r w:rsidRPr="00F02AA9">
        <w:t xml:space="preserve"> stock and tenant data</w:t>
      </w:r>
      <w:r>
        <w:t xml:space="preserve"> is regularly collected</w:t>
      </w:r>
      <w:r w:rsidRPr="00F02AA9">
        <w:t xml:space="preserve"> at </w:t>
      </w:r>
      <w:r w:rsidR="005E2CD0">
        <w:t xml:space="preserve">a </w:t>
      </w:r>
      <w:r w:rsidRPr="00F02AA9">
        <w:t>national</w:t>
      </w:r>
      <w:r w:rsidR="005E2CD0">
        <w:t xml:space="preserve"> level</w:t>
      </w:r>
      <w:r w:rsidRPr="00F02AA9">
        <w:t xml:space="preserve">. </w:t>
      </w:r>
    </w:p>
    <w:p w14:paraId="666F5351" w14:textId="4F38AE4D" w:rsidR="00791A68" w:rsidRPr="00DE7922" w:rsidRDefault="00791A68">
      <w:pPr>
        <w:rPr>
          <w:rFonts w:cstheme="minorHAnsi"/>
        </w:rPr>
      </w:pPr>
      <w:r w:rsidRPr="006162DC">
        <w:rPr>
          <w:rFonts w:cstheme="minorHAnsi"/>
        </w:rPr>
        <w:t>Affordable housing providers (AHPs) operate and manage affordable housing properties. AHPs are subject to certain regulatory requirements depending on jurisdiction. For example, in New South Wales</w:t>
      </w:r>
      <w:r>
        <w:rPr>
          <w:rFonts w:cstheme="minorHAnsi"/>
        </w:rPr>
        <w:t>,</w:t>
      </w:r>
      <w:r w:rsidRPr="006162DC">
        <w:rPr>
          <w:rFonts w:cstheme="minorHAnsi"/>
        </w:rPr>
        <w:t xml:space="preserve"> AHPs are required to be </w:t>
      </w:r>
      <w:r>
        <w:rPr>
          <w:rFonts w:cstheme="minorHAnsi"/>
        </w:rPr>
        <w:t>CHPs</w:t>
      </w:r>
      <w:r w:rsidRPr="006162DC">
        <w:rPr>
          <w:rFonts w:cstheme="minorHAnsi"/>
        </w:rPr>
        <w:t xml:space="preserve">. Regulations for AHPs are less restrictive </w:t>
      </w:r>
      <w:r>
        <w:rPr>
          <w:rFonts w:cstheme="minorHAnsi"/>
        </w:rPr>
        <w:t>in</w:t>
      </w:r>
      <w:r w:rsidRPr="006162DC">
        <w:rPr>
          <w:rFonts w:cstheme="minorHAnsi"/>
        </w:rPr>
        <w:t xml:space="preserve"> other jurisdictions, meaning that charities, not</w:t>
      </w:r>
      <w:r w:rsidR="00A15C79">
        <w:rPr>
          <w:rFonts w:cstheme="minorHAnsi"/>
        </w:rPr>
        <w:noBreakHyphen/>
      </w:r>
      <w:r w:rsidRPr="006162DC">
        <w:rPr>
          <w:rFonts w:cstheme="minorHAnsi"/>
        </w:rPr>
        <w:t>for</w:t>
      </w:r>
      <w:r w:rsidR="00A15C79">
        <w:rPr>
          <w:rFonts w:cstheme="minorHAnsi"/>
        </w:rPr>
        <w:noBreakHyphen/>
      </w:r>
      <w:r w:rsidRPr="006162DC">
        <w:rPr>
          <w:rFonts w:cstheme="minorHAnsi"/>
        </w:rPr>
        <w:t>profits and for</w:t>
      </w:r>
      <w:r w:rsidR="00A15C79">
        <w:rPr>
          <w:rFonts w:cstheme="minorHAnsi"/>
        </w:rPr>
        <w:noBreakHyphen/>
      </w:r>
      <w:r w:rsidRPr="006162DC">
        <w:rPr>
          <w:rFonts w:cstheme="minorHAnsi"/>
        </w:rPr>
        <w:t xml:space="preserve">profit developers are </w:t>
      </w:r>
      <w:r>
        <w:rPr>
          <w:rFonts w:cstheme="minorHAnsi"/>
        </w:rPr>
        <w:t>also</w:t>
      </w:r>
      <w:r w:rsidRPr="006162DC">
        <w:rPr>
          <w:rFonts w:cstheme="minorHAnsi"/>
        </w:rPr>
        <w:t xml:space="preserve"> eligible to provide affordable housing. Tenant eligibility and price setting for affordable housing can differ across providers, and </w:t>
      </w:r>
      <w:r w:rsidR="00D10F3B">
        <w:rPr>
          <w:rFonts w:cstheme="minorHAnsi"/>
        </w:rPr>
        <w:t xml:space="preserve">governments often do not monitor </w:t>
      </w:r>
      <w:r w:rsidRPr="006162DC">
        <w:rPr>
          <w:rFonts w:cstheme="minorHAnsi"/>
        </w:rPr>
        <w:t xml:space="preserve">this information </w:t>
      </w:r>
      <w:r>
        <w:rPr>
          <w:rFonts w:cstheme="minorHAnsi"/>
        </w:rPr>
        <w:t xml:space="preserve">for compliance </w:t>
      </w:r>
      <w:r w:rsidRPr="006162DC">
        <w:rPr>
          <w:rFonts w:cstheme="minorHAnsi"/>
        </w:rPr>
        <w:t>(</w:t>
      </w:r>
      <w:r w:rsidR="00D10F3B">
        <w:rPr>
          <w:rFonts w:cstheme="minorHAnsi"/>
        </w:rPr>
        <w:t xml:space="preserve">see </w:t>
      </w:r>
      <w:r w:rsidRPr="006162DC">
        <w:rPr>
          <w:rFonts w:cstheme="minorHAnsi"/>
        </w:rPr>
        <w:t xml:space="preserve">Table </w:t>
      </w:r>
      <w:r>
        <w:rPr>
          <w:rFonts w:cstheme="minorHAnsi"/>
        </w:rPr>
        <w:t>3</w:t>
      </w:r>
      <w:r w:rsidRPr="006162DC">
        <w:rPr>
          <w:rFonts w:cstheme="minorHAnsi"/>
        </w:rPr>
        <w:t xml:space="preserve">.2). Therefore, </w:t>
      </w:r>
      <w:r>
        <w:rPr>
          <w:rFonts w:cstheme="minorHAnsi"/>
        </w:rPr>
        <w:t>information</w:t>
      </w:r>
      <w:r w:rsidRPr="00EB3C8D">
        <w:rPr>
          <w:rFonts w:cstheme="minorHAnsi"/>
        </w:rPr>
        <w:t xml:space="preserve"> </w:t>
      </w:r>
      <w:r w:rsidRPr="006162DC">
        <w:rPr>
          <w:rFonts w:cstheme="minorHAnsi"/>
        </w:rPr>
        <w:t>on affordable housing dwellings by location is limited.</w:t>
      </w:r>
    </w:p>
    <w:p w14:paraId="57DC3FC3" w14:textId="6E63213C" w:rsidR="00791A68" w:rsidRPr="00DE7922" w:rsidRDefault="009C2A66">
      <w:pPr>
        <w:rPr>
          <w:rFonts w:cstheme="minorBidi"/>
        </w:rPr>
      </w:pPr>
      <w:r>
        <w:rPr>
          <w:rFonts w:cstheme="minorBidi"/>
        </w:rPr>
        <w:t>S</w:t>
      </w:r>
      <w:r w:rsidR="00791A68">
        <w:rPr>
          <w:rFonts w:cstheme="minorBidi"/>
        </w:rPr>
        <w:t xml:space="preserve">ocial housing </w:t>
      </w:r>
      <w:r w:rsidR="00791A68" w:rsidDel="009C2A66">
        <w:rPr>
          <w:rFonts w:cstheme="minorBidi"/>
        </w:rPr>
        <w:t xml:space="preserve">provision differs </w:t>
      </w:r>
      <w:r w:rsidR="003F1653">
        <w:rPr>
          <w:rFonts w:cstheme="minorBidi"/>
        </w:rPr>
        <w:t xml:space="preserve">from </w:t>
      </w:r>
      <w:r w:rsidR="00791A68">
        <w:rPr>
          <w:rFonts w:cstheme="minorBidi"/>
        </w:rPr>
        <w:t>affordable housing. Only</w:t>
      </w:r>
      <w:r w:rsidR="00791A68" w:rsidRPr="006162DC">
        <w:rPr>
          <w:rFonts w:cstheme="minorBidi"/>
        </w:rPr>
        <w:t xml:space="preserve"> CHPs registered under the National Regulatory System </w:t>
      </w:r>
      <w:r w:rsidR="00791A68">
        <w:rPr>
          <w:rFonts w:cstheme="minorBidi"/>
        </w:rPr>
        <w:t xml:space="preserve">for </w:t>
      </w:r>
      <w:r w:rsidR="00791A68" w:rsidRPr="006162DC">
        <w:rPr>
          <w:rFonts w:cstheme="minorBidi"/>
        </w:rPr>
        <w:t>Community Housing (NRSCH)</w:t>
      </w:r>
      <w:r w:rsidR="00791A68">
        <w:rPr>
          <w:rFonts w:cstheme="minorBidi"/>
        </w:rPr>
        <w:t xml:space="preserve">, </w:t>
      </w:r>
      <w:r w:rsidR="00791A68" w:rsidRPr="006162DC">
        <w:rPr>
          <w:rFonts w:cstheme="minorBidi"/>
        </w:rPr>
        <w:t>or the relevant registry in Victoria and Western</w:t>
      </w:r>
      <w:r w:rsidR="00CC12B5">
        <w:rPr>
          <w:rFonts w:cstheme="minorBidi"/>
        </w:rPr>
        <w:t> </w:t>
      </w:r>
      <w:r w:rsidR="00791A68" w:rsidRPr="006162DC">
        <w:rPr>
          <w:rFonts w:cstheme="minorBidi"/>
        </w:rPr>
        <w:t xml:space="preserve">Australia, can provide </w:t>
      </w:r>
      <w:r w:rsidR="00791A68">
        <w:rPr>
          <w:rFonts w:cstheme="minorBidi"/>
        </w:rPr>
        <w:t>social</w:t>
      </w:r>
      <w:r w:rsidR="00791A68" w:rsidRPr="006162DC">
        <w:rPr>
          <w:rFonts w:cstheme="minorBidi"/>
        </w:rPr>
        <w:t xml:space="preserve"> housing. Governmen</w:t>
      </w:r>
      <w:r w:rsidR="00791A68" w:rsidRPr="7FA36422">
        <w:rPr>
          <w:rFonts w:cstheme="minorBidi"/>
        </w:rPr>
        <w:t>t</w:t>
      </w:r>
      <w:r w:rsidR="00791A68" w:rsidRPr="006162DC">
        <w:rPr>
          <w:rFonts w:cstheme="minorBidi"/>
        </w:rPr>
        <w:t xml:space="preserve"> policies are clearer on eligibility and price</w:t>
      </w:r>
      <w:r w:rsidR="00A15C79">
        <w:rPr>
          <w:rFonts w:cstheme="minorBidi"/>
        </w:rPr>
        <w:noBreakHyphen/>
      </w:r>
      <w:r w:rsidR="00791A68" w:rsidRPr="006162DC">
        <w:rPr>
          <w:rFonts w:cstheme="minorBidi"/>
        </w:rPr>
        <w:t xml:space="preserve">setting requirements for </w:t>
      </w:r>
      <w:r w:rsidR="00791A68">
        <w:rPr>
          <w:rFonts w:cstheme="minorBidi"/>
        </w:rPr>
        <w:t>social</w:t>
      </w:r>
      <w:r w:rsidR="00791A68" w:rsidRPr="006162DC">
        <w:rPr>
          <w:rFonts w:cstheme="minorBidi"/>
        </w:rPr>
        <w:t xml:space="preserve"> housing, and </w:t>
      </w:r>
      <w:r w:rsidR="004D137A">
        <w:rPr>
          <w:rFonts w:cstheme="minorBidi"/>
        </w:rPr>
        <w:t>government agencies know how many</w:t>
      </w:r>
      <w:r w:rsidR="00791A68" w:rsidRPr="006162DC">
        <w:rPr>
          <w:rFonts w:cstheme="minorBidi"/>
        </w:rPr>
        <w:t xml:space="preserve"> social housing dwellings </w:t>
      </w:r>
      <w:r w:rsidR="004D137A">
        <w:rPr>
          <w:rFonts w:cstheme="minorBidi"/>
        </w:rPr>
        <w:t xml:space="preserve">are occupied </w:t>
      </w:r>
      <w:r w:rsidR="00791A68">
        <w:rPr>
          <w:rFonts w:cstheme="minorBidi"/>
        </w:rPr>
        <w:t>(</w:t>
      </w:r>
      <w:r w:rsidR="004D137A">
        <w:rPr>
          <w:rFonts w:cstheme="minorBidi"/>
        </w:rPr>
        <w:t xml:space="preserve">see </w:t>
      </w:r>
      <w:r w:rsidR="00791A68">
        <w:rPr>
          <w:rFonts w:cstheme="minorBidi"/>
        </w:rPr>
        <w:t>Table 3.2)</w:t>
      </w:r>
      <w:r w:rsidR="00791A68" w:rsidRPr="006162DC">
        <w:rPr>
          <w:rFonts w:cstheme="minorBidi"/>
        </w:rPr>
        <w:t xml:space="preserve">. </w:t>
      </w:r>
    </w:p>
    <w:p w14:paraId="378706EA" w14:textId="3F5D7B5D" w:rsidR="00791A68" w:rsidRPr="006162DC" w:rsidRDefault="00791A68">
      <w:pPr>
        <w:rPr>
          <w:rFonts w:cstheme="minorBidi"/>
        </w:rPr>
      </w:pPr>
      <w:r>
        <w:rPr>
          <w:rFonts w:cstheme="minorBidi"/>
        </w:rPr>
        <w:t>Affordable housing is often owned by private property owners instead of affordable housing provider</w:t>
      </w:r>
      <w:r w:rsidR="006A2BF6">
        <w:rPr>
          <w:rFonts w:cstheme="minorBidi"/>
        </w:rPr>
        <w:t>s</w:t>
      </w:r>
      <w:r>
        <w:rPr>
          <w:rFonts w:cstheme="minorBidi"/>
        </w:rPr>
        <w:t xml:space="preserve">. </w:t>
      </w:r>
      <w:r w:rsidRPr="006162DC">
        <w:rPr>
          <w:rFonts w:cstheme="minorBidi"/>
        </w:rPr>
        <w:t>For example, a build</w:t>
      </w:r>
      <w:r w:rsidR="00A15C79">
        <w:rPr>
          <w:rFonts w:cstheme="minorBidi"/>
        </w:rPr>
        <w:noBreakHyphen/>
      </w:r>
      <w:r w:rsidRPr="006162DC">
        <w:rPr>
          <w:rFonts w:cstheme="minorBidi"/>
        </w:rPr>
        <w:t>to</w:t>
      </w:r>
      <w:r w:rsidR="00A15C79">
        <w:rPr>
          <w:rFonts w:cstheme="minorBidi"/>
        </w:rPr>
        <w:noBreakHyphen/>
      </w:r>
      <w:r w:rsidRPr="006162DC">
        <w:rPr>
          <w:rFonts w:cstheme="minorBidi"/>
        </w:rPr>
        <w:t xml:space="preserve">rent </w:t>
      </w:r>
      <w:r w:rsidR="00516B3D">
        <w:rPr>
          <w:rFonts w:cstheme="minorBidi"/>
        </w:rPr>
        <w:t xml:space="preserve">(BTR) </w:t>
      </w:r>
      <w:r w:rsidRPr="006162DC">
        <w:rPr>
          <w:rFonts w:cstheme="minorBidi"/>
        </w:rPr>
        <w:t xml:space="preserve">developer may partner with a CHP to provide some of its units in a </w:t>
      </w:r>
      <w:r w:rsidRPr="002949B5">
        <w:rPr>
          <w:rFonts w:cstheme="minorBidi"/>
        </w:rPr>
        <w:t>high</w:t>
      </w:r>
      <w:r w:rsidR="009B7C52" w:rsidRPr="002949B5">
        <w:rPr>
          <w:rFonts w:cstheme="minorBidi"/>
        </w:rPr>
        <w:t>er</w:t>
      </w:r>
      <w:r w:rsidR="00A15C79" w:rsidRPr="002949B5">
        <w:rPr>
          <w:rFonts w:cstheme="minorBidi"/>
        </w:rPr>
        <w:noBreakHyphen/>
      </w:r>
      <w:r w:rsidRPr="002949B5">
        <w:rPr>
          <w:rFonts w:cstheme="minorBidi"/>
        </w:rPr>
        <w:t>density</w:t>
      </w:r>
      <w:r w:rsidRPr="006162DC">
        <w:rPr>
          <w:rFonts w:cstheme="minorBidi"/>
        </w:rPr>
        <w:t xml:space="preserve"> development as affordable housing. Again, there is limited data on the interaction between </w:t>
      </w:r>
      <w:r>
        <w:rPr>
          <w:rFonts w:cstheme="minorBidi"/>
        </w:rPr>
        <w:t xml:space="preserve">the ownership and the provision of the </w:t>
      </w:r>
      <w:r w:rsidRPr="006162DC">
        <w:rPr>
          <w:rFonts w:cstheme="minorBidi"/>
        </w:rPr>
        <w:t xml:space="preserve">affordable housing stock. </w:t>
      </w:r>
    </w:p>
    <w:p w14:paraId="52210823" w14:textId="49665BA3" w:rsidR="00791A68" w:rsidRPr="003F1297" w:rsidRDefault="00791A68" w:rsidP="00BD2E5A">
      <w:pPr>
        <w:pStyle w:val="TableMainHeading"/>
      </w:pPr>
      <w:r w:rsidRPr="003F1297">
        <w:t>The provision of social and affordable housing</w:t>
      </w:r>
    </w:p>
    <w:tbl>
      <w:tblPr>
        <w:tblStyle w:val="TableGrid"/>
        <w:tblW w:w="5000" w:type="pct"/>
        <w:tblInd w:w="1" w:type="dxa"/>
        <w:tblLook w:val="04A0" w:firstRow="1" w:lastRow="0" w:firstColumn="1" w:lastColumn="0" w:noHBand="0" w:noVBand="1"/>
      </w:tblPr>
      <w:tblGrid>
        <w:gridCol w:w="1275"/>
        <w:gridCol w:w="2126"/>
        <w:gridCol w:w="2743"/>
        <w:gridCol w:w="2926"/>
      </w:tblGrid>
      <w:tr w:rsidR="00791A68" w:rsidRPr="00453FF0" w14:paraId="1FABE9A3" w14:textId="77777777" w:rsidTr="00EC59F5">
        <w:trPr>
          <w:cnfStyle w:val="100000000000" w:firstRow="1" w:lastRow="0" w:firstColumn="0" w:lastColumn="0" w:oddVBand="0" w:evenVBand="0" w:oddHBand="0" w:evenHBand="0" w:firstRowFirstColumn="0" w:firstRowLastColumn="0" w:lastRowFirstColumn="0" w:lastRowLastColumn="0"/>
          <w:trHeight w:val="74"/>
        </w:trPr>
        <w:tc>
          <w:tcPr>
            <w:tcW w:w="1275" w:type="dxa"/>
            <w:shd w:val="clear" w:color="auto" w:fill="F2E3C7" w:themeFill="accent6"/>
          </w:tcPr>
          <w:p w14:paraId="58420B58" w14:textId="1705C135" w:rsidR="00791A68" w:rsidRPr="00EC59F5" w:rsidRDefault="00791A68" w:rsidP="00EC59F5">
            <w:pPr>
              <w:pStyle w:val="TableColumnHeadingLeft"/>
              <w:rPr>
                <w:b/>
                <w:bCs/>
              </w:rPr>
            </w:pPr>
            <w:r w:rsidRPr="00EC59F5">
              <w:rPr>
                <w:b/>
                <w:bCs/>
              </w:rPr>
              <w:t xml:space="preserve">Housing </w:t>
            </w:r>
            <w:r w:rsidR="001229E5" w:rsidRPr="00EC59F5">
              <w:rPr>
                <w:b/>
                <w:bCs/>
              </w:rPr>
              <w:t>t</w:t>
            </w:r>
            <w:r w:rsidRPr="00EC59F5">
              <w:rPr>
                <w:b/>
                <w:bCs/>
              </w:rPr>
              <w:t>ype</w:t>
            </w:r>
          </w:p>
        </w:tc>
        <w:tc>
          <w:tcPr>
            <w:tcW w:w="2126" w:type="dxa"/>
            <w:shd w:val="clear" w:color="auto" w:fill="F2E3C7" w:themeFill="accent6"/>
          </w:tcPr>
          <w:p w14:paraId="78BA06A2" w14:textId="77777777" w:rsidR="00791A68" w:rsidRPr="00EC59F5" w:rsidRDefault="00791A68" w:rsidP="00EC59F5">
            <w:pPr>
              <w:pStyle w:val="TableColumnHeadingLeft"/>
              <w:rPr>
                <w:b/>
                <w:bCs/>
              </w:rPr>
            </w:pPr>
            <w:r w:rsidRPr="00EC59F5">
              <w:rPr>
                <w:b/>
                <w:bCs/>
              </w:rPr>
              <w:t>Management</w:t>
            </w:r>
          </w:p>
        </w:tc>
        <w:tc>
          <w:tcPr>
            <w:tcW w:w="2743" w:type="dxa"/>
            <w:shd w:val="clear" w:color="auto" w:fill="F2E3C7" w:themeFill="accent6"/>
          </w:tcPr>
          <w:p w14:paraId="139D62A0" w14:textId="77777777" w:rsidR="00791A68" w:rsidRPr="00EC59F5" w:rsidRDefault="00791A68" w:rsidP="00EC59F5">
            <w:pPr>
              <w:pStyle w:val="TableColumnHeadingLeft"/>
              <w:rPr>
                <w:b/>
                <w:bCs/>
              </w:rPr>
            </w:pPr>
            <w:r w:rsidRPr="00EC59F5">
              <w:rPr>
                <w:b/>
                <w:bCs/>
              </w:rPr>
              <w:t>Source/owner of property</w:t>
            </w:r>
          </w:p>
        </w:tc>
        <w:tc>
          <w:tcPr>
            <w:tcW w:w="2926" w:type="dxa"/>
            <w:shd w:val="clear" w:color="auto" w:fill="F2E3C7" w:themeFill="accent6"/>
          </w:tcPr>
          <w:p w14:paraId="17DD4BA6" w14:textId="77777777" w:rsidR="00791A68" w:rsidRPr="00EC59F5" w:rsidRDefault="00791A68" w:rsidP="00EC59F5">
            <w:pPr>
              <w:pStyle w:val="TableColumnHeadingLeft"/>
              <w:rPr>
                <w:b/>
                <w:bCs/>
              </w:rPr>
            </w:pPr>
            <w:r w:rsidRPr="00EC59F5">
              <w:rPr>
                <w:b/>
                <w:bCs/>
              </w:rPr>
              <w:t>Access and tenant eligibility</w:t>
            </w:r>
          </w:p>
        </w:tc>
      </w:tr>
      <w:tr w:rsidR="00791A68" w:rsidRPr="00453FF0" w14:paraId="2BFEAEA0" w14:textId="77777777" w:rsidTr="00EC59F5">
        <w:trPr>
          <w:trHeight w:val="1498"/>
        </w:trPr>
        <w:tc>
          <w:tcPr>
            <w:tcW w:w="1275" w:type="dxa"/>
            <w:tcBorders>
              <w:bottom w:val="single" w:sz="8" w:space="0" w:color="F2E3C7" w:themeColor="background2"/>
            </w:tcBorders>
          </w:tcPr>
          <w:p w14:paraId="212ECCE3" w14:textId="77777777" w:rsidR="00791A68" w:rsidRPr="00EC59F5" w:rsidRDefault="00791A68" w:rsidP="00EC59F5">
            <w:pPr>
              <w:pStyle w:val="TableTextLeft"/>
              <w:rPr>
                <w:rStyle w:val="Strong"/>
              </w:rPr>
            </w:pPr>
            <w:r w:rsidRPr="00EC59F5">
              <w:rPr>
                <w:rStyle w:val="Strong"/>
              </w:rPr>
              <w:t>Affordable rental housing</w:t>
            </w:r>
          </w:p>
        </w:tc>
        <w:tc>
          <w:tcPr>
            <w:tcW w:w="2126" w:type="dxa"/>
            <w:tcBorders>
              <w:bottom w:val="single" w:sz="8" w:space="0" w:color="F2E3C7" w:themeColor="background2"/>
            </w:tcBorders>
          </w:tcPr>
          <w:p w14:paraId="1B76DC8F" w14:textId="23E403BC" w:rsidR="00791A68" w:rsidRPr="006162DC" w:rsidRDefault="00791A68" w:rsidP="00EC59F5">
            <w:pPr>
              <w:pStyle w:val="TableTextLeft"/>
              <w:rPr>
                <w:rFonts w:asciiTheme="minorHAnsi" w:hAnsiTheme="minorHAnsi"/>
              </w:rPr>
            </w:pPr>
            <w:r w:rsidRPr="006162DC">
              <w:t>CHPs (regulated through NRSCH or state regulators), charities, not</w:t>
            </w:r>
            <w:r w:rsidR="00A15C79">
              <w:noBreakHyphen/>
            </w:r>
            <w:r w:rsidRPr="006162DC">
              <w:t>for</w:t>
            </w:r>
            <w:r w:rsidR="00A15C79">
              <w:noBreakHyphen/>
            </w:r>
            <w:r w:rsidRPr="006162DC">
              <w:t>profits and for</w:t>
            </w:r>
            <w:r w:rsidR="00A15C79">
              <w:noBreakHyphen/>
            </w:r>
            <w:r w:rsidRPr="006162DC">
              <w:t xml:space="preserve">profit </w:t>
            </w:r>
            <w:r>
              <w:t>providers</w:t>
            </w:r>
            <w:r w:rsidRPr="006162DC">
              <w:t xml:space="preserve"> (including BTR developers)</w:t>
            </w:r>
          </w:p>
        </w:tc>
        <w:tc>
          <w:tcPr>
            <w:tcW w:w="2743" w:type="dxa"/>
            <w:tcBorders>
              <w:bottom w:val="single" w:sz="8" w:space="0" w:color="F2E3C7" w:themeColor="background2"/>
            </w:tcBorders>
          </w:tcPr>
          <w:p w14:paraId="39F8275A" w14:textId="5C02825C" w:rsidR="00791A68" w:rsidRPr="006162DC" w:rsidRDefault="00791A68" w:rsidP="00EC59F5">
            <w:pPr>
              <w:pStyle w:val="TableTextLeft"/>
              <w:rPr>
                <w:rFonts w:asciiTheme="minorHAnsi" w:hAnsiTheme="minorHAnsi"/>
              </w:rPr>
            </w:pPr>
            <w:r w:rsidRPr="006162DC">
              <w:t>CHPs, charities, not</w:t>
            </w:r>
            <w:r w:rsidR="00A15C79">
              <w:noBreakHyphen/>
            </w:r>
            <w:r w:rsidRPr="006162DC">
              <w:t>for profits, for</w:t>
            </w:r>
            <w:r w:rsidR="00A15C79">
              <w:noBreakHyphen/>
            </w:r>
            <w:r w:rsidRPr="006162DC">
              <w:t>profit developers and property investors</w:t>
            </w:r>
            <w:r w:rsidR="00211539">
              <w:t>;</w:t>
            </w:r>
            <w:r w:rsidRPr="006162DC">
              <w:t xml:space="preserve"> BTR properties are owned by the BTR entity</w:t>
            </w:r>
          </w:p>
        </w:tc>
        <w:tc>
          <w:tcPr>
            <w:tcW w:w="2926" w:type="dxa"/>
            <w:tcBorders>
              <w:bottom w:val="single" w:sz="8" w:space="0" w:color="F2E3C7" w:themeColor="background2"/>
            </w:tcBorders>
          </w:tcPr>
          <w:p w14:paraId="000A7387" w14:textId="7BDF81EB" w:rsidR="00791A68" w:rsidRPr="006162DC" w:rsidRDefault="00791A68" w:rsidP="00EC59F5">
            <w:pPr>
              <w:pStyle w:val="TableTextLeft"/>
              <w:rPr>
                <w:rFonts w:asciiTheme="minorHAnsi" w:hAnsiTheme="minorHAnsi"/>
              </w:rPr>
            </w:pPr>
            <w:r w:rsidRPr="006162DC">
              <w:t>Access through the provider</w:t>
            </w:r>
            <w:r w:rsidR="00A35277">
              <w:t xml:space="preserve">, which </w:t>
            </w:r>
            <w:r w:rsidRPr="006162DC">
              <w:t>has discretion on eligibility and costs</w:t>
            </w:r>
            <w:r w:rsidRPr="006162DC" w:rsidDel="003D7FC0">
              <w:t>,</w:t>
            </w:r>
            <w:r w:rsidRPr="006162DC">
              <w:t xml:space="preserve"> </w:t>
            </w:r>
            <w:r w:rsidR="003D7FC0">
              <w:t xml:space="preserve">often </w:t>
            </w:r>
            <w:r w:rsidRPr="006162DC">
              <w:t xml:space="preserve">within </w:t>
            </w:r>
            <w:r>
              <w:t xml:space="preserve">broad </w:t>
            </w:r>
            <w:r w:rsidRPr="006162DC">
              <w:t>limits set by government regulation</w:t>
            </w:r>
          </w:p>
        </w:tc>
      </w:tr>
      <w:tr w:rsidR="00791A68" w:rsidRPr="00453FF0" w14:paraId="302BE12F" w14:textId="77777777" w:rsidTr="00EC59F5">
        <w:trPr>
          <w:trHeight w:val="821"/>
        </w:trPr>
        <w:tc>
          <w:tcPr>
            <w:tcW w:w="1275" w:type="dxa"/>
            <w:tcBorders>
              <w:top w:val="single" w:sz="8" w:space="0" w:color="F2E3C7" w:themeColor="background2"/>
              <w:bottom w:val="single" w:sz="8" w:space="0" w:color="F2E3C7" w:themeColor="background2"/>
            </w:tcBorders>
          </w:tcPr>
          <w:p w14:paraId="647E0CE3" w14:textId="457C8412" w:rsidR="00791A68" w:rsidRPr="00EC59F5" w:rsidRDefault="00791A68" w:rsidP="00EC59F5">
            <w:pPr>
              <w:pStyle w:val="TableTextLeft"/>
              <w:rPr>
                <w:rStyle w:val="Strong"/>
              </w:rPr>
            </w:pPr>
            <w:r w:rsidRPr="00EC59F5">
              <w:rPr>
                <w:rStyle w:val="Strong"/>
              </w:rPr>
              <w:t xml:space="preserve">Social: </w:t>
            </w:r>
            <w:r w:rsidR="00CD2712" w:rsidRPr="00EC59F5">
              <w:rPr>
                <w:rStyle w:val="Strong"/>
              </w:rPr>
              <w:t>p</w:t>
            </w:r>
            <w:r w:rsidRPr="00EC59F5">
              <w:rPr>
                <w:rStyle w:val="Strong"/>
              </w:rPr>
              <w:t xml:space="preserve">ublic </w:t>
            </w:r>
            <w:r w:rsidR="00CD2712" w:rsidRPr="00EC59F5">
              <w:rPr>
                <w:rStyle w:val="Strong"/>
              </w:rPr>
              <w:t>h</w:t>
            </w:r>
            <w:r w:rsidRPr="00EC59F5">
              <w:rPr>
                <w:rStyle w:val="Strong"/>
              </w:rPr>
              <w:t>ousing</w:t>
            </w:r>
          </w:p>
        </w:tc>
        <w:tc>
          <w:tcPr>
            <w:tcW w:w="2126" w:type="dxa"/>
            <w:tcBorders>
              <w:top w:val="single" w:sz="8" w:space="0" w:color="F2E3C7" w:themeColor="background2"/>
              <w:bottom w:val="single" w:sz="8" w:space="0" w:color="F2E3C7" w:themeColor="background2"/>
            </w:tcBorders>
          </w:tcPr>
          <w:p w14:paraId="52C142FF" w14:textId="07F22E68" w:rsidR="00791A68" w:rsidRPr="006162DC" w:rsidRDefault="00791A68" w:rsidP="00EC59F5">
            <w:pPr>
              <w:pStyle w:val="TableTextLeft"/>
              <w:rPr>
                <w:rFonts w:asciiTheme="minorHAnsi" w:hAnsiTheme="minorHAnsi"/>
              </w:rPr>
            </w:pPr>
            <w:r w:rsidRPr="006162DC">
              <w:t>State and territory governments</w:t>
            </w:r>
          </w:p>
        </w:tc>
        <w:tc>
          <w:tcPr>
            <w:tcW w:w="2743" w:type="dxa"/>
            <w:tcBorders>
              <w:top w:val="single" w:sz="8" w:space="0" w:color="F2E3C7" w:themeColor="background2"/>
              <w:bottom w:val="single" w:sz="8" w:space="0" w:color="F2E3C7" w:themeColor="background2"/>
            </w:tcBorders>
          </w:tcPr>
          <w:p w14:paraId="5B340501" w14:textId="3E4B6178" w:rsidR="00791A68" w:rsidRPr="006162DC" w:rsidRDefault="00791A68" w:rsidP="00EC59F5">
            <w:pPr>
              <w:pStyle w:val="TableTextLeft"/>
              <w:rPr>
                <w:rFonts w:asciiTheme="minorHAnsi" w:hAnsiTheme="minorHAnsi"/>
              </w:rPr>
            </w:pPr>
            <w:r w:rsidRPr="006162DC">
              <w:t>State and territory governments</w:t>
            </w:r>
          </w:p>
        </w:tc>
        <w:tc>
          <w:tcPr>
            <w:tcW w:w="2926" w:type="dxa"/>
            <w:vMerge w:val="restart"/>
            <w:tcBorders>
              <w:top w:val="single" w:sz="8" w:space="0" w:color="F2E3C7" w:themeColor="background2"/>
            </w:tcBorders>
          </w:tcPr>
          <w:p w14:paraId="75B0E56E" w14:textId="75F80C9A" w:rsidR="00791A68" w:rsidRPr="006162DC" w:rsidRDefault="00791A68" w:rsidP="00EC59F5">
            <w:pPr>
              <w:pStyle w:val="TableTextLeft"/>
              <w:rPr>
                <w:rFonts w:asciiTheme="minorHAnsi" w:hAnsiTheme="minorHAnsi"/>
              </w:rPr>
            </w:pPr>
            <w:r w:rsidRPr="006162DC">
              <w:t>Access through government social housing portal, with s</w:t>
            </w:r>
            <w:r w:rsidR="00172617">
              <w:t>a</w:t>
            </w:r>
            <w:r w:rsidRPr="006162DC">
              <w:t>me eligibility requirements</w:t>
            </w:r>
            <w:r w:rsidR="00DD2C23">
              <w:t xml:space="preserve"> across state and territory governments</w:t>
            </w:r>
            <w:r w:rsidR="003D7FC0">
              <w:t>;</w:t>
            </w:r>
            <w:r w:rsidRPr="006162DC">
              <w:t xml:space="preserve"> </w:t>
            </w:r>
            <w:r w:rsidR="003D7FC0">
              <w:t>i</w:t>
            </w:r>
            <w:r>
              <w:t>n general</w:t>
            </w:r>
            <w:r w:rsidR="003D7FC0">
              <w:t>,</w:t>
            </w:r>
            <w:r>
              <w:t xml:space="preserve"> </w:t>
            </w:r>
            <w:r w:rsidR="003D7FC0">
              <w:t>r</w:t>
            </w:r>
            <w:r w:rsidRPr="006162DC">
              <w:t xml:space="preserve">ent </w:t>
            </w:r>
            <w:r w:rsidR="003D7FC0">
              <w:t>is</w:t>
            </w:r>
            <w:r w:rsidRPr="006162DC" w:rsidDel="00621C59">
              <w:t xml:space="preserve"> </w:t>
            </w:r>
            <w:r w:rsidRPr="006162DC">
              <w:t>25</w:t>
            </w:r>
            <w:r w:rsidR="00621C59">
              <w:t>–</w:t>
            </w:r>
            <w:r w:rsidR="005B2645">
              <w:t>‍</w:t>
            </w:r>
            <w:r w:rsidRPr="006162DC">
              <w:t>30</w:t>
            </w:r>
            <w:r w:rsidR="0099326B">
              <w:t> per cent</w:t>
            </w:r>
            <w:r w:rsidRPr="006162DC">
              <w:t xml:space="preserve"> of combined gross income*</w:t>
            </w:r>
          </w:p>
          <w:p w14:paraId="1E5EA6A6" w14:textId="77777777" w:rsidR="00791A68" w:rsidRPr="006162DC" w:rsidRDefault="00791A68" w:rsidP="00EC59F5">
            <w:pPr>
              <w:pStyle w:val="TableTextLeft"/>
              <w:rPr>
                <w:rFonts w:asciiTheme="minorHAnsi" w:hAnsiTheme="minorHAnsi"/>
              </w:rPr>
            </w:pPr>
          </w:p>
        </w:tc>
      </w:tr>
      <w:tr w:rsidR="00791A68" w:rsidRPr="00453FF0" w14:paraId="2A88C3FC" w14:textId="77777777" w:rsidTr="00EC59F5">
        <w:trPr>
          <w:trHeight w:val="840"/>
        </w:trPr>
        <w:tc>
          <w:tcPr>
            <w:tcW w:w="1275" w:type="dxa"/>
            <w:tcBorders>
              <w:top w:val="single" w:sz="8" w:space="0" w:color="F2E3C7" w:themeColor="background2"/>
              <w:bottom w:val="single" w:sz="8" w:space="0" w:color="F2E3C7" w:themeColor="background2"/>
            </w:tcBorders>
          </w:tcPr>
          <w:p w14:paraId="1E6A885D" w14:textId="71673E85" w:rsidR="00791A68" w:rsidRPr="00EC59F5" w:rsidRDefault="00791A68" w:rsidP="00EC59F5">
            <w:pPr>
              <w:pStyle w:val="TableTextLeft"/>
              <w:rPr>
                <w:rStyle w:val="Strong"/>
              </w:rPr>
            </w:pPr>
            <w:r w:rsidRPr="00EC59F5">
              <w:rPr>
                <w:rStyle w:val="Strong"/>
              </w:rPr>
              <w:t xml:space="preserve">Social: </w:t>
            </w:r>
            <w:r w:rsidR="00CD2712" w:rsidRPr="00EC59F5">
              <w:rPr>
                <w:rStyle w:val="Strong"/>
              </w:rPr>
              <w:t>c</w:t>
            </w:r>
            <w:r w:rsidRPr="00EC59F5">
              <w:rPr>
                <w:rStyle w:val="Strong"/>
              </w:rPr>
              <w:t xml:space="preserve">ommunity </w:t>
            </w:r>
            <w:r w:rsidR="00CD2712" w:rsidRPr="00EC59F5">
              <w:rPr>
                <w:rStyle w:val="Strong"/>
              </w:rPr>
              <w:t>h</w:t>
            </w:r>
            <w:r w:rsidRPr="00EC59F5">
              <w:rPr>
                <w:rStyle w:val="Strong"/>
              </w:rPr>
              <w:t>ousing</w:t>
            </w:r>
          </w:p>
        </w:tc>
        <w:tc>
          <w:tcPr>
            <w:tcW w:w="2126" w:type="dxa"/>
            <w:tcBorders>
              <w:top w:val="single" w:sz="8" w:space="0" w:color="F2E3C7" w:themeColor="background2"/>
              <w:bottom w:val="single" w:sz="8" w:space="0" w:color="F2E3C7" w:themeColor="background2"/>
            </w:tcBorders>
          </w:tcPr>
          <w:p w14:paraId="77FE2BC7" w14:textId="792062B0" w:rsidR="00791A68" w:rsidRPr="006162DC" w:rsidRDefault="00791A68" w:rsidP="00EC59F5">
            <w:pPr>
              <w:pStyle w:val="TableTextLeft"/>
              <w:rPr>
                <w:rFonts w:asciiTheme="minorHAnsi" w:hAnsiTheme="minorHAnsi"/>
              </w:rPr>
            </w:pPr>
            <w:r w:rsidRPr="006162DC">
              <w:t>CHPs (regulated through NRSCH or state regulators)</w:t>
            </w:r>
          </w:p>
        </w:tc>
        <w:tc>
          <w:tcPr>
            <w:tcW w:w="2743" w:type="dxa"/>
            <w:tcBorders>
              <w:top w:val="single" w:sz="8" w:space="0" w:color="F2E3C7" w:themeColor="background2"/>
              <w:bottom w:val="single" w:sz="8" w:space="0" w:color="F2E3C7" w:themeColor="background2"/>
            </w:tcBorders>
          </w:tcPr>
          <w:p w14:paraId="6CE262E2" w14:textId="3870AF50" w:rsidR="00791A68" w:rsidRPr="006162DC" w:rsidRDefault="00791A68" w:rsidP="00EC59F5">
            <w:pPr>
              <w:pStyle w:val="TableTextLeft"/>
              <w:rPr>
                <w:rFonts w:asciiTheme="minorHAnsi" w:hAnsiTheme="minorHAnsi"/>
              </w:rPr>
            </w:pPr>
            <w:r w:rsidRPr="006162DC">
              <w:t>State and territory governments, CHPs, charities, not</w:t>
            </w:r>
            <w:r w:rsidR="00A15C79">
              <w:noBreakHyphen/>
            </w:r>
            <w:r w:rsidRPr="006162DC">
              <w:t>for</w:t>
            </w:r>
            <w:r w:rsidR="00A15C79">
              <w:noBreakHyphen/>
            </w:r>
            <w:r w:rsidRPr="006162DC">
              <w:t>profits, for</w:t>
            </w:r>
            <w:r w:rsidR="00A15C79">
              <w:noBreakHyphen/>
            </w:r>
            <w:r w:rsidRPr="006162DC">
              <w:t>profit developers and investors</w:t>
            </w:r>
          </w:p>
        </w:tc>
        <w:tc>
          <w:tcPr>
            <w:tcW w:w="2926" w:type="dxa"/>
            <w:vMerge/>
            <w:tcBorders>
              <w:bottom w:val="single" w:sz="8" w:space="0" w:color="F2E3C7" w:themeColor="background2"/>
            </w:tcBorders>
          </w:tcPr>
          <w:p w14:paraId="43F86007" w14:textId="77777777" w:rsidR="00791A68" w:rsidRPr="00453FF0" w:rsidRDefault="00791A68" w:rsidP="00EC59F5">
            <w:pPr>
              <w:pStyle w:val="TableTextLeft"/>
              <w:rPr>
                <w:rFonts w:asciiTheme="minorHAnsi" w:hAnsiTheme="minorHAnsi"/>
                <w:bCs/>
              </w:rPr>
            </w:pPr>
          </w:p>
        </w:tc>
      </w:tr>
    </w:tbl>
    <w:p w14:paraId="5BD37369" w14:textId="40BADB4A" w:rsidR="00791A68" w:rsidRDefault="00791A68" w:rsidP="00553043">
      <w:pPr>
        <w:pStyle w:val="ChartorTableNoteandSource"/>
        <w:rPr>
          <w:lang w:eastAsia="en-US"/>
        </w:rPr>
      </w:pPr>
      <w:r w:rsidRPr="006162DC">
        <w:rPr>
          <w:lang w:eastAsia="en-US"/>
        </w:rPr>
        <w:t>*</w:t>
      </w:r>
      <w:r w:rsidR="00CC12B5">
        <w:rPr>
          <w:lang w:eastAsia="en-US"/>
        </w:rPr>
        <w:tab/>
      </w:r>
      <w:r>
        <w:rPr>
          <w:lang w:eastAsia="en-US"/>
        </w:rPr>
        <w:t>In public housing, rent is usually capped at the market rent. In community housing, a tenant who receives CRA may be required to pay 25</w:t>
      </w:r>
      <w:r w:rsidR="00FD66AD">
        <w:rPr>
          <w:lang w:eastAsia="en-US"/>
        </w:rPr>
        <w:t>–</w:t>
      </w:r>
      <w:r>
        <w:rPr>
          <w:lang w:eastAsia="en-US"/>
        </w:rPr>
        <w:t>30</w:t>
      </w:r>
      <w:r w:rsidR="0099326B">
        <w:rPr>
          <w:lang w:eastAsia="en-US"/>
        </w:rPr>
        <w:t> per cent</w:t>
      </w:r>
      <w:r>
        <w:rPr>
          <w:lang w:eastAsia="en-US"/>
        </w:rPr>
        <w:t xml:space="preserve"> of</w:t>
      </w:r>
      <w:r w:rsidR="00FD66AD">
        <w:rPr>
          <w:lang w:eastAsia="en-US"/>
        </w:rPr>
        <w:t xml:space="preserve"> their</w:t>
      </w:r>
      <w:r>
        <w:rPr>
          <w:lang w:eastAsia="en-US"/>
        </w:rPr>
        <w:t xml:space="preserve"> income plus 100</w:t>
      </w:r>
      <w:r w:rsidR="0099326B">
        <w:rPr>
          <w:lang w:eastAsia="en-US"/>
        </w:rPr>
        <w:t> per cent</w:t>
      </w:r>
      <w:r>
        <w:rPr>
          <w:lang w:eastAsia="en-US"/>
        </w:rPr>
        <w:t xml:space="preserve"> of CRA. </w:t>
      </w:r>
    </w:p>
    <w:p w14:paraId="75A638DC" w14:textId="0E0DC891" w:rsidR="00553043" w:rsidRPr="00150FE5" w:rsidRDefault="004A0AE9" w:rsidP="007C3AD9">
      <w:pPr>
        <w:pStyle w:val="ChartorTableNoteandSource"/>
      </w:pPr>
      <w:r>
        <w:t>Note</w:t>
      </w:r>
      <w:r w:rsidR="00553043" w:rsidRPr="0099326B">
        <w:t>:</w:t>
      </w:r>
      <w:r w:rsidR="00553043">
        <w:tab/>
      </w:r>
      <w:r w:rsidRPr="004A0AE9">
        <w:t>NHSAC analysis of state and territory regulations and legislation</w:t>
      </w:r>
      <w:r>
        <w:t>.</w:t>
      </w:r>
    </w:p>
    <w:p w14:paraId="59FF6D51" w14:textId="77777777" w:rsidR="00791A68" w:rsidRPr="00236D1A" w:rsidRDefault="00791A68" w:rsidP="0099326B">
      <w:pPr>
        <w:pStyle w:val="Heading2Numbered"/>
      </w:pPr>
      <w:bookmarkStart w:id="122" w:name="_Toc195026599"/>
      <w:bookmarkStart w:id="123" w:name="_Toc196395890"/>
      <w:r w:rsidRPr="4B0B0FDD">
        <w:lastRenderedPageBreak/>
        <w:t xml:space="preserve">Housing assistance </w:t>
      </w:r>
      <w:r w:rsidRPr="64124916">
        <w:t>for</w:t>
      </w:r>
      <w:r w:rsidRPr="4B0B0FDD">
        <w:t xml:space="preserve"> renters and home buyers</w:t>
      </w:r>
      <w:r w:rsidRPr="64124916">
        <w:t xml:space="preserve"> is </w:t>
      </w:r>
      <w:r w:rsidRPr="0099326B">
        <w:t>expanding</w:t>
      </w:r>
      <w:bookmarkEnd w:id="122"/>
      <w:bookmarkEnd w:id="123"/>
    </w:p>
    <w:p w14:paraId="3711A507" w14:textId="77777777" w:rsidR="00791A68" w:rsidRPr="00EB3C8D" w:rsidRDefault="00791A68">
      <w:pPr>
        <w:rPr>
          <w:rFonts w:cstheme="minorBidi"/>
        </w:rPr>
      </w:pPr>
      <w:r w:rsidRPr="2E095741">
        <w:rPr>
          <w:rFonts w:cstheme="minorBidi"/>
        </w:rPr>
        <w:t>Housing assistance is provided in the form of government payments or guarantees and can support individuals to access rental accommodation or home ownership in the private housing market.</w:t>
      </w:r>
    </w:p>
    <w:p w14:paraId="3AF4C6E6" w14:textId="6F9A7F28" w:rsidR="00791A68" w:rsidRDefault="00791A68">
      <w:r>
        <w:t xml:space="preserve">Eligible market renters may receive rent assistance through </w:t>
      </w:r>
      <w:r w:rsidR="00977D75">
        <w:t xml:space="preserve">federal </w:t>
      </w:r>
      <w:r w:rsidR="00587672">
        <w:t>and</w:t>
      </w:r>
      <w:r w:rsidR="00DF1743">
        <w:t>/or</w:t>
      </w:r>
      <w:r>
        <w:t xml:space="preserve"> state </w:t>
      </w:r>
      <w:r w:rsidR="00587672">
        <w:t>or</w:t>
      </w:r>
      <w:r>
        <w:t xml:space="preserve"> territory income support. Home ownership support is primarily targeted at first home</w:t>
      </w:r>
      <w:r w:rsidR="007D23D1">
        <w:t xml:space="preserve"> </w:t>
      </w:r>
      <w:r>
        <w:t xml:space="preserve">buyers in the form of direct grants, stamp duty concessions and guarantees (which </w:t>
      </w:r>
      <w:r w:rsidR="00AB6AF6">
        <w:t>reduce</w:t>
      </w:r>
      <w:r>
        <w:t xml:space="preserve"> or eliminate the cost of </w:t>
      </w:r>
      <w:r w:rsidR="00691419">
        <w:t>Lenders Mortgage Insurance</w:t>
      </w:r>
      <w:r>
        <w:t>). This assistance helps people afford appropriate housing in the private market.</w:t>
      </w:r>
    </w:p>
    <w:p w14:paraId="5B7F38B9" w14:textId="07AEABBA" w:rsidR="00791A68" w:rsidRDefault="00791A68">
      <w:pPr>
        <w:rPr>
          <w:rFonts w:cstheme="minorHAnsi"/>
        </w:rPr>
      </w:pPr>
      <w:r>
        <w:rPr>
          <w:rFonts w:cstheme="minorHAnsi"/>
        </w:rPr>
        <w:t>However,</w:t>
      </w:r>
      <w:r w:rsidR="00DE5B3A">
        <w:rPr>
          <w:rFonts w:cstheme="minorHAnsi"/>
        </w:rPr>
        <w:t xml:space="preserve"> there </w:t>
      </w:r>
      <w:r>
        <w:rPr>
          <w:rFonts w:cstheme="minorHAnsi"/>
        </w:rPr>
        <w:t>is a trade</w:t>
      </w:r>
      <w:r w:rsidR="00A15C79">
        <w:rPr>
          <w:rFonts w:cstheme="minorHAnsi"/>
        </w:rPr>
        <w:noBreakHyphen/>
      </w:r>
      <w:r>
        <w:rPr>
          <w:rFonts w:cstheme="minorHAnsi"/>
        </w:rPr>
        <w:t xml:space="preserve">off between the rise in the demand from these measures and the increase in prices this may cause, which may </w:t>
      </w:r>
      <w:r w:rsidR="00F90C93">
        <w:rPr>
          <w:rFonts w:cstheme="minorHAnsi"/>
        </w:rPr>
        <w:t xml:space="preserve">reduce </w:t>
      </w:r>
      <w:r>
        <w:rPr>
          <w:rFonts w:cstheme="minorHAnsi"/>
        </w:rPr>
        <w:t>affordability for renters and home</w:t>
      </w:r>
      <w:r w:rsidR="007D23D1">
        <w:rPr>
          <w:rFonts w:cstheme="minorHAnsi"/>
        </w:rPr>
        <w:t xml:space="preserve"> </w:t>
      </w:r>
      <w:r>
        <w:rPr>
          <w:rFonts w:cstheme="minorHAnsi"/>
        </w:rPr>
        <w:t xml:space="preserve">buyers </w:t>
      </w:r>
      <w:r w:rsidR="007D57DA">
        <w:rPr>
          <w:rFonts w:cstheme="minorHAnsi"/>
        </w:rPr>
        <w:t>who cannot</w:t>
      </w:r>
      <w:r>
        <w:rPr>
          <w:rFonts w:cstheme="minorHAnsi"/>
        </w:rPr>
        <w:t xml:space="preserve"> access government support. Demand</w:t>
      </w:r>
      <w:r w:rsidR="00A15C79">
        <w:rPr>
          <w:rFonts w:cstheme="minorHAnsi"/>
        </w:rPr>
        <w:noBreakHyphen/>
      </w:r>
      <w:r>
        <w:rPr>
          <w:rFonts w:cstheme="minorHAnsi"/>
        </w:rPr>
        <w:t>side support for first home</w:t>
      </w:r>
      <w:r w:rsidR="007D23D1">
        <w:rPr>
          <w:rFonts w:cstheme="minorHAnsi"/>
        </w:rPr>
        <w:t xml:space="preserve"> </w:t>
      </w:r>
      <w:r>
        <w:rPr>
          <w:rFonts w:cstheme="minorHAnsi"/>
        </w:rPr>
        <w:t>buyers is particularly contentious as it may act largely to bring forward latent demand, and is more likely to inflate prices (Daley</w:t>
      </w:r>
      <w:r w:rsidR="00A30488">
        <w:rPr>
          <w:rFonts w:cstheme="minorHAnsi"/>
        </w:rPr>
        <w:t xml:space="preserve"> </w:t>
      </w:r>
      <w:r>
        <w:rPr>
          <w:rFonts w:cstheme="minorHAnsi"/>
        </w:rPr>
        <w:t xml:space="preserve">et al. </w:t>
      </w:r>
      <w:r w:rsidRPr="00EB3C8D">
        <w:rPr>
          <w:rFonts w:cstheme="minorHAnsi"/>
        </w:rPr>
        <w:t>2018</w:t>
      </w:r>
      <w:r>
        <w:rPr>
          <w:rFonts w:cstheme="minorHAnsi"/>
        </w:rPr>
        <w:t xml:space="preserve">; </w:t>
      </w:r>
      <w:proofErr w:type="spellStart"/>
      <w:r>
        <w:rPr>
          <w:rFonts w:cstheme="minorHAnsi"/>
        </w:rPr>
        <w:t>Eslake</w:t>
      </w:r>
      <w:proofErr w:type="spellEnd"/>
      <w:r>
        <w:rPr>
          <w:rFonts w:cstheme="minorHAnsi"/>
        </w:rPr>
        <w:t xml:space="preserve"> 2013; P</w:t>
      </w:r>
      <w:r w:rsidR="00A30488">
        <w:rPr>
          <w:rFonts w:cstheme="minorHAnsi"/>
        </w:rPr>
        <w:t xml:space="preserve">roductivity </w:t>
      </w:r>
      <w:r>
        <w:rPr>
          <w:rFonts w:cstheme="minorHAnsi"/>
        </w:rPr>
        <w:t>C</w:t>
      </w:r>
      <w:r w:rsidR="00A30488">
        <w:rPr>
          <w:rFonts w:cstheme="minorHAnsi"/>
        </w:rPr>
        <w:t>ommission</w:t>
      </w:r>
      <w:r>
        <w:rPr>
          <w:rFonts w:cstheme="minorHAnsi"/>
        </w:rPr>
        <w:t xml:space="preserve"> 2022). For renters, evidence suggests that</w:t>
      </w:r>
      <w:r w:rsidDel="00DB632D">
        <w:rPr>
          <w:rFonts w:cstheme="minorHAnsi"/>
        </w:rPr>
        <w:t xml:space="preserve"> </w:t>
      </w:r>
      <w:r>
        <w:rPr>
          <w:rFonts w:cstheme="minorHAnsi"/>
        </w:rPr>
        <w:t>support for lower</w:t>
      </w:r>
      <w:r w:rsidR="00A15C79">
        <w:rPr>
          <w:rFonts w:cstheme="minorHAnsi"/>
        </w:rPr>
        <w:noBreakHyphen/>
      </w:r>
      <w:r>
        <w:rPr>
          <w:rFonts w:cstheme="minorHAnsi"/>
        </w:rPr>
        <w:t>income earners is less likely to substantially increase rents (Daley et al. 2018; Ong et al</w:t>
      </w:r>
      <w:r w:rsidR="002F298E">
        <w:rPr>
          <w:rFonts w:cstheme="minorHAnsi"/>
        </w:rPr>
        <w:t>.</w:t>
      </w:r>
      <w:r>
        <w:rPr>
          <w:rFonts w:cstheme="minorHAnsi"/>
        </w:rPr>
        <w:t xml:space="preserve"> 2020). </w:t>
      </w:r>
    </w:p>
    <w:p w14:paraId="3AB002E0" w14:textId="6B48097A" w:rsidR="00791A68" w:rsidRDefault="00034DCE">
      <w:r>
        <w:t>CRA is t</w:t>
      </w:r>
      <w:r w:rsidR="00791A68">
        <w:t xml:space="preserve">he most common form of housing assistance households </w:t>
      </w:r>
      <w:r>
        <w:t>receive</w:t>
      </w:r>
      <w:r w:rsidR="00791A68">
        <w:t xml:space="preserve">. </w:t>
      </w:r>
      <w:r w:rsidR="00C6135D">
        <w:t xml:space="preserve">The </w:t>
      </w:r>
      <w:r w:rsidR="0099326B">
        <w:t>Australian Government</w:t>
      </w:r>
      <w:r w:rsidR="00C6135D">
        <w:t xml:space="preserve"> </w:t>
      </w:r>
      <w:r w:rsidR="00791A68">
        <w:t>provide</w:t>
      </w:r>
      <w:r w:rsidR="00C6135D">
        <w:t>s</w:t>
      </w:r>
      <w:r w:rsidR="00791A68">
        <w:t xml:space="preserve"> </w:t>
      </w:r>
      <w:r w:rsidR="00C6135D">
        <w:t>it</w:t>
      </w:r>
      <w:r w:rsidR="00791A68">
        <w:t xml:space="preserve"> to eligible families and individuals who pay or are liable to pay rental housing costs, including private rent and community housing rent. Only families and individuals who receive other transfer payments are eligible. CRA is paid at 75 cents for every dollar above a minimum rental threshold until a maximum rate is reached (AIHW 2023</w:t>
      </w:r>
      <w:r w:rsidR="00C26478">
        <w:t>a</w:t>
      </w:r>
      <w:r w:rsidR="00791A68">
        <w:t>). The minimum threshold and maximum rates vary according to the household or family situation, including the number of children (AIHW</w:t>
      </w:r>
      <w:r w:rsidR="00CC12B5">
        <w:t> </w:t>
      </w:r>
      <w:r w:rsidR="00791A68">
        <w:t>2023</w:t>
      </w:r>
      <w:r w:rsidR="00DF1EE7">
        <w:t>a</w:t>
      </w:r>
      <w:r w:rsidR="00791A68">
        <w:t>). Most CRA recipients are private renters,</w:t>
      </w:r>
      <w:r w:rsidR="00791A68" w:rsidRPr="00EB3C8D">
        <w:t xml:space="preserve"> </w:t>
      </w:r>
      <w:r w:rsidR="00791A68">
        <w:t xml:space="preserve">as households in public housing are ineligible. </w:t>
      </w:r>
    </w:p>
    <w:p w14:paraId="0D6B13E9" w14:textId="2FEF9F81" w:rsidR="00791A68" w:rsidRDefault="00791A68">
      <w:r>
        <w:t>State and territory private rental assistance (PRA) is directed only at the private rental market. These schemes are much smaller than CRA and are typically only provided once, as either a bond loan or a rental grant, though state</w:t>
      </w:r>
      <w:r w:rsidR="00827FC7">
        <w:t>s</w:t>
      </w:r>
      <w:r>
        <w:t xml:space="preserve"> and territories may offer different types of </w:t>
      </w:r>
      <w:r w:rsidRPr="00401908">
        <w:t>assistance (</w:t>
      </w:r>
      <w:r w:rsidRPr="0065638F">
        <w:t>AIHW</w:t>
      </w:r>
      <w:r w:rsidRPr="00401908">
        <w:t xml:space="preserve"> 20</w:t>
      </w:r>
      <w:r w:rsidRPr="0065638F">
        <w:t>23</w:t>
      </w:r>
      <w:r w:rsidR="00C26478">
        <w:t>a</w:t>
      </w:r>
      <w:r w:rsidRPr="00401908">
        <w:t>)</w:t>
      </w:r>
      <w:r w:rsidR="008E4210">
        <w:t xml:space="preserve">. </w:t>
      </w:r>
    </w:p>
    <w:p w14:paraId="5FE77E86" w14:textId="43788C18" w:rsidR="00791A68" w:rsidRDefault="00791A68" w:rsidP="006F5BB5">
      <w:r>
        <w:t>CRA assisted</w:t>
      </w:r>
      <w:r w:rsidRPr="00071742">
        <w:t xml:space="preserve"> </w:t>
      </w:r>
      <w:r w:rsidRPr="006162DC">
        <w:t>1.3</w:t>
      </w:r>
      <w:r w:rsidR="0099326B">
        <w:t> million</w:t>
      </w:r>
      <w:r>
        <w:t xml:space="preserve"> recipients in </w:t>
      </w:r>
      <w:r w:rsidRPr="006162DC">
        <w:t>2023</w:t>
      </w:r>
      <w:r w:rsidR="001E7415">
        <w:t>–</w:t>
      </w:r>
      <w:r w:rsidRPr="00071742">
        <w:t>24</w:t>
      </w:r>
      <w:r>
        <w:t xml:space="preserve">, which was </w:t>
      </w:r>
      <w:r w:rsidRPr="006162DC">
        <w:t>3.8</w:t>
      </w:r>
      <w:r w:rsidR="0099326B">
        <w:t> per cent</w:t>
      </w:r>
      <w:r>
        <w:t xml:space="preserve"> </w:t>
      </w:r>
      <w:r w:rsidR="00E16F28">
        <w:t>more</w:t>
      </w:r>
      <w:r w:rsidRPr="006162DC">
        <w:t xml:space="preserve"> than </w:t>
      </w:r>
      <w:r>
        <w:t>in 2022</w:t>
      </w:r>
      <w:r w:rsidR="001E7415">
        <w:t>–</w:t>
      </w:r>
      <w:r>
        <w:t xml:space="preserve">23. </w:t>
      </w:r>
      <w:r w:rsidRPr="00EB3C8D">
        <w:t>The number of CRA recipients peaked in 2020</w:t>
      </w:r>
      <w:r w:rsidR="001E7415">
        <w:t>–</w:t>
      </w:r>
      <w:r w:rsidRPr="00EB3C8D">
        <w:t xml:space="preserve">21 when </w:t>
      </w:r>
      <w:r w:rsidR="00E16F28">
        <w:t xml:space="preserve">the number of </w:t>
      </w:r>
      <w:r w:rsidRPr="00EB3C8D">
        <w:t xml:space="preserve">eligible </w:t>
      </w:r>
      <w:r>
        <w:t>person</w:t>
      </w:r>
      <w:r w:rsidRPr="00EB3C8D">
        <w:t xml:space="preserve">s </w:t>
      </w:r>
      <w:r>
        <w:t>increased due to</w:t>
      </w:r>
      <w:r w:rsidRPr="00EB3C8D">
        <w:t xml:space="preserve"> </w:t>
      </w:r>
      <w:r>
        <w:t xml:space="preserve">a rise in </w:t>
      </w:r>
      <w:r w:rsidRPr="00DF1771">
        <w:t>support</w:t>
      </w:r>
      <w:r w:rsidRPr="00EB3C8D">
        <w:t xml:space="preserve"> measures </w:t>
      </w:r>
      <w:r>
        <w:t>and</w:t>
      </w:r>
      <w:r w:rsidRPr="00EB3C8D">
        <w:t xml:space="preserve"> unemployment </w:t>
      </w:r>
      <w:r>
        <w:t>during the</w:t>
      </w:r>
      <w:r w:rsidRPr="00EB3C8D">
        <w:t xml:space="preserve"> </w:t>
      </w:r>
      <w:r w:rsidR="001E7415">
        <w:t>P</w:t>
      </w:r>
      <w:r w:rsidRPr="00EB3C8D">
        <w:t>andemic (</w:t>
      </w:r>
      <w:r w:rsidR="00D620A4">
        <w:t xml:space="preserve">see </w:t>
      </w:r>
      <w:r w:rsidRPr="00EB3C8D">
        <w:t>Chart 3.8).</w:t>
      </w:r>
      <w:r>
        <w:t xml:space="preserve"> The number of </w:t>
      </w:r>
      <w:r w:rsidR="0099326B">
        <w:t>First Nations</w:t>
      </w:r>
      <w:r>
        <w:t xml:space="preserve"> </w:t>
      </w:r>
      <w:r w:rsidR="0018625B">
        <w:t xml:space="preserve">CRA </w:t>
      </w:r>
      <w:r>
        <w:t>recipients</w:t>
      </w:r>
      <w:r w:rsidRPr="00071742">
        <w:t xml:space="preserve"> </w:t>
      </w:r>
      <w:r>
        <w:t>rose</w:t>
      </w:r>
      <w:r w:rsidRPr="006162DC">
        <w:t xml:space="preserve"> by 10.7</w:t>
      </w:r>
      <w:r w:rsidR="0099326B">
        <w:t> per cent</w:t>
      </w:r>
      <w:r w:rsidRPr="006162DC">
        <w:t xml:space="preserve"> in </w:t>
      </w:r>
      <w:r>
        <w:t>2023</w:t>
      </w:r>
      <w:r w:rsidR="00FB0216">
        <w:t>–</w:t>
      </w:r>
      <w:r>
        <w:t>24</w:t>
      </w:r>
      <w:r w:rsidR="00FB0216">
        <w:t xml:space="preserve"> – </w:t>
      </w:r>
      <w:r>
        <w:t>only</w:t>
      </w:r>
      <w:r w:rsidRPr="006162DC">
        <w:t xml:space="preserve"> </w:t>
      </w:r>
      <w:r>
        <w:t>4.9</w:t>
      </w:r>
      <w:r w:rsidR="0099326B">
        <w:t> per cent</w:t>
      </w:r>
      <w:r w:rsidRPr="006162DC">
        <w:t xml:space="preserve"> below </w:t>
      </w:r>
      <w:r>
        <w:t>its</w:t>
      </w:r>
      <w:r w:rsidRPr="006162DC">
        <w:t xml:space="preserve"> peak in 2020</w:t>
      </w:r>
      <w:r w:rsidR="00FB0216">
        <w:t>–</w:t>
      </w:r>
      <w:r w:rsidR="00D43146">
        <w:t>‍</w:t>
      </w:r>
      <w:r w:rsidRPr="006162DC">
        <w:t>21</w:t>
      </w:r>
      <w:r>
        <w:t xml:space="preserve"> (</w:t>
      </w:r>
      <w:r w:rsidR="00FB0216">
        <w:t xml:space="preserve">see </w:t>
      </w:r>
      <w:r>
        <w:t>Chart</w:t>
      </w:r>
      <w:r w:rsidR="00DA5C83">
        <w:t> </w:t>
      </w:r>
      <w:r>
        <w:t>3</w:t>
      </w:r>
      <w:r w:rsidRPr="006162DC">
        <w:t>.</w:t>
      </w:r>
      <w:r>
        <w:t>9</w:t>
      </w:r>
      <w:r w:rsidRPr="006162DC">
        <w:t>)</w:t>
      </w:r>
      <w:r w:rsidRPr="00071742">
        <w:t>.</w:t>
      </w:r>
      <w:r>
        <w:t xml:space="preserve"> </w:t>
      </w:r>
    </w:p>
    <w:tbl>
      <w:tblPr>
        <w:tblStyle w:val="SidebySideChartTable"/>
        <w:tblW w:w="4997" w:type="pct"/>
        <w:tblCellMar>
          <w:left w:w="108" w:type="dxa"/>
          <w:right w:w="108" w:type="dxa"/>
        </w:tblCellMar>
        <w:tblLook w:val="04A0" w:firstRow="1" w:lastRow="0" w:firstColumn="1" w:lastColumn="0" w:noHBand="0" w:noVBand="1"/>
      </w:tblPr>
      <w:tblGrid>
        <w:gridCol w:w="4535"/>
        <w:gridCol w:w="4535"/>
      </w:tblGrid>
      <w:tr w:rsidR="00791A68" w:rsidRPr="007904CA" w14:paraId="20047B5D" w14:textId="77777777" w:rsidTr="007137AD">
        <w:tc>
          <w:tcPr>
            <w:tcW w:w="4532" w:type="dxa"/>
          </w:tcPr>
          <w:p w14:paraId="4EEDD350" w14:textId="1BF24D37" w:rsidR="00791A68" w:rsidRPr="00F95F6E" w:rsidRDefault="00791A68" w:rsidP="006F5BB5">
            <w:pPr>
              <w:pStyle w:val="ChartMainHeading"/>
              <w:spacing w:before="0"/>
            </w:pPr>
            <w:r w:rsidRPr="00F95F6E">
              <w:lastRenderedPageBreak/>
              <w:t>CRA recipients</w:t>
            </w:r>
          </w:p>
        </w:tc>
        <w:tc>
          <w:tcPr>
            <w:tcW w:w="4533" w:type="dxa"/>
          </w:tcPr>
          <w:p w14:paraId="14D08ED7" w14:textId="54F9DF34" w:rsidR="00791A68" w:rsidRPr="00F95F6E" w:rsidRDefault="00791A68" w:rsidP="006F5BB5">
            <w:pPr>
              <w:pStyle w:val="ChartMainHeading"/>
              <w:spacing w:before="0"/>
            </w:pPr>
            <w:r w:rsidRPr="00F95F6E">
              <w:t xml:space="preserve"> </w:t>
            </w:r>
            <w:r w:rsidR="0099326B">
              <w:t>First Nations</w:t>
            </w:r>
            <w:r w:rsidRPr="00F95F6E">
              <w:t xml:space="preserve"> CRA recipients</w:t>
            </w:r>
          </w:p>
        </w:tc>
      </w:tr>
      <w:tr w:rsidR="007137AD" w:rsidRPr="007904CA" w14:paraId="67E4027D" w14:textId="77777777" w:rsidTr="007137AD">
        <w:tc>
          <w:tcPr>
            <w:tcW w:w="4532" w:type="dxa"/>
          </w:tcPr>
          <w:p w14:paraId="4273BC35" w14:textId="1FB23332" w:rsidR="007137AD" w:rsidRPr="00F95F6E" w:rsidRDefault="007137AD" w:rsidP="007137AD">
            <w:pPr>
              <w:pStyle w:val="ChartMainHeading"/>
              <w:numPr>
                <w:ilvl w:val="0"/>
                <w:numId w:val="0"/>
              </w:numPr>
              <w:spacing w:before="0"/>
            </w:pPr>
            <w:r w:rsidRPr="00E153A5">
              <w:rPr>
                <w:noProof/>
              </w:rPr>
              <w:drawing>
                <wp:inline distT="0" distB="0" distL="0" distR="0" wp14:anchorId="1262CC20" wp14:editId="733D9B9F">
                  <wp:extent cx="2844000" cy="2844000"/>
                  <wp:effectExtent l="0" t="0" r="0" b="0"/>
                  <wp:docPr id="836127282" name="Picture 18" descr="Chart 3.8 is a bar chart that shows the total number of Commonwealth Rent Assistance (CRA) recipients per financial year from 2018-19 to 2023-24. CRA assisted 1,311,350 recipients in 2023-24, which was an increase from 1,263,890 recipients in 2022-23, and above the 1,285,941 recipients recorded in 2018-19. The number of CRA recipients peaked in 2020-21 at 1,621,733 recip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27282" name="Picture 18" descr="Chart 3.8 is a bar chart that shows the total number of Commonwealth Rent Assistance (CRA) recipients per financial year from 2018-19 to 2023-24. CRA assisted 1,311,350 recipients in 2023-24, which was an increase from 1,263,890 recipients in 2022-23, and above the 1,285,941 recipients recorded in 2018-19. The number of CRA recipients peaked in 2020-21 at 1,621,733 recipients."/>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44000" cy="2844000"/>
                          </a:xfrm>
                          <a:prstGeom prst="rect">
                            <a:avLst/>
                          </a:prstGeom>
                          <a:noFill/>
                          <a:ln>
                            <a:noFill/>
                          </a:ln>
                        </pic:spPr>
                      </pic:pic>
                    </a:graphicData>
                  </a:graphic>
                </wp:inline>
              </w:drawing>
            </w:r>
          </w:p>
        </w:tc>
        <w:tc>
          <w:tcPr>
            <w:tcW w:w="4533" w:type="dxa"/>
          </w:tcPr>
          <w:p w14:paraId="6D08063B" w14:textId="2E2A9C5B" w:rsidR="007137AD" w:rsidRPr="00F95F6E" w:rsidRDefault="007137AD" w:rsidP="007137AD">
            <w:pPr>
              <w:pStyle w:val="ChartMainHeading"/>
              <w:numPr>
                <w:ilvl w:val="0"/>
                <w:numId w:val="0"/>
              </w:numPr>
              <w:spacing w:before="0"/>
            </w:pPr>
            <w:r w:rsidRPr="003F1790">
              <w:rPr>
                <w:noProof/>
              </w:rPr>
              <w:drawing>
                <wp:inline distT="0" distB="0" distL="0" distR="0" wp14:anchorId="33BD180A" wp14:editId="78500E52">
                  <wp:extent cx="2844000" cy="2844000"/>
                  <wp:effectExtent l="0" t="0" r="0" b="0"/>
                  <wp:docPr id="662297920" name="Picture 16" descr="Chart 3.9 is a bar chart that shows the total number of First Nations Commonwealth Rent Assistance (CRA) recipients per financial year from 2018-19 to 2023-24. CRA assisted 96,665 First Nations recipients in 2023-24, which is an increase from 87,335 recipients in 2022-23, and above the 74,942 recipients recorded in 2018-19. The number of First Nations CRA recipients peaked in 2020-21 at 101,646 recip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97920" name="Picture 16" descr="Chart 3.9 is a bar chart that shows the total number of First Nations Commonwealth Rent Assistance (CRA) recipients per financial year from 2018-19 to 2023-24. CRA assisted 96,665 First Nations recipients in 2023-24, which is an increase from 87,335 recipients in 2022-23, and above the 74,942 recipients recorded in 2018-19. The number of First Nations CRA recipients peaked in 2020-21 at 101,646 recipient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44000" cy="2844000"/>
                          </a:xfrm>
                          <a:prstGeom prst="rect">
                            <a:avLst/>
                          </a:prstGeom>
                          <a:noFill/>
                          <a:ln>
                            <a:noFill/>
                          </a:ln>
                        </pic:spPr>
                      </pic:pic>
                    </a:graphicData>
                  </a:graphic>
                </wp:inline>
              </w:drawing>
            </w:r>
          </w:p>
        </w:tc>
      </w:tr>
      <w:tr w:rsidR="00791A68" w:rsidRPr="007904CA" w14:paraId="1C3B72FB" w14:textId="77777777" w:rsidTr="007137AD">
        <w:tc>
          <w:tcPr>
            <w:tcW w:w="4532" w:type="dxa"/>
          </w:tcPr>
          <w:p w14:paraId="631F38B7" w14:textId="01CF1D79" w:rsidR="00791A68" w:rsidRPr="006F5BB5" w:rsidRDefault="00791A68" w:rsidP="006F5BB5">
            <w:pPr>
              <w:pStyle w:val="ChartorTableNoteandSource"/>
            </w:pPr>
            <w:r w:rsidRPr="006F5BB5">
              <w:t>Source:</w:t>
            </w:r>
            <w:r w:rsidR="00CC12B5" w:rsidRPr="006F5BB5">
              <w:tab/>
            </w:r>
            <w:r w:rsidRPr="006F5BB5">
              <w:t>Steering Committee for the Review of Government Service Provision 2025</w:t>
            </w:r>
          </w:p>
        </w:tc>
        <w:tc>
          <w:tcPr>
            <w:tcW w:w="4533" w:type="dxa"/>
          </w:tcPr>
          <w:p w14:paraId="3FCFA6B6" w14:textId="78AD25DB" w:rsidR="00791A68" w:rsidRPr="006F5BB5" w:rsidRDefault="00791A68" w:rsidP="006F5BB5">
            <w:pPr>
              <w:pStyle w:val="ChartorTableNoteandSource"/>
            </w:pPr>
            <w:r w:rsidRPr="006F5BB5">
              <w:t>Source:</w:t>
            </w:r>
            <w:r w:rsidR="00CC12B5" w:rsidRPr="006F5BB5">
              <w:tab/>
            </w:r>
            <w:r w:rsidRPr="006F5BB5">
              <w:t>Steering Committee for the Review of Government Service Provision 2025</w:t>
            </w:r>
          </w:p>
        </w:tc>
      </w:tr>
    </w:tbl>
    <w:p w14:paraId="2FB6B903" w14:textId="34720CFC" w:rsidR="00791A68" w:rsidRDefault="00791A68" w:rsidP="006F5BB5">
      <w:r>
        <w:t>CRA plays a key role in reducing housing stress. In 2023</w:t>
      </w:r>
      <w:r w:rsidR="0041243A">
        <w:t>–</w:t>
      </w:r>
      <w:r>
        <w:t>24, around 73</w:t>
      </w:r>
      <w:r w:rsidR="0099326B">
        <w:t> per cent</w:t>
      </w:r>
      <w:r>
        <w:t xml:space="preserve"> of recipients would have been in housing stress without CRA, compared to 42</w:t>
      </w:r>
      <w:r w:rsidR="0099326B">
        <w:t> per cent</w:t>
      </w:r>
      <w:r>
        <w:t xml:space="preserve"> of recipients with CRA (</w:t>
      </w:r>
      <w:r w:rsidR="00BD13DC">
        <w:t>Steering Committee for the Review of Government Service Pr</w:t>
      </w:r>
      <w:r w:rsidR="00857431">
        <w:t>ovision</w:t>
      </w:r>
      <w:r w:rsidR="00714BEC">
        <w:t xml:space="preserve"> </w:t>
      </w:r>
      <w:r>
        <w:t>2025). There has been a 2</w:t>
      </w:r>
      <w:r w:rsidR="00D44B3F">
        <w:t xml:space="preserve"> </w:t>
      </w:r>
      <w:r>
        <w:t>percentage</w:t>
      </w:r>
      <w:r w:rsidR="00D44B3F">
        <w:t xml:space="preserve"> </w:t>
      </w:r>
      <w:r>
        <w:t xml:space="preserve">point rise in CRA recipients who would have been in housing stress without CRA, but a </w:t>
      </w:r>
      <w:r w:rsidR="007639F4">
        <w:t>1</w:t>
      </w:r>
      <w:r w:rsidR="00D44B3F">
        <w:t xml:space="preserve"> </w:t>
      </w:r>
      <w:r>
        <w:t>percentage</w:t>
      </w:r>
      <w:r w:rsidR="00D44B3F">
        <w:t xml:space="preserve"> </w:t>
      </w:r>
      <w:r>
        <w:t xml:space="preserve">point fall in those in rental stress after receiving CRA, reflecting the increase </w:t>
      </w:r>
      <w:r w:rsidR="00754555">
        <w:t xml:space="preserve">in </w:t>
      </w:r>
      <w:r>
        <w:t>CRA in the Budget</w:t>
      </w:r>
      <w:r w:rsidR="00754555">
        <w:t xml:space="preserve"> </w:t>
      </w:r>
      <w:r>
        <w:t xml:space="preserve">2023–24 </w:t>
      </w:r>
      <w:r w:rsidR="00754555">
        <w:t>(</w:t>
      </w:r>
      <w:r w:rsidR="00CB14CA">
        <w:t xml:space="preserve">see </w:t>
      </w:r>
      <w:r>
        <w:t>Chart 3.10). Households with members aged under</w:t>
      </w:r>
      <w:r w:rsidR="00BC0CF5">
        <w:t xml:space="preserve"> 25</w:t>
      </w:r>
      <w:r>
        <w:t xml:space="preserve"> are most likely to remain in rental stress after receiving CRA</w:t>
      </w:r>
      <w:r w:rsidR="00272785">
        <w:t xml:space="preserve"> –</w:t>
      </w:r>
      <w:r>
        <w:t xml:space="preserve"> at 60</w:t>
      </w:r>
      <w:r w:rsidR="0099326B">
        <w:t> per cent</w:t>
      </w:r>
      <w:r>
        <w:t xml:space="preserve"> (</w:t>
      </w:r>
      <w:r w:rsidR="00272785">
        <w:t xml:space="preserve">see </w:t>
      </w:r>
      <w:r>
        <w:t>Chart 3.11)</w:t>
      </w:r>
      <w:r w:rsidR="00272785">
        <w:t xml:space="preserve"> –</w:t>
      </w:r>
      <w:r>
        <w:t xml:space="preserve"> though this fell by 6 percentage points over the year. Around 36</w:t>
      </w:r>
      <w:r w:rsidR="0099326B">
        <w:t> per cent</w:t>
      </w:r>
      <w:r>
        <w:t xml:space="preserve"> of </w:t>
      </w:r>
      <w:r w:rsidR="00A11FDB">
        <w:t>First Nations</w:t>
      </w:r>
      <w:r>
        <w:t xml:space="preserve"> CRA recipients were in rental stress after receiving CRA (</w:t>
      </w:r>
      <w:r>
        <w:rPr>
          <w:rFonts w:cstheme="minorHAnsi"/>
        </w:rPr>
        <w:t xml:space="preserve">see </w:t>
      </w:r>
      <w:r w:rsidRPr="00DF1743">
        <w:rPr>
          <w:rFonts w:cstheme="minorHAnsi"/>
        </w:rPr>
        <w:t>Chapter 6</w:t>
      </w:r>
      <w:r w:rsidR="00272785" w:rsidRPr="00272785">
        <w:rPr>
          <w:rFonts w:cstheme="minorHAnsi"/>
        </w:rPr>
        <w:t xml:space="preserve">, </w:t>
      </w:r>
      <w:r w:rsidR="0099326B" w:rsidRPr="00CC12B5">
        <w:rPr>
          <w:rStyle w:val="Emphasis"/>
        </w:rPr>
        <w:t>First Nations</w:t>
      </w:r>
      <w:r w:rsidRPr="00CC12B5">
        <w:rPr>
          <w:rStyle w:val="Emphasis"/>
        </w:rPr>
        <w:t xml:space="preserve"> housing</w:t>
      </w:r>
      <w:r w:rsidRPr="00EB3C8D">
        <w:rPr>
          <w:rFonts w:cstheme="minorHAnsi"/>
        </w:rPr>
        <w:t>).</w:t>
      </w:r>
    </w:p>
    <w:tbl>
      <w:tblPr>
        <w:tblStyle w:val="SidebySideChartTable"/>
        <w:tblW w:w="5000" w:type="pct"/>
        <w:tblCellMar>
          <w:left w:w="108" w:type="dxa"/>
          <w:right w:w="108" w:type="dxa"/>
        </w:tblCellMar>
        <w:tblLook w:val="04A0" w:firstRow="1" w:lastRow="0" w:firstColumn="1" w:lastColumn="0" w:noHBand="0" w:noVBand="1"/>
      </w:tblPr>
      <w:tblGrid>
        <w:gridCol w:w="4535"/>
        <w:gridCol w:w="4535"/>
      </w:tblGrid>
      <w:tr w:rsidR="00791A68" w:rsidRPr="007904CA" w14:paraId="034F0472" w14:textId="77777777" w:rsidTr="00CC12B5">
        <w:tc>
          <w:tcPr>
            <w:tcW w:w="4538" w:type="dxa"/>
          </w:tcPr>
          <w:p w14:paraId="0FE479EA" w14:textId="77777777" w:rsidR="00791A68" w:rsidRPr="0099326B" w:rsidRDefault="00791A68" w:rsidP="00780A40">
            <w:pPr>
              <w:pStyle w:val="ChartMainHeading"/>
              <w:spacing w:before="0"/>
            </w:pPr>
            <w:r w:rsidRPr="0099326B">
              <w:lastRenderedPageBreak/>
              <w:t xml:space="preserve">Rental stress, </w:t>
            </w:r>
            <w:r w:rsidRPr="0099326B">
              <w:br/>
              <w:t>by CRA recipient</w:t>
            </w:r>
          </w:p>
        </w:tc>
        <w:tc>
          <w:tcPr>
            <w:tcW w:w="4532" w:type="dxa"/>
          </w:tcPr>
          <w:p w14:paraId="4B25C6F8" w14:textId="302A9F15" w:rsidR="00791A68" w:rsidRPr="0099326B" w:rsidRDefault="00791A68" w:rsidP="00780A40">
            <w:pPr>
              <w:pStyle w:val="ChartMainHeading"/>
              <w:spacing w:before="0"/>
            </w:pPr>
            <w:r w:rsidRPr="0099326B">
              <w:t xml:space="preserve">Rental stress, </w:t>
            </w:r>
            <w:r w:rsidRPr="0099326B">
              <w:br/>
              <w:t>by selected equity groups, 2024</w:t>
            </w:r>
          </w:p>
        </w:tc>
      </w:tr>
      <w:tr w:rsidR="00791A68" w:rsidRPr="007904CA" w14:paraId="5E592658" w14:textId="77777777" w:rsidTr="00CC12B5">
        <w:trPr>
          <w:trHeight w:val="4639"/>
        </w:trPr>
        <w:tc>
          <w:tcPr>
            <w:tcW w:w="4538" w:type="dxa"/>
          </w:tcPr>
          <w:p w14:paraId="096A2F8E" w14:textId="390D77EF" w:rsidR="00791A68" w:rsidRPr="00CC12B5" w:rsidRDefault="007C34F0" w:rsidP="0041126E">
            <w:pPr>
              <w:pStyle w:val="ChartGraphic"/>
              <w:jc w:val="left"/>
            </w:pPr>
            <w:r w:rsidRPr="007C34F0">
              <w:rPr>
                <w:noProof/>
              </w:rPr>
              <w:drawing>
                <wp:inline distT="0" distB="0" distL="0" distR="0" wp14:anchorId="7644AF7C" wp14:editId="235D992A">
                  <wp:extent cx="2808000" cy="2808000"/>
                  <wp:effectExtent l="0" t="0" r="0" b="0"/>
                  <wp:docPr id="1971515340" name="Picture 19" descr="Chart 3.10 is a bar chart that shows the proportion of Commonwealth Rent Assistance (CRA) recipients who are in rental stress before and after receiving CRA, between 2018 and 2024. The proportions have stayed relatively steady over this period, except for a temporary decline in 2020. In 2018, 68.3 per cent of recipients were in rental stress before receiving CRA, compared to 40.3 per cent after receiving CRA. In 2024, 72.6 per cent of recipients were in rental stress before receiving CRA, compared to 41.8 per cent after receiving CRA. In 2020, the proportion of CRA recipients in rental stress temporarily fell to 55.4 per cent before receiving CRA, compared to 29.4 per cent after receiving C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515340" name="Picture 19" descr="Chart 3.10 is a bar chart that shows the proportion of Commonwealth Rent Assistance (CRA) recipients who are in rental stress before and after receiving CRA, between 2018 and 2024. The proportions have stayed relatively steady over this period, except for a temporary decline in 2020. In 2018, 68.3 per cent of recipients were in rental stress before receiving CRA, compared to 40.3 per cent after receiving CRA. In 2024, 72.6 per cent of recipients were in rental stress before receiving CRA, compared to 41.8 per cent after receiving CRA. In 2020, the proportion of CRA recipients in rental stress temporarily fell to 55.4 per cent before receiving CRA, compared to 29.4 per cent after receiving CRA. "/>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08000" cy="2808000"/>
                          </a:xfrm>
                          <a:prstGeom prst="rect">
                            <a:avLst/>
                          </a:prstGeom>
                          <a:noFill/>
                          <a:ln>
                            <a:noFill/>
                          </a:ln>
                        </pic:spPr>
                      </pic:pic>
                    </a:graphicData>
                  </a:graphic>
                </wp:inline>
              </w:drawing>
            </w:r>
          </w:p>
        </w:tc>
        <w:tc>
          <w:tcPr>
            <w:tcW w:w="4532" w:type="dxa"/>
          </w:tcPr>
          <w:p w14:paraId="49AF1F86" w14:textId="54BEECDB" w:rsidR="00791A68" w:rsidRPr="00CC12B5" w:rsidRDefault="00FF2048" w:rsidP="0041126E">
            <w:pPr>
              <w:pStyle w:val="ChartGraphic"/>
              <w:jc w:val="left"/>
            </w:pPr>
            <w:r w:rsidRPr="00FF2048">
              <w:rPr>
                <w:noProof/>
              </w:rPr>
              <w:drawing>
                <wp:inline distT="0" distB="0" distL="0" distR="0" wp14:anchorId="46B98984" wp14:editId="087983E6">
                  <wp:extent cx="2808000" cy="2808000"/>
                  <wp:effectExtent l="0" t="0" r="0" b="0"/>
                  <wp:docPr id="1417566226" name="Picture 20" descr="Chart 3.11 is a bar chart that shows the number of people in rental stress before and after receiving Commonwealth Rent Assistance (CRA) for all income units and select equity groups, which includes First Nations people, those with a Disability Support Pension, those with a family member aged under 25 years, and those with a family member aged over 75 years, in 2024. Recipients with a family member aged under 25 had the highest incidence of rental stress both before and after receiving CRA, at 84.3 and 59.5 per cent respectively. In contrast, recipients with a family member aged over 75 years had the lowest incidence of rental stress both before and after receiving CRA, at 63.1 and 28.6 per cent respectively. The chart also shows that CRA proportionately reduces rental stress for Aboriginal and Torres Strait Islander recipients, and recipients on the disability support pension, by a greater amount than compared to all income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66226" name="Picture 20" descr="Chart 3.11 is a bar chart that shows the number of people in rental stress before and after receiving Commonwealth Rent Assistance (CRA) for all income units and select equity groups, which includes First Nations people, those with a Disability Support Pension, those with a family member aged under 25 years, and those with a family member aged over 75 years, in 2024. Recipients with a family member aged under 25 had the highest incidence of rental stress both before and after receiving CRA, at 84.3 and 59.5 per cent respectively. In contrast, recipients with a family member aged over 75 years had the lowest incidence of rental stress both before and after receiving CRA, at 63.1 and 28.6 per cent respectively. The chart also shows that CRA proportionately reduces rental stress for Aboriginal and Torres Strait Islander recipients, and recipients on the disability support pension, by a greater amount than compared to all income units."/>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08000" cy="2808000"/>
                          </a:xfrm>
                          <a:prstGeom prst="rect">
                            <a:avLst/>
                          </a:prstGeom>
                          <a:noFill/>
                          <a:ln>
                            <a:noFill/>
                          </a:ln>
                        </pic:spPr>
                      </pic:pic>
                    </a:graphicData>
                  </a:graphic>
                </wp:inline>
              </w:drawing>
            </w:r>
          </w:p>
        </w:tc>
      </w:tr>
      <w:tr w:rsidR="00791A68" w:rsidRPr="007904CA" w14:paraId="040B7B41" w14:textId="77777777" w:rsidTr="00CC12B5">
        <w:tc>
          <w:tcPr>
            <w:tcW w:w="4538" w:type="dxa"/>
          </w:tcPr>
          <w:p w14:paraId="1D20E440" w14:textId="15506CF8" w:rsidR="00791A68" w:rsidRPr="0099326B" w:rsidRDefault="00791A68" w:rsidP="00DB6DE6">
            <w:pPr>
              <w:pStyle w:val="ChartorTableNoteandSource"/>
            </w:pPr>
            <w:r w:rsidRPr="0099326B">
              <w:t>Source:</w:t>
            </w:r>
            <w:r w:rsidR="00CC12B5">
              <w:tab/>
            </w:r>
            <w:r w:rsidRPr="0099326B">
              <w:t>Steering Committee for the Review of Government Service Provision 2025</w:t>
            </w:r>
          </w:p>
        </w:tc>
        <w:tc>
          <w:tcPr>
            <w:tcW w:w="4532" w:type="dxa"/>
          </w:tcPr>
          <w:p w14:paraId="11E11C68" w14:textId="7AF7B1F4" w:rsidR="00791A68" w:rsidRPr="0099326B" w:rsidRDefault="00791A68" w:rsidP="00DB6DE6">
            <w:pPr>
              <w:pStyle w:val="ChartorTableNoteandSource"/>
            </w:pPr>
            <w:r w:rsidRPr="0099326B">
              <w:t>Source:</w:t>
            </w:r>
            <w:r w:rsidR="00CC12B5">
              <w:tab/>
            </w:r>
            <w:r w:rsidRPr="0099326B">
              <w:t>Steering Committee for the Review of Government Service Provision 2025</w:t>
            </w:r>
          </w:p>
        </w:tc>
      </w:tr>
    </w:tbl>
    <w:p w14:paraId="47842C4D" w14:textId="2F1C0B66" w:rsidR="00791A68" w:rsidRDefault="00791A68" w:rsidP="006F5BB5">
      <w:r>
        <w:t>Government assistance to home</w:t>
      </w:r>
      <w:r w:rsidR="007D23D1">
        <w:t xml:space="preserve"> </w:t>
      </w:r>
      <w:r>
        <w:t>buyers is targeted to aspiring first home</w:t>
      </w:r>
      <w:r w:rsidR="007452EC">
        <w:t xml:space="preserve"> </w:t>
      </w:r>
      <w:r>
        <w:t>owners. First home</w:t>
      </w:r>
      <w:r w:rsidDel="00A80867">
        <w:t xml:space="preserve"> </w:t>
      </w:r>
      <w:r>
        <w:t xml:space="preserve">buyer assistance </w:t>
      </w:r>
      <w:r w:rsidR="00E11813">
        <w:t xml:space="preserve">provided </w:t>
      </w:r>
      <w:r>
        <w:t xml:space="preserve">by </w:t>
      </w:r>
      <w:r w:rsidR="00D40DB7">
        <w:t>Commonwealth and</w:t>
      </w:r>
      <w:r>
        <w:t xml:space="preserve"> state and territory governments aims to promote home ownership, most often via direct grants and </w:t>
      </w:r>
      <w:r w:rsidRPr="00EE662A">
        <w:t>concessions. In 2023</w:t>
      </w:r>
      <w:r w:rsidR="00A80867">
        <w:t>–</w:t>
      </w:r>
      <w:r w:rsidRPr="00EE662A">
        <w:t xml:space="preserve">24, </w:t>
      </w:r>
      <w:r w:rsidRPr="006162DC">
        <w:t>state</w:t>
      </w:r>
      <w:r>
        <w:t>s</w:t>
      </w:r>
      <w:r w:rsidRPr="006162DC">
        <w:t xml:space="preserve"> and territories </w:t>
      </w:r>
      <w:r>
        <w:t xml:space="preserve">were </w:t>
      </w:r>
      <w:r w:rsidRPr="006162DC">
        <w:t>estimate</w:t>
      </w:r>
      <w:r>
        <w:t>d</w:t>
      </w:r>
      <w:r w:rsidRPr="006162DC">
        <w:t xml:space="preserve"> to have spent </w:t>
      </w:r>
      <w:r w:rsidR="005E4149">
        <w:t>more than</w:t>
      </w:r>
      <w:r w:rsidR="005E4149" w:rsidRPr="00EE662A">
        <w:t xml:space="preserve"> </w:t>
      </w:r>
      <w:r w:rsidRPr="00EE662A">
        <w:t>$</w:t>
      </w:r>
      <w:r>
        <w:t>1.6</w:t>
      </w:r>
      <w:r w:rsidR="0099326B">
        <w:t> billion</w:t>
      </w:r>
      <w:r w:rsidRPr="00EE662A">
        <w:t xml:space="preserve"> on stamp duty concessions</w:t>
      </w:r>
      <w:r w:rsidR="005E4149">
        <w:t xml:space="preserve"> –</w:t>
      </w:r>
      <w:r w:rsidRPr="00EE662A">
        <w:t xml:space="preserve"> </w:t>
      </w:r>
      <w:r>
        <w:t>20</w:t>
      </w:r>
      <w:r w:rsidR="0099326B">
        <w:t> per cent</w:t>
      </w:r>
      <w:r w:rsidRPr="00EE662A">
        <w:t xml:space="preserve"> </w:t>
      </w:r>
      <w:r w:rsidR="005E4149">
        <w:t xml:space="preserve">more </w:t>
      </w:r>
      <w:r>
        <w:t>than</w:t>
      </w:r>
      <w:r w:rsidR="005E4149">
        <w:t xml:space="preserve"> in</w:t>
      </w:r>
      <w:r w:rsidRPr="00EE662A">
        <w:t xml:space="preserve"> </w:t>
      </w:r>
      <w:r w:rsidRPr="006162DC">
        <w:t>2022</w:t>
      </w:r>
      <w:r w:rsidR="005E4149">
        <w:t>–</w:t>
      </w:r>
      <w:r w:rsidRPr="006162DC">
        <w:t>23</w:t>
      </w:r>
      <w:r w:rsidRPr="00EE662A">
        <w:t xml:space="preserve"> (</w:t>
      </w:r>
      <w:r w:rsidR="005E4149">
        <w:t xml:space="preserve">see </w:t>
      </w:r>
      <w:r w:rsidRPr="00EE662A">
        <w:t xml:space="preserve">Chart </w:t>
      </w:r>
      <w:r>
        <w:t>3</w:t>
      </w:r>
      <w:r w:rsidRPr="00EE662A">
        <w:t>.1</w:t>
      </w:r>
      <w:r>
        <w:t>2</w:t>
      </w:r>
      <w:r w:rsidRPr="00EE662A">
        <w:t xml:space="preserve">). </w:t>
      </w:r>
      <w:r w:rsidRPr="006162DC">
        <w:t>This reflects a significant increase in stamp duty exemptions in New South Wales</w:t>
      </w:r>
      <w:r>
        <w:t>,</w:t>
      </w:r>
      <w:r w:rsidRPr="006162DC">
        <w:t xml:space="preserve"> where the </w:t>
      </w:r>
      <w:r>
        <w:t xml:space="preserve">stamp duty </w:t>
      </w:r>
      <w:r w:rsidRPr="006162DC">
        <w:t xml:space="preserve">exemption </w:t>
      </w:r>
      <w:r>
        <w:t>thresholds have increased</w:t>
      </w:r>
      <w:r w:rsidRPr="006162DC">
        <w:t xml:space="preserve">, </w:t>
      </w:r>
      <w:r>
        <w:t>and</w:t>
      </w:r>
      <w:r w:rsidRPr="006162DC">
        <w:t xml:space="preserve"> the introduction of stamp duty relief for first home</w:t>
      </w:r>
      <w:r w:rsidR="007D23D1">
        <w:t xml:space="preserve"> </w:t>
      </w:r>
      <w:r w:rsidRPr="006162DC">
        <w:t xml:space="preserve">buyers in South Australia in </w:t>
      </w:r>
      <w:r>
        <w:t xml:space="preserve">June </w:t>
      </w:r>
      <w:r w:rsidRPr="006162DC">
        <w:t>2023.</w:t>
      </w:r>
      <w:r>
        <w:t xml:space="preserve"> The number of first home</w:t>
      </w:r>
      <w:r w:rsidR="00625750">
        <w:t xml:space="preserve"> </w:t>
      </w:r>
      <w:r>
        <w:t>owner grants has decreased in all states over the last financial year (</w:t>
      </w:r>
      <w:r w:rsidR="00013333">
        <w:t xml:space="preserve">see </w:t>
      </w:r>
      <w:r>
        <w:t>Chart 3.13). However, spending on home</w:t>
      </w:r>
      <w:r w:rsidR="00625750">
        <w:t xml:space="preserve"> </w:t>
      </w:r>
      <w:r>
        <w:t xml:space="preserve">owner grants for Queensland </w:t>
      </w:r>
      <w:r w:rsidR="00AF0E3D">
        <w:t xml:space="preserve">is </w:t>
      </w:r>
      <w:r>
        <w:t>expected to increase in the coming financial years, as the grant available for eligible first home</w:t>
      </w:r>
      <w:r w:rsidR="00AE3C31">
        <w:t xml:space="preserve"> </w:t>
      </w:r>
      <w:r>
        <w:t xml:space="preserve">owners was doubled in late 2023. </w:t>
      </w:r>
    </w:p>
    <w:tbl>
      <w:tblPr>
        <w:tblStyle w:val="SidebySideChartTable"/>
        <w:tblW w:w="5000" w:type="pct"/>
        <w:tblLook w:val="04A0" w:firstRow="1" w:lastRow="0" w:firstColumn="1" w:lastColumn="0" w:noHBand="0" w:noVBand="1"/>
      </w:tblPr>
      <w:tblGrid>
        <w:gridCol w:w="4538"/>
        <w:gridCol w:w="4532"/>
      </w:tblGrid>
      <w:tr w:rsidR="00791A68" w:rsidRPr="007904CA" w14:paraId="155FE51A" w14:textId="77777777" w:rsidTr="00466EC1">
        <w:tc>
          <w:tcPr>
            <w:tcW w:w="4538" w:type="dxa"/>
          </w:tcPr>
          <w:p w14:paraId="34A46EF3" w14:textId="1D8C330E" w:rsidR="00791A68" w:rsidRPr="007904CA" w:rsidRDefault="00791A68" w:rsidP="00CF2046">
            <w:pPr>
              <w:pStyle w:val="ChartMainHeading"/>
              <w:spacing w:before="0"/>
            </w:pPr>
            <w:r>
              <w:lastRenderedPageBreak/>
              <w:t>State expenditure on stamp duty concessions for first home</w:t>
            </w:r>
            <w:r w:rsidR="00B577E1">
              <w:t xml:space="preserve"> </w:t>
            </w:r>
            <w:r>
              <w:t>owners</w:t>
            </w:r>
          </w:p>
        </w:tc>
        <w:tc>
          <w:tcPr>
            <w:tcW w:w="4532" w:type="dxa"/>
          </w:tcPr>
          <w:p w14:paraId="2341261D" w14:textId="0B8303B3" w:rsidR="00791A68" w:rsidRPr="007904CA" w:rsidRDefault="00791A68" w:rsidP="00CF2046">
            <w:pPr>
              <w:pStyle w:val="ChartMainHeading"/>
              <w:spacing w:before="0"/>
            </w:pPr>
            <w:r>
              <w:t xml:space="preserve">Number of </w:t>
            </w:r>
            <w:r w:rsidR="00F52A8E">
              <w:t>first home buyer</w:t>
            </w:r>
            <w:r>
              <w:t xml:space="preserve"> grants</w:t>
            </w:r>
            <w:r w:rsidR="00032879">
              <w:t>,</w:t>
            </w:r>
            <w:r>
              <w:t xml:space="preserve"> by state</w:t>
            </w:r>
          </w:p>
        </w:tc>
      </w:tr>
      <w:tr w:rsidR="00791A68" w:rsidRPr="007904CA" w14:paraId="5FF633AB" w14:textId="77777777" w:rsidTr="00466EC1">
        <w:trPr>
          <w:trHeight w:val="3402"/>
        </w:trPr>
        <w:tc>
          <w:tcPr>
            <w:tcW w:w="4538" w:type="dxa"/>
          </w:tcPr>
          <w:p w14:paraId="1AE4E3A0" w14:textId="21109B63" w:rsidR="00791A68" w:rsidRPr="0099326B" w:rsidRDefault="007B5B9B" w:rsidP="00175B8F">
            <w:pPr>
              <w:pStyle w:val="ChartGraphic"/>
              <w:jc w:val="both"/>
            </w:pPr>
            <w:r w:rsidRPr="007B5B9B">
              <w:rPr>
                <w:noProof/>
              </w:rPr>
              <w:drawing>
                <wp:inline distT="0" distB="0" distL="0" distR="0" wp14:anchorId="33C84517" wp14:editId="14814CF0">
                  <wp:extent cx="2876550" cy="2876550"/>
                  <wp:effectExtent l="0" t="0" r="0" b="0"/>
                  <wp:docPr id="1790918948" name="Picture 1" descr="Chart 3.12 is a stacked bar chart that shows expenditure on stamp duty concessions by state in 2022-23 and 2023-24, based on state budget estimates. The total expenditure on stamp duty concessions is estimated to have increased from around $1.4 billion in 2022-23 to over $1.6 billion in 2023-24. This has been driven by significant increases in expenditure on stamp duty concessions in New South Wales, and to a lesser extent Victoria, while South Australia introduced stamp duty concessions in 2023-24. Victoria accounts for almost 50 per cent of total expenditure on stamp duty concessions in both financial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918948" name="Picture 1" descr="Chart 3.12 is a stacked bar chart that shows expenditure on stamp duty concessions by state in 2022-23 and 2023-24, based on state budget estimates. The total expenditure on stamp duty concessions is estimated to have increased from around $1.4 billion in 2022-23 to over $1.6 billion in 2023-24. This has been driven by significant increases in expenditure on stamp duty concessions in New South Wales, and to a lesser extent Victoria, while South Australia introduced stamp duty concessions in 2023-24. Victoria accounts for almost 50 per cent of total expenditure on stamp duty concessions in both financial year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tc>
        <w:tc>
          <w:tcPr>
            <w:tcW w:w="4532" w:type="dxa"/>
          </w:tcPr>
          <w:p w14:paraId="59FD280C" w14:textId="7E2BA4AC" w:rsidR="00791A68" w:rsidRPr="0099326B" w:rsidRDefault="002B31BD" w:rsidP="007B5B9B">
            <w:pPr>
              <w:pStyle w:val="ChartGraphic"/>
            </w:pPr>
            <w:r w:rsidRPr="002B31BD">
              <w:rPr>
                <w:noProof/>
              </w:rPr>
              <w:drawing>
                <wp:inline distT="0" distB="0" distL="0" distR="0" wp14:anchorId="313C6FB9" wp14:editId="24486963">
                  <wp:extent cx="2857500" cy="2876550"/>
                  <wp:effectExtent l="0" t="0" r="0" b="0"/>
                  <wp:docPr id="1431897554" name="Picture 2" descr="Chart 3.13 is a stacked bar chart that shows the number of first home buyer grants provided by states over the financial years 2019-20 to 2023-24. The total number of grants peaked in 2020-21 at over 55,000, and has fallen to around 21,000 grants in 2023-24. Victoria has consistently had the highest proportion of first home owner grants ranging from 38 per cent of the total in 2021-22 to 48 per cent of the total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97554" name="Picture 2" descr="Chart 3.13 is a stacked bar chart that shows the number of first home buyer grants provided by states over the financial years 2019-20 to 2023-24. The total number of grants peaked in 2020-21 at over 55,000, and has fallen to around 21,000 grants in 2023-24. Victoria has consistently had the highest proportion of first home owner grants ranging from 38 per cent of the total in 2021-22 to 48 per cent of the total in 2023-2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876550"/>
                          </a:xfrm>
                          <a:prstGeom prst="rect">
                            <a:avLst/>
                          </a:prstGeom>
                          <a:noFill/>
                          <a:ln>
                            <a:noFill/>
                          </a:ln>
                        </pic:spPr>
                      </pic:pic>
                    </a:graphicData>
                  </a:graphic>
                </wp:inline>
              </w:drawing>
            </w:r>
          </w:p>
        </w:tc>
      </w:tr>
      <w:tr w:rsidR="00791A68" w:rsidRPr="007904CA" w14:paraId="72DFD966" w14:textId="77777777" w:rsidTr="00466EC1">
        <w:tc>
          <w:tcPr>
            <w:tcW w:w="4538" w:type="dxa"/>
          </w:tcPr>
          <w:p w14:paraId="31333E3D" w14:textId="3780404D" w:rsidR="00791A68" w:rsidRDefault="00791A68" w:rsidP="00DB6DE6">
            <w:pPr>
              <w:pStyle w:val="ChartorTableNoteandSource"/>
            </w:pPr>
            <w:r w:rsidRPr="0099326B">
              <w:t xml:space="preserve">Note: </w:t>
            </w:r>
            <w:r w:rsidR="00CC12B5">
              <w:tab/>
            </w:r>
            <w:r w:rsidRPr="0099326B">
              <w:t>Excludes territories</w:t>
            </w:r>
            <w:r w:rsidR="00FE46B8">
              <w:t>.</w:t>
            </w:r>
          </w:p>
          <w:p w14:paraId="032902C3" w14:textId="55C6B0F9" w:rsidR="00E55969" w:rsidRPr="00E55969" w:rsidRDefault="00E55969" w:rsidP="00042896">
            <w:pPr>
              <w:pStyle w:val="ChartorTableNoteandSource"/>
            </w:pPr>
            <w:r w:rsidRPr="0099326B">
              <w:t>Source:</w:t>
            </w:r>
            <w:r>
              <w:tab/>
            </w:r>
            <w:r w:rsidRPr="0099326B">
              <w:t>State Budget Papers 2024</w:t>
            </w:r>
          </w:p>
        </w:tc>
        <w:tc>
          <w:tcPr>
            <w:tcW w:w="4532" w:type="dxa"/>
          </w:tcPr>
          <w:p w14:paraId="2322796A" w14:textId="641E1F52" w:rsidR="008D710E" w:rsidRDefault="008D710E" w:rsidP="00DB6DE6">
            <w:pPr>
              <w:pStyle w:val="ChartorTableNoteandSource"/>
            </w:pPr>
            <w:r w:rsidRPr="0099326B">
              <w:t>Note:</w:t>
            </w:r>
            <w:r w:rsidR="00CC12B5">
              <w:tab/>
            </w:r>
            <w:r w:rsidRPr="0099326B">
              <w:t>Excludes territories.</w:t>
            </w:r>
          </w:p>
          <w:p w14:paraId="575BABEF" w14:textId="5B69F7DB" w:rsidR="00E55969" w:rsidRPr="00E55969" w:rsidRDefault="00E55969" w:rsidP="00042896">
            <w:pPr>
              <w:pStyle w:val="ChartorTableNoteandSource"/>
            </w:pPr>
            <w:r w:rsidRPr="0099326B">
              <w:t>Source:</w:t>
            </w:r>
            <w:r>
              <w:tab/>
            </w:r>
            <w:r w:rsidRPr="0099326B">
              <w:t>State government portals 2024</w:t>
            </w:r>
          </w:p>
        </w:tc>
      </w:tr>
    </w:tbl>
    <w:p w14:paraId="10A40C47" w14:textId="4B8D475F" w:rsidR="00791A68" w:rsidRDefault="00791A68">
      <w:r>
        <w:t>Government saving schemes provide tax</w:t>
      </w:r>
      <w:r w:rsidR="00A15C79">
        <w:noBreakHyphen/>
      </w:r>
      <w:r>
        <w:t>concessional status on savings to enable faster deposit accumulation. The First Home Super Saver Scheme (FHSSS), introduced in 2017, allows eligible individuals to voluntarily contribute savings for a home deposit to their superannuation. Receiving the concessional rate of 15</w:t>
      </w:r>
      <w:r w:rsidR="0099326B">
        <w:t> per cent</w:t>
      </w:r>
      <w:r>
        <w:t xml:space="preserve"> tax on superannuation contributions is usually less than the first</w:t>
      </w:r>
      <w:r w:rsidR="00CC12B5">
        <w:t> </w:t>
      </w:r>
      <w:r>
        <w:t>home</w:t>
      </w:r>
      <w:r w:rsidR="007D23D1">
        <w:t xml:space="preserve"> </w:t>
      </w:r>
      <w:r>
        <w:t>buyers</w:t>
      </w:r>
      <w:r w:rsidR="00A15C79">
        <w:t>’</w:t>
      </w:r>
      <w:r>
        <w:t xml:space="preserve"> marginal income tax rate. </w:t>
      </w:r>
      <w:r w:rsidRPr="00EB3C8D">
        <w:t xml:space="preserve">Withdrawals from the scheme have grown markedly since </w:t>
      </w:r>
      <w:r w:rsidR="003102B3">
        <w:t xml:space="preserve">its </w:t>
      </w:r>
      <w:r w:rsidRPr="00EB3C8D">
        <w:t>establishment,</w:t>
      </w:r>
      <w:r w:rsidR="00EF2B79">
        <w:t xml:space="preserve"> </w:t>
      </w:r>
      <w:r w:rsidR="00444394">
        <w:t>increasing by 72</w:t>
      </w:r>
      <w:r w:rsidR="0099326B">
        <w:t> per cent</w:t>
      </w:r>
      <w:r w:rsidR="00444394">
        <w:t xml:space="preserve"> from 2022</w:t>
      </w:r>
      <w:r w:rsidR="00EC1EC1">
        <w:t>–</w:t>
      </w:r>
      <w:r w:rsidR="00444394">
        <w:t>23 to 2023</w:t>
      </w:r>
      <w:r w:rsidR="00EC1EC1">
        <w:t>–</w:t>
      </w:r>
      <w:r w:rsidR="00444394">
        <w:t>24</w:t>
      </w:r>
      <w:r w:rsidR="009264DB">
        <w:t xml:space="preserve"> </w:t>
      </w:r>
      <w:r w:rsidR="009264DB" w:rsidRPr="00EB3C8D">
        <w:t>(</w:t>
      </w:r>
      <w:r w:rsidR="009264DB">
        <w:t xml:space="preserve">see </w:t>
      </w:r>
      <w:r w:rsidR="009264DB" w:rsidRPr="00EB3C8D">
        <w:t>Chart 3.1</w:t>
      </w:r>
      <w:r w:rsidR="009264DB" w:rsidRPr="0065638F">
        <w:t>4</w:t>
      </w:r>
      <w:r w:rsidR="009264DB">
        <w:t>). Around</w:t>
      </w:r>
      <w:r w:rsidRPr="00EB3C8D">
        <w:t xml:space="preserve"> $255</w:t>
      </w:r>
      <w:r w:rsidR="0099326B">
        <w:t> million</w:t>
      </w:r>
      <w:r w:rsidR="009264DB">
        <w:t xml:space="preserve"> was</w:t>
      </w:r>
      <w:r w:rsidRPr="00EB3C8D">
        <w:t xml:space="preserve"> paid from superannuation accounts in 2023</w:t>
      </w:r>
      <w:r w:rsidR="00E45898">
        <w:t>–</w:t>
      </w:r>
      <w:r w:rsidRPr="00EB3C8D">
        <w:t xml:space="preserve">24 to 13,200 individuals. However, this may not </w:t>
      </w:r>
      <w:r w:rsidRPr="0065638F">
        <w:t xml:space="preserve">solely </w:t>
      </w:r>
      <w:r w:rsidRPr="00EB3C8D">
        <w:t xml:space="preserve">reflect </w:t>
      </w:r>
      <w:r w:rsidRPr="0065638F">
        <w:t xml:space="preserve">increased </w:t>
      </w:r>
      <w:r w:rsidR="00E45898">
        <w:t>uptake</w:t>
      </w:r>
      <w:r w:rsidRPr="00EB3C8D">
        <w:t xml:space="preserve"> of the scheme. Rather, individuals who originally signed up to the scheme may have accumulated sufficient funds over a long period to begin drawing down on their balances</w:t>
      </w:r>
      <w:r w:rsidR="008E4210">
        <w:t xml:space="preserve">. </w:t>
      </w:r>
    </w:p>
    <w:p w14:paraId="442CEBEB" w14:textId="6AA14CAB" w:rsidR="007C3AD9" w:rsidRDefault="00791A68">
      <w:r w:rsidRPr="00EB3C8D">
        <w:t>The</w:t>
      </w:r>
      <w:r w:rsidRPr="00EB3C8D" w:rsidDel="00393297">
        <w:t xml:space="preserve"> </w:t>
      </w:r>
      <w:r w:rsidR="0099326B">
        <w:t>Australian Government</w:t>
      </w:r>
      <w:r w:rsidRPr="00EB3C8D">
        <w:t xml:space="preserve"> also</w:t>
      </w:r>
      <w:r w:rsidRPr="0065638F">
        <w:t xml:space="preserve"> provides</w:t>
      </w:r>
      <w:r w:rsidRPr="00EB3C8D">
        <w:t xml:space="preserve"> assist</w:t>
      </w:r>
      <w:r w:rsidRPr="0065638F">
        <w:t>ance</w:t>
      </w:r>
      <w:r w:rsidRPr="00EB3C8D">
        <w:t xml:space="preserve"> through first home</w:t>
      </w:r>
      <w:r w:rsidR="006750AC">
        <w:t xml:space="preserve"> </w:t>
      </w:r>
      <w:r w:rsidRPr="00EB3C8D">
        <w:t>buyer guarantees, aimed at reducing the deposit hurdle and Lender</w:t>
      </w:r>
      <w:r w:rsidR="00147892">
        <w:t>s</w:t>
      </w:r>
      <w:r w:rsidRPr="00EB3C8D">
        <w:t xml:space="preserve"> Mortgage Insurance costs. It is increasingly common for first</w:t>
      </w:r>
      <w:r w:rsidR="00CC12B5">
        <w:t> </w:t>
      </w:r>
      <w:r w:rsidRPr="00EB3C8D">
        <w:t xml:space="preserve">home buyers to use government guarantees </w:t>
      </w:r>
      <w:r w:rsidRPr="0065638F">
        <w:t>such as</w:t>
      </w:r>
      <w:r w:rsidRPr="00EB3C8D">
        <w:t xml:space="preserve"> the </w:t>
      </w:r>
      <w:r w:rsidR="0099326B">
        <w:t>Australian Government</w:t>
      </w:r>
      <w:r w:rsidR="00A15C79">
        <w:t>’</w:t>
      </w:r>
      <w:r w:rsidR="00265CBC">
        <w:t xml:space="preserve">s </w:t>
      </w:r>
      <w:r w:rsidRPr="00EB3C8D">
        <w:t>Home Guarantee</w:t>
      </w:r>
      <w:r w:rsidRPr="0065638F">
        <w:t xml:space="preserve"> Scheme</w:t>
      </w:r>
      <w:r>
        <w:t xml:space="preserve"> (HGS)</w:t>
      </w:r>
      <w:r w:rsidRPr="00EB3C8D">
        <w:t>. The scheme has grown significantly since commencing in 2020</w:t>
      </w:r>
      <w:r w:rsidRPr="0065638F">
        <w:t>, with 50,000 places available under the scheme in 2023</w:t>
      </w:r>
      <w:r w:rsidR="00B82AA2">
        <w:t>–</w:t>
      </w:r>
      <w:r w:rsidRPr="0065638F">
        <w:t>24</w:t>
      </w:r>
      <w:r w:rsidRPr="00EB3C8D">
        <w:t>.</w:t>
      </w:r>
      <w:r w:rsidRPr="0065638F">
        <w:t xml:space="preserve"> The </w:t>
      </w:r>
      <w:r>
        <w:t>HGS</w:t>
      </w:r>
      <w:r w:rsidRPr="0065638F">
        <w:t xml:space="preserve"> supported close to a third of new owner</w:t>
      </w:r>
      <w:r w:rsidR="00A15C79">
        <w:noBreakHyphen/>
      </w:r>
      <w:r w:rsidRPr="0065638F">
        <w:t>occupier first home</w:t>
      </w:r>
      <w:r w:rsidR="002003AB">
        <w:t xml:space="preserve"> </w:t>
      </w:r>
      <w:r w:rsidRPr="0065638F">
        <w:t>buyers nationally in 2023</w:t>
      </w:r>
      <w:r w:rsidR="00B82AA2">
        <w:t>–</w:t>
      </w:r>
      <w:r w:rsidRPr="0065638F">
        <w:t>24, including 40</w:t>
      </w:r>
      <w:r w:rsidR="0099326B">
        <w:t> per cent</w:t>
      </w:r>
      <w:r w:rsidRPr="0065638F">
        <w:t xml:space="preserve"> in Queensland (</w:t>
      </w:r>
      <w:r w:rsidR="00B82AA2">
        <w:t>see</w:t>
      </w:r>
      <w:r w:rsidR="00CC12B5">
        <w:t> </w:t>
      </w:r>
      <w:r w:rsidRPr="0065638F">
        <w:t xml:space="preserve">Chart 3.15). </w:t>
      </w:r>
      <w:r w:rsidRPr="00EB3C8D">
        <w:t>In some states, including Western Australia and South Australia, the government also provides low</w:t>
      </w:r>
      <w:r w:rsidR="00A15C79">
        <w:noBreakHyphen/>
      </w:r>
      <w:r w:rsidRPr="00EB3C8D">
        <w:t>deposit loan schemes that enable individuals to purchase a home with a low deposit, but do not guarantee losses incurred against the loan.</w:t>
      </w:r>
      <w:r>
        <w:t xml:space="preserve"> </w:t>
      </w:r>
      <w:r w:rsidR="007C3AD9">
        <w:br w:type="page"/>
      </w:r>
    </w:p>
    <w:p w14:paraId="0C44A2CF" w14:textId="3C69DC15" w:rsidR="00791A68" w:rsidRPr="00EB3C8D" w:rsidRDefault="00791A68">
      <w:r>
        <w:lastRenderedPageBreak/>
        <w:t>Recently, governments have introduced shared equity schemes, where the government makes a financial contribution to the purchase of a property in exchange for an equity share. In 2024, the most extensive shared equity scheme was in Victoria, with over 10,000 recipients (State Revenue Office Victoria 2025). Smaller schemes exist in Tasmania and South Australia, while Queensland offers a shared equity scheme to support public housing tenants to own their own home</w:t>
      </w:r>
      <w:r w:rsidRPr="00EB3C8D">
        <w:t>.</w:t>
      </w:r>
      <w:r>
        <w:t xml:space="preserve"> </w:t>
      </w:r>
      <w:r w:rsidRPr="00EB3C8D">
        <w:t>The number of households in shared equity schemes is expected to rise with the commencement of the</w:t>
      </w:r>
      <w:r w:rsidR="005B2645">
        <w:t> </w:t>
      </w:r>
      <w:r w:rsidR="0099326B">
        <w:t>Australian Government</w:t>
      </w:r>
      <w:r w:rsidR="00A15C79">
        <w:t>’</w:t>
      </w:r>
      <w:r w:rsidR="00FD4366">
        <w:t>s</w:t>
      </w:r>
      <w:r w:rsidR="00FD4366" w:rsidRPr="00EB3C8D">
        <w:t xml:space="preserve"> </w:t>
      </w:r>
      <w:r w:rsidRPr="00EB3C8D">
        <w:t>Help to Buy Scheme in 2025, which has the potential to assist 40,000</w:t>
      </w:r>
      <w:r w:rsidR="005B2645">
        <w:t> </w:t>
      </w:r>
      <w:r w:rsidRPr="00EB3C8D">
        <w:t xml:space="preserve">households over </w:t>
      </w:r>
      <w:r w:rsidR="00FD4366">
        <w:t>4</w:t>
      </w:r>
      <w:r w:rsidR="00FD4366" w:rsidRPr="00EB3C8D">
        <w:t xml:space="preserve"> </w:t>
      </w:r>
      <w:r w:rsidRPr="00EB3C8D">
        <w:t xml:space="preserve">years. The Victorian </w:t>
      </w:r>
      <w:r w:rsidR="00FD4366">
        <w:t>G</w:t>
      </w:r>
      <w:r w:rsidRPr="00EB3C8D">
        <w:t xml:space="preserve">overnment has committed to cease accepting new applicants in </w:t>
      </w:r>
      <w:r w:rsidR="00915707">
        <w:t>its</w:t>
      </w:r>
      <w:r w:rsidRPr="00EB3C8D">
        <w:t xml:space="preserve"> state program </w:t>
      </w:r>
      <w:r w:rsidRPr="0065638F">
        <w:t xml:space="preserve">from </w:t>
      </w:r>
      <w:r w:rsidRPr="00EB3C8D">
        <w:t>June 2025, to coincide with the establishment of the federal scheme.</w:t>
      </w:r>
    </w:p>
    <w:p w14:paraId="40269C1E" w14:textId="22FCB56A" w:rsidR="00791A68" w:rsidRDefault="00791A68">
      <w:pPr>
        <w:rPr>
          <w:rFonts w:cstheme="minorBidi"/>
        </w:rPr>
      </w:pPr>
      <w:r w:rsidRPr="00EB3C8D">
        <w:t xml:space="preserve">Indigenous Business Australia is a Commonwealth entity </w:t>
      </w:r>
      <w:r w:rsidR="00B57766">
        <w:t>that</w:t>
      </w:r>
      <w:r w:rsidR="00B57766" w:rsidRPr="0065638F">
        <w:t xml:space="preserve"> </w:t>
      </w:r>
      <w:r w:rsidRPr="0065638F">
        <w:t>aims to increase</w:t>
      </w:r>
      <w:r w:rsidRPr="00EB3C8D">
        <w:t xml:space="preserve"> home ownership for </w:t>
      </w:r>
      <w:r w:rsidR="0099326B">
        <w:t>First Nations</w:t>
      </w:r>
      <w:r w:rsidRPr="00EB3C8D">
        <w:t xml:space="preserve"> Australians</w:t>
      </w:r>
      <w:r w:rsidRPr="0065638F">
        <w:t xml:space="preserve">. The organisation </w:t>
      </w:r>
      <w:r w:rsidRPr="00EB3C8D">
        <w:t>provides</w:t>
      </w:r>
      <w:r w:rsidRPr="0065638F">
        <w:t xml:space="preserve"> </w:t>
      </w:r>
      <w:r w:rsidRPr="00EB3C8D">
        <w:t>low</w:t>
      </w:r>
      <w:r w:rsidR="00A15C79">
        <w:noBreakHyphen/>
      </w:r>
      <w:r w:rsidRPr="00EB3C8D">
        <w:t>deposit loans and shared</w:t>
      </w:r>
      <w:r w:rsidR="00A15C79">
        <w:noBreakHyphen/>
      </w:r>
      <w:r w:rsidRPr="00EB3C8D">
        <w:t xml:space="preserve">equity </w:t>
      </w:r>
      <w:r w:rsidR="00A54683">
        <w:t>option</w:t>
      </w:r>
      <w:r w:rsidR="00A54683" w:rsidRPr="00EB3C8D">
        <w:t xml:space="preserve">s </w:t>
      </w:r>
      <w:r w:rsidRPr="00EB3C8D">
        <w:t xml:space="preserve">to households </w:t>
      </w:r>
      <w:r w:rsidRPr="2E095741">
        <w:rPr>
          <w:rFonts w:cstheme="minorBidi"/>
        </w:rPr>
        <w:t xml:space="preserve">(see </w:t>
      </w:r>
      <w:r w:rsidRPr="2E095741">
        <w:rPr>
          <w:rFonts w:cstheme="minorBidi"/>
          <w:iCs/>
        </w:rPr>
        <w:t>Chapter 6</w:t>
      </w:r>
      <w:r w:rsidR="00B57766">
        <w:rPr>
          <w:rFonts w:cstheme="minorBidi"/>
          <w:iCs/>
        </w:rPr>
        <w:t>,</w:t>
      </w:r>
      <w:r w:rsidRPr="0065638F">
        <w:rPr>
          <w:rFonts w:cstheme="minorBidi"/>
          <w:i/>
        </w:rPr>
        <w:t xml:space="preserve"> </w:t>
      </w:r>
      <w:r w:rsidR="0099326B" w:rsidRPr="00CC12B5">
        <w:rPr>
          <w:rStyle w:val="Emphasis"/>
        </w:rPr>
        <w:t>First Nations</w:t>
      </w:r>
      <w:r w:rsidRPr="00CC12B5">
        <w:rPr>
          <w:rStyle w:val="Emphasis"/>
        </w:rPr>
        <w:t xml:space="preserve"> housing</w:t>
      </w:r>
      <w:r w:rsidRPr="2E095741">
        <w:rPr>
          <w:rFonts w:cstheme="minorBidi"/>
        </w:rPr>
        <w:t>).</w:t>
      </w:r>
    </w:p>
    <w:tbl>
      <w:tblPr>
        <w:tblStyle w:val="SidebySideChartTable"/>
        <w:tblpPr w:leftFromText="180" w:rightFromText="180" w:vertAnchor="text" w:tblpY="1"/>
        <w:tblOverlap w:val="never"/>
        <w:tblW w:w="4732" w:type="pct"/>
        <w:tblLook w:val="04A0" w:firstRow="1" w:lastRow="0" w:firstColumn="1" w:lastColumn="0" w:noHBand="0" w:noVBand="1"/>
      </w:tblPr>
      <w:tblGrid>
        <w:gridCol w:w="4537"/>
        <w:gridCol w:w="4073"/>
      </w:tblGrid>
      <w:tr w:rsidR="00D86A1F" w:rsidRPr="007904CA" w14:paraId="1C5C5A1D" w14:textId="77777777" w:rsidTr="00772891">
        <w:trPr>
          <w:trHeight w:val="1023"/>
        </w:trPr>
        <w:tc>
          <w:tcPr>
            <w:tcW w:w="4295" w:type="dxa"/>
          </w:tcPr>
          <w:p w14:paraId="4E5004BC" w14:textId="77777777" w:rsidR="00D86A1F" w:rsidRPr="007904CA" w:rsidRDefault="00D86A1F">
            <w:pPr>
              <w:pStyle w:val="ChartMainHeading"/>
            </w:pPr>
            <w:r>
              <w:t>First Home Super Saver Scheme payments</w:t>
            </w:r>
            <w:r w:rsidDel="007A58B6">
              <w:t xml:space="preserve"> </w:t>
            </w:r>
          </w:p>
        </w:tc>
        <w:tc>
          <w:tcPr>
            <w:tcW w:w="4289" w:type="dxa"/>
          </w:tcPr>
          <w:p w14:paraId="6ED27EEE" w14:textId="77777777" w:rsidR="00D86A1F" w:rsidRPr="007904CA" w:rsidRDefault="00D86A1F">
            <w:pPr>
              <w:pStyle w:val="ChartMainHeading"/>
            </w:pPr>
            <w:r>
              <w:t>HGS first home buyers as a share of total owner</w:t>
            </w:r>
            <w:r>
              <w:noBreakHyphen/>
              <w:t>occupied first home buyer loan commitments, by state and territory, 2023–24</w:t>
            </w:r>
          </w:p>
        </w:tc>
      </w:tr>
      <w:tr w:rsidR="00D86A1F" w:rsidRPr="007904CA" w14:paraId="6BF0C5AB" w14:textId="77777777" w:rsidTr="00772891">
        <w:trPr>
          <w:trHeight w:val="2491"/>
        </w:trPr>
        <w:tc>
          <w:tcPr>
            <w:tcW w:w="4295" w:type="dxa"/>
          </w:tcPr>
          <w:p w14:paraId="1DF9C282" w14:textId="77777777" w:rsidR="00D86A1F" w:rsidRPr="0065638F" w:rsidRDefault="00D86A1F">
            <w:pPr>
              <w:pStyle w:val="ChartGraphic"/>
              <w:jc w:val="left"/>
            </w:pPr>
            <w:r w:rsidRPr="0065638F" w:rsidDel="007A58B6">
              <w:t xml:space="preserve"> </w:t>
            </w:r>
            <w:r w:rsidRPr="00B162D1">
              <w:rPr>
                <w:noProof/>
              </w:rPr>
              <w:drawing>
                <wp:inline distT="0" distB="0" distL="0" distR="0" wp14:anchorId="753C3809" wp14:editId="4D720DB6">
                  <wp:extent cx="2880995" cy="2880995"/>
                  <wp:effectExtent l="0" t="0" r="0" b="0"/>
                  <wp:docPr id="907323332" name="Picture 23" descr="Chart 3.14 is a bar chart that shows the value of withdrawals made from the First Home Super Save Scheme in financial years 2018-19 to 2023-24. The chart show that the value of withdrawals has increased substantially over time from $39 million in 2018-19 to $255 million in 2023-24. The value of withdrawals was 71.5 per cent higher in 2023-24 than in 2022-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23332" name="Picture 23" descr="Chart 3.14 is a bar chart that shows the value of withdrawals made from the First Home Super Save Scheme in financial years 2018-19 to 2023-24. The chart show that the value of withdrawals has increased substantially over time from $39 million in 2018-19 to $255 million in 2023-24. The value of withdrawals was 71.5 per cent higher in 2023-24 than in 2022-23. "/>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80995" cy="2880995"/>
                          </a:xfrm>
                          <a:prstGeom prst="rect">
                            <a:avLst/>
                          </a:prstGeom>
                          <a:noFill/>
                          <a:ln>
                            <a:noFill/>
                          </a:ln>
                        </pic:spPr>
                      </pic:pic>
                    </a:graphicData>
                  </a:graphic>
                </wp:inline>
              </w:drawing>
            </w:r>
            <w:r w:rsidRPr="00B162D1" w:rsidDel="007A58B6">
              <w:t xml:space="preserve"> </w:t>
            </w:r>
            <w:r w:rsidRPr="0065638F" w:rsidDel="007A58B6">
              <w:t xml:space="preserve"> </w:t>
            </w:r>
          </w:p>
        </w:tc>
        <w:tc>
          <w:tcPr>
            <w:tcW w:w="4289" w:type="dxa"/>
          </w:tcPr>
          <w:p w14:paraId="11A7C301" w14:textId="77777777" w:rsidR="00D86A1F" w:rsidRPr="0065638F" w:rsidRDefault="00D86A1F">
            <w:pPr>
              <w:pStyle w:val="ChartGraphic"/>
              <w:rPr>
                <w:color w:val="000000" w:themeColor="text1"/>
                <w:sz w:val="22"/>
              </w:rPr>
            </w:pPr>
            <w:r>
              <w:t xml:space="preserve"> </w:t>
            </w:r>
            <w:r w:rsidRPr="004D5D67">
              <w:rPr>
                <w:noProof/>
                <w:color w:val="000000" w:themeColor="text1"/>
                <w:sz w:val="22"/>
              </w:rPr>
              <w:drawing>
                <wp:inline distT="0" distB="0" distL="0" distR="0" wp14:anchorId="58C6D0BD" wp14:editId="68A4411A">
                  <wp:extent cx="2586735" cy="2914650"/>
                  <wp:effectExtent l="0" t="0" r="0" b="0"/>
                  <wp:docPr id="537125866" name="Picture 3" descr="Chart 3.15 is a bar chart that shows the number of Home Guarantee Scheme guarantees issued as a share of new loan commitments to owner-occupier first home buyers, by state and territory in 2023-24. The chart shows that among the states and territories, the Northern Territory has the highest share of first home buyers using the Home Guarantee Scheme (45 per cent), followed by Queensland (40 per cent), while South Australia had the lowest share (20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25866" name="Picture 3" descr="Chart 3.15 is a bar chart that shows the number of Home Guarantee Scheme guarantees issued as a share of new loan commitments to owner-occupier first home buyers, by state and territory in 2023-24. The chart shows that among the states and territories, the Northern Territory has the highest share of first home buyers using the Home Guarantee Scheme (45 per cent), followed by Queensland (40 per cent), while South Australia had the lowest share (20 per cent)."/>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12841" cy="2944065"/>
                          </a:xfrm>
                          <a:prstGeom prst="rect">
                            <a:avLst/>
                          </a:prstGeom>
                          <a:noFill/>
                          <a:ln>
                            <a:noFill/>
                          </a:ln>
                        </pic:spPr>
                      </pic:pic>
                    </a:graphicData>
                  </a:graphic>
                </wp:inline>
              </w:drawing>
            </w:r>
          </w:p>
        </w:tc>
      </w:tr>
      <w:tr w:rsidR="00D86A1F" w:rsidRPr="007904CA" w14:paraId="78050FCE" w14:textId="77777777" w:rsidTr="00772891">
        <w:trPr>
          <w:trHeight w:val="440"/>
        </w:trPr>
        <w:tc>
          <w:tcPr>
            <w:tcW w:w="4295" w:type="dxa"/>
          </w:tcPr>
          <w:p w14:paraId="0EDC15D4" w14:textId="77777777" w:rsidR="00D86A1F" w:rsidRPr="00AF4C27" w:rsidRDefault="00D86A1F">
            <w:pPr>
              <w:pStyle w:val="ChartorTableNoteandSource"/>
            </w:pPr>
            <w:r w:rsidRPr="00AF4C27">
              <w:t>Source:</w:t>
            </w:r>
            <w:r>
              <w:tab/>
            </w:r>
            <w:r w:rsidRPr="00AF4C27">
              <w:t xml:space="preserve"> ATO 2024</w:t>
            </w:r>
          </w:p>
        </w:tc>
        <w:tc>
          <w:tcPr>
            <w:tcW w:w="4289" w:type="dxa"/>
          </w:tcPr>
          <w:p w14:paraId="2A080E7F" w14:textId="77777777" w:rsidR="00D86A1F" w:rsidRDefault="00D86A1F">
            <w:pPr>
              <w:pStyle w:val="ChartorTableNoteandSource"/>
            </w:pPr>
            <w:r w:rsidRPr="00AF4C27">
              <w:t>Note:</w:t>
            </w:r>
            <w:r>
              <w:tab/>
            </w:r>
            <w:r w:rsidRPr="00AF4C27">
              <w:t xml:space="preserve">The Northern Territory has a much lower number of guarantees on issue despite having the highest rate of first home buyer support (Housing Australia 2024). Proportion calculated using the number of HGS guarantees issued to first home buyers in 2023–24, which may include places allocated in 2022–23 but issued in the subsequent year. </w:t>
            </w:r>
          </w:p>
          <w:p w14:paraId="661CC02B" w14:textId="3D6014BB" w:rsidR="00D86A1F" w:rsidRPr="00FE46B8" w:rsidRDefault="00D86A1F" w:rsidP="004D148B">
            <w:pPr>
              <w:pStyle w:val="ChartorTableNoteandSource"/>
            </w:pPr>
            <w:r w:rsidRPr="00270611">
              <w:t>Source:</w:t>
            </w:r>
            <w:r w:rsidRPr="00270611">
              <w:tab/>
              <w:t>Housing Australia</w:t>
            </w:r>
            <w:r w:rsidRPr="00AF4C27">
              <w:t xml:space="preserve"> </w:t>
            </w:r>
            <w:r w:rsidRPr="00270611">
              <w:t>2024</w:t>
            </w:r>
          </w:p>
        </w:tc>
      </w:tr>
    </w:tbl>
    <w:p w14:paraId="27F3237E" w14:textId="77777777" w:rsidR="00D86A1F" w:rsidRDefault="00D86A1F">
      <w:pPr>
        <w:sectPr w:rsidR="00D86A1F" w:rsidSect="00F17FE0">
          <w:footerReference w:type="even" r:id="rId113"/>
          <w:footerReference w:type="default" r:id="rId114"/>
          <w:type w:val="oddPage"/>
          <w:pgSz w:w="11906" w:h="16838" w:code="9"/>
          <w:pgMar w:top="1843" w:right="1418" w:bottom="1418" w:left="1418" w:header="709" w:footer="709" w:gutter="0"/>
          <w:cols w:space="708"/>
          <w:docGrid w:linePitch="360"/>
        </w:sectPr>
      </w:pPr>
    </w:p>
    <w:p w14:paraId="38B8EB7F" w14:textId="77777777" w:rsidR="00791A68" w:rsidRPr="00CE1402" w:rsidRDefault="00791A68" w:rsidP="006F5BB5">
      <w:pPr>
        <w:pStyle w:val="Heading1Numbered"/>
        <w:spacing w:before="0"/>
      </w:pPr>
      <w:bookmarkStart w:id="124" w:name="_Toc196395891"/>
      <w:bookmarkEnd w:id="113"/>
      <w:r w:rsidRPr="00CE1402">
        <w:lastRenderedPageBreak/>
        <w:t>Housing affordability</w:t>
      </w:r>
      <w:bookmarkEnd w:id="124"/>
    </w:p>
    <w:tbl>
      <w:tblPr>
        <w:tblW w:w="5000" w:type="pct"/>
        <w:shd w:val="clear" w:color="auto" w:fill="F2E3C7" w:themeFill="background2"/>
        <w:tblCellMar>
          <w:top w:w="284" w:type="dxa"/>
          <w:left w:w="284" w:type="dxa"/>
          <w:bottom w:w="284" w:type="dxa"/>
          <w:right w:w="284" w:type="dxa"/>
        </w:tblCellMar>
        <w:tblLook w:val="0600" w:firstRow="0" w:lastRow="0" w:firstColumn="0" w:lastColumn="0" w:noHBand="1" w:noVBand="1"/>
      </w:tblPr>
      <w:tblGrid>
        <w:gridCol w:w="9070"/>
      </w:tblGrid>
      <w:tr w:rsidR="00791A68" w:rsidRPr="00CE1402" w14:paraId="63A94C4A" w14:textId="77777777">
        <w:trPr>
          <w:trHeight w:val="3931"/>
        </w:trPr>
        <w:tc>
          <w:tcPr>
            <w:tcW w:w="5000" w:type="pct"/>
            <w:shd w:val="clear" w:color="auto" w:fill="F2E3C7" w:themeFill="background2"/>
            <w:hideMark/>
          </w:tcPr>
          <w:p w14:paraId="292F2627" w14:textId="17439BAC" w:rsidR="00791A68" w:rsidRPr="00CE1402" w:rsidRDefault="00143AF8">
            <w:pPr>
              <w:pStyle w:val="BoxHeading"/>
            </w:pPr>
            <w:r>
              <w:t>Overview</w:t>
            </w:r>
          </w:p>
          <w:p w14:paraId="10D776CB" w14:textId="42F6BEF8" w:rsidR="00791A68" w:rsidRPr="00CE1402" w:rsidRDefault="00791A68">
            <w:pPr>
              <w:pStyle w:val="BoxText"/>
            </w:pPr>
            <w:r w:rsidRPr="00CE1402">
              <w:t>This chapter assesses housing affordability for renters</w:t>
            </w:r>
            <w:r w:rsidRPr="00CE1402" w:rsidDel="009410AB">
              <w:t xml:space="preserve">, </w:t>
            </w:r>
            <w:r>
              <w:t xml:space="preserve">prospective </w:t>
            </w:r>
            <w:r w:rsidR="00233AEC">
              <w:t>home owner</w:t>
            </w:r>
            <w:r>
              <w:t>s and households with a mortgage</w:t>
            </w:r>
            <w:r w:rsidRPr="00CE1402">
              <w:t xml:space="preserve">. It tracks changes in affordability across all </w:t>
            </w:r>
            <w:r w:rsidR="00D56227">
              <w:t>capital cities and regions</w:t>
            </w:r>
            <w:r w:rsidRPr="00CE1402">
              <w:t xml:space="preserve">. It also assesses the incidence of rental stress and its relationship </w:t>
            </w:r>
            <w:r w:rsidR="008F0024">
              <w:t>to</w:t>
            </w:r>
            <w:r w:rsidDel="00EC2FC3">
              <w:t xml:space="preserve"> </w:t>
            </w:r>
            <w:r w:rsidRPr="00CE1402">
              <w:t xml:space="preserve">wellbeing and material deprivation among renters. </w:t>
            </w:r>
          </w:p>
          <w:p w14:paraId="34F50E4E" w14:textId="77777777" w:rsidR="00791A68" w:rsidRPr="00C744E2" w:rsidRDefault="00791A68" w:rsidP="00C744E2">
            <w:pPr>
              <w:pStyle w:val="BoxHeading2"/>
            </w:pPr>
            <w:r w:rsidRPr="00C744E2">
              <w:t>Key points</w:t>
            </w:r>
          </w:p>
          <w:p w14:paraId="3832A7E5" w14:textId="5FFFC8F7" w:rsidR="00791A68" w:rsidRPr="00CE1402" w:rsidRDefault="00791A68">
            <w:pPr>
              <w:pStyle w:val="Boxbullet"/>
            </w:pPr>
            <w:r>
              <w:t>M</w:t>
            </w:r>
            <w:r w:rsidRPr="00CE1402">
              <w:t>ortgage repayment affordability</w:t>
            </w:r>
            <w:r w:rsidR="00AA16D3">
              <w:t xml:space="preserve"> and </w:t>
            </w:r>
            <w:r w:rsidRPr="00CE1402">
              <w:t>rental affordability for the median</w:t>
            </w:r>
            <w:r w:rsidR="00A15C79">
              <w:noBreakHyphen/>
            </w:r>
            <w:r w:rsidRPr="00CE1402">
              <w:t xml:space="preserve">income household deteriorated to new lows </w:t>
            </w:r>
            <w:r w:rsidR="00BF1F95">
              <w:t>over</w:t>
            </w:r>
            <w:r w:rsidR="00BF1F95" w:rsidRPr="00CE1402">
              <w:t xml:space="preserve"> </w:t>
            </w:r>
            <w:r w:rsidRPr="00CE1402">
              <w:t>202</w:t>
            </w:r>
            <w:r w:rsidR="00AA16D3">
              <w:t xml:space="preserve">4, while the time needed to save for a home deposit increased. </w:t>
            </w:r>
          </w:p>
          <w:p w14:paraId="0A5FC2B4" w14:textId="47414E6D" w:rsidR="00791A68" w:rsidRPr="00CE1402" w:rsidRDefault="00791A68">
            <w:pPr>
              <w:pStyle w:val="Boxbullet"/>
            </w:pPr>
            <w:r w:rsidRPr="00CE1402">
              <w:t xml:space="preserve">The deterioration in housing affordability occurred across most capital cities and regions </w:t>
            </w:r>
            <w:r w:rsidR="00BF1F95">
              <w:t>over</w:t>
            </w:r>
            <w:r w:rsidRPr="00CE1402">
              <w:t xml:space="preserve"> 2024. </w:t>
            </w:r>
          </w:p>
          <w:p w14:paraId="16BD23F2" w14:textId="34812A68" w:rsidR="00791A68" w:rsidRPr="00CE1402" w:rsidRDefault="00791A68">
            <w:pPr>
              <w:pStyle w:val="Boxbullet"/>
            </w:pPr>
            <w:r w:rsidRPr="00CE1402">
              <w:t>The median</w:t>
            </w:r>
            <w:r w:rsidR="00A15C79">
              <w:noBreakHyphen/>
            </w:r>
            <w:r w:rsidRPr="00CE1402">
              <w:t>income household could only afford to purchase 14</w:t>
            </w:r>
            <w:r w:rsidR="0099326B">
              <w:t> per cent</w:t>
            </w:r>
            <w:r w:rsidRPr="00CE1402">
              <w:t xml:space="preserve"> of new homes sold in 20</w:t>
            </w:r>
            <w:r w:rsidR="00BF1F95">
              <w:t>23</w:t>
            </w:r>
            <w:r w:rsidR="00BF1F95" w:rsidRPr="0099326B">
              <w:t>–</w:t>
            </w:r>
            <w:r w:rsidRPr="00CE1402">
              <w:t>24.</w:t>
            </w:r>
          </w:p>
          <w:p w14:paraId="7118C95C" w14:textId="15BA2E3B" w:rsidR="00791A68" w:rsidRPr="00C67093" w:rsidRDefault="00791A68">
            <w:pPr>
              <w:pStyle w:val="Boxbullet"/>
            </w:pPr>
            <w:r w:rsidRPr="00C67093">
              <w:t>Rental stress affected over 50</w:t>
            </w:r>
            <w:r w:rsidR="0099326B">
              <w:t> per cent</w:t>
            </w:r>
            <w:r w:rsidRPr="00C67093">
              <w:t xml:space="preserve"> of low</w:t>
            </w:r>
            <w:r w:rsidR="00BD31CA">
              <w:t>er</w:t>
            </w:r>
            <w:r w:rsidR="00A15C79">
              <w:noBreakHyphen/>
            </w:r>
            <w:r w:rsidRPr="00C67093">
              <w:t>income renter</w:t>
            </w:r>
            <w:r w:rsidR="00DD5AED">
              <w:t xml:space="preserve"> households</w:t>
            </w:r>
            <w:r w:rsidRPr="00C67093">
              <w:t xml:space="preserve"> in 202</w:t>
            </w:r>
            <w:r>
              <w:t>3.</w:t>
            </w:r>
            <w:r w:rsidRPr="00C67093">
              <w:t xml:space="preserve"> </w:t>
            </w:r>
            <w:r w:rsidR="00681762">
              <w:t>It</w:t>
            </w:r>
            <w:r w:rsidRPr="00C67093">
              <w:t xml:space="preserve"> was </w:t>
            </w:r>
            <w:r w:rsidR="002C56B8">
              <w:t>also</w:t>
            </w:r>
            <w:r w:rsidRPr="00C67093">
              <w:t xml:space="preserve"> </w:t>
            </w:r>
            <w:r w:rsidR="00F94522">
              <w:t xml:space="preserve">more </w:t>
            </w:r>
            <w:r w:rsidRPr="00C67093">
              <w:t>persistent, with 60</w:t>
            </w:r>
            <w:r w:rsidR="0099326B">
              <w:t> per cent</w:t>
            </w:r>
            <w:r w:rsidRPr="00C67093">
              <w:t xml:space="preserve"> of </w:t>
            </w:r>
            <w:r w:rsidR="00AD5E21">
              <w:t>those</w:t>
            </w:r>
            <w:r w:rsidR="00665B69" w:rsidRPr="00C67093">
              <w:t xml:space="preserve"> </w:t>
            </w:r>
            <w:r w:rsidR="00665B69">
              <w:t xml:space="preserve">in rental stress </w:t>
            </w:r>
            <w:r w:rsidR="00681762">
              <w:t xml:space="preserve">also </w:t>
            </w:r>
            <w:r w:rsidRPr="00C67093">
              <w:t>experiencing rental stress the year</w:t>
            </w:r>
            <w:r w:rsidR="00407B31">
              <w:t xml:space="preserve"> before</w:t>
            </w:r>
            <w:r w:rsidRPr="00C67093">
              <w:t xml:space="preserve">. </w:t>
            </w:r>
          </w:p>
          <w:p w14:paraId="7E96362D" w14:textId="79DDEA4B" w:rsidR="00791A68" w:rsidRPr="00CE1402" w:rsidRDefault="00791A68" w:rsidP="00CC12B5">
            <w:pPr>
              <w:pStyle w:val="Boxbullet"/>
              <w:spacing w:before="0" w:after="0"/>
            </w:pPr>
            <w:r w:rsidRPr="00C67093">
              <w:t xml:space="preserve">Low life satisfaction was </w:t>
            </w:r>
            <w:r w:rsidR="00EA68DE">
              <w:t>more than</w:t>
            </w:r>
            <w:r w:rsidR="00E36831">
              <w:t xml:space="preserve"> </w:t>
            </w:r>
            <w:r w:rsidRPr="00C67093">
              <w:t>twice as common for those in rental stress than for other renters in 2023.</w:t>
            </w:r>
            <w:r>
              <w:t xml:space="preserve"> </w:t>
            </w:r>
            <w:r w:rsidR="00E10CFE">
              <w:t>Mental w</w:t>
            </w:r>
            <w:r w:rsidR="0025501D">
              <w:t>ellbeing</w:t>
            </w:r>
            <w:r w:rsidRPr="00C67093">
              <w:t xml:space="preserve"> was </w:t>
            </w:r>
            <w:r>
              <w:t xml:space="preserve">also </w:t>
            </w:r>
            <w:r w:rsidR="00E36831">
              <w:t xml:space="preserve">generally </w:t>
            </w:r>
            <w:r w:rsidRPr="00C67093">
              <w:t xml:space="preserve">worse for those in rental stress than for other renters. </w:t>
            </w:r>
            <w:r w:rsidR="0025501D">
              <w:t xml:space="preserve">Material deprivation </w:t>
            </w:r>
            <w:r w:rsidR="00B856AD">
              <w:t xml:space="preserve">of key essential items </w:t>
            </w:r>
            <w:r w:rsidR="0025501D">
              <w:t xml:space="preserve">was twice as high for </w:t>
            </w:r>
            <w:r w:rsidR="004A5B10">
              <w:t xml:space="preserve">those in rental stress than </w:t>
            </w:r>
            <w:r w:rsidR="00B856AD">
              <w:t xml:space="preserve">for </w:t>
            </w:r>
            <w:r w:rsidR="004A5B10">
              <w:t xml:space="preserve">other renters in 2022. </w:t>
            </w:r>
          </w:p>
        </w:tc>
      </w:tr>
    </w:tbl>
    <w:p w14:paraId="70E09B1B" w14:textId="7095C12B" w:rsidR="00791A68" w:rsidRPr="00CE1402" w:rsidRDefault="00791A68" w:rsidP="0099326B">
      <w:pPr>
        <w:pStyle w:val="Heading2Numbered"/>
        <w:numPr>
          <w:ilvl w:val="1"/>
          <w:numId w:val="8"/>
        </w:numPr>
      </w:pPr>
      <w:bookmarkStart w:id="125" w:name="_Toc195026601"/>
      <w:bookmarkStart w:id="126" w:name="_Toc196395892"/>
      <w:r w:rsidRPr="00CE1402">
        <w:t xml:space="preserve">High </w:t>
      </w:r>
      <w:r w:rsidRPr="0099326B">
        <w:t>housing</w:t>
      </w:r>
      <w:r w:rsidRPr="00CE1402">
        <w:t xml:space="preserve"> costs continue</w:t>
      </w:r>
      <w:r>
        <w:t>d</w:t>
      </w:r>
      <w:r w:rsidRPr="00CE1402">
        <w:t xml:space="preserve"> to erode housing affordability </w:t>
      </w:r>
      <w:r w:rsidR="00D80689">
        <w:t>across Australia</w:t>
      </w:r>
      <w:bookmarkEnd w:id="125"/>
      <w:bookmarkEnd w:id="126"/>
    </w:p>
    <w:p w14:paraId="73AB4E0C" w14:textId="2BD7726E" w:rsidR="00791A68" w:rsidRPr="00CE1402" w:rsidRDefault="00791A68" w:rsidP="0008759A">
      <w:pPr>
        <w:rPr>
          <w:bCs/>
        </w:rPr>
      </w:pPr>
      <w:r w:rsidRPr="00CE1402">
        <w:rPr>
          <w:bCs/>
        </w:rPr>
        <w:t>Housing affordabilit</w:t>
      </w:r>
      <w:r>
        <w:rPr>
          <w:bCs/>
        </w:rPr>
        <w:t xml:space="preserve">y </w:t>
      </w:r>
      <w:r w:rsidRPr="00CE1402">
        <w:rPr>
          <w:bCs/>
        </w:rPr>
        <w:t xml:space="preserve">continued to </w:t>
      </w:r>
      <w:r>
        <w:rPr>
          <w:bCs/>
        </w:rPr>
        <w:t>deteriorate</w:t>
      </w:r>
      <w:r w:rsidRPr="00CE1402">
        <w:rPr>
          <w:bCs/>
        </w:rPr>
        <w:t xml:space="preserve"> for </w:t>
      </w:r>
      <w:r>
        <w:rPr>
          <w:bCs/>
        </w:rPr>
        <w:t>owner</w:t>
      </w:r>
      <w:r w:rsidR="00A15C79">
        <w:rPr>
          <w:bCs/>
        </w:rPr>
        <w:noBreakHyphen/>
      </w:r>
      <w:r>
        <w:rPr>
          <w:bCs/>
        </w:rPr>
        <w:t>occupiers and renters in 2024 (</w:t>
      </w:r>
      <w:r w:rsidRPr="00CE1402">
        <w:rPr>
          <w:bCs/>
        </w:rPr>
        <w:t>ANZ</w:t>
      </w:r>
      <w:r w:rsidR="00D626E5">
        <w:rPr>
          <w:bCs/>
        </w:rPr>
        <w:t xml:space="preserve"> </w:t>
      </w:r>
      <w:r w:rsidR="00C1165C">
        <w:rPr>
          <w:bCs/>
        </w:rPr>
        <w:t>and</w:t>
      </w:r>
      <w:r w:rsidR="00D626E5">
        <w:rPr>
          <w:bCs/>
        </w:rPr>
        <w:t xml:space="preserve"> </w:t>
      </w:r>
      <w:r w:rsidRPr="00CE1402">
        <w:rPr>
          <w:bCs/>
        </w:rPr>
        <w:t>CoreLogic 2024). Around 5</w:t>
      </w:r>
      <w:r w:rsidR="00C4320A">
        <w:rPr>
          <w:bCs/>
        </w:rPr>
        <w:t>0</w:t>
      </w:r>
      <w:r w:rsidR="0099326B">
        <w:rPr>
          <w:bCs/>
        </w:rPr>
        <w:t> per cent</w:t>
      </w:r>
      <w:r w:rsidRPr="00CE1402">
        <w:rPr>
          <w:bCs/>
        </w:rPr>
        <w:t xml:space="preserve"> of</w:t>
      </w:r>
      <w:r>
        <w:rPr>
          <w:bCs/>
        </w:rPr>
        <w:t xml:space="preserve"> </w:t>
      </w:r>
      <w:r w:rsidRPr="00CE1402">
        <w:rPr>
          <w:bCs/>
        </w:rPr>
        <w:t xml:space="preserve">median household income </w:t>
      </w:r>
      <w:r>
        <w:rPr>
          <w:bCs/>
        </w:rPr>
        <w:t xml:space="preserve">was </w:t>
      </w:r>
      <w:r w:rsidRPr="00CE1402">
        <w:rPr>
          <w:bCs/>
        </w:rPr>
        <w:t xml:space="preserve">needed to </w:t>
      </w:r>
      <w:r>
        <w:rPr>
          <w:bCs/>
        </w:rPr>
        <w:t>meet repayments for new mortgages</w:t>
      </w:r>
      <w:r w:rsidRPr="00CE1402">
        <w:rPr>
          <w:bCs/>
        </w:rPr>
        <w:t xml:space="preserve">, while </w:t>
      </w:r>
      <w:r w:rsidR="00F764D4">
        <w:rPr>
          <w:bCs/>
        </w:rPr>
        <w:t xml:space="preserve">around </w:t>
      </w:r>
      <w:r w:rsidRPr="00CE1402">
        <w:rPr>
          <w:bCs/>
        </w:rPr>
        <w:t>33</w:t>
      </w:r>
      <w:r w:rsidR="0099326B">
        <w:rPr>
          <w:bCs/>
        </w:rPr>
        <w:t> per cent</w:t>
      </w:r>
      <w:r w:rsidRPr="00CE1402">
        <w:rPr>
          <w:bCs/>
        </w:rPr>
        <w:t xml:space="preserve"> </w:t>
      </w:r>
      <w:r>
        <w:rPr>
          <w:bCs/>
        </w:rPr>
        <w:t>was</w:t>
      </w:r>
      <w:r w:rsidRPr="00CE1402">
        <w:rPr>
          <w:bCs/>
        </w:rPr>
        <w:t xml:space="preserve"> </w:t>
      </w:r>
      <w:r>
        <w:rPr>
          <w:bCs/>
        </w:rPr>
        <w:t>needed</w:t>
      </w:r>
      <w:r w:rsidRPr="00CE1402">
        <w:rPr>
          <w:bCs/>
        </w:rPr>
        <w:t xml:space="preserve"> to </w:t>
      </w:r>
      <w:r w:rsidR="00C4320A">
        <w:rPr>
          <w:bCs/>
        </w:rPr>
        <w:t>meet</w:t>
      </w:r>
      <w:r w:rsidR="00C4320A" w:rsidRPr="00CE1402">
        <w:rPr>
          <w:bCs/>
        </w:rPr>
        <w:t xml:space="preserve"> </w:t>
      </w:r>
      <w:r>
        <w:rPr>
          <w:bCs/>
        </w:rPr>
        <w:t xml:space="preserve">rental costs for new leases </w:t>
      </w:r>
      <w:r w:rsidRPr="00CE1402">
        <w:rPr>
          <w:bCs/>
        </w:rPr>
        <w:t>(</w:t>
      </w:r>
      <w:r w:rsidR="00B952B6">
        <w:rPr>
          <w:bCs/>
        </w:rPr>
        <w:t xml:space="preserve">see </w:t>
      </w:r>
      <w:r w:rsidRPr="00CE1402">
        <w:rPr>
          <w:bCs/>
        </w:rPr>
        <w:t>Chart</w:t>
      </w:r>
      <w:r w:rsidR="007F42CE">
        <w:rPr>
          <w:bCs/>
        </w:rPr>
        <w:t> </w:t>
      </w:r>
      <w:r>
        <w:rPr>
          <w:bCs/>
        </w:rPr>
        <w:t>4</w:t>
      </w:r>
      <w:r w:rsidRPr="00CE1402">
        <w:rPr>
          <w:bCs/>
        </w:rPr>
        <w:t xml:space="preserve">.1). The time </w:t>
      </w:r>
      <w:r w:rsidR="00C4320A">
        <w:rPr>
          <w:bCs/>
        </w:rPr>
        <w:t>a median</w:t>
      </w:r>
      <w:r w:rsidR="00A15C79">
        <w:rPr>
          <w:bCs/>
        </w:rPr>
        <w:noBreakHyphen/>
      </w:r>
      <w:r w:rsidR="00C4320A">
        <w:rPr>
          <w:bCs/>
        </w:rPr>
        <w:t xml:space="preserve">income household needed to </w:t>
      </w:r>
      <w:r w:rsidR="0008759A">
        <w:rPr>
          <w:bCs/>
        </w:rPr>
        <w:t xml:space="preserve">save for a </w:t>
      </w:r>
      <w:r w:rsidRPr="00CE1402" w:rsidDel="0008759A">
        <w:rPr>
          <w:bCs/>
        </w:rPr>
        <w:t>deposit</w:t>
      </w:r>
      <w:r w:rsidRPr="00CE1402">
        <w:rPr>
          <w:bCs/>
        </w:rPr>
        <w:t xml:space="preserve"> </w:t>
      </w:r>
      <w:r w:rsidR="00F764D4">
        <w:rPr>
          <w:bCs/>
        </w:rPr>
        <w:t xml:space="preserve">rose </w:t>
      </w:r>
      <w:r w:rsidRPr="00CE1402">
        <w:rPr>
          <w:bCs/>
        </w:rPr>
        <w:t>to 10.6</w:t>
      </w:r>
      <w:r w:rsidR="00CC12B5">
        <w:rPr>
          <w:bCs/>
        </w:rPr>
        <w:t> </w:t>
      </w:r>
      <w:r>
        <w:rPr>
          <w:bCs/>
        </w:rPr>
        <w:t xml:space="preserve">years, and the ratio of </w:t>
      </w:r>
      <w:r w:rsidR="000D442D">
        <w:rPr>
          <w:bCs/>
        </w:rPr>
        <w:t xml:space="preserve">the median </w:t>
      </w:r>
      <w:r>
        <w:rPr>
          <w:bCs/>
        </w:rPr>
        <w:t xml:space="preserve">dwelling price to </w:t>
      </w:r>
      <w:r w:rsidR="000D442D">
        <w:rPr>
          <w:bCs/>
        </w:rPr>
        <w:t xml:space="preserve">household </w:t>
      </w:r>
      <w:r>
        <w:rPr>
          <w:bCs/>
        </w:rPr>
        <w:t xml:space="preserve">income </w:t>
      </w:r>
      <w:r w:rsidR="00F764D4">
        <w:rPr>
          <w:bCs/>
        </w:rPr>
        <w:t xml:space="preserve">increased </w:t>
      </w:r>
      <w:r>
        <w:rPr>
          <w:bCs/>
        </w:rPr>
        <w:t>to 8.0 (</w:t>
      </w:r>
      <w:r w:rsidR="002377ED">
        <w:rPr>
          <w:bCs/>
        </w:rPr>
        <w:t>see</w:t>
      </w:r>
      <w:r w:rsidR="00CC12B5">
        <w:rPr>
          <w:bCs/>
        </w:rPr>
        <w:t> </w:t>
      </w:r>
      <w:r>
        <w:rPr>
          <w:bCs/>
        </w:rPr>
        <w:t>Chart</w:t>
      </w:r>
      <w:r w:rsidR="00CC12B5">
        <w:rPr>
          <w:bCs/>
        </w:rPr>
        <w:t> </w:t>
      </w:r>
      <w:r>
        <w:rPr>
          <w:bCs/>
        </w:rPr>
        <w:t xml:space="preserve">4.1). </w:t>
      </w:r>
    </w:p>
    <w:p w14:paraId="0DDE0A4A" w14:textId="20ACBF9B" w:rsidR="00791A68" w:rsidRPr="00CE1402" w:rsidRDefault="00791A68">
      <w:pPr>
        <w:rPr>
          <w:bCs/>
        </w:rPr>
      </w:pPr>
      <w:r w:rsidRPr="00CE1402">
        <w:rPr>
          <w:bCs/>
        </w:rPr>
        <w:t>Housing affordability de</w:t>
      </w:r>
      <w:r>
        <w:rPr>
          <w:bCs/>
        </w:rPr>
        <w:t>clined</w:t>
      </w:r>
      <w:r w:rsidRPr="00CE1402">
        <w:rPr>
          <w:bCs/>
        </w:rPr>
        <w:t xml:space="preserve"> </w:t>
      </w:r>
      <w:r w:rsidR="00C615F3">
        <w:rPr>
          <w:bCs/>
        </w:rPr>
        <w:t>in</w:t>
      </w:r>
      <w:r w:rsidR="00C615F3" w:rsidRPr="00CE1402">
        <w:rPr>
          <w:bCs/>
        </w:rPr>
        <w:t xml:space="preserve"> </w:t>
      </w:r>
      <w:r w:rsidRPr="00CE1402">
        <w:rPr>
          <w:bCs/>
        </w:rPr>
        <w:t xml:space="preserve">most </w:t>
      </w:r>
      <w:r w:rsidR="00C615F3">
        <w:rPr>
          <w:bCs/>
        </w:rPr>
        <w:t xml:space="preserve">capital </w:t>
      </w:r>
      <w:r w:rsidRPr="00CE1402">
        <w:rPr>
          <w:bCs/>
        </w:rPr>
        <w:t xml:space="preserve">cities and regions. </w:t>
      </w:r>
      <w:r>
        <w:rPr>
          <w:bCs/>
        </w:rPr>
        <w:t>New m</w:t>
      </w:r>
      <w:r w:rsidRPr="00CE1402">
        <w:rPr>
          <w:bCs/>
        </w:rPr>
        <w:t>ortgages</w:t>
      </w:r>
      <w:r>
        <w:rPr>
          <w:bCs/>
        </w:rPr>
        <w:t xml:space="preserve"> and home deposits</w:t>
      </w:r>
      <w:r w:rsidRPr="00CE1402">
        <w:rPr>
          <w:bCs/>
        </w:rPr>
        <w:t xml:space="preserve"> </w:t>
      </w:r>
      <w:r>
        <w:rPr>
          <w:bCs/>
        </w:rPr>
        <w:t>remained</w:t>
      </w:r>
      <w:r w:rsidRPr="00CE1402">
        <w:rPr>
          <w:bCs/>
        </w:rPr>
        <w:t xml:space="preserve"> </w:t>
      </w:r>
      <w:r w:rsidR="00CE762E">
        <w:rPr>
          <w:bCs/>
        </w:rPr>
        <w:t xml:space="preserve">the </w:t>
      </w:r>
      <w:r w:rsidRPr="00CE1402">
        <w:rPr>
          <w:bCs/>
        </w:rPr>
        <w:t xml:space="preserve">least affordable in New South Wales and </w:t>
      </w:r>
      <w:r w:rsidR="00F7063A">
        <w:rPr>
          <w:bCs/>
        </w:rPr>
        <w:t xml:space="preserve">the </w:t>
      </w:r>
      <w:r w:rsidRPr="00CE1402">
        <w:rPr>
          <w:bCs/>
        </w:rPr>
        <w:t>most affordable in the Northern Territory</w:t>
      </w:r>
      <w:r>
        <w:rPr>
          <w:bCs/>
        </w:rPr>
        <w:t xml:space="preserve">, while rents </w:t>
      </w:r>
      <w:r w:rsidR="007B58C8">
        <w:rPr>
          <w:bCs/>
        </w:rPr>
        <w:t>were</w:t>
      </w:r>
      <w:r w:rsidR="00CE762E">
        <w:rPr>
          <w:bCs/>
        </w:rPr>
        <w:t xml:space="preserve"> </w:t>
      </w:r>
      <w:r>
        <w:rPr>
          <w:bCs/>
        </w:rPr>
        <w:t xml:space="preserve">least affordable in </w:t>
      </w:r>
      <w:r w:rsidR="00966725">
        <w:rPr>
          <w:bCs/>
        </w:rPr>
        <w:t xml:space="preserve">regional Queensland </w:t>
      </w:r>
      <w:r>
        <w:rPr>
          <w:bCs/>
        </w:rPr>
        <w:t>and</w:t>
      </w:r>
      <w:r w:rsidDel="00966725">
        <w:rPr>
          <w:bCs/>
        </w:rPr>
        <w:t xml:space="preserve"> </w:t>
      </w:r>
      <w:r>
        <w:rPr>
          <w:bCs/>
        </w:rPr>
        <w:t xml:space="preserve">most affordable in Canberra </w:t>
      </w:r>
      <w:r w:rsidRPr="00CE1402">
        <w:rPr>
          <w:bCs/>
        </w:rPr>
        <w:t>(</w:t>
      </w:r>
      <w:r w:rsidR="00BA0BF4">
        <w:t xml:space="preserve">see section 4.3, </w:t>
      </w:r>
      <w:r w:rsidR="00BA0BF4" w:rsidRPr="004A5845">
        <w:rPr>
          <w:rStyle w:val="Emphasis"/>
        </w:rPr>
        <w:t>Housing affordability continued to worsen across Australia for all tenure types</w:t>
      </w:r>
      <w:r w:rsidR="00BA0BF4">
        <w:t xml:space="preserve">). </w:t>
      </w:r>
    </w:p>
    <w:p w14:paraId="1A3D69F7" w14:textId="40CE75EA" w:rsidR="00791A68" w:rsidRPr="00CE1402" w:rsidRDefault="00791A68" w:rsidP="00CA16F9">
      <w:pPr>
        <w:rPr>
          <w:bCs/>
        </w:rPr>
      </w:pPr>
      <w:r>
        <w:rPr>
          <w:bCs/>
        </w:rPr>
        <w:t>Housing stress, defined as housing costs exceeding 30</w:t>
      </w:r>
      <w:r w:rsidR="0099326B">
        <w:rPr>
          <w:bCs/>
        </w:rPr>
        <w:t> per cent</w:t>
      </w:r>
      <w:r>
        <w:rPr>
          <w:bCs/>
        </w:rPr>
        <w:t xml:space="preserve"> of income for low</w:t>
      </w:r>
      <w:r w:rsidR="00756DC3">
        <w:rPr>
          <w:bCs/>
        </w:rPr>
        <w:t>er</w:t>
      </w:r>
      <w:r w:rsidR="00A15C79">
        <w:rPr>
          <w:bCs/>
        </w:rPr>
        <w:noBreakHyphen/>
      </w:r>
      <w:r>
        <w:rPr>
          <w:bCs/>
        </w:rPr>
        <w:t>income households (</w:t>
      </w:r>
      <w:r w:rsidR="002377ED">
        <w:rPr>
          <w:bCs/>
        </w:rPr>
        <w:t xml:space="preserve">see </w:t>
      </w:r>
      <w:r>
        <w:rPr>
          <w:bCs/>
        </w:rPr>
        <w:t xml:space="preserve">Box 4.1), was particularly prevalent for renters. More than </w:t>
      </w:r>
      <w:r w:rsidRPr="00CE1402">
        <w:rPr>
          <w:bCs/>
        </w:rPr>
        <w:t>half of lower</w:t>
      </w:r>
      <w:r w:rsidR="00A15C79">
        <w:rPr>
          <w:bCs/>
        </w:rPr>
        <w:noBreakHyphen/>
      </w:r>
      <w:r w:rsidRPr="00CE1402">
        <w:rPr>
          <w:bCs/>
        </w:rPr>
        <w:t>income renters were in rental stress</w:t>
      </w:r>
      <w:r>
        <w:rPr>
          <w:bCs/>
        </w:rPr>
        <w:t xml:space="preserve"> </w:t>
      </w:r>
      <w:r w:rsidRPr="00CE1402">
        <w:rPr>
          <w:bCs/>
        </w:rPr>
        <w:t xml:space="preserve">in 2023, </w:t>
      </w:r>
      <w:r>
        <w:rPr>
          <w:bCs/>
        </w:rPr>
        <w:t>with</w:t>
      </w:r>
      <w:r w:rsidRPr="00CE1402">
        <w:rPr>
          <w:bCs/>
        </w:rPr>
        <w:t xml:space="preserve"> 60</w:t>
      </w:r>
      <w:r w:rsidR="0099326B">
        <w:rPr>
          <w:bCs/>
        </w:rPr>
        <w:t> per cent</w:t>
      </w:r>
      <w:r>
        <w:rPr>
          <w:bCs/>
        </w:rPr>
        <w:t xml:space="preserve"> of</w:t>
      </w:r>
      <w:r w:rsidR="00CA16F9">
        <w:rPr>
          <w:bCs/>
        </w:rPr>
        <w:t xml:space="preserve"> those </w:t>
      </w:r>
      <w:r w:rsidR="000C4B42">
        <w:rPr>
          <w:bCs/>
        </w:rPr>
        <w:t>also</w:t>
      </w:r>
      <w:r w:rsidR="00CA16F9">
        <w:rPr>
          <w:bCs/>
        </w:rPr>
        <w:t xml:space="preserve"> in rental stress the year before.</w:t>
      </w:r>
      <w:r w:rsidDel="00CA16F9">
        <w:rPr>
          <w:bCs/>
        </w:rPr>
        <w:t xml:space="preserve"> </w:t>
      </w:r>
      <w:r>
        <w:rPr>
          <w:bCs/>
        </w:rPr>
        <w:t>Renters in</w:t>
      </w:r>
      <w:r w:rsidRPr="00CE1402">
        <w:rPr>
          <w:bCs/>
        </w:rPr>
        <w:t xml:space="preserve"> rental stress</w:t>
      </w:r>
      <w:r>
        <w:rPr>
          <w:bCs/>
        </w:rPr>
        <w:t xml:space="preserve"> also </w:t>
      </w:r>
      <w:r w:rsidR="00323A0D">
        <w:rPr>
          <w:bCs/>
        </w:rPr>
        <w:t xml:space="preserve">experienced </w:t>
      </w:r>
      <w:r w:rsidRPr="00CE1402">
        <w:rPr>
          <w:bCs/>
        </w:rPr>
        <w:t xml:space="preserve">lower </w:t>
      </w:r>
      <w:r>
        <w:rPr>
          <w:bCs/>
        </w:rPr>
        <w:t xml:space="preserve">levels of </w:t>
      </w:r>
      <w:r w:rsidRPr="00CE1402">
        <w:rPr>
          <w:bCs/>
        </w:rPr>
        <w:t>wellbeing</w:t>
      </w:r>
      <w:r>
        <w:rPr>
          <w:bCs/>
        </w:rPr>
        <w:t xml:space="preserve"> and higher levels of material deprivation. </w:t>
      </w:r>
    </w:p>
    <w:p w14:paraId="4116DB3B" w14:textId="2BC5C155" w:rsidR="00791A68" w:rsidRDefault="00791A68" w:rsidP="005B2645">
      <w:pPr>
        <w:keepLines/>
        <w:rPr>
          <w:bCs/>
        </w:rPr>
      </w:pPr>
      <w:r>
        <w:rPr>
          <w:bCs/>
        </w:rPr>
        <w:lastRenderedPageBreak/>
        <w:t>Reversing the downward trend in housing affordability requires an increase in new housing supply relative to new housing demand (</w:t>
      </w:r>
      <w:r w:rsidRPr="002949B5">
        <w:t>NHSAC 2024). While the Council expects that 9</w:t>
      </w:r>
      <w:r w:rsidR="009970D1" w:rsidRPr="0041126E">
        <w:t>3</w:t>
      </w:r>
      <w:r w:rsidRPr="002949B5">
        <w:t xml:space="preserve">8,000 homes will be built </w:t>
      </w:r>
      <w:r w:rsidRPr="00285514">
        <w:t xml:space="preserve">over the </w:t>
      </w:r>
      <w:r w:rsidR="00B762ED" w:rsidRPr="00285514">
        <w:t xml:space="preserve">Housing Accord </w:t>
      </w:r>
      <w:r w:rsidR="00B762ED" w:rsidRPr="0041126E">
        <w:t>p</w:t>
      </w:r>
      <w:r w:rsidR="00B762ED" w:rsidRPr="00285514">
        <w:t>eriod</w:t>
      </w:r>
      <w:r w:rsidRPr="002949B5">
        <w:t xml:space="preserve">, this </w:t>
      </w:r>
      <w:r w:rsidR="005A5C8D" w:rsidRPr="002949B5">
        <w:t>number</w:t>
      </w:r>
      <w:r w:rsidR="005A5C8D">
        <w:rPr>
          <w:bCs/>
        </w:rPr>
        <w:t xml:space="preserve"> </w:t>
      </w:r>
      <w:r>
        <w:rPr>
          <w:bCs/>
        </w:rPr>
        <w:t xml:space="preserve">will still </w:t>
      </w:r>
      <w:r w:rsidR="005A5C8D">
        <w:rPr>
          <w:bCs/>
        </w:rPr>
        <w:t xml:space="preserve">fall </w:t>
      </w:r>
      <w:r>
        <w:rPr>
          <w:bCs/>
        </w:rPr>
        <w:t>short of projections for new housing demand (see Chapter 5</w:t>
      </w:r>
      <w:r w:rsidR="000B1344">
        <w:rPr>
          <w:bCs/>
        </w:rPr>
        <w:t>,</w:t>
      </w:r>
      <w:r>
        <w:rPr>
          <w:bCs/>
        </w:rPr>
        <w:t xml:space="preserve"> </w:t>
      </w:r>
      <w:r w:rsidRPr="00CC12B5">
        <w:rPr>
          <w:rStyle w:val="Emphasis"/>
        </w:rPr>
        <w:t>Housing system outlook</w:t>
      </w:r>
      <w:r>
        <w:rPr>
          <w:bCs/>
        </w:rPr>
        <w:t>). As such, reforms that enable additional housing supply are critical to improving long</w:t>
      </w:r>
      <w:r w:rsidR="00A15C79">
        <w:rPr>
          <w:bCs/>
        </w:rPr>
        <w:noBreakHyphen/>
      </w:r>
      <w:r>
        <w:rPr>
          <w:bCs/>
        </w:rPr>
        <w:t xml:space="preserve">run housing affordability (see </w:t>
      </w:r>
      <w:r w:rsidRPr="000B1344">
        <w:rPr>
          <w:bCs/>
        </w:rPr>
        <w:t>Chapter 7</w:t>
      </w:r>
      <w:r w:rsidR="000B1344" w:rsidRPr="00AF6D3B">
        <w:t>,</w:t>
      </w:r>
      <w:r>
        <w:rPr>
          <w:bCs/>
        </w:rPr>
        <w:t xml:space="preserve"> </w:t>
      </w:r>
      <w:r w:rsidRPr="004A5845">
        <w:rPr>
          <w:rStyle w:val="Emphasis"/>
        </w:rPr>
        <w:t>Towards a better housing system</w:t>
      </w:r>
      <w:r>
        <w:rPr>
          <w:bCs/>
        </w:rPr>
        <w:t xml:space="preserve">). </w:t>
      </w:r>
    </w:p>
    <w:tbl>
      <w:tblPr>
        <w:tblW w:w="5029" w:type="pct"/>
        <w:tblLayout w:type="fixed"/>
        <w:tblLook w:val="0000" w:firstRow="0" w:lastRow="0" w:firstColumn="0" w:lastColumn="0" w:noHBand="0" w:noVBand="0"/>
      </w:tblPr>
      <w:tblGrid>
        <w:gridCol w:w="4561"/>
        <w:gridCol w:w="4562"/>
      </w:tblGrid>
      <w:tr w:rsidR="007D55AB" w:rsidRPr="00FB4AEB" w14:paraId="5A92E080" w14:textId="77777777" w:rsidTr="0099326B">
        <w:trPr>
          <w:cantSplit/>
          <w:trHeight w:val="68"/>
        </w:trPr>
        <w:tc>
          <w:tcPr>
            <w:tcW w:w="4561" w:type="dxa"/>
          </w:tcPr>
          <w:p w14:paraId="2DD9AF90" w14:textId="257BD636" w:rsidR="007D55AB" w:rsidRPr="00FB4AEB" w:rsidRDefault="007D55AB" w:rsidP="001B4EAF">
            <w:pPr>
              <w:pStyle w:val="ChartMainHeading"/>
            </w:pPr>
            <w:r w:rsidRPr="003366CB">
              <w:t xml:space="preserve">Advertised rent </w:t>
            </w:r>
            <w:r w:rsidR="006A271B">
              <w:t xml:space="preserve">affordability </w:t>
            </w:r>
            <w:r w:rsidR="006A271B">
              <w:br/>
            </w:r>
            <w:r w:rsidRPr="003366CB">
              <w:t>and mortgage repayment</w:t>
            </w:r>
            <w:r w:rsidRPr="00FB4AEB">
              <w:t xml:space="preserve"> affordability </w:t>
            </w:r>
          </w:p>
        </w:tc>
        <w:tc>
          <w:tcPr>
            <w:tcW w:w="4562" w:type="dxa"/>
          </w:tcPr>
          <w:p w14:paraId="133104D3" w14:textId="2CE5EFE2" w:rsidR="007D55AB" w:rsidRPr="00FB4AEB" w:rsidRDefault="007D55AB" w:rsidP="001B4EAF">
            <w:pPr>
              <w:pStyle w:val="ChartMainHeading"/>
            </w:pPr>
            <w:r w:rsidRPr="00FB4AEB">
              <w:t xml:space="preserve">Home </w:t>
            </w:r>
            <w:r w:rsidR="00A9032F">
              <w:t>purchase</w:t>
            </w:r>
            <w:r w:rsidRPr="00FB4AEB">
              <w:t xml:space="preserve"> affordability</w:t>
            </w:r>
            <w:r w:rsidRPr="003366CB">
              <w:t xml:space="preserve"> and dwelling price</w:t>
            </w:r>
            <w:r w:rsidR="003C6353">
              <w:t>-</w:t>
            </w:r>
            <w:r w:rsidRPr="003366CB">
              <w:t>to</w:t>
            </w:r>
            <w:r w:rsidR="003C6353">
              <w:t>-</w:t>
            </w:r>
            <w:r w:rsidRPr="003366CB">
              <w:t>income ratio</w:t>
            </w:r>
          </w:p>
        </w:tc>
      </w:tr>
      <w:tr w:rsidR="007D55AB" w:rsidRPr="00FB4AEB" w14:paraId="27F6299F" w14:textId="77777777" w:rsidTr="0099326B">
        <w:trPr>
          <w:cantSplit/>
          <w:trHeight w:val="4106"/>
        </w:trPr>
        <w:tc>
          <w:tcPr>
            <w:tcW w:w="4561" w:type="dxa"/>
          </w:tcPr>
          <w:p w14:paraId="4FBB8423" w14:textId="3BBCA3B7" w:rsidR="007D55AB" w:rsidRPr="003366CB" w:rsidRDefault="00994FE3">
            <w:pPr>
              <w:spacing w:before="0" w:after="0"/>
            </w:pPr>
            <w:r w:rsidRPr="00994FE3">
              <w:rPr>
                <w:noProof/>
              </w:rPr>
              <w:drawing>
                <wp:inline distT="0" distB="0" distL="0" distR="0" wp14:anchorId="7FAAE863" wp14:editId="51B1F194">
                  <wp:extent cx="2752725" cy="2762250"/>
                  <wp:effectExtent l="0" t="0" r="0" b="0"/>
                  <wp:docPr id="775816426" name="Picture 2" descr="This line chart shows the new mortgage repayment to income ratio and the advertised rent to income ratio between December 2014 to December 2024. Both series declined slightly over the 6 years to December 2020, before rebounding to record highs over the 4 years to December 2024. Overall, over the 10 years to December 2024, the new mortgage repayment to income ratio rose from 34 per cent to 50 per cent, while the advertised rent to income ratio rose from 30 per cent to 33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816426" name="Picture 2" descr="This line chart shows the new mortgage repayment to income ratio and the advertised rent to income ratio between December 2014 to December 2024. Both series declined slightly over the 6 years to December 2020, before rebounding to record highs over the 4 years to December 2024. Overall, over the 10 years to December 2024, the new mortgage repayment to income ratio rose from 34 per cent to 50 per cent, while the advertised rent to income ratio rose from 30 per cent to 33 per cent. "/>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752725" cy="2762250"/>
                          </a:xfrm>
                          <a:prstGeom prst="rect">
                            <a:avLst/>
                          </a:prstGeom>
                          <a:noFill/>
                          <a:ln>
                            <a:noFill/>
                          </a:ln>
                        </pic:spPr>
                      </pic:pic>
                    </a:graphicData>
                  </a:graphic>
                </wp:inline>
              </w:drawing>
            </w:r>
          </w:p>
        </w:tc>
        <w:tc>
          <w:tcPr>
            <w:tcW w:w="4562" w:type="dxa"/>
          </w:tcPr>
          <w:p w14:paraId="67C9134C" w14:textId="4EE179CC" w:rsidR="007D55AB" w:rsidRPr="003366CB" w:rsidRDefault="00D12C45">
            <w:pPr>
              <w:spacing w:before="0" w:after="0"/>
            </w:pPr>
            <w:r w:rsidRPr="0097233C">
              <w:rPr>
                <w:noProof/>
              </w:rPr>
              <w:drawing>
                <wp:inline distT="0" distB="0" distL="0" distR="0" wp14:anchorId="6E945A58" wp14:editId="25F71E33">
                  <wp:extent cx="2759075" cy="2749550"/>
                  <wp:effectExtent l="0" t="0" r="0" b="0"/>
                  <wp:docPr id="607049751" name="Picture 1" descr="This line chart shows the national median dwelling price to household income ratio, alongside the average years needed to save for a deposit, between December 2014 to December 2024. After remaining relatively steady over the 6 years to December 2020, both series increased sharply to reach a peak in June 2022, before falling slightly and then rebounding again over the 2 years to December 2024. Overall, over the 10 years to December 2024, the price to income ratio rose from 6.5 to 8.0, and the years to save a deposit rose from 8.7 to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049751" name="Picture 1" descr="This line chart shows the national median dwelling price to household income ratio, alongside the average years needed to save for a deposit, between December 2014 to December 2024. After remaining relatively steady over the 6 years to December 2020, both series increased sharply to reach a peak in June 2022, before falling slightly and then rebounding again over the 2 years to December 2024. Overall, over the 10 years to December 2024, the price to income ratio rose from 6.5 to 8.0, and the years to save a deposit rose from 8.7 to 10.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759075" cy="2749550"/>
                          </a:xfrm>
                          <a:prstGeom prst="rect">
                            <a:avLst/>
                          </a:prstGeom>
                          <a:noFill/>
                          <a:ln>
                            <a:noFill/>
                          </a:ln>
                        </pic:spPr>
                      </pic:pic>
                    </a:graphicData>
                  </a:graphic>
                </wp:inline>
              </w:drawing>
            </w:r>
          </w:p>
        </w:tc>
      </w:tr>
    </w:tbl>
    <w:p w14:paraId="12D97721" w14:textId="74DCF870" w:rsidR="0099326B" w:rsidRDefault="007D55AB" w:rsidP="006F5BB5">
      <w:pPr>
        <w:pStyle w:val="ChartorTableNoteandSource"/>
      </w:pPr>
      <w:r w:rsidRPr="000C4B42">
        <w:t>Note:</w:t>
      </w:r>
      <w:r w:rsidR="00CC12B5">
        <w:tab/>
      </w:r>
      <w:r w:rsidRPr="000C4B42">
        <w:t>New mortgage payment</w:t>
      </w:r>
      <w:r w:rsidR="00A15C79">
        <w:noBreakHyphen/>
      </w:r>
      <w:r w:rsidRPr="000C4B42">
        <w:t>to</w:t>
      </w:r>
      <w:r w:rsidR="00A15C79">
        <w:noBreakHyphen/>
      </w:r>
      <w:r w:rsidRPr="000C4B42">
        <w:t xml:space="preserve">income ratio is the share of gross annual household income </w:t>
      </w:r>
      <w:r w:rsidR="00871F1A">
        <w:t>that a median-income household needs</w:t>
      </w:r>
      <w:r w:rsidR="00871F1A" w:rsidRPr="000C4B42">
        <w:t xml:space="preserve"> </w:t>
      </w:r>
      <w:r w:rsidRPr="000C4B42">
        <w:t>to service a loan that is 80</w:t>
      </w:r>
      <w:r w:rsidR="0099326B">
        <w:t> per cent</w:t>
      </w:r>
      <w:r w:rsidRPr="000C4B42">
        <w:t xml:space="preserve"> of the median dwelling value, paying the average discount variable mortgage rate for a term of 25 years. Advertised rent</w:t>
      </w:r>
      <w:r w:rsidR="00A15C79">
        <w:noBreakHyphen/>
      </w:r>
      <w:r w:rsidRPr="000C4B42">
        <w:t>to</w:t>
      </w:r>
      <w:r w:rsidR="00A15C79">
        <w:noBreakHyphen/>
      </w:r>
      <w:r w:rsidRPr="000C4B42">
        <w:t xml:space="preserve">income ratio is the share of gross annual household income </w:t>
      </w:r>
      <w:r w:rsidR="00871F1A">
        <w:t xml:space="preserve">that a median-income household needs </w:t>
      </w:r>
      <w:r w:rsidRPr="000C4B42">
        <w:t xml:space="preserve">to pay for rent on </w:t>
      </w:r>
      <w:r w:rsidR="00871F1A">
        <w:t xml:space="preserve">a </w:t>
      </w:r>
      <w:r w:rsidRPr="000C4B42">
        <w:t xml:space="preserve">new lease. Years to save </w:t>
      </w:r>
      <w:r w:rsidR="00A5713C">
        <w:t xml:space="preserve">a </w:t>
      </w:r>
      <w:r w:rsidRPr="000C4B42">
        <w:t>20</w:t>
      </w:r>
      <w:r w:rsidR="0099326B">
        <w:t> per cent</w:t>
      </w:r>
      <w:r w:rsidRPr="000C4B42">
        <w:t xml:space="preserve"> deposit assumes </w:t>
      </w:r>
      <w:r w:rsidR="00C91B74">
        <w:t xml:space="preserve">that </w:t>
      </w:r>
      <w:r w:rsidRPr="000C4B42">
        <w:t>15</w:t>
      </w:r>
      <w:r w:rsidR="0099326B">
        <w:t> per cent</w:t>
      </w:r>
      <w:r w:rsidRPr="000C4B42">
        <w:t xml:space="preserve"> </w:t>
      </w:r>
      <w:r w:rsidR="00C91B74">
        <w:t>of</w:t>
      </w:r>
      <w:r w:rsidRPr="000C4B42">
        <w:t xml:space="preserve"> gross median household income </w:t>
      </w:r>
      <w:r w:rsidR="00C91B74">
        <w:t>can be</w:t>
      </w:r>
      <w:r w:rsidRPr="000C4B42">
        <w:t xml:space="preserve"> saved annually for a deposit. Price</w:t>
      </w:r>
      <w:r w:rsidR="00C91B74">
        <w:t>-</w:t>
      </w:r>
      <w:r w:rsidRPr="000C4B42">
        <w:t>to</w:t>
      </w:r>
      <w:r w:rsidR="00C91B74">
        <w:t>-</w:t>
      </w:r>
      <w:r w:rsidRPr="000C4B42">
        <w:t>income ratio compares the median dwelling value to the median household income.</w:t>
      </w:r>
    </w:p>
    <w:p w14:paraId="354E2306" w14:textId="394C38B3" w:rsidR="00FE46B8" w:rsidRPr="00FE46B8" w:rsidRDefault="00FE46B8" w:rsidP="00FE46B8">
      <w:pPr>
        <w:pStyle w:val="ChartorTableNoteandSource"/>
      </w:pPr>
      <w:r w:rsidRPr="000C4B42">
        <w:rPr>
          <w:color w:val="auto"/>
          <w:szCs w:val="18"/>
        </w:rPr>
        <w:t>Source:</w:t>
      </w:r>
      <w:r>
        <w:rPr>
          <w:color w:val="auto"/>
          <w:szCs w:val="18"/>
        </w:rPr>
        <w:tab/>
      </w:r>
      <w:r w:rsidRPr="00233B47">
        <w:rPr>
          <w:szCs w:val="18"/>
        </w:rPr>
        <w:t>CoreLogic and</w:t>
      </w:r>
      <w:r w:rsidRPr="00233B47" w:rsidDel="00333860">
        <w:rPr>
          <w:szCs w:val="18"/>
        </w:rPr>
        <w:t xml:space="preserve"> </w:t>
      </w:r>
      <w:r w:rsidRPr="00233B47">
        <w:rPr>
          <w:szCs w:val="18"/>
        </w:rPr>
        <w:t>ANU POLIS Centre for Social Policy Research 2025</w:t>
      </w:r>
    </w:p>
    <w:tbl>
      <w:tblPr>
        <w:tblW w:w="5000" w:type="pct"/>
        <w:shd w:val="clear" w:color="auto" w:fill="F2E3C7" w:themeFill="background2"/>
        <w:tblCellMar>
          <w:top w:w="284" w:type="dxa"/>
          <w:left w:w="284" w:type="dxa"/>
          <w:bottom w:w="284" w:type="dxa"/>
          <w:right w:w="284" w:type="dxa"/>
        </w:tblCellMar>
        <w:tblLook w:val="0600" w:firstRow="0" w:lastRow="0" w:firstColumn="0" w:lastColumn="0" w:noHBand="1" w:noVBand="1"/>
      </w:tblPr>
      <w:tblGrid>
        <w:gridCol w:w="9070"/>
      </w:tblGrid>
      <w:tr w:rsidR="003F433B" w:rsidRPr="00CE1402" w14:paraId="2CDDB0D3" w14:textId="77777777">
        <w:trPr>
          <w:trHeight w:val="5225"/>
        </w:trPr>
        <w:tc>
          <w:tcPr>
            <w:tcW w:w="5000" w:type="pct"/>
            <w:shd w:val="clear" w:color="auto" w:fill="F2E3C7" w:themeFill="background2"/>
            <w:hideMark/>
          </w:tcPr>
          <w:p w14:paraId="31F56BBE" w14:textId="77777777" w:rsidR="003F433B" w:rsidRPr="00CE1402" w:rsidRDefault="003F433B" w:rsidP="006F5BB5">
            <w:pPr>
              <w:pStyle w:val="BoxHeadingBox11"/>
              <w:numPr>
                <w:ilvl w:val="5"/>
                <w:numId w:val="13"/>
              </w:numPr>
            </w:pPr>
            <w:r w:rsidRPr="006F5BB5">
              <w:lastRenderedPageBreak/>
              <w:t>Measures</w:t>
            </w:r>
            <w:r w:rsidRPr="00CE1402">
              <w:t xml:space="preserve"> of housing affordability and housing stress</w:t>
            </w:r>
            <w:r>
              <w:t xml:space="preserve"> in this report</w:t>
            </w:r>
          </w:p>
          <w:p w14:paraId="2F33267A" w14:textId="1C4A6F06" w:rsidR="003F433B" w:rsidRPr="00CE1402" w:rsidRDefault="003F433B" w:rsidP="0099326B">
            <w:pPr>
              <w:pStyle w:val="BoxText"/>
            </w:pPr>
            <w:r w:rsidRPr="0099326B">
              <w:rPr>
                <w:rStyle w:val="Strong"/>
              </w:rPr>
              <w:t>Housing affordability</w:t>
            </w:r>
            <w:r w:rsidRPr="00CE1402">
              <w:t xml:space="preserve"> is measured as the ratio </w:t>
            </w:r>
            <w:r>
              <w:t xml:space="preserve">of </w:t>
            </w:r>
            <w:r w:rsidRPr="00CE1402">
              <w:t xml:space="preserve">housing costs (such as prices, mortgage costs </w:t>
            </w:r>
            <w:r w:rsidR="00D15455">
              <w:t>or</w:t>
            </w:r>
            <w:r w:rsidR="00D15455" w:rsidRPr="00CE1402">
              <w:t xml:space="preserve"> </w:t>
            </w:r>
            <w:r w:rsidRPr="00CE1402">
              <w:t>rental costs) to household income (OECD 202</w:t>
            </w:r>
            <w:r>
              <w:t>1</w:t>
            </w:r>
            <w:r w:rsidRPr="00CE1402">
              <w:t xml:space="preserve">). </w:t>
            </w:r>
            <w:r>
              <w:t>As there are multiple ways to measure housing costs and household income (for example, using gross or disposable income</w:t>
            </w:r>
            <w:r w:rsidR="00CC7813">
              <w:t>,</w:t>
            </w:r>
            <w:r>
              <w:t xml:space="preserve"> or including Commonwealth Rent Assistance), </w:t>
            </w:r>
            <w:r w:rsidRPr="00CE1402">
              <w:t xml:space="preserve">direct comparisons </w:t>
            </w:r>
            <w:r w:rsidRPr="0099326B">
              <w:t>between</w:t>
            </w:r>
            <w:r w:rsidRPr="00CE1402">
              <w:t xml:space="preserve"> different measures of affordability are not always possible.</w:t>
            </w:r>
            <w:r>
              <w:t xml:space="preserve"> Other measures of housing affordability can include residual income and housing quality (OECD 2021). </w:t>
            </w:r>
          </w:p>
          <w:p w14:paraId="5857D09D" w14:textId="7E1D8539" w:rsidR="003F433B" w:rsidRPr="00CE1402" w:rsidRDefault="003F433B" w:rsidP="0099326B">
            <w:pPr>
              <w:pStyle w:val="BoxText"/>
            </w:pPr>
            <w:r w:rsidRPr="0099326B">
              <w:rPr>
                <w:rStyle w:val="Strong"/>
              </w:rPr>
              <w:t>Housing stress</w:t>
            </w:r>
            <w:r w:rsidRPr="000C4B42">
              <w:t>, which includes rental stress,</w:t>
            </w:r>
            <w:r>
              <w:rPr>
                <w:b/>
                <w:bCs/>
              </w:rPr>
              <w:t xml:space="preserve"> </w:t>
            </w:r>
            <w:r w:rsidRPr="00CE1402">
              <w:t>occurs when the housing cost</w:t>
            </w:r>
            <w:r w:rsidR="00A15C79">
              <w:noBreakHyphen/>
            </w:r>
            <w:r w:rsidRPr="00CE1402">
              <w:t>to</w:t>
            </w:r>
            <w:r w:rsidR="00A15C79">
              <w:noBreakHyphen/>
            </w:r>
            <w:r w:rsidRPr="00CE1402">
              <w:t xml:space="preserve">income ratio is excessively high. </w:t>
            </w:r>
            <w:r>
              <w:t xml:space="preserve">Similar to housing affordability, there </w:t>
            </w:r>
            <w:r w:rsidRPr="00CE1402">
              <w:t>are multiple approaches to measuring housing stress</w:t>
            </w:r>
            <w:r>
              <w:t>. These include</w:t>
            </w:r>
            <w:r w:rsidRPr="00CE1402">
              <w:t xml:space="preserve"> </w:t>
            </w:r>
            <w:r w:rsidRPr="002949B5">
              <w:t>identifying whether the cost</w:t>
            </w:r>
            <w:r w:rsidR="00A15C79" w:rsidRPr="002949B5">
              <w:noBreakHyphen/>
            </w:r>
            <w:r w:rsidRPr="002949B5">
              <w:t>to</w:t>
            </w:r>
            <w:r w:rsidR="00A15C79" w:rsidRPr="002949B5">
              <w:noBreakHyphen/>
            </w:r>
            <w:r w:rsidRPr="002949B5">
              <w:t>income ratio of a household exceeds an arbitrary value (usually 30</w:t>
            </w:r>
            <w:r w:rsidR="0099326B" w:rsidRPr="002949B5">
              <w:t> per cent</w:t>
            </w:r>
            <w:r w:rsidRPr="002949B5">
              <w:t>) or the cost</w:t>
            </w:r>
            <w:r w:rsidR="00A15C79" w:rsidRPr="002949B5">
              <w:noBreakHyphen/>
            </w:r>
            <w:r w:rsidRPr="002949B5">
              <w:t>to</w:t>
            </w:r>
            <w:r w:rsidR="00A15C79" w:rsidRPr="002949B5">
              <w:noBreakHyphen/>
            </w:r>
            <w:r w:rsidRPr="002949B5">
              <w:t>income ratio for lower</w:t>
            </w:r>
            <w:r w:rsidR="00A15C79" w:rsidRPr="002949B5">
              <w:noBreakHyphen/>
            </w:r>
            <w:r w:rsidRPr="002949B5">
              <w:t xml:space="preserve">income households (those in the </w:t>
            </w:r>
            <w:r w:rsidR="00237A41" w:rsidRPr="002949B5">
              <w:t xml:space="preserve">lower 40 per cent of the </w:t>
            </w:r>
            <w:r w:rsidRPr="002949B5">
              <w:t xml:space="preserve">income </w:t>
            </w:r>
            <w:r w:rsidR="00237A41" w:rsidRPr="002949B5">
              <w:t>distribution</w:t>
            </w:r>
            <w:r w:rsidRPr="002949B5">
              <w:t>) exceeds a value such as 30</w:t>
            </w:r>
            <w:r w:rsidR="0099326B" w:rsidRPr="002949B5">
              <w:t> per cent</w:t>
            </w:r>
            <w:r w:rsidRPr="002949B5">
              <w:t xml:space="preserve"> – referred to as</w:t>
            </w:r>
            <w:r w:rsidRPr="002949B5" w:rsidDel="00FE54E1">
              <w:t xml:space="preserve"> </w:t>
            </w:r>
            <w:r w:rsidRPr="002949B5">
              <w:t>the 30/40 rule (Pawson et al. 202</w:t>
            </w:r>
            <w:r w:rsidR="000647BF" w:rsidRPr="002949B5">
              <w:t>0</w:t>
            </w:r>
            <w:r w:rsidRPr="002949B5">
              <w:t>).</w:t>
            </w:r>
          </w:p>
          <w:p w14:paraId="3BEAFD03" w14:textId="31E873DB" w:rsidR="003F433B" w:rsidRPr="00CE1402" w:rsidRDefault="003F433B" w:rsidP="0099326B">
            <w:pPr>
              <w:pStyle w:val="BoxText"/>
              <w:spacing w:after="0"/>
            </w:pPr>
            <w:r w:rsidRPr="00C67093">
              <w:t xml:space="preserve">The 30/40 rule </w:t>
            </w:r>
            <w:r>
              <w:t xml:space="preserve">is a useful </w:t>
            </w:r>
            <w:r w:rsidRPr="00C67093">
              <w:t xml:space="preserve">tool </w:t>
            </w:r>
            <w:r>
              <w:t>to</w:t>
            </w:r>
            <w:r w:rsidRPr="00C67093">
              <w:t xml:space="preserve"> monitor aggregate trends in housing stress</w:t>
            </w:r>
            <w:r>
              <w:t xml:space="preserve"> as it requires a limite</w:t>
            </w:r>
            <w:r w:rsidRPr="00C67093">
              <w:t>d</w:t>
            </w:r>
            <w:r>
              <w:t xml:space="preserve"> number of variables to compute and</w:t>
            </w:r>
            <w:r w:rsidDel="001F4D38">
              <w:t xml:space="preserve"> </w:t>
            </w:r>
            <w:r>
              <w:t>is</w:t>
            </w:r>
            <w:r w:rsidRPr="00C67093">
              <w:t xml:space="preserve"> relatively easy to interpret (AHURI 2019). However, </w:t>
            </w:r>
            <w:r w:rsidRPr="00C67093" w:rsidDel="00CD3696">
              <w:t xml:space="preserve">the </w:t>
            </w:r>
            <w:r>
              <w:t>rule</w:t>
            </w:r>
            <w:r w:rsidRPr="00C67093">
              <w:t xml:space="preserve"> has </w:t>
            </w:r>
            <w:r>
              <w:t>several</w:t>
            </w:r>
            <w:r w:rsidRPr="00C67093">
              <w:t xml:space="preserve"> limitations. It does not capture households that may not have formed due to affordability pressures</w:t>
            </w:r>
            <w:r>
              <w:t>,</w:t>
            </w:r>
            <w:r w:rsidRPr="00C67093">
              <w:t xml:space="preserve"> it uses arbitrary </w:t>
            </w:r>
            <w:r>
              <w:t>thresholds to</w:t>
            </w:r>
            <w:r w:rsidRPr="00C67093">
              <w:t xml:space="preserve"> defin</w:t>
            </w:r>
            <w:r>
              <w:t>e</w:t>
            </w:r>
            <w:r w:rsidRPr="00C67093">
              <w:t xml:space="preserve"> stress</w:t>
            </w:r>
            <w:r>
              <w:t>,</w:t>
            </w:r>
            <w:r w:rsidRPr="00C67093">
              <w:t xml:space="preserve"> and it does not reflect stress duration. It also tends to exclude key housing trade</w:t>
            </w:r>
            <w:r w:rsidR="00A15C79">
              <w:noBreakHyphen/>
            </w:r>
            <w:r w:rsidRPr="00C67093">
              <w:t xml:space="preserve">offs, such as housing quality and location (Crowe </w:t>
            </w:r>
            <w:r>
              <w:t>and</w:t>
            </w:r>
            <w:r w:rsidRPr="00C67093">
              <w:t xml:space="preserve"> Rowley 2024).</w:t>
            </w:r>
          </w:p>
          <w:p w14:paraId="34D00F0A" w14:textId="7E248D96" w:rsidR="003F433B" w:rsidRPr="00CE1402" w:rsidRDefault="003F433B" w:rsidP="006F5BB5">
            <w:pPr>
              <w:pStyle w:val="BoxText"/>
            </w:pPr>
            <w:r w:rsidRPr="00CE1402">
              <w:t xml:space="preserve">In this report, </w:t>
            </w:r>
            <w:r w:rsidRPr="0099326B">
              <w:t>CoreLogic</w:t>
            </w:r>
            <w:r w:rsidR="00B57EAD">
              <w:t>–ANU</w:t>
            </w:r>
            <w:r w:rsidRPr="00CE1402">
              <w:t xml:space="preserve"> data is used to measure affordability for </w:t>
            </w:r>
            <w:r w:rsidRPr="006F5BB5">
              <w:t>those</w:t>
            </w:r>
            <w:r w:rsidRPr="00CE1402">
              <w:t xml:space="preserve"> with new mortgages, those saving for a deposit and those seeking newly advertised rentals. </w:t>
            </w:r>
            <w:proofErr w:type="spellStart"/>
            <w:r w:rsidRPr="00CE1402">
              <w:t>PropTrack</w:t>
            </w:r>
            <w:proofErr w:type="spellEnd"/>
            <w:r w:rsidRPr="00CE1402">
              <w:t xml:space="preserve"> data is used to measure the availability of homes to own. Household, Income</w:t>
            </w:r>
            <w:r w:rsidR="006B5A5E">
              <w:t xml:space="preserve"> and</w:t>
            </w:r>
            <w:r w:rsidRPr="00CE1402">
              <w:t xml:space="preserve"> Labour Dynamics in Australia (HILDA) Survey </w:t>
            </w:r>
            <w:r>
              <w:t xml:space="preserve">data </w:t>
            </w:r>
            <w:r w:rsidRPr="00CE1402">
              <w:t>is also used to measure rental stress, and satisfaction, wellbeing and material deprivation</w:t>
            </w:r>
            <w:r>
              <w:t>.</w:t>
            </w:r>
          </w:p>
        </w:tc>
      </w:tr>
    </w:tbl>
    <w:p w14:paraId="43199540" w14:textId="72CB871E" w:rsidR="00791A68" w:rsidRPr="00CE1402" w:rsidRDefault="00791A68" w:rsidP="00744F72">
      <w:pPr>
        <w:pStyle w:val="Heading2Numbered"/>
      </w:pPr>
      <w:bookmarkStart w:id="127" w:name="_Toc195026602"/>
      <w:bookmarkStart w:id="128" w:name="_Toc196395893"/>
      <w:r w:rsidRPr="00CE1402">
        <w:t xml:space="preserve">The </w:t>
      </w:r>
      <w:r w:rsidR="002A5A93">
        <w:t>increase in housing costs</w:t>
      </w:r>
      <w:r w:rsidRPr="00CE1402">
        <w:t xml:space="preserve"> mirrors trends seen </w:t>
      </w:r>
      <w:r w:rsidR="002A5A93">
        <w:t>in comparable advanced economies</w:t>
      </w:r>
      <w:bookmarkEnd w:id="127"/>
      <w:bookmarkEnd w:id="128"/>
    </w:p>
    <w:p w14:paraId="22808487" w14:textId="4C14CEAE" w:rsidR="006F368B" w:rsidRPr="00CE1402" w:rsidRDefault="00791A68">
      <w:r>
        <w:t>H</w:t>
      </w:r>
      <w:r w:rsidRPr="00CE1402">
        <w:t xml:space="preserve">ousing prices and rents continued to rise to elevated levels across </w:t>
      </w:r>
      <w:r w:rsidR="002A5A93">
        <w:t xml:space="preserve">comparable </w:t>
      </w:r>
      <w:r w:rsidRPr="00CE1402">
        <w:t>advanced economies</w:t>
      </w:r>
      <w:r>
        <w:t xml:space="preserve"> in 2024 (OECD 2025).</w:t>
      </w:r>
      <w:r w:rsidRPr="00CE1402">
        <w:t xml:space="preserve"> </w:t>
      </w:r>
      <w:r>
        <w:t xml:space="preserve">In Australia, housing price growth and rent growth have been near the top of the range </w:t>
      </w:r>
      <w:r w:rsidR="00A349AA">
        <w:t>compared with</w:t>
      </w:r>
      <w:r>
        <w:t xml:space="preserve"> similar advanced economies, where housing prices and rents have continued to rise – although at a slowing pace – over the past year (</w:t>
      </w:r>
      <w:r w:rsidR="004B4E95">
        <w:t>see c</w:t>
      </w:r>
      <w:r w:rsidRPr="00CE1402">
        <w:t>hart</w:t>
      </w:r>
      <w:r w:rsidR="004B4E95">
        <w:t>s</w:t>
      </w:r>
      <w:r w:rsidRPr="00CE1402">
        <w:t xml:space="preserve"> </w:t>
      </w:r>
      <w:r>
        <w:t>4.</w:t>
      </w:r>
      <w:r w:rsidR="001D18CA">
        <w:t>3</w:t>
      </w:r>
      <w:r>
        <w:t xml:space="preserve"> and 4</w:t>
      </w:r>
      <w:r w:rsidRPr="00CE1402">
        <w:t>.</w:t>
      </w:r>
      <w:r w:rsidR="001D18CA">
        <w:t>4</w:t>
      </w:r>
      <w:r w:rsidRPr="00CE1402">
        <w:t>)</w:t>
      </w:r>
      <w:r>
        <w:t xml:space="preserve">. The rise in housing costs has tended to </w:t>
      </w:r>
      <w:r w:rsidR="00B513ED">
        <w:t>outpace</w:t>
      </w:r>
      <w:r>
        <w:t xml:space="preserve"> household income in advanced economies since the </w:t>
      </w:r>
      <w:r w:rsidR="005F4B19">
        <w:t>P</w:t>
      </w:r>
      <w:r>
        <w:t xml:space="preserve">andemic, </w:t>
      </w:r>
      <w:r w:rsidR="00A34FE8">
        <w:t xml:space="preserve">resulting in a </w:t>
      </w:r>
      <w:r>
        <w:t>de</w:t>
      </w:r>
      <w:r w:rsidR="00AF3F04">
        <w:t>terioration</w:t>
      </w:r>
      <w:r>
        <w:t xml:space="preserve"> in housing affordability (</w:t>
      </w:r>
      <w:proofErr w:type="spellStart"/>
      <w:r>
        <w:t>I</w:t>
      </w:r>
      <w:r w:rsidR="004E6830">
        <w:t>gan</w:t>
      </w:r>
      <w:proofErr w:type="spellEnd"/>
      <w:r>
        <w:t xml:space="preserve"> 2024). </w:t>
      </w:r>
    </w:p>
    <w:tbl>
      <w:tblPr>
        <w:tblW w:w="5044" w:type="pct"/>
        <w:tblLayout w:type="fixed"/>
        <w:tblLook w:val="0000" w:firstRow="0" w:lastRow="0" w:firstColumn="0" w:lastColumn="0" w:noHBand="0" w:noVBand="0"/>
      </w:tblPr>
      <w:tblGrid>
        <w:gridCol w:w="4575"/>
        <w:gridCol w:w="4575"/>
      </w:tblGrid>
      <w:tr w:rsidR="00791A68" w:rsidRPr="00CE1402" w14:paraId="5EAA4D46" w14:textId="77777777">
        <w:trPr>
          <w:cantSplit/>
          <w:trHeight w:val="702"/>
        </w:trPr>
        <w:tc>
          <w:tcPr>
            <w:tcW w:w="4575" w:type="dxa"/>
          </w:tcPr>
          <w:p w14:paraId="05CEFA1D" w14:textId="5082E111" w:rsidR="00791A68" w:rsidRPr="00CE1402" w:rsidRDefault="00791A68" w:rsidP="006F5BB5">
            <w:pPr>
              <w:pStyle w:val="ChartMainHeading"/>
              <w:spacing w:before="0"/>
            </w:pPr>
            <w:r w:rsidRPr="00CE1402">
              <w:lastRenderedPageBreak/>
              <w:t xml:space="preserve">Housing prices, selected advanced economies </w:t>
            </w:r>
          </w:p>
        </w:tc>
        <w:tc>
          <w:tcPr>
            <w:tcW w:w="4575" w:type="dxa"/>
          </w:tcPr>
          <w:p w14:paraId="705DEF18" w14:textId="07DB51C6" w:rsidR="00791A68" w:rsidRPr="00CE1402" w:rsidRDefault="00954089" w:rsidP="006F5BB5">
            <w:pPr>
              <w:pStyle w:val="ChartMainHeading"/>
              <w:spacing w:before="0"/>
            </w:pPr>
            <w:r w:rsidRPr="002949B5">
              <w:t>R</w:t>
            </w:r>
            <w:r w:rsidR="00791A68" w:rsidRPr="002949B5">
              <w:t>ents,</w:t>
            </w:r>
            <w:r w:rsidR="00791A68" w:rsidRPr="00CE1402">
              <w:t xml:space="preserve"> selected advanced economies </w:t>
            </w:r>
          </w:p>
        </w:tc>
      </w:tr>
      <w:tr w:rsidR="00791A68" w:rsidRPr="00CE1402" w14:paraId="50AED870" w14:textId="77777777">
        <w:trPr>
          <w:cantSplit/>
          <w:trHeight w:val="3414"/>
        </w:trPr>
        <w:tc>
          <w:tcPr>
            <w:tcW w:w="4575" w:type="dxa"/>
          </w:tcPr>
          <w:p w14:paraId="6DEB17A1" w14:textId="03DCBC00" w:rsidR="00011F51" w:rsidRPr="0099326B" w:rsidRDefault="00A51858" w:rsidP="0099326B">
            <w:pPr>
              <w:pStyle w:val="ChartGraphic"/>
            </w:pPr>
            <w:r w:rsidRPr="00A51858">
              <w:rPr>
                <w:noProof/>
              </w:rPr>
              <w:drawing>
                <wp:inline distT="0" distB="0" distL="0" distR="0" wp14:anchorId="71B8A654" wp14:editId="713D7618">
                  <wp:extent cx="2762250" cy="2762250"/>
                  <wp:effectExtent l="0" t="0" r="0" b="0"/>
                  <wp:docPr id="868537055" name="Picture 7" descr="This line chart compares through-the-year growth rates in nominal housing prices across 5 advanced economies (Canada, New Zealand, United Kingdom, United States and Australia) between December 2019 to December 2024. The trend is similar across all economies, with through-the-year growth rising significantly in 2021, then slowing (and for most countries, declining) in 2022 and early 2023, before rising again in late 2023 and 2024. New Zealand reported the sharpest fluctuation in through-the-year growth, peaking at 29 per cent in September 2021 and bottoming at -12 per cent in March 2023. Through-the-year growth to December 2024 ranged between 3 to 4 per cent for each economy except New Zealand, which had not yet reported prices for December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37055" name="Picture 7" descr="This line chart compares through-the-year growth rates in nominal housing prices across 5 advanced economies (Canada, New Zealand, United Kingdom, United States and Australia) between December 2019 to December 2024. The trend is similar across all economies, with through-the-year growth rising significantly in 2021, then slowing (and for most countries, declining) in 2022 and early 2023, before rising again in late 2023 and 2024. New Zealand reported the sharpest fluctuation in through-the-year growth, peaking at 29 per cent in September 2021 and bottoming at -12 per cent in March 2023. Through-the-year growth to December 2024 ranged between 3 to 4 per cent for each economy except New Zealand, which had not yet reported prices for December 2024. "/>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r w:rsidR="00791A68" w:rsidRPr="00CE1402">
              <w:t xml:space="preserve"> </w:t>
            </w:r>
          </w:p>
        </w:tc>
        <w:tc>
          <w:tcPr>
            <w:tcW w:w="4575" w:type="dxa"/>
          </w:tcPr>
          <w:p w14:paraId="7E02E8ED" w14:textId="4624FFC7" w:rsidR="00011F51" w:rsidRPr="0099326B" w:rsidRDefault="00A51858" w:rsidP="0099326B">
            <w:pPr>
              <w:pStyle w:val="ChartGraphic"/>
            </w:pPr>
            <w:r w:rsidRPr="00A51858">
              <w:rPr>
                <w:noProof/>
              </w:rPr>
              <w:drawing>
                <wp:inline distT="0" distB="0" distL="0" distR="0" wp14:anchorId="43C425B3" wp14:editId="03FA5873">
                  <wp:extent cx="2762250" cy="2762250"/>
                  <wp:effectExtent l="0" t="0" r="0" b="0"/>
                  <wp:docPr id="1416677258" name="Picture 9" descr="This line chart compares through-the-year growth rates in nominal rental prices across 5 advanced economies (Canada, New Zealand, United Kingdom, United States and Australia) between December 2019 to December 2024. The trend is similar across most economies, which generally depict an increase in through-the-year rents growth over the period. Through-the-year rents growth in December 2019 ranged from 0 to 4 per cent, increasing to a range of 4 to 8 per cent in December 2024. All selected countries, except for the United Kingdom, reported a deceleration in through-the-year rents growth over the year to December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677258" name="Picture 9" descr="This line chart compares through-the-year growth rates in nominal rental prices across 5 advanced economies (Canada, New Zealand, United Kingdom, United States and Australia) between December 2019 to December 2024. The trend is similar across most economies, which generally depict an increase in through-the-year rents growth over the period. Through-the-year rents growth in December 2019 ranged from 0 to 4 per cent, increasing to a range of 4 to 8 per cent in December 2024. All selected countries, except for the United Kingdom, reported a deceleration in through-the-year rents growth over the year to December 2024. "/>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p>
        </w:tc>
      </w:tr>
      <w:tr w:rsidR="0099326B" w:rsidRPr="00CE1402" w14:paraId="7A9EDCC0" w14:textId="77777777" w:rsidTr="0099326B">
        <w:trPr>
          <w:cantSplit/>
          <w:trHeight w:val="80"/>
        </w:trPr>
        <w:tc>
          <w:tcPr>
            <w:tcW w:w="4575" w:type="dxa"/>
          </w:tcPr>
          <w:p w14:paraId="5AC784B1" w14:textId="1DC731AC" w:rsidR="00804921" w:rsidRDefault="00804921" w:rsidP="00DB6DE6">
            <w:pPr>
              <w:pStyle w:val="ChartorTableNoteandSource"/>
            </w:pPr>
            <w:r w:rsidRPr="0099326B">
              <w:t>Note:</w:t>
            </w:r>
            <w:r>
              <w:tab/>
            </w:r>
            <w:r w:rsidRPr="0099326B">
              <w:t>Nominal prices.</w:t>
            </w:r>
          </w:p>
          <w:p w14:paraId="15FFE6AC" w14:textId="42B51E64" w:rsidR="0099326B" w:rsidRPr="0099326B" w:rsidRDefault="0099326B" w:rsidP="00804921">
            <w:pPr>
              <w:pStyle w:val="ChartorTableNoteandSource"/>
            </w:pPr>
            <w:r w:rsidRPr="0099326B">
              <w:t>Source:</w:t>
            </w:r>
            <w:r w:rsidR="00CC12B5">
              <w:tab/>
            </w:r>
            <w:r w:rsidRPr="0099326B">
              <w:t xml:space="preserve">OECD </w:t>
            </w:r>
            <w:r w:rsidR="00E60DC3">
              <w:t>Analytical House Price Indicators</w:t>
            </w:r>
          </w:p>
        </w:tc>
        <w:tc>
          <w:tcPr>
            <w:tcW w:w="4575" w:type="dxa"/>
          </w:tcPr>
          <w:p w14:paraId="01B82DA8" w14:textId="5B882F71" w:rsidR="0099326B" w:rsidRDefault="0099326B" w:rsidP="00DB6DE6">
            <w:pPr>
              <w:pStyle w:val="ChartorTableNoteandSource"/>
            </w:pPr>
            <w:r w:rsidRPr="0099326B">
              <w:t>Note:</w:t>
            </w:r>
            <w:r w:rsidR="00CC12B5">
              <w:tab/>
            </w:r>
            <w:r w:rsidRPr="0099326B">
              <w:t>Nominal prices.</w:t>
            </w:r>
          </w:p>
          <w:p w14:paraId="15410664" w14:textId="3F4AFE77" w:rsidR="00804921" w:rsidRPr="00804921" w:rsidRDefault="00804921" w:rsidP="00954089">
            <w:pPr>
              <w:pStyle w:val="ChartorTableNoteandSource"/>
            </w:pPr>
            <w:r w:rsidRPr="0099326B">
              <w:t>Source:</w:t>
            </w:r>
            <w:r>
              <w:tab/>
            </w:r>
            <w:r w:rsidRPr="0099326B">
              <w:t xml:space="preserve">OECD </w:t>
            </w:r>
            <w:r w:rsidR="00E60DC3">
              <w:t>Analytical House Price Indicators</w:t>
            </w:r>
          </w:p>
        </w:tc>
      </w:tr>
    </w:tbl>
    <w:p w14:paraId="5EB222C4" w14:textId="7952A846" w:rsidR="00791A68" w:rsidRPr="00CE1402" w:rsidRDefault="00791A68">
      <w:r w:rsidRPr="00CE1402">
        <w:t>Several common factors have driven the decline in housing affordability among advanced economies</w:t>
      </w:r>
      <w:r>
        <w:t xml:space="preserve">. </w:t>
      </w:r>
      <w:r w:rsidR="000714A5">
        <w:t>S</w:t>
      </w:r>
      <w:r w:rsidRPr="00CE1402">
        <w:t>trong population and employment growth</w:t>
      </w:r>
      <w:r w:rsidR="000714A5">
        <w:t xml:space="preserve"> has supported housing demand </w:t>
      </w:r>
      <w:r w:rsidRPr="00CE1402">
        <w:t>in recent years</w:t>
      </w:r>
      <w:r>
        <w:t xml:space="preserve"> (</w:t>
      </w:r>
      <w:r w:rsidRPr="00005B0F">
        <w:t>The Economist</w:t>
      </w:r>
      <w:r w:rsidR="000714A5">
        <w:t xml:space="preserve"> </w:t>
      </w:r>
      <w:r>
        <w:t>2024)</w:t>
      </w:r>
      <w:r w:rsidRPr="00CE1402">
        <w:t xml:space="preserve">. Immigration has </w:t>
      </w:r>
      <w:r w:rsidR="008946D4">
        <w:t xml:space="preserve">also </w:t>
      </w:r>
      <w:r w:rsidRPr="00CE1402">
        <w:t xml:space="preserve">risen, which has </w:t>
      </w:r>
      <w:r w:rsidR="000E491E">
        <w:t>added to</w:t>
      </w:r>
      <w:r w:rsidR="006C5628">
        <w:t xml:space="preserve"> demand</w:t>
      </w:r>
      <w:r>
        <w:t xml:space="preserve"> (</w:t>
      </w:r>
      <w:proofErr w:type="spellStart"/>
      <w:r>
        <w:t>I</w:t>
      </w:r>
      <w:r w:rsidR="00295E19">
        <w:t>gan</w:t>
      </w:r>
      <w:proofErr w:type="spellEnd"/>
      <w:r>
        <w:t xml:space="preserve"> 2024)</w:t>
      </w:r>
      <w:r w:rsidRPr="00CE1402">
        <w:t xml:space="preserve">. At the same time, </w:t>
      </w:r>
      <w:r>
        <w:t xml:space="preserve">new housing supply </w:t>
      </w:r>
      <w:r w:rsidRPr="00CE1402">
        <w:t>has been limited by material</w:t>
      </w:r>
      <w:r>
        <w:t xml:space="preserve">, </w:t>
      </w:r>
      <w:r w:rsidRPr="00CE1402">
        <w:t>labour</w:t>
      </w:r>
      <w:r>
        <w:t xml:space="preserve"> and land</w:t>
      </w:r>
      <w:r w:rsidRPr="00CE1402">
        <w:t xml:space="preserve"> shortages</w:t>
      </w:r>
      <w:r w:rsidR="002D1893">
        <w:t xml:space="preserve"> (OECD 2023)</w:t>
      </w:r>
      <w:r>
        <w:t xml:space="preserve">. </w:t>
      </w:r>
      <w:r w:rsidRPr="00CE1402">
        <w:t xml:space="preserve">Restrictive </w:t>
      </w:r>
      <w:r>
        <w:t>land</w:t>
      </w:r>
      <w:r w:rsidR="00A15C79">
        <w:noBreakHyphen/>
      </w:r>
      <w:r>
        <w:t xml:space="preserve">use and </w:t>
      </w:r>
      <w:r w:rsidRPr="00CE1402">
        <w:t xml:space="preserve">zoning regulations have also partly constrained </w:t>
      </w:r>
      <w:r>
        <w:t xml:space="preserve">new supply </w:t>
      </w:r>
      <w:r w:rsidRPr="00CE1402">
        <w:t>(</w:t>
      </w:r>
      <w:r>
        <w:t>Lee et al. 2022). Overall, higher demand for housing, along</w:t>
      </w:r>
      <w:r w:rsidR="00951B3E">
        <w:t>side</w:t>
      </w:r>
      <w:r w:rsidR="00FA7989" w:rsidDel="00951B3E">
        <w:t xml:space="preserve"> </w:t>
      </w:r>
      <w:r>
        <w:t xml:space="preserve">a limited rise in supply, has led to rising housing costs. </w:t>
      </w:r>
    </w:p>
    <w:p w14:paraId="7D3B8BD7" w14:textId="39F059F9" w:rsidR="00990401" w:rsidRDefault="00FA7989">
      <w:r>
        <w:t>Monetary policy is a</w:t>
      </w:r>
      <w:r w:rsidR="00791A68" w:rsidRPr="00CE1402">
        <w:t xml:space="preserve">nother </w:t>
      </w:r>
      <w:r w:rsidR="00791A68">
        <w:t>common</w:t>
      </w:r>
      <w:r w:rsidR="00791A68" w:rsidRPr="00CE1402">
        <w:t xml:space="preserve"> factor affecting housing affordability </w:t>
      </w:r>
      <w:r w:rsidR="00791A68">
        <w:t>in</w:t>
      </w:r>
      <w:r w:rsidR="00791A68" w:rsidRPr="00CE1402">
        <w:t xml:space="preserve"> advanced economies (</w:t>
      </w:r>
      <w:proofErr w:type="spellStart"/>
      <w:r w:rsidR="00791A68" w:rsidRPr="00CE1402">
        <w:t>I</w:t>
      </w:r>
      <w:r w:rsidR="00B56E95">
        <w:t>gan</w:t>
      </w:r>
      <w:proofErr w:type="spellEnd"/>
      <w:r w:rsidR="00791A68" w:rsidRPr="00CE1402">
        <w:t xml:space="preserve"> 2024). </w:t>
      </w:r>
      <w:r w:rsidR="00791A68">
        <w:t>High</w:t>
      </w:r>
      <w:r w:rsidR="00791A68" w:rsidRPr="00CE1402">
        <w:t xml:space="preserve"> interest rates </w:t>
      </w:r>
      <w:r w:rsidR="003F7D9F">
        <w:t>have</w:t>
      </w:r>
      <w:r w:rsidR="00791A68" w:rsidRPr="00CE1402">
        <w:t xml:space="preserve"> contributed to lower levels of mortgage affordability, although the impact </w:t>
      </w:r>
      <w:r w:rsidR="00791A68">
        <w:t xml:space="preserve">of interest rates </w:t>
      </w:r>
      <w:r w:rsidR="00791A68" w:rsidRPr="00CE1402">
        <w:t xml:space="preserve">among </w:t>
      </w:r>
      <w:r w:rsidR="00791A68">
        <w:t>advance</w:t>
      </w:r>
      <w:r w:rsidR="00AA48F5">
        <w:t>d</w:t>
      </w:r>
      <w:r w:rsidR="00791A68">
        <w:t xml:space="preserve"> </w:t>
      </w:r>
      <w:r w:rsidR="00791A68" w:rsidRPr="00CE1402">
        <w:t xml:space="preserve">economies has </w:t>
      </w:r>
      <w:r w:rsidR="00791A68">
        <w:t>varied (</w:t>
      </w:r>
      <w:proofErr w:type="spellStart"/>
      <w:r w:rsidR="00791A68">
        <w:t>I</w:t>
      </w:r>
      <w:r w:rsidR="00295E19">
        <w:t>gan</w:t>
      </w:r>
      <w:proofErr w:type="spellEnd"/>
      <w:r w:rsidR="00791A68">
        <w:t xml:space="preserve"> 2024)</w:t>
      </w:r>
      <w:r w:rsidR="00791A68" w:rsidRPr="00CE1402">
        <w:t xml:space="preserve">. </w:t>
      </w:r>
      <w:r w:rsidR="00791A68">
        <w:t>T</w:t>
      </w:r>
      <w:r w:rsidR="00791A68" w:rsidRPr="00CE1402">
        <w:t xml:space="preserve">he </w:t>
      </w:r>
      <w:r w:rsidR="00602875">
        <w:t>relatively</w:t>
      </w:r>
      <w:r w:rsidR="00791A68" w:rsidRPr="00CE1402">
        <w:t xml:space="preserve"> high </w:t>
      </w:r>
      <w:r w:rsidR="00602875">
        <w:t>proportion</w:t>
      </w:r>
      <w:r w:rsidR="00791A68" w:rsidRPr="00CE1402">
        <w:t xml:space="preserve"> of variable</w:t>
      </w:r>
      <w:r w:rsidR="00A15C79">
        <w:noBreakHyphen/>
      </w:r>
      <w:r w:rsidR="00791A68" w:rsidRPr="00CE1402">
        <w:t xml:space="preserve">rate loans in Australia means </w:t>
      </w:r>
      <w:r w:rsidR="008B0EFC">
        <w:t>that</w:t>
      </w:r>
      <w:r w:rsidR="00791A68" w:rsidRPr="00CE1402">
        <w:t xml:space="preserve"> interest rate changes </w:t>
      </w:r>
      <w:r w:rsidR="00791A68">
        <w:t>impact</w:t>
      </w:r>
      <w:r w:rsidR="00791A68" w:rsidRPr="00CE1402">
        <w:t xml:space="preserve"> </w:t>
      </w:r>
      <w:r w:rsidR="00791A68">
        <w:t>mortgage payments</w:t>
      </w:r>
      <w:r w:rsidR="00791A68" w:rsidRPr="00CE1402">
        <w:t xml:space="preserve"> more directly than </w:t>
      </w:r>
      <w:r w:rsidR="00791A68">
        <w:t xml:space="preserve">in many </w:t>
      </w:r>
      <w:r w:rsidR="00817EFD">
        <w:t>comparable advanced economies</w:t>
      </w:r>
      <w:r w:rsidR="006B3DA8">
        <w:t xml:space="preserve"> </w:t>
      </w:r>
      <w:r w:rsidR="006B3DA8" w:rsidRPr="002949B5">
        <w:t>(Ung</w:t>
      </w:r>
      <w:r w:rsidR="006B3DA8">
        <w:t> </w:t>
      </w:r>
      <w:r w:rsidR="006B3DA8" w:rsidRPr="002949B5">
        <w:t>2024)</w:t>
      </w:r>
      <w:r w:rsidR="00791A68" w:rsidRPr="00CE1402">
        <w:t xml:space="preserve">, </w:t>
      </w:r>
      <w:r w:rsidR="00791A68">
        <w:t xml:space="preserve">which typically have </w:t>
      </w:r>
      <w:r w:rsidR="00E846D2">
        <w:t xml:space="preserve">a </w:t>
      </w:r>
      <w:r w:rsidR="00791A68" w:rsidRPr="00CE1402">
        <w:t>higher share of</w:t>
      </w:r>
      <w:r w:rsidR="00791A68" w:rsidRPr="00CE1402" w:rsidDel="00E846D2">
        <w:t xml:space="preserve"> </w:t>
      </w:r>
      <w:r w:rsidR="00791A68" w:rsidRPr="00CE1402" w:rsidDel="00AA48F5">
        <w:t>fixed</w:t>
      </w:r>
      <w:r w:rsidR="00A15C79">
        <w:noBreakHyphen/>
      </w:r>
      <w:r w:rsidR="00791A68" w:rsidRPr="00CE1402">
        <w:t xml:space="preserve">rate </w:t>
      </w:r>
      <w:r w:rsidR="00791A68" w:rsidRPr="002949B5">
        <w:t>mortgages.</w:t>
      </w:r>
      <w:r w:rsidR="00990401">
        <w:br w:type="page"/>
      </w:r>
    </w:p>
    <w:p w14:paraId="7070AE9D" w14:textId="77777777" w:rsidR="00791A68" w:rsidRPr="00CE1402" w:rsidRDefault="00791A68" w:rsidP="00744F72">
      <w:pPr>
        <w:pStyle w:val="Heading2Numbered"/>
      </w:pPr>
      <w:bookmarkStart w:id="129" w:name="_Toc195026603"/>
      <w:bookmarkStart w:id="130" w:name="_Toc196395894"/>
      <w:r w:rsidRPr="00CE1402">
        <w:lastRenderedPageBreak/>
        <w:t>Housing affordability continued to worsen across Australia for all tenure types</w:t>
      </w:r>
      <w:bookmarkEnd w:id="129"/>
      <w:bookmarkEnd w:id="130"/>
      <w:r w:rsidRPr="00CE1402">
        <w:t xml:space="preserve"> </w:t>
      </w:r>
    </w:p>
    <w:p w14:paraId="2DE7B273" w14:textId="35DB2CAF" w:rsidR="00791A68" w:rsidRPr="00CE1402" w:rsidRDefault="00791A68">
      <w:r w:rsidRPr="00BE5682">
        <w:t xml:space="preserve">Nationally, housing affordability continued to </w:t>
      </w:r>
      <w:r w:rsidR="00CD0992">
        <w:t>deteriorate</w:t>
      </w:r>
      <w:r w:rsidR="00CD0992" w:rsidRPr="00BE5682">
        <w:t xml:space="preserve"> </w:t>
      </w:r>
      <w:r w:rsidRPr="00BE5682">
        <w:t>for all tenure types in 2024 (ANZ</w:t>
      </w:r>
      <w:r w:rsidR="00C8656B">
        <w:t xml:space="preserve"> and </w:t>
      </w:r>
      <w:r w:rsidRPr="00BE5682">
        <w:t xml:space="preserve">CoreLogic 2024). </w:t>
      </w:r>
      <w:r w:rsidR="00B578EA">
        <w:t>Generally, housing</w:t>
      </w:r>
      <w:r w:rsidRPr="00BE5682">
        <w:t xml:space="preserve"> </w:t>
      </w:r>
      <w:r w:rsidRPr="00BE5682" w:rsidDel="00D774FE">
        <w:t xml:space="preserve">affordability </w:t>
      </w:r>
      <w:r w:rsidRPr="00BE5682">
        <w:t xml:space="preserve">remains worse than </w:t>
      </w:r>
      <w:r w:rsidR="00A0023B">
        <w:t>before</w:t>
      </w:r>
      <w:r w:rsidR="00A0023B" w:rsidRPr="00BE5682">
        <w:t xml:space="preserve"> </w:t>
      </w:r>
      <w:r w:rsidRPr="00BE5682">
        <w:t xml:space="preserve">the </w:t>
      </w:r>
      <w:r w:rsidR="00A0023B">
        <w:t>P</w:t>
      </w:r>
      <w:r w:rsidRPr="00BE5682">
        <w:t xml:space="preserve">andemic </w:t>
      </w:r>
      <w:r w:rsidR="00B578EA">
        <w:t>across all states and territories</w:t>
      </w:r>
      <w:r w:rsidR="00A15C79">
        <w:t xml:space="preserve">. </w:t>
      </w:r>
    </w:p>
    <w:p w14:paraId="2CB5B188" w14:textId="3021A814" w:rsidR="00791A68" w:rsidRPr="00CE1402" w:rsidRDefault="00791A68" w:rsidP="00744F72">
      <w:pPr>
        <w:pStyle w:val="Heading3Numbered"/>
      </w:pPr>
      <w:r w:rsidRPr="00CE1402">
        <w:t xml:space="preserve">Mortgage </w:t>
      </w:r>
      <w:r>
        <w:t>affordability</w:t>
      </w:r>
    </w:p>
    <w:p w14:paraId="51687A62" w14:textId="575B9E4F" w:rsidR="00791A68" w:rsidRPr="00C67093" w:rsidRDefault="00791A68" w:rsidP="005B2645">
      <w:pPr>
        <w:keepLines/>
        <w:spacing w:before="0"/>
      </w:pPr>
      <w:r>
        <w:t xml:space="preserve">Mortgage affordability deteriorated in 2024. </w:t>
      </w:r>
      <w:r w:rsidRPr="00C67093">
        <w:t>Mortgage</w:t>
      </w:r>
      <w:r>
        <w:t xml:space="preserve"> costs, which include principal and interest payments</w:t>
      </w:r>
      <w:r w:rsidRPr="00C67093">
        <w:t xml:space="preserve">, are the largest </w:t>
      </w:r>
      <w:r>
        <w:t xml:space="preserve">ongoing housing </w:t>
      </w:r>
      <w:r w:rsidRPr="00C67093">
        <w:t>cost</w:t>
      </w:r>
      <w:r>
        <w:t>s</w:t>
      </w:r>
      <w:r w:rsidRPr="00C67093">
        <w:t xml:space="preserve"> for home buyers (</w:t>
      </w:r>
      <w:r>
        <w:t>ABS 2022</w:t>
      </w:r>
      <w:r w:rsidR="003A7D68">
        <w:t>c</w:t>
      </w:r>
      <w:r w:rsidRPr="00C67093">
        <w:t>).</w:t>
      </w:r>
      <w:r>
        <w:t xml:space="preserve"> Nationally, the</w:t>
      </w:r>
      <w:r w:rsidRPr="00CE1402">
        <w:t xml:space="preserve"> share of </w:t>
      </w:r>
      <w:r>
        <w:t xml:space="preserve">median household </w:t>
      </w:r>
      <w:r w:rsidRPr="00CE1402">
        <w:t xml:space="preserve">income needed to service a new mortgage </w:t>
      </w:r>
      <w:r>
        <w:t xml:space="preserve">rose </w:t>
      </w:r>
      <w:r w:rsidRPr="00CE1402">
        <w:t>from 4</w:t>
      </w:r>
      <w:r w:rsidR="001A58C6">
        <w:t>8.1</w:t>
      </w:r>
      <w:r w:rsidR="0099326B">
        <w:t> per cent</w:t>
      </w:r>
      <w:r w:rsidRPr="00CE1402">
        <w:t xml:space="preserve"> in </w:t>
      </w:r>
      <w:r w:rsidR="00187AFC">
        <w:t>December</w:t>
      </w:r>
      <w:r w:rsidRPr="00CE1402">
        <w:t xml:space="preserve"> 2023 to 50.</w:t>
      </w:r>
      <w:r w:rsidR="001A58C6">
        <w:t>5</w:t>
      </w:r>
      <w:r w:rsidR="0099326B">
        <w:t> per cent</w:t>
      </w:r>
      <w:r w:rsidRPr="00CE1402">
        <w:t xml:space="preserve"> in </w:t>
      </w:r>
      <w:r w:rsidR="00187AFC">
        <w:t xml:space="preserve">December </w:t>
      </w:r>
      <w:r w:rsidRPr="00CE1402">
        <w:t>2024</w:t>
      </w:r>
      <w:r>
        <w:t xml:space="preserve"> </w:t>
      </w:r>
      <w:r w:rsidRPr="00CE1402">
        <w:t>(</w:t>
      </w:r>
      <w:r w:rsidR="008E4905">
        <w:t xml:space="preserve">see </w:t>
      </w:r>
      <w:r w:rsidRPr="00CE1402">
        <w:t xml:space="preserve">Chart </w:t>
      </w:r>
      <w:r>
        <w:t>4</w:t>
      </w:r>
      <w:r w:rsidRPr="00CE1402">
        <w:t>.1).</w:t>
      </w:r>
      <w:r>
        <w:t xml:space="preserve"> This was driven by elevated</w:t>
      </w:r>
      <w:r w:rsidRPr="00C67093">
        <w:t xml:space="preserve"> interest rates and </w:t>
      </w:r>
      <w:r>
        <w:t>rising housing prices, which reduced home buyers</w:t>
      </w:r>
      <w:r w:rsidR="00A15C79">
        <w:t>’</w:t>
      </w:r>
      <w:r w:rsidR="008E4905">
        <w:t xml:space="preserve"> ability</w:t>
      </w:r>
      <w:r>
        <w:t xml:space="preserve"> to</w:t>
      </w:r>
      <w:r w:rsidRPr="00C67093">
        <w:t xml:space="preserve"> </w:t>
      </w:r>
      <w:r>
        <w:t>service</w:t>
      </w:r>
      <w:r w:rsidRPr="00C67093">
        <w:t xml:space="preserve"> loans</w:t>
      </w:r>
      <w:r>
        <w:t xml:space="preserve"> (ANZ</w:t>
      </w:r>
      <w:r w:rsidR="00E347FC">
        <w:t xml:space="preserve"> </w:t>
      </w:r>
      <w:r w:rsidR="00C1165C">
        <w:t>and</w:t>
      </w:r>
      <w:r w:rsidR="00E347FC">
        <w:t xml:space="preserve"> </w:t>
      </w:r>
      <w:r>
        <w:t>CoreLogic 2024)</w:t>
      </w:r>
      <w:r w:rsidRPr="00CE1402">
        <w:t>.</w:t>
      </w:r>
    </w:p>
    <w:p w14:paraId="302BE27C" w14:textId="70D52C44" w:rsidR="00791A68" w:rsidRDefault="00791A68">
      <w:r w:rsidRPr="00CE1402">
        <w:t xml:space="preserve">Mortgage affordability </w:t>
      </w:r>
      <w:r>
        <w:t xml:space="preserve">deteriorated </w:t>
      </w:r>
      <w:r w:rsidRPr="00CE1402">
        <w:t xml:space="preserve">in most </w:t>
      </w:r>
      <w:r w:rsidR="00187AFC">
        <w:t xml:space="preserve">capital </w:t>
      </w:r>
      <w:r>
        <w:t xml:space="preserve">cities </w:t>
      </w:r>
      <w:r w:rsidRPr="00CE1402">
        <w:t>and regions</w:t>
      </w:r>
      <w:r>
        <w:t xml:space="preserve"> </w:t>
      </w:r>
      <w:r w:rsidRPr="00CE1402">
        <w:t>(</w:t>
      </w:r>
      <w:r w:rsidR="008E4905">
        <w:t>see c</w:t>
      </w:r>
      <w:r w:rsidRPr="00CE1402">
        <w:t>hart</w:t>
      </w:r>
      <w:r w:rsidR="008E4905">
        <w:t>s</w:t>
      </w:r>
      <w:r>
        <w:t xml:space="preserve"> 4</w:t>
      </w:r>
      <w:r w:rsidRPr="00CE1402">
        <w:t>.</w:t>
      </w:r>
      <w:r w:rsidR="00A022AD">
        <w:t>5</w:t>
      </w:r>
      <w:r w:rsidRPr="00CE1402">
        <w:t xml:space="preserve"> and </w:t>
      </w:r>
      <w:r>
        <w:t>4</w:t>
      </w:r>
      <w:r w:rsidRPr="00CE1402">
        <w:t>.</w:t>
      </w:r>
      <w:r w:rsidR="00A022AD">
        <w:t>6</w:t>
      </w:r>
      <w:r>
        <w:t>)</w:t>
      </w:r>
      <w:r w:rsidR="00456233">
        <w:t>. This was</w:t>
      </w:r>
      <w:r>
        <w:t xml:space="preserve"> particularly</w:t>
      </w:r>
      <w:r w:rsidR="00456233">
        <w:t xml:space="preserve"> the case</w:t>
      </w:r>
      <w:r>
        <w:t xml:space="preserve"> in areas that recorded a</w:t>
      </w:r>
      <w:r w:rsidDel="003F71AC">
        <w:t xml:space="preserve"> </w:t>
      </w:r>
      <w:r w:rsidR="003F71AC">
        <w:t xml:space="preserve">strong rise in </w:t>
      </w:r>
      <w:r>
        <w:t>housing prices</w:t>
      </w:r>
      <w:r w:rsidR="00E85C3B">
        <w:t xml:space="preserve"> –</w:t>
      </w:r>
      <w:r>
        <w:t xml:space="preserve"> most notably </w:t>
      </w:r>
      <w:r w:rsidR="001B1BA7">
        <w:t xml:space="preserve">in Western Australia, Queensland and South Australia </w:t>
      </w:r>
      <w:r w:rsidRPr="00CE1402">
        <w:t>(</w:t>
      </w:r>
      <w:r>
        <w:t>see Chapter 2</w:t>
      </w:r>
      <w:r w:rsidR="009451A2">
        <w:t>,</w:t>
      </w:r>
      <w:r>
        <w:t xml:space="preserve"> </w:t>
      </w:r>
      <w:r w:rsidRPr="001B4EAF">
        <w:rPr>
          <w:rStyle w:val="Emphasis"/>
        </w:rPr>
        <w:t>Housing market conditions</w:t>
      </w:r>
      <w:r w:rsidRPr="00CE1402">
        <w:t>)</w:t>
      </w:r>
      <w:r>
        <w:t xml:space="preserve">. In contrast, mortgage affordability was relatively steady </w:t>
      </w:r>
      <w:r w:rsidR="00DA1613" w:rsidRPr="002949B5">
        <w:t xml:space="preserve">or </w:t>
      </w:r>
      <w:r w:rsidR="0064370C" w:rsidRPr="002949B5">
        <w:t xml:space="preserve">improved </w:t>
      </w:r>
      <w:r w:rsidR="00DA1613" w:rsidRPr="002949B5">
        <w:t>slightly</w:t>
      </w:r>
      <w:r w:rsidR="00DA1613">
        <w:t xml:space="preserve"> </w:t>
      </w:r>
      <w:r w:rsidDel="00DA1613">
        <w:t>i</w:t>
      </w:r>
      <w:r>
        <w:t xml:space="preserve">n </w:t>
      </w:r>
      <w:r w:rsidRPr="00CE1402">
        <w:t>Victoria, Tasmania</w:t>
      </w:r>
      <w:r w:rsidR="004D4CE8">
        <w:t>, the Australian Capital Territory</w:t>
      </w:r>
      <w:r w:rsidR="002A06BE">
        <w:t>,</w:t>
      </w:r>
      <w:r w:rsidRPr="00CE1402">
        <w:t xml:space="preserve"> and the Northern Territory</w:t>
      </w:r>
      <w:r>
        <w:t xml:space="preserve">, </w:t>
      </w:r>
      <w:r w:rsidRPr="00CE1402">
        <w:t xml:space="preserve">where </w:t>
      </w:r>
      <w:r>
        <w:t>housing prices had remained either flat or fell over the period.</w:t>
      </w:r>
      <w:r w:rsidRPr="00CE1402">
        <w:t xml:space="preserve"> </w:t>
      </w:r>
    </w:p>
    <w:tbl>
      <w:tblPr>
        <w:tblW w:w="5044" w:type="pct"/>
        <w:tblLayout w:type="fixed"/>
        <w:tblLook w:val="0000" w:firstRow="0" w:lastRow="0" w:firstColumn="0" w:lastColumn="0" w:noHBand="0" w:noVBand="0"/>
      </w:tblPr>
      <w:tblGrid>
        <w:gridCol w:w="4575"/>
        <w:gridCol w:w="4575"/>
      </w:tblGrid>
      <w:tr w:rsidR="00EB25DD" w:rsidRPr="004B2928" w14:paraId="427A0218" w14:textId="77777777">
        <w:trPr>
          <w:cantSplit/>
          <w:trHeight w:val="702"/>
        </w:trPr>
        <w:tc>
          <w:tcPr>
            <w:tcW w:w="4575" w:type="dxa"/>
          </w:tcPr>
          <w:p w14:paraId="1E1D9070" w14:textId="101DF1EC" w:rsidR="00EB25DD" w:rsidRPr="004B2928" w:rsidRDefault="00EB25DD" w:rsidP="001B4EAF">
            <w:pPr>
              <w:pStyle w:val="ChartMainHeading"/>
            </w:pPr>
            <w:r w:rsidRPr="004B2928">
              <w:t>New mortgage cost</w:t>
            </w:r>
            <w:r w:rsidR="00A15C79">
              <w:noBreakHyphen/>
            </w:r>
            <w:r w:rsidRPr="004B2928">
              <w:t>to</w:t>
            </w:r>
            <w:r w:rsidR="00A15C79">
              <w:noBreakHyphen/>
            </w:r>
            <w:r w:rsidRPr="004B2928">
              <w:t>income ratio, capital cities</w:t>
            </w:r>
          </w:p>
        </w:tc>
        <w:tc>
          <w:tcPr>
            <w:tcW w:w="4575" w:type="dxa"/>
          </w:tcPr>
          <w:p w14:paraId="6F3AEBEE" w14:textId="7C6E8329" w:rsidR="00EB25DD" w:rsidRPr="004B2928" w:rsidRDefault="00EB25DD" w:rsidP="001B4EAF">
            <w:pPr>
              <w:pStyle w:val="ChartMainHeading"/>
            </w:pPr>
            <w:r w:rsidRPr="004B2928">
              <w:t>New mortgage cost</w:t>
            </w:r>
            <w:r w:rsidR="00A15C79">
              <w:noBreakHyphen/>
            </w:r>
            <w:r w:rsidRPr="004B2928">
              <w:t>to</w:t>
            </w:r>
            <w:r w:rsidR="00A15C79">
              <w:noBreakHyphen/>
            </w:r>
            <w:r w:rsidRPr="004B2928">
              <w:t>income ratio, regional areas</w:t>
            </w:r>
          </w:p>
        </w:tc>
      </w:tr>
      <w:tr w:rsidR="00EB25DD" w:rsidRPr="004B2928" w14:paraId="78AB6B38" w14:textId="77777777">
        <w:trPr>
          <w:cantSplit/>
          <w:trHeight w:val="3414"/>
        </w:trPr>
        <w:tc>
          <w:tcPr>
            <w:tcW w:w="4575" w:type="dxa"/>
          </w:tcPr>
          <w:p w14:paraId="5DAF3DA4" w14:textId="3D10184D" w:rsidR="00EB25DD" w:rsidRPr="003366CB" w:rsidRDefault="00731C97" w:rsidP="0099326B">
            <w:pPr>
              <w:pStyle w:val="ChartGraphic"/>
            </w:pPr>
            <w:r w:rsidRPr="00731C97">
              <w:rPr>
                <w:noProof/>
              </w:rPr>
              <w:drawing>
                <wp:inline distT="0" distB="0" distL="0" distR="0" wp14:anchorId="3645BFBD" wp14:editId="6E309675">
                  <wp:extent cx="2762250" cy="2762250"/>
                  <wp:effectExtent l="0" t="0" r="0" b="0"/>
                  <wp:docPr id="1490556311" name="Picture 12" descr="This line chart shows the mortgage cost-to-income ratio across Australian capital cities between December 2014 to December 2024. The ratio rose in all capital cities, except for Darwin, over the period, with Sydney having the highest ratio (rising from 41 to 62 per cent), and Darwin having the lowest ratio (remaining around 25 per cent). Over the 6 years to December 2020, the ratio either declined slightly or remained steady in each capital city. Then, over the 4 years to December 2024, the ratio rose sharply in Sydney, Adelaide, Brisbane and Perth. In contrast, the ratio increased by a smaller amount before plateauing in Hobart, Melbourne, Canberra and 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556311" name="Picture 12" descr="This line chart shows the mortgage cost-to-income ratio across Australian capital cities between December 2014 to December 2024. The ratio rose in all capital cities, except for Darwin, over the period, with Sydney having the highest ratio (rising from 41 to 62 per cent), and Darwin having the lowest ratio (remaining around 25 per cent). Over the 6 years to December 2020, the ratio either declined slightly or remained steady in each capital city. Then, over the 4 years to December 2024, the ratio rose sharply in Sydney, Adelaide, Brisbane and Perth. In contrast, the ratio increased by a smaller amount before plateauing in Hobart, Melbourne, Canberra and Darwin."/>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p>
        </w:tc>
        <w:tc>
          <w:tcPr>
            <w:tcW w:w="4575" w:type="dxa"/>
          </w:tcPr>
          <w:p w14:paraId="26DC9E23" w14:textId="2D811585" w:rsidR="00EB25DD" w:rsidRPr="003366CB" w:rsidRDefault="009E0B62" w:rsidP="0099326B">
            <w:pPr>
              <w:pStyle w:val="ChartGraphic"/>
            </w:pPr>
            <w:r w:rsidRPr="009E0B62">
              <w:rPr>
                <w:noProof/>
              </w:rPr>
              <w:drawing>
                <wp:inline distT="0" distB="0" distL="0" distR="0" wp14:anchorId="618D1D04" wp14:editId="0B931E57">
                  <wp:extent cx="2762250" cy="2762250"/>
                  <wp:effectExtent l="0" t="0" r="0" b="0"/>
                  <wp:docPr id="392725802" name="Picture 11" descr="This line chart shows the mortgage cost-to-income ratio in Australian regional areas between December 2014 to December 2024. The ratio rose in all regional areas, except Rest of NT, over the period, with Rest of NSW having the highest ratio (rising from 31 to 56 per cent), and Rest of NT reporting the lowest ratio (falling from 25 to 24 per cent). Over the 6 years to December 2020, the ratio either declined slightly or remained steady in each regional area. Then, over the 4 years to December 2024, the ratio increased sharply in Rest of QLD, Rest of SA, Rest of WA, and Rest of NSW. The ratio also rose in Rest of Tas and Rest of Vic, where it then plateaued over the 2 years to December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25802" name="Picture 11" descr="This line chart shows the mortgage cost-to-income ratio in Australian regional areas between December 2014 to December 2024. The ratio rose in all regional areas, except Rest of NT, over the period, with Rest of NSW having the highest ratio (rising from 31 to 56 per cent), and Rest of NT reporting the lowest ratio (falling from 25 to 24 per cent). Over the 6 years to December 2020, the ratio either declined slightly or remained steady in each regional area. Then, over the 4 years to December 2024, the ratio increased sharply in Rest of QLD, Rest of SA, Rest of WA, and Rest of NSW. The ratio also rose in Rest of Tas and Rest of Vic, where it then plateaued over the 2 years to December 2024. "/>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p>
        </w:tc>
      </w:tr>
    </w:tbl>
    <w:p w14:paraId="633D409F" w14:textId="2CE76908" w:rsidR="00EB25DD" w:rsidRDefault="00EB25DD" w:rsidP="00DB6DE6">
      <w:pPr>
        <w:pStyle w:val="ChartorTableNoteandSource"/>
      </w:pPr>
      <w:r w:rsidRPr="004B2928">
        <w:t>Note:</w:t>
      </w:r>
      <w:r w:rsidR="001B4EAF">
        <w:tab/>
      </w:r>
      <w:r w:rsidRPr="004B2928">
        <w:t>Share of gross annual household income needed to service a new mortgage that is 80</w:t>
      </w:r>
      <w:r w:rsidR="0099326B">
        <w:t> per cent</w:t>
      </w:r>
      <w:r w:rsidRPr="004B2928">
        <w:t xml:space="preserve"> of the median dwelling value, paying the average discount variable mortgage rate for a term of 25 years.</w:t>
      </w:r>
      <w:r w:rsidRPr="00CE1402">
        <w:t xml:space="preserve"> </w:t>
      </w:r>
    </w:p>
    <w:p w14:paraId="2815314E" w14:textId="49072805" w:rsidR="006E082A" w:rsidRDefault="00804921" w:rsidP="002D209A">
      <w:pPr>
        <w:pStyle w:val="ChartorTableNoteandSource"/>
      </w:pPr>
      <w:r w:rsidRPr="004B2928">
        <w:t>Source:</w:t>
      </w:r>
      <w:r>
        <w:tab/>
      </w:r>
      <w:r w:rsidRPr="004B2928">
        <w:t>CoreLogic and ANU POLIS Centre for Social Policy Research 2025</w:t>
      </w:r>
      <w:r w:rsidR="006E082A">
        <w:br w:type="page"/>
      </w:r>
    </w:p>
    <w:p w14:paraId="336E2E3A" w14:textId="198EF496" w:rsidR="00791A68" w:rsidRDefault="00791A68" w:rsidP="0099326B">
      <w:r w:rsidRPr="004B63A3">
        <w:lastRenderedPageBreak/>
        <w:t xml:space="preserve">A small but growing share of borrowers were behind on mortgage repayments in 2024. The share of </w:t>
      </w:r>
      <w:r w:rsidR="00F34B00">
        <w:t>owner</w:t>
      </w:r>
      <w:r w:rsidR="00A15C79">
        <w:noBreakHyphen/>
      </w:r>
      <w:r w:rsidR="00F34B00">
        <w:t xml:space="preserve">occupier </w:t>
      </w:r>
      <w:r w:rsidRPr="004B63A3">
        <w:t>non</w:t>
      </w:r>
      <w:r w:rsidR="00A15C79">
        <w:noBreakHyphen/>
      </w:r>
      <w:r w:rsidRPr="004B63A3">
        <w:t xml:space="preserve">performing loans </w:t>
      </w:r>
      <w:r w:rsidR="00F34B00">
        <w:t xml:space="preserve">rose </w:t>
      </w:r>
      <w:r w:rsidRPr="004B63A3">
        <w:t>to 1.1</w:t>
      </w:r>
      <w:r w:rsidR="0099326B">
        <w:t> per cent</w:t>
      </w:r>
      <w:r w:rsidRPr="004B63A3">
        <w:t xml:space="preserve"> in the </w:t>
      </w:r>
      <w:r w:rsidR="00AF254B">
        <w:t>December</w:t>
      </w:r>
      <w:r w:rsidR="00AF254B" w:rsidRPr="004B63A3">
        <w:t xml:space="preserve"> </w:t>
      </w:r>
      <w:r w:rsidR="00544018">
        <w:t>quarter</w:t>
      </w:r>
      <w:r w:rsidR="00AF254B" w:rsidRPr="004B63A3">
        <w:t xml:space="preserve"> </w:t>
      </w:r>
      <w:r w:rsidR="00410A87">
        <w:t xml:space="preserve">2024 </w:t>
      </w:r>
      <w:r w:rsidRPr="004B63A3">
        <w:t>(</w:t>
      </w:r>
      <w:r w:rsidR="00242E1F">
        <w:t xml:space="preserve">see </w:t>
      </w:r>
      <w:r w:rsidRPr="004B63A3">
        <w:t>Chart</w:t>
      </w:r>
      <w:r w:rsidR="006E082A">
        <w:t> </w:t>
      </w:r>
      <w:r w:rsidRPr="004B63A3">
        <w:t>4.</w:t>
      </w:r>
      <w:r w:rsidR="00A102B2">
        <w:t>7</w:t>
      </w:r>
      <w:r w:rsidRPr="004B63A3">
        <w:t xml:space="preserve">). </w:t>
      </w:r>
      <w:r w:rsidR="00E375C5">
        <w:t>The share of investor non</w:t>
      </w:r>
      <w:r w:rsidR="00A15C79">
        <w:noBreakHyphen/>
      </w:r>
      <w:r w:rsidR="00E375C5">
        <w:t>performing loans remained at around 0.8</w:t>
      </w:r>
      <w:r w:rsidR="0099326B">
        <w:t> per cent</w:t>
      </w:r>
      <w:r w:rsidR="00E375C5">
        <w:t xml:space="preserve">. </w:t>
      </w:r>
      <w:r w:rsidRPr="004B63A3">
        <w:t>The R</w:t>
      </w:r>
      <w:r w:rsidR="00450C45">
        <w:t xml:space="preserve">eserve </w:t>
      </w:r>
      <w:r w:rsidRPr="004B63A3">
        <w:t>B</w:t>
      </w:r>
      <w:r w:rsidR="00450C45">
        <w:t xml:space="preserve">ank of </w:t>
      </w:r>
      <w:r w:rsidRPr="004B63A3">
        <w:t>A</w:t>
      </w:r>
      <w:r w:rsidR="00450C45">
        <w:t>ustralia (RBA)</w:t>
      </w:r>
      <w:r w:rsidRPr="004B63A3">
        <w:t xml:space="preserve"> has estimated that most borrowers should be able to service their debts even if interest rates and inflation stay high for an extended period (RBA</w:t>
      </w:r>
      <w:r w:rsidR="00450C45">
        <w:t xml:space="preserve"> </w:t>
      </w:r>
      <w:r w:rsidRPr="004B63A3">
        <w:t>202</w:t>
      </w:r>
      <w:r w:rsidR="00D752F1">
        <w:t>5</w:t>
      </w:r>
      <w:r w:rsidR="00715344">
        <w:t>b</w:t>
      </w:r>
      <w:r w:rsidRPr="004B63A3">
        <w:t xml:space="preserve">). </w:t>
      </w:r>
      <w:r w:rsidR="00775878">
        <w:t>Furthermore, banks anticipate that loan arrears will peak in 2025, based on current forecasts (RBA 2025</w:t>
      </w:r>
      <w:r w:rsidR="00093125">
        <w:t>b</w:t>
      </w:r>
      <w:r w:rsidR="00775878">
        <w:t xml:space="preserve">). </w:t>
      </w:r>
      <w:r w:rsidRPr="004B63A3">
        <w:t>However, it is also likely that some lower</w:t>
      </w:r>
      <w:r w:rsidR="00A15C79">
        <w:noBreakHyphen/>
      </w:r>
      <w:r w:rsidRPr="004B63A3">
        <w:t>income borrowers may</w:t>
      </w:r>
      <w:r w:rsidR="00775878">
        <w:t xml:space="preserve"> </w:t>
      </w:r>
      <w:r w:rsidR="00775878" w:rsidRPr="002949B5">
        <w:t>still</w:t>
      </w:r>
      <w:r w:rsidRPr="002949B5">
        <w:t xml:space="preserve"> </w:t>
      </w:r>
      <w:r w:rsidR="00B2465B" w:rsidRPr="002949B5">
        <w:t xml:space="preserve">find it difficult </w:t>
      </w:r>
      <w:r w:rsidRPr="004B63A3">
        <w:t>to service their debts without reducing other forms of household consumption (RBA 202</w:t>
      </w:r>
      <w:r w:rsidR="00B10D5C">
        <w:t>4</w:t>
      </w:r>
      <w:r w:rsidR="003E30C7">
        <w:t>b</w:t>
      </w:r>
      <w:r w:rsidRPr="004B63A3">
        <w:t xml:space="preserve">). </w:t>
      </w:r>
    </w:p>
    <w:p w14:paraId="0B5E5547" w14:textId="49720396" w:rsidR="0099326B" w:rsidRDefault="0099326B" w:rsidP="001B4EAF">
      <w:pPr>
        <w:pStyle w:val="ChartMainHeading"/>
      </w:pPr>
      <w:r w:rsidRPr="003366CB">
        <w:t>Share of loans that are non</w:t>
      </w:r>
      <w:r w:rsidR="00A15C79">
        <w:noBreakHyphen/>
      </w:r>
      <w:r w:rsidRPr="003366CB">
        <w:t>performing</w:t>
      </w:r>
    </w:p>
    <w:p w14:paraId="126D7EF8" w14:textId="69E8691E" w:rsidR="0099326B" w:rsidRDefault="00267DB5" w:rsidP="0099326B">
      <w:pPr>
        <w:pStyle w:val="ChartGraphic"/>
        <w:rPr>
          <w:sz w:val="18"/>
          <w:szCs w:val="18"/>
        </w:rPr>
      </w:pPr>
      <w:r w:rsidRPr="00267DB5">
        <w:rPr>
          <w:noProof/>
        </w:rPr>
        <w:drawing>
          <wp:inline distT="0" distB="0" distL="0" distR="0" wp14:anchorId="7E886294" wp14:editId="03E10666">
            <wp:extent cx="5582920" cy="2521585"/>
            <wp:effectExtent l="0" t="0" r="0" b="0"/>
            <wp:docPr id="1507773950" name="Picture 17" descr="This line chart shows the share of loans that are non-performing for owner-occupiers and investors between December 2019 and December 2024. Overall, the share of non-performing loans fell between December 2019 to December 2022, before increasing between December 2022 to December 2024. Over the 2 years to December 2024, the share of non-performing owner-occupier loans rose from 0.7 to 1.1 per cent, while the share of non-performing investor loans rose from 0.6 to 0.8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73950" name="Picture 17" descr="This line chart shows the share of loans that are non-performing for owner-occupiers and investors between December 2019 and December 2024. Overall, the share of non-performing loans fell between December 2019 to December 2022, before increasing between December 2022 to December 2024. Over the 2 years to December 2024, the share of non-performing owner-occupier loans rose from 0.7 to 1.1 per cent, while the share of non-performing investor loans rose from 0.6 to 0.8 per cent."/>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582920" cy="2521585"/>
                    </a:xfrm>
                    <a:prstGeom prst="rect">
                      <a:avLst/>
                    </a:prstGeom>
                    <a:noFill/>
                    <a:ln>
                      <a:noFill/>
                    </a:ln>
                  </pic:spPr>
                </pic:pic>
              </a:graphicData>
            </a:graphic>
          </wp:inline>
        </w:drawing>
      </w:r>
    </w:p>
    <w:p w14:paraId="0D427025" w14:textId="53A3006C" w:rsidR="0099326B" w:rsidRDefault="008413CC" w:rsidP="006F5BB5">
      <w:pPr>
        <w:pStyle w:val="ChartorTableNoteandSource"/>
        <w:spacing w:before="0"/>
      </w:pPr>
      <w:r>
        <w:t>Note</w:t>
      </w:r>
      <w:r w:rsidRPr="00C67093">
        <w:t>:</w:t>
      </w:r>
      <w:r>
        <w:tab/>
      </w:r>
      <w:r w:rsidR="00791A68" w:rsidRPr="00C67093">
        <w:t>Non</w:t>
      </w:r>
      <w:r w:rsidR="00A15C79">
        <w:noBreakHyphen/>
      </w:r>
      <w:r w:rsidR="00791A68" w:rsidRPr="00C67093">
        <w:t xml:space="preserve">performing loans as </w:t>
      </w:r>
      <w:r w:rsidR="00D36EAA">
        <w:t>a share</w:t>
      </w:r>
      <w:r w:rsidR="00791A68" w:rsidRPr="00C67093">
        <w:t xml:space="preserve"> of total </w:t>
      </w:r>
      <w:r w:rsidR="00740F9A">
        <w:t>authorised deposit</w:t>
      </w:r>
      <w:r w:rsidR="00A15C79">
        <w:noBreakHyphen/>
      </w:r>
      <w:r w:rsidR="00740F9A">
        <w:t>taking institution (</w:t>
      </w:r>
      <w:r w:rsidR="00791A68" w:rsidRPr="00C67093">
        <w:t>ADI</w:t>
      </w:r>
      <w:r w:rsidR="00740F9A">
        <w:t>)</w:t>
      </w:r>
      <w:r w:rsidR="00791A68" w:rsidRPr="00C67093">
        <w:t xml:space="preserve"> credit outstanding</w:t>
      </w:r>
      <w:r w:rsidR="00D36EAA">
        <w:t>, for owner occupiers and investors</w:t>
      </w:r>
      <w:r w:rsidR="00791A68" w:rsidRPr="00C67093">
        <w:t xml:space="preserve">. </w:t>
      </w:r>
      <w:r w:rsidR="00AA3E5D">
        <w:t>A non-performing loan is defined as being</w:t>
      </w:r>
      <w:r w:rsidR="00175937">
        <w:t xml:space="preserve"> at least</w:t>
      </w:r>
      <w:r w:rsidR="00AA3E5D">
        <w:t xml:space="preserve"> 90 days past du</w:t>
      </w:r>
      <w:r w:rsidR="00FA1D1F">
        <w:t>e, or if the lender does not expect the borrower to be able to repay the loan in full.</w:t>
      </w:r>
    </w:p>
    <w:p w14:paraId="32C1A7C7" w14:textId="0E25F837" w:rsidR="00E17686" w:rsidRDefault="00804921" w:rsidP="00804921">
      <w:pPr>
        <w:pStyle w:val="ChartorTableNoteandSource"/>
        <w:spacing w:before="0"/>
      </w:pPr>
      <w:r w:rsidRPr="00C67093">
        <w:t>Source:</w:t>
      </w:r>
      <w:r>
        <w:tab/>
      </w:r>
      <w:r w:rsidRPr="00C67093">
        <w:t>APRA</w:t>
      </w:r>
      <w:r w:rsidR="008413CC">
        <w:t xml:space="preserve"> </w:t>
      </w:r>
      <w:r w:rsidRPr="00EB78C5">
        <w:t>Quarterly authorised deposit</w:t>
      </w:r>
      <w:r>
        <w:noBreakHyphen/>
      </w:r>
      <w:r w:rsidRPr="00EB78C5">
        <w:t>taking institution statistics</w:t>
      </w:r>
      <w:r>
        <w:t xml:space="preserve"> 2025</w:t>
      </w:r>
      <w:r w:rsidR="00E17686">
        <w:br w:type="page"/>
      </w:r>
    </w:p>
    <w:p w14:paraId="4370935A" w14:textId="35DD7E48" w:rsidR="00791A68" w:rsidRPr="00CE1402" w:rsidRDefault="00791A68" w:rsidP="0099326B">
      <w:pPr>
        <w:pStyle w:val="Heading3Numbered"/>
      </w:pPr>
      <w:r w:rsidRPr="0099326B">
        <w:lastRenderedPageBreak/>
        <w:t>Home</w:t>
      </w:r>
      <w:r w:rsidRPr="00CE1402">
        <w:t xml:space="preserve"> </w:t>
      </w:r>
      <w:r>
        <w:t>purchase affordability</w:t>
      </w:r>
    </w:p>
    <w:p w14:paraId="50D1C33A" w14:textId="65CE2D3C" w:rsidR="00791A68" w:rsidRDefault="00791A68" w:rsidP="00D76880">
      <w:r>
        <w:t>Home purchase affordability deteriorated in 2024. Nationally, t</w:t>
      </w:r>
      <w:r w:rsidRPr="00CE1402">
        <w:t xml:space="preserve">he </w:t>
      </w:r>
      <w:r w:rsidR="00D92597">
        <w:t>time a median</w:t>
      </w:r>
      <w:r w:rsidR="00A15C79">
        <w:noBreakHyphen/>
      </w:r>
      <w:r w:rsidR="00D92597">
        <w:t>income household needed to save</w:t>
      </w:r>
      <w:r w:rsidR="00D53981">
        <w:t xml:space="preserve"> for a 20</w:t>
      </w:r>
      <w:r w:rsidR="0099326B">
        <w:t> per cent</w:t>
      </w:r>
      <w:r w:rsidR="00D53981">
        <w:t xml:space="preserve"> </w:t>
      </w:r>
      <w:r w:rsidRPr="00CE1402" w:rsidDel="00D53981">
        <w:t>deposit</w:t>
      </w:r>
      <w:r w:rsidRPr="00CE1402">
        <w:t xml:space="preserve"> rose from </w:t>
      </w:r>
      <w:r w:rsidR="00D53981">
        <w:t>10.1</w:t>
      </w:r>
      <w:r w:rsidRPr="00CE1402">
        <w:t xml:space="preserve"> years in </w:t>
      </w:r>
      <w:r w:rsidR="00D53981">
        <w:t xml:space="preserve">December </w:t>
      </w:r>
      <w:r w:rsidRPr="00CE1402">
        <w:t xml:space="preserve">2023 to 10.6 years in </w:t>
      </w:r>
      <w:r w:rsidR="00D53981">
        <w:t>December</w:t>
      </w:r>
      <w:r w:rsidR="00D53981" w:rsidRPr="00CE1402">
        <w:t xml:space="preserve"> </w:t>
      </w:r>
      <w:r w:rsidRPr="00CE1402">
        <w:t>2024 (</w:t>
      </w:r>
      <w:r w:rsidR="0053155F">
        <w:t xml:space="preserve">see </w:t>
      </w:r>
      <w:r w:rsidRPr="00CE1402">
        <w:t xml:space="preserve">Chart </w:t>
      </w:r>
      <w:r>
        <w:t>4</w:t>
      </w:r>
      <w:r w:rsidRPr="00CE1402">
        <w:t>.</w:t>
      </w:r>
      <w:r w:rsidR="00D53981">
        <w:t>2</w:t>
      </w:r>
      <w:r w:rsidRPr="00CE1402">
        <w:t xml:space="preserve">). </w:t>
      </w:r>
      <w:r>
        <w:t>This rise was generally driven by growth in housing prices exceeding incomes (ANZ</w:t>
      </w:r>
      <w:r w:rsidR="00C0500B">
        <w:t xml:space="preserve"> and </w:t>
      </w:r>
      <w:r>
        <w:t xml:space="preserve">CoreLogic 2024). </w:t>
      </w:r>
      <w:r w:rsidRPr="00CE1402">
        <w:t xml:space="preserve">Home purchase affordability fell </w:t>
      </w:r>
      <w:r w:rsidR="00D76880">
        <w:t xml:space="preserve">most sharply in Western Australia, Queensland and South </w:t>
      </w:r>
      <w:r w:rsidRPr="00CE1402" w:rsidDel="00D76880">
        <w:t>Australia</w:t>
      </w:r>
      <w:r w:rsidRPr="00CE1402">
        <w:t xml:space="preserve"> (</w:t>
      </w:r>
      <w:r w:rsidR="00534886">
        <w:t>see c</w:t>
      </w:r>
      <w:r w:rsidRPr="00CE1402">
        <w:t xml:space="preserve">harts </w:t>
      </w:r>
      <w:r>
        <w:t>4</w:t>
      </w:r>
      <w:r w:rsidRPr="00CE1402">
        <w:t>.</w:t>
      </w:r>
      <w:r w:rsidR="00D76880">
        <w:t>8</w:t>
      </w:r>
      <w:r w:rsidRPr="00CE1402">
        <w:t xml:space="preserve"> and </w:t>
      </w:r>
      <w:r>
        <w:t>4</w:t>
      </w:r>
      <w:r w:rsidRPr="00CE1402">
        <w:t>.</w:t>
      </w:r>
      <w:r w:rsidR="00D76880">
        <w:t>9</w:t>
      </w:r>
      <w:r w:rsidRPr="00CE1402">
        <w:t>).</w:t>
      </w:r>
      <w:r w:rsidRPr="00CE1402" w:rsidDel="00ED68BB">
        <w:t xml:space="preserve"> </w:t>
      </w:r>
      <w:r>
        <w:t>By</w:t>
      </w:r>
      <w:r w:rsidRPr="00CE1402">
        <w:t xml:space="preserve"> contrast, home purchase affordability </w:t>
      </w:r>
      <w:r w:rsidR="00ED68BB">
        <w:t>improved</w:t>
      </w:r>
      <w:r w:rsidRPr="00CE1402">
        <w:t xml:space="preserve"> in Victoria, Tasmania</w:t>
      </w:r>
      <w:r w:rsidR="00E43C27">
        <w:t>,</w:t>
      </w:r>
      <w:r w:rsidR="00F92553">
        <w:t xml:space="preserve"> </w:t>
      </w:r>
      <w:r w:rsidR="0048074C">
        <w:t>the</w:t>
      </w:r>
      <w:r w:rsidRPr="00CE1402">
        <w:t xml:space="preserve"> Northern Territory</w:t>
      </w:r>
      <w:r w:rsidR="00F92553">
        <w:t xml:space="preserve"> and the Australian Capital Territory, </w:t>
      </w:r>
      <w:r w:rsidRPr="00CE1402">
        <w:t xml:space="preserve">driven by low </w:t>
      </w:r>
      <w:r w:rsidR="008C4A72">
        <w:t xml:space="preserve">housing price growth </w:t>
      </w:r>
      <w:r w:rsidRPr="00CE1402">
        <w:t>or</w:t>
      </w:r>
      <w:r>
        <w:t xml:space="preserve"> falling</w:t>
      </w:r>
      <w:r w:rsidRPr="00CE1402">
        <w:t xml:space="preserve"> housing prices in these areas.</w:t>
      </w:r>
    </w:p>
    <w:tbl>
      <w:tblPr>
        <w:tblW w:w="5044" w:type="pct"/>
        <w:tblLayout w:type="fixed"/>
        <w:tblLook w:val="0000" w:firstRow="0" w:lastRow="0" w:firstColumn="0" w:lastColumn="0" w:noHBand="0" w:noVBand="0"/>
      </w:tblPr>
      <w:tblGrid>
        <w:gridCol w:w="4575"/>
        <w:gridCol w:w="4575"/>
      </w:tblGrid>
      <w:tr w:rsidR="00797574" w:rsidRPr="00ED6A5F" w14:paraId="57C55565" w14:textId="77777777" w:rsidTr="006F5BB5">
        <w:trPr>
          <w:cantSplit/>
          <w:trHeight w:val="385"/>
        </w:trPr>
        <w:tc>
          <w:tcPr>
            <w:tcW w:w="4575" w:type="dxa"/>
          </w:tcPr>
          <w:p w14:paraId="1C0D6A43" w14:textId="3756ED14" w:rsidR="00797574" w:rsidRPr="00ED6A5F" w:rsidRDefault="00797574" w:rsidP="006F5BB5">
            <w:pPr>
              <w:pStyle w:val="ChartMainHeading"/>
              <w:spacing w:before="120" w:after="0"/>
            </w:pPr>
            <w:r w:rsidRPr="00ED6A5F">
              <w:t>Years to save for a 20</w:t>
            </w:r>
            <w:r w:rsidR="0099326B">
              <w:t> per cent</w:t>
            </w:r>
            <w:r w:rsidRPr="00ED6A5F">
              <w:t xml:space="preserve"> deposit, capital cities</w:t>
            </w:r>
          </w:p>
        </w:tc>
        <w:tc>
          <w:tcPr>
            <w:tcW w:w="4575" w:type="dxa"/>
          </w:tcPr>
          <w:p w14:paraId="49B249C8" w14:textId="3CDA4C23" w:rsidR="00797574" w:rsidRPr="00ED6A5F" w:rsidRDefault="00797574" w:rsidP="006F5BB5">
            <w:pPr>
              <w:pStyle w:val="ChartMainHeading"/>
              <w:spacing w:before="120" w:after="0"/>
            </w:pPr>
            <w:r w:rsidRPr="00ED6A5F">
              <w:t>Years to save for a 20</w:t>
            </w:r>
            <w:r w:rsidR="0099326B">
              <w:t> per cent</w:t>
            </w:r>
            <w:r w:rsidRPr="00ED6A5F">
              <w:t xml:space="preserve"> deposit, regional areas</w:t>
            </w:r>
          </w:p>
        </w:tc>
      </w:tr>
      <w:tr w:rsidR="00797574" w:rsidRPr="00CE1402" w14:paraId="6EB76367" w14:textId="77777777">
        <w:trPr>
          <w:cantSplit/>
          <w:trHeight w:val="3414"/>
        </w:trPr>
        <w:tc>
          <w:tcPr>
            <w:tcW w:w="4575" w:type="dxa"/>
          </w:tcPr>
          <w:p w14:paraId="4869F86E" w14:textId="31AA452B" w:rsidR="00797574" w:rsidRPr="00ED6A5F" w:rsidRDefault="005E2357" w:rsidP="0099326B">
            <w:pPr>
              <w:pStyle w:val="ChartGraphic"/>
            </w:pPr>
            <w:r w:rsidRPr="005E2357">
              <w:rPr>
                <w:noProof/>
              </w:rPr>
              <w:drawing>
                <wp:inline distT="0" distB="0" distL="0" distR="0" wp14:anchorId="719EF674" wp14:editId="124F79FE">
                  <wp:extent cx="2762250" cy="2771775"/>
                  <wp:effectExtent l="0" t="0" r="0" b="0"/>
                  <wp:docPr id="1668802027" name="Picture 14" descr="This line chart shows the number of years needed to save for a 20 per cent deposit in Australian capital cities between December 2014 and December 2024. The number of years needed to save for a deposit rose in all capital cities, except for Darwin, over the period, with the greatest number of years in Sydney (rising from 10.7 to 13.1) and the lowest number of years in Darwin (falling from 6.6 to 5.2). Over the 2 years to December 2024, the number of years needed to save for a deposit rose in Sydney, Adelaide Brisbane and Perth, but declined slightly in Hobart, Melbourne, Canberra and Darw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802027" name="Picture 14" descr="This line chart shows the number of years needed to save for a 20 per cent deposit in Australian capital cities between December 2014 and December 2024. The number of years needed to save for a deposit rose in all capital cities, except for Darwin, over the period, with the greatest number of years in Sydney (rising from 10.7 to 13.1) and the lowest number of years in Darwin (falling from 6.6 to 5.2). Over the 2 years to December 2024, the number of years needed to save for a deposit rose in Sydney, Adelaide Brisbane and Perth, but declined slightly in Hobart, Melbourne, Canberra and Darwin.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762250" cy="2771775"/>
                          </a:xfrm>
                          <a:prstGeom prst="rect">
                            <a:avLst/>
                          </a:prstGeom>
                          <a:noFill/>
                          <a:ln>
                            <a:noFill/>
                          </a:ln>
                        </pic:spPr>
                      </pic:pic>
                    </a:graphicData>
                  </a:graphic>
                </wp:inline>
              </w:drawing>
            </w:r>
          </w:p>
        </w:tc>
        <w:tc>
          <w:tcPr>
            <w:tcW w:w="4575" w:type="dxa"/>
          </w:tcPr>
          <w:p w14:paraId="246C6DA7" w14:textId="6C2C4B73" w:rsidR="00797574" w:rsidRPr="00667939" w:rsidRDefault="00396589" w:rsidP="0099326B">
            <w:pPr>
              <w:pStyle w:val="ChartGraphic"/>
            </w:pPr>
            <w:r w:rsidRPr="00396589">
              <w:rPr>
                <w:noProof/>
              </w:rPr>
              <w:drawing>
                <wp:inline distT="0" distB="0" distL="0" distR="0" wp14:anchorId="7BD3FE29" wp14:editId="6256CD83">
                  <wp:extent cx="2767965" cy="2758440"/>
                  <wp:effectExtent l="0" t="0" r="0" b="0"/>
                  <wp:docPr id="39297191" name="Picture 15" descr="This line chart shows the number of years needed to save for a 20 per cent deposit in Australian regional areas between December 2014 and December 2024. The number of years needed to save for a deposit rose in all regional areas, except for Rest of NT, over the period, with the greatest number of years in Rest of NSW (rising from 8.0 to 11.9) and the lowest number of years in Rest of NT (where it fell from 6.4 to 5.2). Over the 2 years to December 2024, the number of years needed to save for a deposit rose in Rest of Qld, Rest of SA, and Rest of WA, remained relatively steady in Rest of NSW, and declined slightly in Rest of Tas, Rest of Vic and Rest of 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7191" name="Picture 15" descr="This line chart shows the number of years needed to save for a 20 per cent deposit in Australian regional areas between December 2014 and December 2024. The number of years needed to save for a deposit rose in all regional areas, except for Rest of NT, over the period, with the greatest number of years in Rest of NSW (rising from 8.0 to 11.9) and the lowest number of years in Rest of NT (where it fell from 6.4 to 5.2). Over the 2 years to December 2024, the number of years needed to save for a deposit rose in Rest of Qld, Rest of SA, and Rest of WA, remained relatively steady in Rest of NSW, and declined slightly in Rest of Tas, Rest of Vic and Rest of NT."/>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67965" cy="2758440"/>
                          </a:xfrm>
                          <a:prstGeom prst="rect">
                            <a:avLst/>
                          </a:prstGeom>
                          <a:noFill/>
                          <a:ln>
                            <a:noFill/>
                          </a:ln>
                        </pic:spPr>
                      </pic:pic>
                    </a:graphicData>
                  </a:graphic>
                </wp:inline>
              </w:drawing>
            </w:r>
          </w:p>
        </w:tc>
      </w:tr>
    </w:tbl>
    <w:p w14:paraId="32C956CD" w14:textId="1C3BEEF7" w:rsidR="00791A68" w:rsidRDefault="00791A68" w:rsidP="006F5BB5">
      <w:pPr>
        <w:pStyle w:val="ChartorTableNoteandSource"/>
        <w:spacing w:before="0" w:after="0"/>
      </w:pPr>
      <w:r w:rsidRPr="00CE1402">
        <w:t>Note:</w:t>
      </w:r>
      <w:r w:rsidR="001B4EAF">
        <w:tab/>
      </w:r>
      <w:r w:rsidRPr="00CE1402">
        <w:t xml:space="preserve">Measured as the </w:t>
      </w:r>
      <w:r w:rsidR="00B51781">
        <w:t xml:space="preserve">number of </w:t>
      </w:r>
      <w:r w:rsidRPr="00CE1402">
        <w:t>years it would take to save for a 20</w:t>
      </w:r>
      <w:r w:rsidR="0099326B">
        <w:rPr>
          <w:b/>
          <w:bCs/>
        </w:rPr>
        <w:t> </w:t>
      </w:r>
      <w:r w:rsidR="0099326B" w:rsidRPr="0099326B">
        <w:t>per cent</w:t>
      </w:r>
      <w:r w:rsidRPr="00CE1402">
        <w:t xml:space="preserve"> deposit, assuming 15</w:t>
      </w:r>
      <w:r w:rsidR="0099326B">
        <w:rPr>
          <w:b/>
          <w:bCs/>
        </w:rPr>
        <w:t> </w:t>
      </w:r>
      <w:r w:rsidR="0099326B" w:rsidRPr="0099326B">
        <w:t>per cent</w:t>
      </w:r>
      <w:r w:rsidRPr="00CE1402">
        <w:t xml:space="preserve"> </w:t>
      </w:r>
      <w:r w:rsidR="00B51781">
        <w:t xml:space="preserve">of </w:t>
      </w:r>
      <w:r w:rsidRPr="00CE1402">
        <w:t>gross median household income (measured by region) is saved annually.</w:t>
      </w:r>
    </w:p>
    <w:p w14:paraId="03F21048" w14:textId="0C0E7DDC" w:rsidR="00E03BFF" w:rsidRPr="0041126E" w:rsidRDefault="00E03BFF" w:rsidP="00E03BFF">
      <w:pPr>
        <w:pStyle w:val="ChartorTableNoteandSource"/>
        <w:spacing w:before="0" w:after="0"/>
      </w:pPr>
      <w:r w:rsidRPr="00CE1402">
        <w:t>Source:</w:t>
      </w:r>
      <w:r>
        <w:tab/>
      </w:r>
      <w:r w:rsidRPr="00333860">
        <w:t>CoreLogic and ANU POLIS Centre for Social Policy Research 2025</w:t>
      </w:r>
    </w:p>
    <w:p w14:paraId="7479A65A" w14:textId="329710DF" w:rsidR="00990401" w:rsidRDefault="00791A68" w:rsidP="002D209A">
      <w:r>
        <w:t>While the number of years a median</w:t>
      </w:r>
      <w:r w:rsidR="00A15C79">
        <w:noBreakHyphen/>
      </w:r>
      <w:r>
        <w:t>income household needs to save for a median</w:t>
      </w:r>
      <w:r w:rsidR="00A15C79">
        <w:noBreakHyphen/>
      </w:r>
      <w:r>
        <w:t xml:space="preserve">priced home is a common measure of housing accessibility, first home buyers typically face different housing prices and </w:t>
      </w:r>
      <w:r w:rsidR="006C52F4">
        <w:t xml:space="preserve">have different </w:t>
      </w:r>
      <w:r>
        <w:t xml:space="preserve">incomes </w:t>
      </w:r>
      <w:r w:rsidR="006C52F4">
        <w:t xml:space="preserve">than </w:t>
      </w:r>
      <w:r>
        <w:t>the average household, as they are often younge</w:t>
      </w:r>
      <w:r w:rsidR="00544F8C">
        <w:t>r and earn less</w:t>
      </w:r>
      <w:r w:rsidDel="00544F8C">
        <w:t xml:space="preserve"> </w:t>
      </w:r>
      <w:r>
        <w:t>(La</w:t>
      </w:r>
      <w:r w:rsidR="001B4EAF">
        <w:t> </w:t>
      </w:r>
      <w:r>
        <w:t>Cava et al. 2017). Households may also be able to access a home loan with less than a 20</w:t>
      </w:r>
      <w:r w:rsidR="0099326B">
        <w:t> per cent</w:t>
      </w:r>
      <w:r>
        <w:t xml:space="preserve"> deposit (which often incurs a fee for Lenders Mortgage Insurance, raising the total cost). Conversely, first home buyers may also have access to government programs that lower total costs (see Chapter 3</w:t>
      </w:r>
      <w:r w:rsidR="005E4607">
        <w:t>,</w:t>
      </w:r>
      <w:r>
        <w:t xml:space="preserve"> </w:t>
      </w:r>
      <w:r w:rsidRPr="001B4EAF">
        <w:rPr>
          <w:rStyle w:val="Emphasis"/>
        </w:rPr>
        <w:t>Conditions in non</w:t>
      </w:r>
      <w:r w:rsidR="00A15C79">
        <w:rPr>
          <w:rStyle w:val="Emphasis"/>
        </w:rPr>
        <w:noBreakHyphen/>
      </w:r>
      <w:r w:rsidRPr="001B4EAF">
        <w:rPr>
          <w:rStyle w:val="Emphasis"/>
        </w:rPr>
        <w:t>market housing and housing assistance</w:t>
      </w:r>
      <w:r>
        <w:t>)</w:t>
      </w:r>
      <w:r w:rsidR="008E4210">
        <w:t xml:space="preserve">. </w:t>
      </w:r>
      <w:r w:rsidR="00990401">
        <w:br w:type="page"/>
      </w:r>
    </w:p>
    <w:p w14:paraId="21C9DA84" w14:textId="6AFBD0E9" w:rsidR="0099326B" w:rsidRPr="0099326B" w:rsidRDefault="00791A68" w:rsidP="006F5BB5">
      <w:r w:rsidRPr="0099326B">
        <w:lastRenderedPageBreak/>
        <w:t>As aspiring home buyers have found it increasingly difficult to save for a deposit over the past year, the share of homes that a median</w:t>
      </w:r>
      <w:r w:rsidR="00A15C79">
        <w:noBreakHyphen/>
      </w:r>
      <w:r w:rsidRPr="0099326B">
        <w:t>income household can afford has also fallen (</w:t>
      </w:r>
      <w:r w:rsidR="00BA1532">
        <w:t>Ryan and Moore</w:t>
      </w:r>
      <w:r w:rsidRPr="0099326B">
        <w:t xml:space="preserve"> 2024). </w:t>
      </w:r>
      <w:r w:rsidR="004060BF" w:rsidRPr="0099326B">
        <w:t>Nationally</w:t>
      </w:r>
      <w:r w:rsidRPr="0099326B" w:rsidDel="004060BF">
        <w:t xml:space="preserve">, </w:t>
      </w:r>
      <w:r w:rsidRPr="0099326B">
        <w:t>the share of home sales that a median</w:t>
      </w:r>
      <w:r w:rsidR="00A15C79">
        <w:noBreakHyphen/>
      </w:r>
      <w:r w:rsidRPr="0099326B">
        <w:t>income household could afford fell from 18</w:t>
      </w:r>
      <w:r w:rsidR="0099326B" w:rsidRPr="0099326B">
        <w:t> per cent</w:t>
      </w:r>
      <w:r w:rsidRPr="0099326B">
        <w:t xml:space="preserve"> in 2022</w:t>
      </w:r>
      <w:r w:rsidR="00B81DDF" w:rsidRPr="0099326B">
        <w:t>–</w:t>
      </w:r>
      <w:r w:rsidRPr="0099326B">
        <w:t>23 to 14</w:t>
      </w:r>
      <w:r w:rsidR="0099326B" w:rsidRPr="0099326B">
        <w:t> per cent</w:t>
      </w:r>
      <w:r w:rsidRPr="0099326B">
        <w:t xml:space="preserve"> in 2023</w:t>
      </w:r>
      <w:r w:rsidR="00B81DDF" w:rsidRPr="0099326B">
        <w:t>–</w:t>
      </w:r>
      <w:r w:rsidRPr="0099326B">
        <w:t>24</w:t>
      </w:r>
      <w:r w:rsidR="00D423D4">
        <w:t xml:space="preserve">, </w:t>
      </w:r>
      <w:r w:rsidRPr="0099326B">
        <w:t>its lowest level since first recorded in 1995 (</w:t>
      </w:r>
      <w:r w:rsidR="00B81DDF" w:rsidRPr="0099326B">
        <w:t xml:space="preserve">see </w:t>
      </w:r>
      <w:r w:rsidRPr="0099326B">
        <w:t>Chart 4.</w:t>
      </w:r>
      <w:r w:rsidR="00B53EE8" w:rsidRPr="0099326B">
        <w:t>10</w:t>
      </w:r>
      <w:r w:rsidRPr="0099326B">
        <w:t>)</w:t>
      </w:r>
      <w:r w:rsidR="008E4210" w:rsidRPr="0099326B">
        <w:t xml:space="preserve">. </w:t>
      </w:r>
      <w:r w:rsidR="00EA4419">
        <w:t xml:space="preserve">All states recorded a </w:t>
      </w:r>
      <w:r w:rsidR="00C43FB0">
        <w:t>decline in the share of home sales that were affordable</w:t>
      </w:r>
      <w:r w:rsidR="00CD09E6">
        <w:t xml:space="preserve"> in </w:t>
      </w:r>
      <w:r w:rsidR="005D1B3D" w:rsidRPr="0099326B">
        <w:t>2023–24</w:t>
      </w:r>
      <w:r w:rsidR="00C43FB0">
        <w:t xml:space="preserve">. </w:t>
      </w:r>
    </w:p>
    <w:p w14:paraId="35297FA5" w14:textId="638FE179" w:rsidR="00791A68" w:rsidRDefault="0099326B" w:rsidP="001B4EAF">
      <w:pPr>
        <w:pStyle w:val="ChartMainHeading"/>
      </w:pPr>
      <w:r w:rsidRPr="0099326B">
        <w:t>Share of home sales that are affordable for the median income household</w:t>
      </w:r>
    </w:p>
    <w:p w14:paraId="75878E53" w14:textId="03530F4E" w:rsidR="0099326B" w:rsidRDefault="003F38D7" w:rsidP="0099326B">
      <w:pPr>
        <w:pStyle w:val="ChartGraphic"/>
      </w:pPr>
      <w:r w:rsidRPr="003F38D7">
        <w:rPr>
          <w:noProof/>
        </w:rPr>
        <w:drawing>
          <wp:inline distT="0" distB="0" distL="0" distR="0" wp14:anchorId="656C0280" wp14:editId="781EE7FB">
            <wp:extent cx="5582920" cy="2877820"/>
            <wp:effectExtent l="0" t="0" r="0" b="0"/>
            <wp:docPr id="1305554423" name="Picture 19" descr="This line chart shows the share of home sales that are affordable for the median household across all states, from June 2014 to June 2024. The share of home sales that were affordable increased in all states, except Tasmania, over the 7 years to June 2021, before declining sharply across all states over the 3 years to June 2024. Overall, the share of home sales that were affordable ranged from 9 to 26 per cent in June 2024 across the states, down from a range of 25 to 46 per cent in Ju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54423" name="Picture 19" descr="This line chart shows the share of home sales that are affordable for the median household across all states, from June 2014 to June 2024. The share of home sales that were affordable increased in all states, except Tasmania, over the 7 years to June 2021, before declining sharply across all states over the 3 years to June 2024. Overall, the share of home sales that were affordable ranged from 9 to 26 per cent in June 2024 across the states, down from a range of 25 to 46 per cent in June 201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82920" cy="2877820"/>
                    </a:xfrm>
                    <a:prstGeom prst="rect">
                      <a:avLst/>
                    </a:prstGeom>
                    <a:noFill/>
                    <a:ln>
                      <a:noFill/>
                    </a:ln>
                  </pic:spPr>
                </pic:pic>
              </a:graphicData>
            </a:graphic>
          </wp:inline>
        </w:drawing>
      </w:r>
    </w:p>
    <w:p w14:paraId="568E65C6" w14:textId="45BC52BE" w:rsidR="0099326B" w:rsidRDefault="0099326B" w:rsidP="00DB6DE6">
      <w:pPr>
        <w:pStyle w:val="ChartorTableNoteandSource"/>
      </w:pPr>
      <w:r w:rsidRPr="00032496">
        <w:t>Note:</w:t>
      </w:r>
      <w:r w:rsidR="001B4EAF">
        <w:tab/>
      </w:r>
      <w:r w:rsidRPr="00032496">
        <w:t>Share of home sales that fall below the price that a household would spend 25</w:t>
      </w:r>
      <w:r>
        <w:t> per cent</w:t>
      </w:r>
      <w:r w:rsidRPr="00032496">
        <w:t xml:space="preserve"> of gross income on mortgage repayments, assumes 80</w:t>
      </w:r>
      <w:r>
        <w:t> per cent</w:t>
      </w:r>
      <w:r w:rsidRPr="00032496">
        <w:t xml:space="preserve"> loan</w:t>
      </w:r>
      <w:r w:rsidR="00A15C79">
        <w:noBreakHyphen/>
      </w:r>
      <w:r w:rsidRPr="00032496">
        <w:t>to</w:t>
      </w:r>
      <w:r w:rsidR="00A15C79">
        <w:noBreakHyphen/>
      </w:r>
      <w:r w:rsidRPr="00032496">
        <w:t>value ratio, 30</w:t>
      </w:r>
      <w:r w:rsidR="00A15C79">
        <w:noBreakHyphen/>
      </w:r>
      <w:r w:rsidRPr="00032496">
        <w:t>year loan term and 2.5 percentage point buffer.</w:t>
      </w:r>
    </w:p>
    <w:p w14:paraId="748B6390" w14:textId="02CA47D3" w:rsidR="00E03BFF" w:rsidRPr="00E03BFF" w:rsidRDefault="00E03BFF" w:rsidP="00E03BFF">
      <w:pPr>
        <w:pStyle w:val="ChartorTableNoteandSource"/>
      </w:pPr>
      <w:r w:rsidRPr="00032496">
        <w:t>Source:</w:t>
      </w:r>
      <w:r>
        <w:tab/>
      </w:r>
      <w:proofErr w:type="spellStart"/>
      <w:r w:rsidRPr="00032496">
        <w:t>PropTrack</w:t>
      </w:r>
      <w:proofErr w:type="spellEnd"/>
      <w:r w:rsidR="00B36364">
        <w:t xml:space="preserve"> 2024</w:t>
      </w:r>
    </w:p>
    <w:p w14:paraId="7B82F593" w14:textId="63D207E5" w:rsidR="00791A68" w:rsidRPr="00CE1402" w:rsidRDefault="00791A68" w:rsidP="0099326B">
      <w:pPr>
        <w:pStyle w:val="Heading3Numbered"/>
      </w:pPr>
      <w:r w:rsidRPr="00CE1402">
        <w:lastRenderedPageBreak/>
        <w:t>Rent</w:t>
      </w:r>
      <w:r>
        <w:t>al affordability</w:t>
      </w:r>
    </w:p>
    <w:p w14:paraId="6A13FE1D" w14:textId="60556472" w:rsidR="00791A68" w:rsidRDefault="00791A68" w:rsidP="005B2645">
      <w:pPr>
        <w:keepNext/>
        <w:keepLines/>
      </w:pPr>
      <w:r>
        <w:t>Rental affordability deteriorated in 2024. Nationally, the</w:t>
      </w:r>
      <w:r w:rsidRPr="00CE1402">
        <w:t xml:space="preserve"> share of income the </w:t>
      </w:r>
      <w:r w:rsidR="00A94711">
        <w:t>median</w:t>
      </w:r>
      <w:r w:rsidR="00A15C79">
        <w:noBreakHyphen/>
      </w:r>
      <w:r w:rsidR="00A94711">
        <w:t>income</w:t>
      </w:r>
      <w:r w:rsidR="00A94711" w:rsidRPr="00CE1402">
        <w:t xml:space="preserve"> </w:t>
      </w:r>
      <w:r w:rsidRPr="00CE1402">
        <w:t xml:space="preserve">household needed to </w:t>
      </w:r>
      <w:r w:rsidR="00A94711">
        <w:t xml:space="preserve">pay </w:t>
      </w:r>
      <w:r w:rsidR="00925A59">
        <w:t xml:space="preserve">for </w:t>
      </w:r>
      <w:r w:rsidR="00A94711">
        <w:t>rent on a</w:t>
      </w:r>
      <w:r w:rsidRPr="00CE1402">
        <w:t xml:space="preserve"> </w:t>
      </w:r>
      <w:r w:rsidR="00925A59">
        <w:t>new</w:t>
      </w:r>
      <w:r w:rsidRPr="00CE1402">
        <w:t xml:space="preserve"> lease rose from 3</w:t>
      </w:r>
      <w:r w:rsidR="00A94711">
        <w:t>1.</w:t>
      </w:r>
      <w:r w:rsidRPr="00CE1402">
        <w:t>3</w:t>
      </w:r>
      <w:r w:rsidR="0099326B">
        <w:t> per cent</w:t>
      </w:r>
      <w:r w:rsidRPr="00CE1402">
        <w:t xml:space="preserve"> in </w:t>
      </w:r>
      <w:r w:rsidR="00A94711">
        <w:t>December</w:t>
      </w:r>
      <w:r w:rsidR="00A94711" w:rsidRPr="00CE1402">
        <w:t xml:space="preserve"> </w:t>
      </w:r>
      <w:r w:rsidRPr="00CE1402">
        <w:t>2023 to 3</w:t>
      </w:r>
      <w:r w:rsidR="00F703E5">
        <w:t>2.9</w:t>
      </w:r>
      <w:r w:rsidR="0099326B">
        <w:t> per cent</w:t>
      </w:r>
      <w:r w:rsidRPr="00CE1402">
        <w:t xml:space="preserve"> in </w:t>
      </w:r>
      <w:r w:rsidR="00A94711">
        <w:t>December</w:t>
      </w:r>
      <w:r w:rsidR="00A94711" w:rsidRPr="00CE1402">
        <w:t xml:space="preserve"> </w:t>
      </w:r>
      <w:r w:rsidRPr="00CE1402">
        <w:t>2024 (</w:t>
      </w:r>
      <w:r w:rsidR="005214C8">
        <w:t xml:space="preserve">see </w:t>
      </w:r>
      <w:r w:rsidRPr="00CE1402">
        <w:t xml:space="preserve">Chart </w:t>
      </w:r>
      <w:r>
        <w:t>4</w:t>
      </w:r>
      <w:r w:rsidRPr="00CE1402">
        <w:t>.</w:t>
      </w:r>
      <w:r>
        <w:t>1</w:t>
      </w:r>
      <w:r w:rsidRPr="00CE1402">
        <w:t xml:space="preserve">). Rental affordability </w:t>
      </w:r>
      <w:r>
        <w:t>declined</w:t>
      </w:r>
      <w:r w:rsidRPr="00CE1402">
        <w:t xml:space="preserve"> in every capital city</w:t>
      </w:r>
      <w:r>
        <w:t xml:space="preserve"> and region </w:t>
      </w:r>
      <w:r w:rsidR="00123228">
        <w:t xml:space="preserve">over </w:t>
      </w:r>
      <w:r>
        <w:t>2024</w:t>
      </w:r>
      <w:r w:rsidRPr="00CE1402">
        <w:t xml:space="preserve">, except for </w:t>
      </w:r>
      <w:r w:rsidR="004D26C2">
        <w:t>regional Northern Territory</w:t>
      </w:r>
      <w:r w:rsidRPr="00CE1402">
        <w:t xml:space="preserve"> (</w:t>
      </w:r>
      <w:r w:rsidR="005214C8">
        <w:t>see c</w:t>
      </w:r>
      <w:r w:rsidRPr="00CE1402">
        <w:t>hart</w:t>
      </w:r>
      <w:r w:rsidR="005214C8">
        <w:t>s</w:t>
      </w:r>
      <w:r w:rsidRPr="00CE1402">
        <w:t xml:space="preserve"> </w:t>
      </w:r>
      <w:r>
        <w:t>4</w:t>
      </w:r>
      <w:r w:rsidRPr="00CE1402">
        <w:t>.1</w:t>
      </w:r>
      <w:r w:rsidR="004D26C2">
        <w:t>1</w:t>
      </w:r>
      <w:r w:rsidRPr="00CE1402">
        <w:t xml:space="preserve"> and </w:t>
      </w:r>
      <w:r>
        <w:t>4</w:t>
      </w:r>
      <w:r w:rsidRPr="00CE1402">
        <w:t>.1</w:t>
      </w:r>
      <w:r w:rsidR="004D26C2">
        <w:t>2</w:t>
      </w:r>
      <w:r w:rsidRPr="00CE1402">
        <w:t>).</w:t>
      </w:r>
      <w:r>
        <w:t xml:space="preserve"> </w:t>
      </w:r>
      <w:r w:rsidR="00265CDE">
        <w:t xml:space="preserve">Growth in advertised rents exceeding </w:t>
      </w:r>
      <w:r w:rsidR="005A2261">
        <w:t>growth in household</w:t>
      </w:r>
      <w:r w:rsidR="00265CDE">
        <w:t xml:space="preserve"> income has driven t</w:t>
      </w:r>
      <w:r>
        <w:t>he deterioration in rental affordability</w:t>
      </w:r>
      <w:r w:rsidR="00265CDE">
        <w:t xml:space="preserve">. </w:t>
      </w:r>
      <w:r>
        <w:t>Vacancy rates across Australia have been low</w:t>
      </w:r>
      <w:r w:rsidR="00163754">
        <w:t xml:space="preserve"> –</w:t>
      </w:r>
      <w:r w:rsidR="001E5B27">
        <w:t xml:space="preserve"> and remain </w:t>
      </w:r>
      <w:r w:rsidDel="004D26C2">
        <w:t>b</w:t>
      </w:r>
      <w:r>
        <w:t>elow the level consistent with a balanced market</w:t>
      </w:r>
      <w:r w:rsidR="00163754">
        <w:t xml:space="preserve"> –</w:t>
      </w:r>
      <w:r>
        <w:t xml:space="preserve"> adding to rental pressures (see Chapter 2</w:t>
      </w:r>
      <w:r w:rsidR="00265CDE">
        <w:t>,</w:t>
      </w:r>
      <w:r>
        <w:t xml:space="preserve"> </w:t>
      </w:r>
      <w:r w:rsidRPr="001B4EAF">
        <w:rPr>
          <w:rStyle w:val="Emphasis"/>
        </w:rPr>
        <w:t>Housing market conditions</w:t>
      </w:r>
      <w:r>
        <w:t xml:space="preserve">). </w:t>
      </w:r>
    </w:p>
    <w:tbl>
      <w:tblPr>
        <w:tblW w:w="5044" w:type="pct"/>
        <w:tblLayout w:type="fixed"/>
        <w:tblLook w:val="0000" w:firstRow="0" w:lastRow="0" w:firstColumn="0" w:lastColumn="0" w:noHBand="0" w:noVBand="0"/>
      </w:tblPr>
      <w:tblGrid>
        <w:gridCol w:w="4575"/>
        <w:gridCol w:w="4575"/>
      </w:tblGrid>
      <w:tr w:rsidR="00AB49DB" w:rsidRPr="00FB0A60" w14:paraId="2C28C286" w14:textId="77777777" w:rsidTr="001B4EAF">
        <w:trPr>
          <w:cantSplit/>
          <w:trHeight w:val="284"/>
        </w:trPr>
        <w:tc>
          <w:tcPr>
            <w:tcW w:w="4575" w:type="dxa"/>
          </w:tcPr>
          <w:p w14:paraId="0481F0ED" w14:textId="0C685A16" w:rsidR="00AB49DB" w:rsidRPr="00FB0A60" w:rsidRDefault="00AB49DB" w:rsidP="001B4EAF">
            <w:pPr>
              <w:pStyle w:val="ChartMainHeading"/>
            </w:pPr>
            <w:r w:rsidRPr="00FB0A60">
              <w:t>Rent</w:t>
            </w:r>
            <w:r w:rsidR="00A15C79">
              <w:noBreakHyphen/>
            </w:r>
            <w:r w:rsidRPr="00FB0A60">
              <w:t>to</w:t>
            </w:r>
            <w:r w:rsidR="00A15C79">
              <w:noBreakHyphen/>
            </w:r>
            <w:r w:rsidRPr="00FB0A60">
              <w:t>income ratio for new leases, capital cities</w:t>
            </w:r>
          </w:p>
        </w:tc>
        <w:tc>
          <w:tcPr>
            <w:tcW w:w="4575" w:type="dxa"/>
          </w:tcPr>
          <w:p w14:paraId="0804687A" w14:textId="6BCE1B6C" w:rsidR="00AB49DB" w:rsidRPr="00FB0A60" w:rsidRDefault="00AB49DB" w:rsidP="001B4EAF">
            <w:pPr>
              <w:pStyle w:val="ChartMainHeading"/>
            </w:pPr>
            <w:r w:rsidRPr="00FB0A60">
              <w:t>Rent</w:t>
            </w:r>
            <w:r w:rsidR="00A15C79">
              <w:noBreakHyphen/>
            </w:r>
            <w:r w:rsidRPr="00FB0A60">
              <w:t>to</w:t>
            </w:r>
            <w:r w:rsidR="00A15C79">
              <w:noBreakHyphen/>
            </w:r>
            <w:r w:rsidRPr="00FB0A60">
              <w:t>income ratio for new leases, regional areas</w:t>
            </w:r>
          </w:p>
        </w:tc>
      </w:tr>
      <w:tr w:rsidR="00AB49DB" w:rsidRPr="00CE1402" w14:paraId="45031B23" w14:textId="77777777">
        <w:trPr>
          <w:cantSplit/>
          <w:trHeight w:val="3414"/>
        </w:trPr>
        <w:tc>
          <w:tcPr>
            <w:tcW w:w="4575" w:type="dxa"/>
          </w:tcPr>
          <w:p w14:paraId="32BB5CFB" w14:textId="631B5DAC" w:rsidR="00AB49DB" w:rsidRPr="00FB0A60" w:rsidRDefault="008B7C3E" w:rsidP="0099326B">
            <w:pPr>
              <w:pStyle w:val="ChartGraphic"/>
            </w:pPr>
            <w:r w:rsidRPr="008B7C3E">
              <w:rPr>
                <w:noProof/>
              </w:rPr>
              <w:drawing>
                <wp:inline distT="0" distB="0" distL="0" distR="0" wp14:anchorId="5AA2C698" wp14:editId="0BC2E93B">
                  <wp:extent cx="2762250" cy="2771775"/>
                  <wp:effectExtent l="0" t="0" r="0" b="0"/>
                  <wp:docPr id="1798258448" name="Picture 20" descr="This line chart shows the advertised rent-to-income ratio across Australian capital cities between December 2014 to December 2024. Most capital cities reported a decline in the ratio over the 6 years to December 2020, before they rose to overall higher levels over the 4 years to December 2024. Darwin was the only capital city to report a decline in the ratio over the entire period. Overall, the ratio ranged from 25 to 35 per cent across the capital cities in December 2024, an increase from the range of 22 to 32 per cent reported in Decemb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58448" name="Picture 20" descr="This line chart shows the advertised rent-to-income ratio across Australian capital cities between December 2014 to December 2024. Most capital cities reported a decline in the ratio over the 6 years to December 2020, before they rose to overall higher levels over the 4 years to December 2024. Darwin was the only capital city to report a decline in the ratio over the entire period. Overall, the ratio ranged from 25 to 35 per cent across the capital cities in December 2024, an increase from the range of 22 to 32 per cent reported in December 201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762250" cy="2771775"/>
                          </a:xfrm>
                          <a:prstGeom prst="rect">
                            <a:avLst/>
                          </a:prstGeom>
                          <a:noFill/>
                          <a:ln>
                            <a:noFill/>
                          </a:ln>
                        </pic:spPr>
                      </pic:pic>
                    </a:graphicData>
                  </a:graphic>
                </wp:inline>
              </w:drawing>
            </w:r>
          </w:p>
        </w:tc>
        <w:tc>
          <w:tcPr>
            <w:tcW w:w="4575" w:type="dxa"/>
          </w:tcPr>
          <w:p w14:paraId="58EADBE7" w14:textId="2BE58A71" w:rsidR="00AB49DB" w:rsidRPr="00667939" w:rsidRDefault="00B251AC" w:rsidP="0099326B">
            <w:pPr>
              <w:pStyle w:val="ChartGraphic"/>
            </w:pPr>
            <w:r w:rsidRPr="00B251AC">
              <w:rPr>
                <w:noProof/>
              </w:rPr>
              <w:drawing>
                <wp:inline distT="0" distB="0" distL="0" distR="0" wp14:anchorId="01BF9329" wp14:editId="25538EF6">
                  <wp:extent cx="2762250" cy="2762250"/>
                  <wp:effectExtent l="0" t="0" r="0" b="0"/>
                  <wp:docPr id="593625703" name="Picture 21" descr="This line chart shows the advertised rent-to-income ratio across Australian regional areas between December 2014 to December 2024. The ratio remained relatively steady across most regional areas over the 6 years to December 2020, before increasing over the 4 years to December 2024. Rest of NT was the only regional area not to report an increase in the ratio over the period. Overall, the ratio ranged from 30 to 38 per cent across the regional areas in December 2024, an increase from the range of 26 to 33 per cent reported in Decemb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25703" name="Picture 21" descr="This line chart shows the advertised rent-to-income ratio across Australian regional areas between December 2014 to December 2024. The ratio remained relatively steady across most regional areas over the 6 years to December 2020, before increasing over the 4 years to December 2024. Rest of NT was the only regional area not to report an increase in the ratio over the period. Overall, the ratio ranged from 30 to 38 per cent across the regional areas in December 2024, an increase from the range of 26 to 33 per cent reported in December 201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p>
        </w:tc>
      </w:tr>
    </w:tbl>
    <w:p w14:paraId="1BD14B09" w14:textId="50781B60" w:rsidR="00AB49DB" w:rsidRDefault="00AB49DB" w:rsidP="00DB6DE6">
      <w:pPr>
        <w:pStyle w:val="ChartorTableNoteandSource"/>
      </w:pPr>
      <w:r w:rsidRPr="00005B0F">
        <w:t>Note:</w:t>
      </w:r>
      <w:r w:rsidR="001B4EAF">
        <w:tab/>
      </w:r>
      <w:r w:rsidRPr="00005B0F">
        <w:t xml:space="preserve">The share of gross annual household income </w:t>
      </w:r>
      <w:r w:rsidR="00930E4F" w:rsidRPr="00930E4F">
        <w:t xml:space="preserve">a median-income household needs to pay for rent on a new lease. </w:t>
      </w:r>
      <w:r w:rsidRPr="00005B0F">
        <w:t xml:space="preserve"> </w:t>
      </w:r>
    </w:p>
    <w:p w14:paraId="5370A853" w14:textId="30536A05" w:rsidR="00E03BFF" w:rsidRPr="00E03BFF" w:rsidRDefault="00E03BFF" w:rsidP="00E03BFF">
      <w:pPr>
        <w:pStyle w:val="ChartorTableNoteandSource"/>
      </w:pPr>
      <w:r w:rsidRPr="00005B0F">
        <w:t>Source:</w:t>
      </w:r>
      <w:r>
        <w:tab/>
      </w:r>
      <w:r w:rsidRPr="00AD69FE">
        <w:t>CoreLogic and ANU POLIS Centre for Social Policy Research 2025</w:t>
      </w:r>
    </w:p>
    <w:p w14:paraId="066DB370" w14:textId="77777777" w:rsidR="00791A68" w:rsidRPr="00C67093" w:rsidRDefault="00791A68" w:rsidP="00744F72">
      <w:pPr>
        <w:pStyle w:val="Heading2Numbered"/>
      </w:pPr>
      <w:bookmarkStart w:id="131" w:name="_Toc195026604"/>
      <w:bookmarkStart w:id="132" w:name="_Toc196395895"/>
      <w:r w:rsidRPr="00C67093">
        <w:t xml:space="preserve">Rental stress levels remain high, with those in rental stress reporting </w:t>
      </w:r>
      <w:r w:rsidRPr="00CE02F1">
        <w:t>lower</w:t>
      </w:r>
      <w:r w:rsidRPr="00C67093">
        <w:t xml:space="preserve"> wellbeing</w:t>
      </w:r>
      <w:bookmarkEnd w:id="131"/>
      <w:bookmarkEnd w:id="132"/>
      <w:r w:rsidRPr="00C67093">
        <w:t xml:space="preserve"> </w:t>
      </w:r>
    </w:p>
    <w:p w14:paraId="39897215" w14:textId="77777777" w:rsidR="00791A68" w:rsidRPr="00C67093" w:rsidRDefault="00791A68" w:rsidP="0099326B">
      <w:pPr>
        <w:pStyle w:val="Heading3Numbered"/>
      </w:pPr>
      <w:r w:rsidRPr="0099326B">
        <w:t>Rental</w:t>
      </w:r>
      <w:r w:rsidRPr="00C67093">
        <w:t xml:space="preserve"> stress</w:t>
      </w:r>
    </w:p>
    <w:p w14:paraId="3CADF265" w14:textId="6E9DC35F" w:rsidR="00990401" w:rsidRDefault="00791A68" w:rsidP="002D209A">
      <w:r>
        <w:t>Lower</w:t>
      </w:r>
      <w:r w:rsidR="00A15C79">
        <w:noBreakHyphen/>
      </w:r>
      <w:r>
        <w:t xml:space="preserve">income renters continue to experience high levels of rental stress. </w:t>
      </w:r>
      <w:r w:rsidR="008D5E0A">
        <w:t>Analysis of data from</w:t>
      </w:r>
      <w:r>
        <w:t xml:space="preserve"> </w:t>
      </w:r>
      <w:r w:rsidR="00D932FF">
        <w:t xml:space="preserve">the </w:t>
      </w:r>
      <w:r>
        <w:t>HILDA</w:t>
      </w:r>
      <w:r w:rsidDel="00D932FF">
        <w:t xml:space="preserve"> </w:t>
      </w:r>
      <w:r>
        <w:t>Survey indicates that the share of lower</w:t>
      </w:r>
      <w:r w:rsidR="00A15C79">
        <w:noBreakHyphen/>
      </w:r>
      <w:r>
        <w:t xml:space="preserve">income households in rental stress </w:t>
      </w:r>
      <w:r w:rsidR="00804CE3">
        <w:t xml:space="preserve">– </w:t>
      </w:r>
      <w:r>
        <w:t>defined using the 30/40 rule</w:t>
      </w:r>
      <w:r w:rsidR="00804CE3">
        <w:t xml:space="preserve"> –</w:t>
      </w:r>
      <w:r>
        <w:t xml:space="preserve"> has risen over the </w:t>
      </w:r>
      <w:r w:rsidR="009E1506">
        <w:t xml:space="preserve">3 </w:t>
      </w:r>
      <w:r>
        <w:t>years to 2023</w:t>
      </w:r>
      <w:r w:rsidR="00991599">
        <w:t>,</w:t>
      </w:r>
      <w:r>
        <w:t xml:space="preserve"> from a low of 4</w:t>
      </w:r>
      <w:r w:rsidR="00C35284">
        <w:t>7</w:t>
      </w:r>
      <w:r w:rsidR="0099326B">
        <w:t> per cent</w:t>
      </w:r>
      <w:r>
        <w:t xml:space="preserve"> in 2020 to a high of 54</w:t>
      </w:r>
      <w:r w:rsidR="0099326B">
        <w:t> per cent</w:t>
      </w:r>
      <w:r>
        <w:t xml:space="preserve"> in 2023 (</w:t>
      </w:r>
      <w:r w:rsidR="009E1506">
        <w:t xml:space="preserve">see </w:t>
      </w:r>
      <w:r>
        <w:t>Chart 4.1</w:t>
      </w:r>
      <w:r w:rsidR="00C35284">
        <w:t>3</w:t>
      </w:r>
      <w:r>
        <w:t xml:space="preserve">). </w:t>
      </w:r>
      <w:r w:rsidR="00990401">
        <w:br w:type="page"/>
      </w:r>
    </w:p>
    <w:p w14:paraId="00423BC9" w14:textId="28A6F942" w:rsidR="00791A68" w:rsidRDefault="00791A68">
      <w:r>
        <w:lastRenderedPageBreak/>
        <w:t>The rate of lower</w:t>
      </w:r>
      <w:r w:rsidR="00A15C79">
        <w:noBreakHyphen/>
      </w:r>
      <w:r>
        <w:t>income renter households in severe rental stress (</w:t>
      </w:r>
      <w:r w:rsidR="009E1506">
        <w:t>that is, t</w:t>
      </w:r>
      <w:r w:rsidR="00CA1D8A">
        <w:t xml:space="preserve">hat are </w:t>
      </w:r>
      <w:r>
        <w:t>spending more than 50</w:t>
      </w:r>
      <w:r w:rsidR="0099326B">
        <w:t> per cent</w:t>
      </w:r>
      <w:r>
        <w:t xml:space="preserve"> of </w:t>
      </w:r>
      <w:r w:rsidR="001210AA">
        <w:t xml:space="preserve">their </w:t>
      </w:r>
      <w:r>
        <w:t>income on rent) has also risen in recent years. The rate of severe rental stress rose from 17</w:t>
      </w:r>
      <w:r w:rsidR="0099326B">
        <w:t> per cent</w:t>
      </w:r>
      <w:r>
        <w:t xml:space="preserve"> in 2020 to 21</w:t>
      </w:r>
      <w:r w:rsidR="0099326B">
        <w:t> per cent</w:t>
      </w:r>
      <w:r>
        <w:t xml:space="preserve"> in 2023</w:t>
      </w:r>
      <w:r w:rsidR="0054764D">
        <w:t xml:space="preserve"> –</w:t>
      </w:r>
      <w:r>
        <w:t xml:space="preserve"> its highest level in 1</w:t>
      </w:r>
      <w:r w:rsidR="00310E05">
        <w:t>0</w:t>
      </w:r>
      <w:r>
        <w:t xml:space="preserve"> years (</w:t>
      </w:r>
      <w:r w:rsidR="0054764D">
        <w:t xml:space="preserve">see </w:t>
      </w:r>
      <w:r>
        <w:t>Chart</w:t>
      </w:r>
      <w:r w:rsidR="00004AA6">
        <w:t> </w:t>
      </w:r>
      <w:r>
        <w:t>4.1</w:t>
      </w:r>
      <w:r w:rsidR="00E616C5">
        <w:t>3</w:t>
      </w:r>
      <w:r>
        <w:t>). Higher rates of rental stress have been due to tightness across the rental market, where demand for housing has outpaced new supply</w:t>
      </w:r>
      <w:r w:rsidR="00314FA5">
        <w:t xml:space="preserve"> </w:t>
      </w:r>
      <w:r w:rsidR="00314FA5" w:rsidRPr="00314FA5">
        <w:t xml:space="preserve">(see Chapter 2, </w:t>
      </w:r>
      <w:r w:rsidR="00314FA5" w:rsidRPr="00A85044">
        <w:rPr>
          <w:i/>
          <w:iCs/>
        </w:rPr>
        <w:t>Housing market conditions</w:t>
      </w:r>
      <w:r w:rsidR="00314FA5" w:rsidRPr="00314FA5">
        <w:t>)</w:t>
      </w:r>
      <w:r w:rsidR="00D74594">
        <w:t>. This imbalance has</w:t>
      </w:r>
      <w:r>
        <w:t xml:space="preserve"> led to higher </w:t>
      </w:r>
      <w:r w:rsidR="004C1138">
        <w:t>growth in</w:t>
      </w:r>
      <w:r>
        <w:t xml:space="preserve"> rents relative to </w:t>
      </w:r>
      <w:r w:rsidR="004C1138">
        <w:t xml:space="preserve">household </w:t>
      </w:r>
      <w:r>
        <w:t xml:space="preserve">income. </w:t>
      </w:r>
    </w:p>
    <w:p w14:paraId="07FC2D32" w14:textId="25D67C1D" w:rsidR="00791A68" w:rsidRDefault="00791A68">
      <w:r>
        <w:t xml:space="preserve">Rental stress is also becoming more persistent. The share of people </w:t>
      </w:r>
      <w:r w:rsidR="00B23C0A">
        <w:t xml:space="preserve">in rental stress </w:t>
      </w:r>
      <w:r w:rsidR="00491D13">
        <w:t xml:space="preserve">who </w:t>
      </w:r>
      <w:r>
        <w:t>remained in rental stress for 2 or more consecutive years rose from 4</w:t>
      </w:r>
      <w:r w:rsidR="001A5DFB">
        <w:t>8</w:t>
      </w:r>
      <w:r w:rsidR="0099326B">
        <w:t> per cent</w:t>
      </w:r>
      <w:r>
        <w:t xml:space="preserve"> in 2022 to 60</w:t>
      </w:r>
      <w:r w:rsidR="0099326B">
        <w:t> per cent</w:t>
      </w:r>
      <w:r>
        <w:t xml:space="preserve"> in 2023 (</w:t>
      </w:r>
      <w:r w:rsidR="00491D13">
        <w:t xml:space="preserve">see </w:t>
      </w:r>
      <w:r>
        <w:t>Chart 4.1</w:t>
      </w:r>
      <w:r w:rsidR="001B10E6">
        <w:t>4</w:t>
      </w:r>
      <w:r>
        <w:t xml:space="preserve">). The share of </w:t>
      </w:r>
      <w:r w:rsidR="003C727E">
        <w:t>people in rental stress</w:t>
      </w:r>
      <w:r>
        <w:t xml:space="preserve"> who have been in rental stress for 3 or more, and 4 or more consecutive years also rose in 2023. </w:t>
      </w:r>
    </w:p>
    <w:p w14:paraId="07FFED06" w14:textId="793D8DC3" w:rsidR="00DF3BD2" w:rsidRPr="00C67093" w:rsidRDefault="00DF3BD2">
      <w:r w:rsidRPr="003B1D39">
        <w:t xml:space="preserve">Rental stress for </w:t>
      </w:r>
      <w:r w:rsidR="0099326B">
        <w:t>First Nations</w:t>
      </w:r>
      <w:r w:rsidRPr="003B1D39">
        <w:t xml:space="preserve"> households with Commonwealth Rent Assistance fell slightly in 2023</w:t>
      </w:r>
      <w:r w:rsidR="00EC1EC1">
        <w:t>–‍</w:t>
      </w:r>
      <w:r w:rsidRPr="003B1D39">
        <w:t>24, although remains higher than in 2018</w:t>
      </w:r>
      <w:r w:rsidR="00EC1EC1">
        <w:t>–</w:t>
      </w:r>
      <w:r w:rsidRPr="003B1D39">
        <w:t xml:space="preserve">19 (see </w:t>
      </w:r>
      <w:r w:rsidRPr="00A85044">
        <w:rPr>
          <w:rStyle w:val="Emphasis"/>
          <w:i w:val="0"/>
          <w:iCs w:val="0"/>
        </w:rPr>
        <w:t>Chapter 6</w:t>
      </w:r>
      <w:r w:rsidR="00A85044">
        <w:rPr>
          <w:rStyle w:val="Emphasis"/>
          <w:i w:val="0"/>
          <w:iCs w:val="0"/>
        </w:rPr>
        <w:t>,</w:t>
      </w:r>
      <w:r w:rsidRPr="004E40BC">
        <w:rPr>
          <w:rStyle w:val="Emphasis"/>
        </w:rPr>
        <w:t xml:space="preserve"> </w:t>
      </w:r>
      <w:r w:rsidR="0099326B" w:rsidRPr="004E40BC">
        <w:rPr>
          <w:rStyle w:val="Emphasis"/>
        </w:rPr>
        <w:t>First Nations</w:t>
      </w:r>
      <w:r w:rsidRPr="004E40BC">
        <w:rPr>
          <w:rStyle w:val="Emphasis"/>
        </w:rPr>
        <w:t xml:space="preserve"> housing</w:t>
      </w:r>
      <w:r w:rsidRPr="003B1D39">
        <w:rPr>
          <w:i/>
          <w:iCs/>
        </w:rPr>
        <w:t>)</w:t>
      </w:r>
      <w:r w:rsidRPr="003B1D39">
        <w:t xml:space="preserve">. These estimates of </w:t>
      </w:r>
      <w:r w:rsidRPr="003366CB">
        <w:t>rental stress</w:t>
      </w:r>
      <w:r w:rsidRPr="003B1D39">
        <w:t xml:space="preserve"> for </w:t>
      </w:r>
      <w:r w:rsidR="0099326B">
        <w:t>First Nations</w:t>
      </w:r>
      <w:r w:rsidRPr="003B1D39">
        <w:t xml:space="preserve"> households are collected by AIHW (</w:t>
      </w:r>
      <w:r w:rsidRPr="003366CB">
        <w:t>AIHW</w:t>
      </w:r>
      <w:r w:rsidR="00A71448">
        <w:t xml:space="preserve"> </w:t>
      </w:r>
      <w:r w:rsidRPr="003B1D39">
        <w:t xml:space="preserve">2025). </w:t>
      </w:r>
    </w:p>
    <w:tbl>
      <w:tblPr>
        <w:tblW w:w="5000" w:type="pct"/>
        <w:tblLayout w:type="fixed"/>
        <w:tblLook w:val="0000" w:firstRow="0" w:lastRow="0" w:firstColumn="0" w:lastColumn="0" w:noHBand="0" w:noVBand="0"/>
      </w:tblPr>
      <w:tblGrid>
        <w:gridCol w:w="4431"/>
        <w:gridCol w:w="4639"/>
      </w:tblGrid>
      <w:tr w:rsidR="00791A68" w:rsidRPr="00CE1402" w14:paraId="05515F71" w14:textId="77777777" w:rsidTr="0063287A">
        <w:trPr>
          <w:cantSplit/>
          <w:trHeight w:val="302"/>
        </w:trPr>
        <w:tc>
          <w:tcPr>
            <w:tcW w:w="4536" w:type="dxa"/>
            <w:vAlign w:val="center"/>
          </w:tcPr>
          <w:p w14:paraId="705E79DB" w14:textId="1FE35DCB" w:rsidR="00791A68" w:rsidRPr="00C67093" w:rsidRDefault="00791A68" w:rsidP="001B4EAF">
            <w:pPr>
              <w:pStyle w:val="ChartMainHeading"/>
            </w:pPr>
            <w:r w:rsidRPr="00C67093">
              <w:t>Share of lower</w:t>
            </w:r>
            <w:r w:rsidR="00A15C79">
              <w:noBreakHyphen/>
            </w:r>
            <w:r w:rsidRPr="00C67093">
              <w:t>income renter households in rental stress</w:t>
            </w:r>
          </w:p>
        </w:tc>
        <w:tc>
          <w:tcPr>
            <w:tcW w:w="4750" w:type="dxa"/>
          </w:tcPr>
          <w:p w14:paraId="7375B298" w14:textId="06E1A258" w:rsidR="00791A68" w:rsidRPr="00C67093" w:rsidRDefault="00791A68" w:rsidP="001B4EAF">
            <w:pPr>
              <w:pStyle w:val="ChartMainHeading"/>
            </w:pPr>
            <w:r w:rsidRPr="00C67093">
              <w:t xml:space="preserve">Share of people </w:t>
            </w:r>
            <w:r w:rsidR="00637C9A">
              <w:t>in</w:t>
            </w:r>
            <w:r w:rsidR="00FE7D40">
              <w:t xml:space="preserve"> rental</w:t>
            </w:r>
            <w:r w:rsidRPr="00C67093">
              <w:t xml:space="preserve"> stress </w:t>
            </w:r>
            <w:r w:rsidR="00DD3AD4">
              <w:t>that experience</w:t>
            </w:r>
            <w:r w:rsidR="00C701D8">
              <w:t xml:space="preserve"> persistent </w:t>
            </w:r>
            <w:r w:rsidR="00B66C64">
              <w:t>stress</w:t>
            </w:r>
            <w:r w:rsidRPr="00C67093">
              <w:t xml:space="preserve">  </w:t>
            </w:r>
          </w:p>
        </w:tc>
      </w:tr>
      <w:tr w:rsidR="00791A68" w:rsidRPr="00CE1402" w14:paraId="74200BEF" w14:textId="77777777" w:rsidTr="0063287A">
        <w:trPr>
          <w:cantSplit/>
          <w:trHeight w:val="1284"/>
        </w:trPr>
        <w:tc>
          <w:tcPr>
            <w:tcW w:w="4536" w:type="dxa"/>
          </w:tcPr>
          <w:p w14:paraId="1DC72D06" w14:textId="75485649" w:rsidR="00791A68" w:rsidRPr="00C67093" w:rsidRDefault="00520E7F" w:rsidP="0099326B">
            <w:pPr>
              <w:pStyle w:val="ChartGraphic"/>
            </w:pPr>
            <w:r w:rsidRPr="00520E7F">
              <w:rPr>
                <w:noProof/>
              </w:rPr>
              <w:drawing>
                <wp:inline distT="0" distB="0" distL="0" distR="0" wp14:anchorId="34655E59" wp14:editId="69F0A5B7">
                  <wp:extent cx="2743200" cy="2743200"/>
                  <wp:effectExtent l="0" t="0" r="0" b="0"/>
                  <wp:docPr id="908078916" name="Picture 12" descr="This line chart shows the share of lower-income renter households in rental stress (spending over 30 per cent of income on rent, which is known as the 30/40 rule), and severe rental stress (spending over 50 per cent of income on rent, which is known as the 50/40 rule) over the period from 2013 to 2023. Both series have trended upwards slightly over time. The share of lower income renter households in stress using the 30/40 rule rose from 47 per cent in 2013 to 54 per cent in 2023, while the share of households in stress using the 50/40 rule rose from 17 per cent in 2013 to 21 per cent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078916" name="Picture 12" descr="This line chart shows the share of lower-income renter households in rental stress (spending over 30 per cent of income on rent, which is known as the 30/40 rule), and severe rental stress (spending over 50 per cent of income on rent, which is known as the 50/40 rule) over the period from 2013 to 2023. Both series have trended upwards slightly over time. The share of lower income renter households in stress using the 30/40 rule rose from 47 per cent in 2013 to 54 per cent in 2023, while the share of households in stress using the 50/40 rule rose from 17 per cent in 2013 to 21 per cent in 202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tc>
        <w:tc>
          <w:tcPr>
            <w:tcW w:w="4750" w:type="dxa"/>
          </w:tcPr>
          <w:p w14:paraId="7D16F0C7" w14:textId="7323177E" w:rsidR="00791A68" w:rsidRPr="00C67093" w:rsidRDefault="00520E7F" w:rsidP="0099326B">
            <w:pPr>
              <w:pStyle w:val="ChartGraphic"/>
            </w:pPr>
            <w:r w:rsidRPr="00520E7F">
              <w:rPr>
                <w:noProof/>
              </w:rPr>
              <w:drawing>
                <wp:inline distT="0" distB="0" distL="0" distR="0" wp14:anchorId="7E94D22A" wp14:editId="7DC61666">
                  <wp:extent cx="2743200" cy="2743200"/>
                  <wp:effectExtent l="0" t="0" r="0" b="0"/>
                  <wp:docPr id="1576971940" name="Picture 11" descr="This line chart shows the share of renters in rental stress who have remained in stress for 2 or more; 3 or more, or; 4 or more years; over the period from 2013 to 2023. The share of renters who have experienced 2 or more years of consecutive rental stress has fluctuated around 50 per cent for most of the period, rising to a high of 60 per cent in 2023. The share who have experienced 3 or more years of rental stress has trended upward from around 31 per cent in 2013 to 36 per cent in 2023. The share who have experienced 4 or more years of rental stress has increased from 20 per cent in 2013 to 28 per cent in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71940" name="Picture 11" descr="This line chart shows the share of renters in rental stress who have remained in stress for 2 or more; 3 or more, or; 4 or more years; over the period from 2013 to 2023. The share of renters who have experienced 2 or more years of consecutive rental stress has fluctuated around 50 per cent for most of the period, rising to a high of 60 per cent in 2023. The share who have experienced 3 or more years of rental stress has trended upward from around 31 per cent in 2013 to 36 per cent in 2023. The share who have experienced 4 or more years of rental stress has increased from 20 per cent in 2013 to 28 per cent in 2023. "/>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51426" cy="2751426"/>
                          </a:xfrm>
                          <a:prstGeom prst="rect">
                            <a:avLst/>
                          </a:prstGeom>
                          <a:noFill/>
                          <a:ln>
                            <a:noFill/>
                          </a:ln>
                        </pic:spPr>
                      </pic:pic>
                    </a:graphicData>
                  </a:graphic>
                </wp:inline>
              </w:drawing>
            </w:r>
          </w:p>
        </w:tc>
      </w:tr>
      <w:tr w:rsidR="00791A68" w:rsidRPr="00CE1402" w14:paraId="2D464364" w14:textId="77777777" w:rsidTr="0063287A">
        <w:trPr>
          <w:cantSplit/>
          <w:trHeight w:val="631"/>
        </w:trPr>
        <w:tc>
          <w:tcPr>
            <w:tcW w:w="4536" w:type="dxa"/>
          </w:tcPr>
          <w:p w14:paraId="41389AF8" w14:textId="25DDC3F2" w:rsidR="00791A68" w:rsidRDefault="00791A68" w:rsidP="00DB6DE6">
            <w:pPr>
              <w:pStyle w:val="ChartorTableNoteandSource"/>
              <w:rPr>
                <w:noProof/>
              </w:rPr>
            </w:pPr>
            <w:r w:rsidRPr="00C67093">
              <w:t>Note:</w:t>
            </w:r>
            <w:r w:rsidR="001B4EAF">
              <w:tab/>
            </w:r>
            <w:r w:rsidR="00506595">
              <w:t xml:space="preserve">The </w:t>
            </w:r>
            <w:r w:rsidR="00506595">
              <w:rPr>
                <w:noProof/>
              </w:rPr>
              <w:t>p</w:t>
            </w:r>
            <w:r w:rsidRPr="00C67093">
              <w:rPr>
                <w:noProof/>
              </w:rPr>
              <w:t xml:space="preserve">roportion of rental households in the </w:t>
            </w:r>
            <w:r w:rsidR="00B973DD">
              <w:rPr>
                <w:noProof/>
              </w:rPr>
              <w:t>2</w:t>
            </w:r>
            <w:r w:rsidR="0063287A">
              <w:rPr>
                <w:noProof/>
              </w:rPr>
              <w:t> </w:t>
            </w:r>
            <w:r w:rsidRPr="00C67093">
              <w:rPr>
                <w:noProof/>
              </w:rPr>
              <w:t xml:space="preserve">lowest </w:t>
            </w:r>
            <w:r w:rsidR="00377337">
              <w:rPr>
                <w:noProof/>
              </w:rPr>
              <w:t xml:space="preserve">equivalised </w:t>
            </w:r>
            <w:r w:rsidR="00FE0499">
              <w:rPr>
                <w:noProof/>
              </w:rPr>
              <w:t xml:space="preserve">disposable </w:t>
            </w:r>
            <w:r w:rsidR="00377337">
              <w:rPr>
                <w:noProof/>
              </w:rPr>
              <w:t xml:space="preserve">household </w:t>
            </w:r>
            <w:r w:rsidRPr="00C67093">
              <w:rPr>
                <w:noProof/>
              </w:rPr>
              <w:t>income</w:t>
            </w:r>
            <w:r w:rsidR="00FE0499">
              <w:rPr>
                <w:rStyle w:val="FootnoteReference"/>
                <w:noProof/>
              </w:rPr>
              <w:footnoteReference w:id="8"/>
            </w:r>
            <w:r w:rsidRPr="00C67093">
              <w:rPr>
                <w:noProof/>
              </w:rPr>
              <w:t xml:space="preserve"> quintiles </w:t>
            </w:r>
            <w:r w:rsidR="00506595">
              <w:rPr>
                <w:noProof/>
              </w:rPr>
              <w:t xml:space="preserve">that are </w:t>
            </w:r>
            <w:r w:rsidRPr="00C67093">
              <w:rPr>
                <w:noProof/>
              </w:rPr>
              <w:t xml:space="preserve">spending more than </w:t>
            </w:r>
            <w:r w:rsidR="00377337">
              <w:rPr>
                <w:noProof/>
              </w:rPr>
              <w:t xml:space="preserve">either </w:t>
            </w:r>
            <w:r w:rsidRPr="00C67093">
              <w:rPr>
                <w:noProof/>
              </w:rPr>
              <w:t>30</w:t>
            </w:r>
            <w:r w:rsidR="0099326B">
              <w:rPr>
                <w:noProof/>
              </w:rPr>
              <w:t> per cent</w:t>
            </w:r>
            <w:r w:rsidR="00030A71">
              <w:rPr>
                <w:noProof/>
              </w:rPr>
              <w:t xml:space="preserve"> or</w:t>
            </w:r>
            <w:r w:rsidR="00030A71" w:rsidRPr="00C67093">
              <w:rPr>
                <w:noProof/>
              </w:rPr>
              <w:t xml:space="preserve"> </w:t>
            </w:r>
            <w:r w:rsidRPr="00C67093">
              <w:rPr>
                <w:noProof/>
              </w:rPr>
              <w:t>50</w:t>
            </w:r>
            <w:r w:rsidR="0099326B">
              <w:rPr>
                <w:noProof/>
              </w:rPr>
              <w:t> per cent</w:t>
            </w:r>
            <w:r w:rsidRPr="00C67093">
              <w:rPr>
                <w:noProof/>
              </w:rPr>
              <w:t xml:space="preserve"> of their disposable household income on rent payments</w:t>
            </w:r>
            <w:r w:rsidR="00377337">
              <w:rPr>
                <w:noProof/>
              </w:rPr>
              <w:t xml:space="preserve"> (30/40 rule and 50/40 rule, respectively)</w:t>
            </w:r>
            <w:r w:rsidRPr="00C67093">
              <w:rPr>
                <w:noProof/>
              </w:rPr>
              <w:t xml:space="preserve">. </w:t>
            </w:r>
            <w:r w:rsidR="00377337">
              <w:rPr>
                <w:noProof/>
              </w:rPr>
              <w:t>Data is population</w:t>
            </w:r>
            <w:r w:rsidR="009E3021">
              <w:rPr>
                <w:noProof/>
              </w:rPr>
              <w:t>-</w:t>
            </w:r>
            <w:r w:rsidR="00377337">
              <w:rPr>
                <w:noProof/>
              </w:rPr>
              <w:t>weighted.</w:t>
            </w:r>
          </w:p>
          <w:p w14:paraId="0C76C398" w14:textId="164EF9CD" w:rsidR="00E03BFF" w:rsidRPr="00E03BFF" w:rsidRDefault="00E03BFF" w:rsidP="00A71448">
            <w:pPr>
              <w:pStyle w:val="ChartorTableNoteandSource"/>
            </w:pPr>
            <w:r w:rsidRPr="00C67093">
              <w:rPr>
                <w:noProof/>
              </w:rPr>
              <w:t>Source:</w:t>
            </w:r>
            <w:r>
              <w:rPr>
                <w:noProof/>
              </w:rPr>
              <w:tab/>
            </w:r>
            <w:r w:rsidRPr="00C67093">
              <w:rPr>
                <w:noProof/>
              </w:rPr>
              <w:t>HILDA Survey, Restricted Release 23</w:t>
            </w:r>
            <w:r w:rsidR="009E3021">
              <w:rPr>
                <w:noProof/>
              </w:rPr>
              <w:t>; NHSAC 2025</w:t>
            </w:r>
          </w:p>
        </w:tc>
        <w:tc>
          <w:tcPr>
            <w:tcW w:w="4750" w:type="dxa"/>
          </w:tcPr>
          <w:p w14:paraId="4E8E17B0" w14:textId="0EB84106" w:rsidR="00791A68" w:rsidRDefault="00791A68" w:rsidP="00DB6DE6">
            <w:pPr>
              <w:pStyle w:val="ChartorTableNoteandSource"/>
            </w:pPr>
            <w:r w:rsidRPr="00C67093">
              <w:t>Note:</w:t>
            </w:r>
            <w:r w:rsidR="001B4EAF">
              <w:tab/>
            </w:r>
            <w:r w:rsidR="00506595">
              <w:t>The s</w:t>
            </w:r>
            <w:r w:rsidRPr="00C67093">
              <w:t xml:space="preserve">hare of </w:t>
            </w:r>
            <w:r w:rsidR="00F717AD">
              <w:t xml:space="preserve">people in </w:t>
            </w:r>
            <w:r w:rsidRPr="00C67093">
              <w:t xml:space="preserve">rental stress who have </w:t>
            </w:r>
            <w:r w:rsidR="002457F5">
              <w:t>remained</w:t>
            </w:r>
            <w:r w:rsidRPr="00C67093">
              <w:t xml:space="preserve"> in rental stress for 2</w:t>
            </w:r>
            <w:r w:rsidR="00A90EA5">
              <w:t xml:space="preserve"> or more</w:t>
            </w:r>
            <w:r w:rsidRPr="00C67093">
              <w:t>, 3</w:t>
            </w:r>
            <w:r w:rsidR="0063287A">
              <w:t> </w:t>
            </w:r>
            <w:r w:rsidR="00A90EA5">
              <w:t xml:space="preserve">or more, </w:t>
            </w:r>
            <w:r w:rsidR="007E4DA7">
              <w:t>or</w:t>
            </w:r>
            <w:r w:rsidRPr="00C67093">
              <w:t xml:space="preserve"> 4</w:t>
            </w:r>
            <w:r w:rsidR="00A90EA5">
              <w:t xml:space="preserve"> or more</w:t>
            </w:r>
            <w:r w:rsidRPr="00C67093">
              <w:t xml:space="preserve"> consecutive years. Rental stress </w:t>
            </w:r>
            <w:r w:rsidR="001F5894">
              <w:t xml:space="preserve">is </w:t>
            </w:r>
            <w:r w:rsidRPr="00C67093">
              <w:t>defined using the 30/40 rule.</w:t>
            </w:r>
            <w:r w:rsidR="00377337">
              <w:t xml:space="preserve"> </w:t>
            </w:r>
            <w:r w:rsidR="00377337">
              <w:rPr>
                <w:noProof/>
              </w:rPr>
              <w:t>Data is population</w:t>
            </w:r>
            <w:r w:rsidR="009E3021">
              <w:rPr>
                <w:noProof/>
              </w:rPr>
              <w:t>-</w:t>
            </w:r>
            <w:r w:rsidR="00377337">
              <w:rPr>
                <w:noProof/>
              </w:rPr>
              <w:t>weighted.</w:t>
            </w:r>
          </w:p>
          <w:p w14:paraId="433A43C2" w14:textId="20CDF64E" w:rsidR="00E03BFF" w:rsidRPr="00E03BFF" w:rsidRDefault="00E03BFF" w:rsidP="00E03BFF">
            <w:pPr>
              <w:pStyle w:val="ChartorTableNoteandSource"/>
            </w:pPr>
            <w:r w:rsidRPr="00C67093">
              <w:rPr>
                <w:noProof/>
              </w:rPr>
              <w:t>Source:</w:t>
            </w:r>
            <w:r>
              <w:rPr>
                <w:noProof/>
              </w:rPr>
              <w:tab/>
            </w:r>
            <w:r w:rsidRPr="00C67093">
              <w:rPr>
                <w:noProof/>
              </w:rPr>
              <w:t>HILDA Survey, Restricted Release 23</w:t>
            </w:r>
            <w:r w:rsidR="009E3021">
              <w:rPr>
                <w:noProof/>
              </w:rPr>
              <w:t>; NHSAC 2025</w:t>
            </w:r>
          </w:p>
        </w:tc>
      </w:tr>
    </w:tbl>
    <w:p w14:paraId="7B942BF7" w14:textId="77777777" w:rsidR="00791A68" w:rsidRPr="00C67093" w:rsidRDefault="00791A68" w:rsidP="0099326B">
      <w:pPr>
        <w:pStyle w:val="Heading3Numbered"/>
      </w:pPr>
      <w:r w:rsidRPr="00C67093">
        <w:lastRenderedPageBreak/>
        <w:t>Rental stress and wellbeing</w:t>
      </w:r>
    </w:p>
    <w:p w14:paraId="03117DAF" w14:textId="129CDED7" w:rsidR="001B1287" w:rsidRDefault="00791A68" w:rsidP="005B2645">
      <w:pPr>
        <w:keepNext/>
        <w:keepLines/>
      </w:pPr>
      <w:r w:rsidRPr="00C67093">
        <w:t xml:space="preserve">The share of </w:t>
      </w:r>
      <w:r>
        <w:t>renter</w:t>
      </w:r>
      <w:r w:rsidR="00140E88">
        <w:t xml:space="preserve">s </w:t>
      </w:r>
      <w:r w:rsidRPr="005C6235">
        <w:t xml:space="preserve">in rental stress with low levels of life satisfaction – defined as reporting a score of </w:t>
      </w:r>
      <w:r w:rsidR="001D2586">
        <w:t>4</w:t>
      </w:r>
      <w:r w:rsidRPr="005C6235">
        <w:t xml:space="preserve"> or below on a scale of </w:t>
      </w:r>
      <w:r w:rsidR="006A165F">
        <w:t>zero</w:t>
      </w:r>
      <w:r w:rsidR="006A165F" w:rsidRPr="005C6235">
        <w:t xml:space="preserve"> </w:t>
      </w:r>
      <w:r w:rsidRPr="005C6235">
        <w:t xml:space="preserve">to 10 </w:t>
      </w:r>
      <w:r w:rsidRPr="002949B5">
        <w:t xml:space="preserve">– was </w:t>
      </w:r>
      <w:r w:rsidR="001D2586" w:rsidRPr="002949B5">
        <w:t>7</w:t>
      </w:r>
      <w:r w:rsidRPr="002949B5">
        <w:t xml:space="preserve"> per </w:t>
      </w:r>
      <w:r w:rsidR="000151F2" w:rsidRPr="002949B5">
        <w:t>cent</w:t>
      </w:r>
      <w:r w:rsidR="000151F2">
        <w:t xml:space="preserve"> </w:t>
      </w:r>
      <w:r w:rsidRPr="005C6235">
        <w:t>in 2023</w:t>
      </w:r>
      <w:r w:rsidR="009D1ACB">
        <w:t>. This is</w:t>
      </w:r>
      <w:r w:rsidRPr="005C6235" w:rsidDel="006A165F">
        <w:t xml:space="preserve"> </w:t>
      </w:r>
      <w:r w:rsidR="00083240">
        <w:t>more than</w:t>
      </w:r>
      <w:r w:rsidR="006E3CB4">
        <w:t xml:space="preserve"> </w:t>
      </w:r>
      <w:r w:rsidRPr="005C6235">
        <w:t xml:space="preserve">twice the share </w:t>
      </w:r>
      <w:r w:rsidR="00405BC1">
        <w:t>for</w:t>
      </w:r>
      <w:r w:rsidRPr="005C6235">
        <w:t xml:space="preserve"> renter</w:t>
      </w:r>
      <w:r w:rsidR="00083240">
        <w:t>s</w:t>
      </w:r>
      <w:r w:rsidRPr="005C6235">
        <w:t xml:space="preserve"> not in rental stress (</w:t>
      </w:r>
      <w:r w:rsidR="00311D56">
        <w:t xml:space="preserve">see </w:t>
      </w:r>
      <w:r w:rsidRPr="005C6235">
        <w:t>Chart 4.1</w:t>
      </w:r>
      <w:r w:rsidR="005E46E0">
        <w:t>5</w:t>
      </w:r>
      <w:r w:rsidRPr="005C6235">
        <w:t>).</w:t>
      </w:r>
      <w:r w:rsidRPr="00C67093">
        <w:t xml:space="preserve"> The share of </w:t>
      </w:r>
      <w:r>
        <w:t>renter</w:t>
      </w:r>
      <w:r w:rsidR="00083240">
        <w:t>s</w:t>
      </w:r>
      <w:r w:rsidRPr="00C67093">
        <w:t xml:space="preserve"> in rental stress reporting low levels of financial satisfaction was also significant</w:t>
      </w:r>
      <w:r w:rsidR="0086703F">
        <w:t>,</w:t>
      </w:r>
      <w:r w:rsidRPr="00C67093">
        <w:t xml:space="preserve"> at </w:t>
      </w:r>
      <w:r w:rsidR="005E46E0">
        <w:t>26</w:t>
      </w:r>
      <w:r w:rsidR="0099326B">
        <w:t> per cent</w:t>
      </w:r>
      <w:r w:rsidRPr="00C67093">
        <w:t xml:space="preserve">, compared to </w:t>
      </w:r>
      <w:r w:rsidR="005E46E0">
        <w:t>15</w:t>
      </w:r>
      <w:r w:rsidR="0099326B">
        <w:t> per cent</w:t>
      </w:r>
      <w:r w:rsidRPr="00C67093">
        <w:t xml:space="preserve"> of </w:t>
      </w:r>
      <w:r>
        <w:t>renter</w:t>
      </w:r>
      <w:r w:rsidR="009F2089">
        <w:t>s</w:t>
      </w:r>
      <w:r w:rsidRPr="00C67093">
        <w:t xml:space="preserve"> not in rental stress.</w:t>
      </w:r>
      <w:r w:rsidR="00BF1961">
        <w:t xml:space="preserve"> </w:t>
      </w:r>
      <w:r w:rsidR="005E46E0">
        <w:t>By contrast, the incidence of low satisfaction with one</w:t>
      </w:r>
      <w:r w:rsidR="00A15C79">
        <w:t>’</w:t>
      </w:r>
      <w:r w:rsidR="005E46E0">
        <w:t>s home and neighbourhood was similar among those in rental stress and those not in rental stress</w:t>
      </w:r>
      <w:r>
        <w:t xml:space="preserve"> (</w:t>
      </w:r>
      <w:r w:rsidR="00AD5F27">
        <w:t xml:space="preserve">see </w:t>
      </w:r>
      <w:r>
        <w:t>Chart 4.1</w:t>
      </w:r>
      <w:r w:rsidR="005E46E0">
        <w:t>5</w:t>
      </w:r>
      <w:r>
        <w:t>)</w:t>
      </w:r>
      <w:r w:rsidRPr="00C67093">
        <w:t>.</w:t>
      </w:r>
    </w:p>
    <w:p w14:paraId="2C54297B" w14:textId="0829ACA3" w:rsidR="0099326B" w:rsidRDefault="0099326B" w:rsidP="001B4EAF">
      <w:pPr>
        <w:pStyle w:val="ChartMainHeading"/>
      </w:pPr>
      <w:r>
        <w:t xml:space="preserve">Share of renters with low </w:t>
      </w:r>
      <w:r w:rsidRPr="00C67093">
        <w:t>satisfaction, by rental stress status, 2023</w:t>
      </w:r>
    </w:p>
    <w:p w14:paraId="51ACA994" w14:textId="2CA62F67" w:rsidR="0099326B" w:rsidRDefault="00BD0434" w:rsidP="0099326B">
      <w:pPr>
        <w:pStyle w:val="ChartGraphic"/>
      </w:pPr>
      <w:r w:rsidRPr="00BD0434">
        <w:rPr>
          <w:noProof/>
        </w:rPr>
        <w:drawing>
          <wp:inline distT="0" distB="0" distL="0" distR="0" wp14:anchorId="141DADD5" wp14:editId="019AE8F6">
            <wp:extent cx="5582920" cy="2521585"/>
            <wp:effectExtent l="0" t="0" r="0" b="0"/>
            <wp:docPr id="1306040606" name="Picture 15" descr="This bar chart compares levels of life satisfaction for renters in rental stress and not in rental stress in 2023. The share of renter households in rental stress with low levels of life satisfaction was 7 per cent in 2023, more than twice the rate reported for renter households not in rental stress. The share of renter households in rental stress reporting low levels of financial satisfaction was 26 per cent, compared to 15 per cent of renter households not in rental stress. The incidence of low satisfaction was only a little higher for those in rental stress and those not in rental stress for satisfaction with one's home and satisfaction with one's neighbourh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40606" name="Picture 15" descr="This bar chart compares levels of life satisfaction for renters in rental stress and not in rental stress in 2023. The share of renter households in rental stress with low levels of life satisfaction was 7 per cent in 2023, more than twice the rate reported for renter households not in rental stress. The share of renter households in rental stress reporting low levels of financial satisfaction was 26 per cent, compared to 15 per cent of renter households not in rental stress. The incidence of low satisfaction was only a little higher for those in rental stress and those not in rental stress for satisfaction with one's home and satisfaction with one's neighbourhood. "/>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582920" cy="2521585"/>
                    </a:xfrm>
                    <a:prstGeom prst="rect">
                      <a:avLst/>
                    </a:prstGeom>
                    <a:noFill/>
                    <a:ln>
                      <a:noFill/>
                    </a:ln>
                  </pic:spPr>
                </pic:pic>
              </a:graphicData>
            </a:graphic>
          </wp:inline>
        </w:drawing>
      </w:r>
    </w:p>
    <w:p w14:paraId="4334E520" w14:textId="7C141228" w:rsidR="0099326B" w:rsidRDefault="0099326B" w:rsidP="00DB6DE6">
      <w:pPr>
        <w:pStyle w:val="ChartorTableNoteandSource"/>
      </w:pPr>
      <w:r w:rsidRPr="00C67093">
        <w:t>Note:</w:t>
      </w:r>
      <w:r w:rsidR="001B4EAF">
        <w:tab/>
      </w:r>
      <w:r>
        <w:t>The s</w:t>
      </w:r>
      <w:r w:rsidRPr="00C67093">
        <w:t>hare of renter</w:t>
      </w:r>
      <w:r w:rsidR="002F3FD4">
        <w:t>s</w:t>
      </w:r>
      <w:r>
        <w:t>,</w:t>
      </w:r>
      <w:r w:rsidRPr="00C67093">
        <w:t xml:space="preserve"> </w:t>
      </w:r>
      <w:r w:rsidRPr="0064623B">
        <w:t>by rental stress status</w:t>
      </w:r>
      <w:r>
        <w:t>,</w:t>
      </w:r>
      <w:r w:rsidRPr="00C67093">
        <w:t xml:space="preserve"> that reported low levels of satisfaction, defined as reporting a score of </w:t>
      </w:r>
      <w:r w:rsidR="009E3021">
        <w:t>4</w:t>
      </w:r>
      <w:r w:rsidRPr="00C67093">
        <w:t xml:space="preserve"> </w:t>
      </w:r>
      <w:r>
        <w:t xml:space="preserve">or less </w:t>
      </w:r>
      <w:r w:rsidRPr="00C67093">
        <w:t>out of 10. Rental stress is defined using the 30/40 rule</w:t>
      </w:r>
      <w:r>
        <w:t>.</w:t>
      </w:r>
      <w:r w:rsidR="00D32F5A">
        <w:t xml:space="preserve"> Data is population-weighted.</w:t>
      </w:r>
    </w:p>
    <w:p w14:paraId="44CFB2B8" w14:textId="737B73F8" w:rsidR="00E03BFF" w:rsidRPr="00E03BFF" w:rsidRDefault="00E03BFF" w:rsidP="00E03BFF">
      <w:pPr>
        <w:pStyle w:val="ChartorTableNoteandSource"/>
      </w:pPr>
      <w:r w:rsidRPr="00C67093">
        <w:t>Source:</w:t>
      </w:r>
      <w:r>
        <w:tab/>
      </w:r>
      <w:r w:rsidRPr="00C67093">
        <w:t>HILDA Survey, Restricted Release 23</w:t>
      </w:r>
      <w:r w:rsidR="00D32F5A">
        <w:t>; NHSAC 2025</w:t>
      </w:r>
    </w:p>
    <w:p w14:paraId="15FAB559" w14:textId="20AA74E2" w:rsidR="00791A68" w:rsidRPr="00C67093" w:rsidRDefault="00A16A86" w:rsidP="006F5BB5">
      <w:r w:rsidRPr="00A16A86">
        <w:t xml:space="preserve">Mental wellbeing was generally worse for those </w:t>
      </w:r>
      <w:r w:rsidR="00791A68" w:rsidRPr="00C67093">
        <w:t>in rental stress</w:t>
      </w:r>
      <w:r w:rsidR="00791A68" w:rsidRPr="00C67093" w:rsidDel="00756543">
        <w:t xml:space="preserve"> </w:t>
      </w:r>
      <w:r w:rsidR="00926B16" w:rsidRPr="00926B16">
        <w:t xml:space="preserve">than </w:t>
      </w:r>
      <w:r w:rsidRPr="00A16A86">
        <w:t>for other renters</w:t>
      </w:r>
      <w:r w:rsidR="00926B16" w:rsidRPr="00926B16">
        <w:t xml:space="preserve"> in </w:t>
      </w:r>
      <w:r>
        <w:t>2023</w:t>
      </w:r>
      <w:r w:rsidR="00DA5E17">
        <w:t xml:space="preserve"> (see Chart 4.17)</w:t>
      </w:r>
      <w:r w:rsidR="00926B16" w:rsidRPr="00926B16">
        <w:t>.</w:t>
      </w:r>
      <w:r w:rsidR="00DA5E17">
        <w:t xml:space="preserve"> </w:t>
      </w:r>
      <w:r w:rsidR="00DA0C83">
        <w:t>Those</w:t>
      </w:r>
      <w:r w:rsidR="00791A68" w:rsidRPr="00C67093">
        <w:t xml:space="preserve"> in rental stress</w:t>
      </w:r>
      <w:r w:rsidR="00791A68" w:rsidRPr="00C67093" w:rsidDel="00756543">
        <w:t xml:space="preserve"> </w:t>
      </w:r>
      <w:r w:rsidR="00DA0C83">
        <w:t>also</w:t>
      </w:r>
      <w:r w:rsidR="00791A68" w:rsidRPr="00C67093" w:rsidDel="00756543">
        <w:t xml:space="preserve"> </w:t>
      </w:r>
      <w:r w:rsidR="008304BA">
        <w:t>generally</w:t>
      </w:r>
      <w:r w:rsidR="00791A68" w:rsidRPr="00C67093" w:rsidDel="00756543">
        <w:t xml:space="preserve"> </w:t>
      </w:r>
      <w:r w:rsidR="00791A68" w:rsidRPr="00C67093">
        <w:t xml:space="preserve">experienced a larger decline in </w:t>
      </w:r>
      <w:r w:rsidR="00DA0C83">
        <w:t>mental</w:t>
      </w:r>
      <w:r w:rsidR="00791A68" w:rsidRPr="00C67093">
        <w:t xml:space="preserve"> wellbeing than those not in rental stress over the </w:t>
      </w:r>
      <w:r w:rsidR="001402EE">
        <w:t>10</w:t>
      </w:r>
      <w:r w:rsidR="001402EE" w:rsidRPr="00C67093">
        <w:t xml:space="preserve"> </w:t>
      </w:r>
      <w:r w:rsidR="00791A68" w:rsidRPr="00C67093">
        <w:t>years to 2023 (</w:t>
      </w:r>
      <w:r w:rsidR="001402EE">
        <w:t>see c</w:t>
      </w:r>
      <w:r w:rsidR="00791A68" w:rsidRPr="00C67093">
        <w:t>hart</w:t>
      </w:r>
      <w:r w:rsidR="001402EE">
        <w:t>s</w:t>
      </w:r>
      <w:r w:rsidR="00791A68" w:rsidRPr="00C67093">
        <w:t xml:space="preserve"> </w:t>
      </w:r>
      <w:r w:rsidR="00791A68">
        <w:t>4</w:t>
      </w:r>
      <w:r w:rsidR="00791A68" w:rsidRPr="00C67093">
        <w:t>.1</w:t>
      </w:r>
      <w:r w:rsidR="00CE7591">
        <w:t>6</w:t>
      </w:r>
      <w:r w:rsidR="00791A68" w:rsidRPr="00C67093">
        <w:t xml:space="preserve"> </w:t>
      </w:r>
      <w:r w:rsidR="001402EE">
        <w:t xml:space="preserve">and </w:t>
      </w:r>
      <w:r w:rsidR="00791A68">
        <w:t>4</w:t>
      </w:r>
      <w:r w:rsidR="00791A68" w:rsidRPr="00C67093">
        <w:t>.1</w:t>
      </w:r>
      <w:r w:rsidR="00CE7591">
        <w:t>7</w:t>
      </w:r>
      <w:r w:rsidR="00791A68" w:rsidRPr="00C67093">
        <w:t xml:space="preserve">). In particular, the share of renters in rental stress who reported </w:t>
      </w:r>
      <w:r w:rsidR="00A15C79">
        <w:t>‘</w:t>
      </w:r>
      <w:r w:rsidR="00791A68" w:rsidRPr="00C67093">
        <w:t>feeling down</w:t>
      </w:r>
      <w:r w:rsidR="00A15C79">
        <w:t>’</w:t>
      </w:r>
      <w:r w:rsidR="00791A68" w:rsidRPr="00C67093">
        <w:t xml:space="preserve"> all or most of the time r</w:t>
      </w:r>
      <w:r w:rsidR="00E01AA0">
        <w:t>ose</w:t>
      </w:r>
      <w:r w:rsidR="00791A68" w:rsidRPr="00C67093">
        <w:t xml:space="preserve"> from a</w:t>
      </w:r>
      <w:r w:rsidR="0096007D">
        <w:t>round 8</w:t>
      </w:r>
      <w:r w:rsidR="0099326B">
        <w:t> per cent</w:t>
      </w:r>
      <w:r w:rsidR="00791A68" w:rsidRPr="00C67093">
        <w:t xml:space="preserve"> to 14</w:t>
      </w:r>
      <w:r w:rsidR="0099326B">
        <w:t> per cent</w:t>
      </w:r>
      <w:r w:rsidR="00E01AA0">
        <w:t xml:space="preserve"> over that period</w:t>
      </w:r>
      <w:r w:rsidR="00791A68" w:rsidRPr="00C67093">
        <w:t xml:space="preserve">, compared to a rise </w:t>
      </w:r>
      <w:r w:rsidR="00912E50">
        <w:t>from</w:t>
      </w:r>
      <w:r w:rsidR="00791A68" w:rsidRPr="00C67093">
        <w:t xml:space="preserve"> 5</w:t>
      </w:r>
      <w:r w:rsidR="0099326B">
        <w:t> per cent</w:t>
      </w:r>
      <w:r w:rsidR="00912E50">
        <w:t xml:space="preserve"> </w:t>
      </w:r>
      <w:r w:rsidR="00791A68" w:rsidRPr="00C67093">
        <w:t xml:space="preserve">to </w:t>
      </w:r>
      <w:r w:rsidR="0096007D">
        <w:t>8</w:t>
      </w:r>
      <w:r w:rsidR="0099326B">
        <w:t> per cent</w:t>
      </w:r>
      <w:r w:rsidR="00791A68" w:rsidRPr="00C67093">
        <w:t xml:space="preserve"> for those not in rental stress (</w:t>
      </w:r>
      <w:r w:rsidR="001402EE">
        <w:t xml:space="preserve">see </w:t>
      </w:r>
      <w:r w:rsidR="00791A68" w:rsidRPr="00C67093">
        <w:t>Chart</w:t>
      </w:r>
      <w:r w:rsidR="001B4EAF">
        <w:t> </w:t>
      </w:r>
      <w:r w:rsidR="00791A68">
        <w:t>4</w:t>
      </w:r>
      <w:r w:rsidR="00791A68" w:rsidRPr="00C67093">
        <w:t>.1</w:t>
      </w:r>
      <w:r w:rsidR="00CE7591">
        <w:t>6</w:t>
      </w:r>
      <w:r w:rsidR="00791A68" w:rsidRPr="00C67093">
        <w:t xml:space="preserve">). Similarly, the share of renters in rental stress who reported </w:t>
      </w:r>
      <w:r w:rsidR="00A15C79">
        <w:t>‘</w:t>
      </w:r>
      <w:r w:rsidR="00791A68" w:rsidRPr="00C67093">
        <w:t>feeling calm</w:t>
      </w:r>
      <w:r w:rsidR="003359D1">
        <w:t xml:space="preserve"> and peaceful</w:t>
      </w:r>
      <w:r w:rsidR="00A15C79">
        <w:t>’</w:t>
      </w:r>
      <w:r w:rsidR="00791A68" w:rsidRPr="00C67093">
        <w:t xml:space="preserve"> fell from 3</w:t>
      </w:r>
      <w:r w:rsidR="00CA0953">
        <w:t>7</w:t>
      </w:r>
      <w:r w:rsidR="0099326B">
        <w:t> per cent</w:t>
      </w:r>
      <w:r w:rsidR="00791A68" w:rsidRPr="00C67093">
        <w:t xml:space="preserve"> to 2</w:t>
      </w:r>
      <w:r w:rsidR="00CA0953">
        <w:t>6</w:t>
      </w:r>
      <w:r w:rsidR="0099326B">
        <w:t> per cent</w:t>
      </w:r>
      <w:r w:rsidR="00791A68" w:rsidRPr="00C67093">
        <w:t xml:space="preserve">, compared to a fall </w:t>
      </w:r>
      <w:r w:rsidR="003A1539">
        <w:t>from</w:t>
      </w:r>
      <w:r w:rsidR="00791A68" w:rsidRPr="00C67093">
        <w:t xml:space="preserve"> 3</w:t>
      </w:r>
      <w:r w:rsidR="00CA0953">
        <w:t>9</w:t>
      </w:r>
      <w:r w:rsidR="0099326B">
        <w:t> per cent</w:t>
      </w:r>
      <w:r w:rsidR="00791A68" w:rsidRPr="00C67093">
        <w:t xml:space="preserve"> to 3</w:t>
      </w:r>
      <w:r w:rsidR="00CA0953">
        <w:t>4</w:t>
      </w:r>
      <w:r w:rsidR="0099326B">
        <w:t> per cent</w:t>
      </w:r>
      <w:r w:rsidR="00791A68" w:rsidRPr="00C67093">
        <w:t xml:space="preserve"> for </w:t>
      </w:r>
      <w:r w:rsidR="00063A03">
        <w:t>renters</w:t>
      </w:r>
      <w:r w:rsidR="00791A68" w:rsidRPr="00C67093">
        <w:t xml:space="preserve"> not in rental stress (</w:t>
      </w:r>
      <w:r w:rsidR="000E3ECD">
        <w:t>see</w:t>
      </w:r>
      <w:r w:rsidR="001B4EAF">
        <w:t> </w:t>
      </w:r>
      <w:r w:rsidR="00791A68" w:rsidRPr="00C67093">
        <w:t xml:space="preserve">Chart </w:t>
      </w:r>
      <w:r w:rsidR="00791A68">
        <w:t>4</w:t>
      </w:r>
      <w:r w:rsidR="00791A68" w:rsidRPr="00C67093">
        <w:t>.1</w:t>
      </w:r>
      <w:r w:rsidR="00CE7591">
        <w:t>7</w:t>
      </w:r>
      <w:r w:rsidR="00791A68" w:rsidRPr="00C67093">
        <w:t>).</w:t>
      </w:r>
    </w:p>
    <w:tbl>
      <w:tblPr>
        <w:tblW w:w="5119" w:type="pct"/>
        <w:tblLayout w:type="fixed"/>
        <w:tblLook w:val="0000" w:firstRow="0" w:lastRow="0" w:firstColumn="0" w:lastColumn="0" w:noHBand="0" w:noVBand="0"/>
      </w:tblPr>
      <w:tblGrid>
        <w:gridCol w:w="4641"/>
        <w:gridCol w:w="4645"/>
      </w:tblGrid>
      <w:tr w:rsidR="00791A68" w:rsidRPr="00CE1402" w14:paraId="4A658AE5" w14:textId="77777777">
        <w:trPr>
          <w:cantSplit/>
          <w:trHeight w:val="302"/>
        </w:trPr>
        <w:tc>
          <w:tcPr>
            <w:tcW w:w="4641" w:type="dxa"/>
          </w:tcPr>
          <w:p w14:paraId="4E0BDAEB" w14:textId="6C43033A" w:rsidR="00791A68" w:rsidRPr="00C67093" w:rsidRDefault="00F01AD7" w:rsidP="006F5BB5">
            <w:pPr>
              <w:pStyle w:val="ChartMainHeading"/>
              <w:spacing w:before="0"/>
            </w:pPr>
            <w:r>
              <w:lastRenderedPageBreak/>
              <w:t xml:space="preserve">Share of renters </w:t>
            </w:r>
            <w:r w:rsidR="00AD1541">
              <w:t xml:space="preserve">experiencing certain feelings </w:t>
            </w:r>
            <w:r w:rsidR="00D0696C">
              <w:t xml:space="preserve">either </w:t>
            </w:r>
            <w:r w:rsidR="00791A68" w:rsidRPr="00C67093">
              <w:t>all or most of the time, by</w:t>
            </w:r>
            <w:r w:rsidR="001B4EAF">
              <w:t> </w:t>
            </w:r>
            <w:r w:rsidR="00791A68" w:rsidRPr="00C67093">
              <w:t>rental stress status</w:t>
            </w:r>
          </w:p>
        </w:tc>
        <w:tc>
          <w:tcPr>
            <w:tcW w:w="4644" w:type="dxa"/>
          </w:tcPr>
          <w:p w14:paraId="37DA3D11" w14:textId="3C48C27F" w:rsidR="00791A68" w:rsidRPr="00C67093" w:rsidRDefault="00AD1541" w:rsidP="006F5BB5">
            <w:pPr>
              <w:pStyle w:val="ChartMainHeading"/>
              <w:spacing w:before="0"/>
            </w:pPr>
            <w:r>
              <w:t xml:space="preserve">Share of renters experiencing certain feelings either </w:t>
            </w:r>
            <w:r w:rsidRPr="00C67093">
              <w:t>all or most of the time</w:t>
            </w:r>
            <w:r w:rsidR="00A56CE9">
              <w:t xml:space="preserve">; and </w:t>
            </w:r>
            <w:r w:rsidR="00FD2947">
              <w:t xml:space="preserve">mental health, </w:t>
            </w:r>
            <w:r w:rsidRPr="00C67093">
              <w:t>by</w:t>
            </w:r>
            <w:r>
              <w:t> </w:t>
            </w:r>
            <w:r w:rsidRPr="00C67093">
              <w:t>rental stress status</w:t>
            </w:r>
          </w:p>
        </w:tc>
      </w:tr>
      <w:tr w:rsidR="00791A68" w:rsidRPr="00CE1402" w14:paraId="7CCAEB86" w14:textId="77777777">
        <w:trPr>
          <w:cantSplit/>
          <w:trHeight w:val="1284"/>
        </w:trPr>
        <w:tc>
          <w:tcPr>
            <w:tcW w:w="4641" w:type="dxa"/>
          </w:tcPr>
          <w:p w14:paraId="348E453D" w14:textId="07D74666" w:rsidR="00791A68" w:rsidRPr="00C67093" w:rsidRDefault="00E445DC" w:rsidP="0099326B">
            <w:pPr>
              <w:pStyle w:val="ChartGraphic"/>
            </w:pPr>
            <w:r w:rsidRPr="00E445DC">
              <w:rPr>
                <w:noProof/>
              </w:rPr>
              <w:drawing>
                <wp:inline distT="0" distB="0" distL="0" distR="0" wp14:anchorId="135EECA2" wp14:editId="436C4F4F">
                  <wp:extent cx="2803525" cy="2605405"/>
                  <wp:effectExtent l="0" t="0" r="0" b="4445"/>
                  <wp:docPr id="1849655656" name="Picture 4" descr="This bar chart shows the share of renters experiencing certain feelings either all or most of the time, by rental stress status. It also compares these groups between 2013 and 2023. The share of those in rental stress who reported feeling 'very down', 'down' and ‘worn out’ either all or most of the time was higher than for those not in rental stress. Both groups reported an increased share of renters recording these feelings in 2023 compared to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655656" name="Picture 4" descr="This bar chart shows the share of renters experiencing certain feelings either all or most of the time, by rental stress status. It also compares these groups between 2013 and 2023. The share of those in rental stress who reported feeling 'very down', 'down' and ‘worn out’ either all or most of the time was higher than for those not in rental stress. Both groups reported an increased share of renters recording these feelings in 2023 compared to 201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03525" cy="2605405"/>
                          </a:xfrm>
                          <a:prstGeom prst="rect">
                            <a:avLst/>
                          </a:prstGeom>
                          <a:noFill/>
                          <a:ln>
                            <a:noFill/>
                          </a:ln>
                        </pic:spPr>
                      </pic:pic>
                    </a:graphicData>
                  </a:graphic>
                </wp:inline>
              </w:drawing>
            </w:r>
          </w:p>
        </w:tc>
        <w:tc>
          <w:tcPr>
            <w:tcW w:w="4644" w:type="dxa"/>
          </w:tcPr>
          <w:p w14:paraId="51030B07" w14:textId="049990F3" w:rsidR="00791A68" w:rsidRPr="00C67093" w:rsidRDefault="00E445DC" w:rsidP="0099326B">
            <w:pPr>
              <w:pStyle w:val="ChartGraphic"/>
            </w:pPr>
            <w:r w:rsidRPr="00E445DC">
              <w:rPr>
                <w:noProof/>
              </w:rPr>
              <w:drawing>
                <wp:inline distT="0" distB="0" distL="0" distR="0" wp14:anchorId="6B0A5D6C" wp14:editId="0084AB0D">
                  <wp:extent cx="2812415" cy="2673985"/>
                  <wp:effectExtent l="0" t="0" r="6985" b="0"/>
                  <wp:docPr id="1938105842" name="Picture 3" descr="This bar chart shows share of renters experiencing certain feelings either all or most of the time, as well as average mental health scores, by rental stress status. It also compares these groups between 2013 and 2023. The share of those in rental stress who reported feeling ‘calm and peaceful and ‘being happy’ either all or most of the time was lower than those not in rental stress. Average mental health scores were lower for those in rental stress than for those not in rental stress. Both groups reported a decreased share of renters recording these feelings in 2023 compared to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105842" name="Picture 3" descr="This bar chart shows share of renters experiencing certain feelings either all or most of the time, as well as average mental health scores, by rental stress status. It also compares these groups between 2013 and 2023. The share of those in rental stress who reported feeling ‘calm and peaceful and ‘being happy’ either all or most of the time was lower than those not in rental stress. Average mental health scores were lower for those in rental stress than for those not in rental stress. Both groups reported a decreased share of renters recording these feelings in 2023 compared to 201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12415" cy="2673985"/>
                          </a:xfrm>
                          <a:prstGeom prst="rect">
                            <a:avLst/>
                          </a:prstGeom>
                          <a:noFill/>
                          <a:ln>
                            <a:noFill/>
                          </a:ln>
                        </pic:spPr>
                      </pic:pic>
                    </a:graphicData>
                  </a:graphic>
                </wp:inline>
              </w:drawing>
            </w:r>
          </w:p>
        </w:tc>
      </w:tr>
      <w:tr w:rsidR="00791A68" w:rsidRPr="00CE1402" w14:paraId="7F8FF723" w14:textId="77777777">
        <w:trPr>
          <w:cantSplit/>
          <w:trHeight w:val="631"/>
        </w:trPr>
        <w:tc>
          <w:tcPr>
            <w:tcW w:w="4641" w:type="dxa"/>
          </w:tcPr>
          <w:p w14:paraId="1552EE7F" w14:textId="7B302129" w:rsidR="00791A68" w:rsidRDefault="00791A68" w:rsidP="00DB6DE6">
            <w:pPr>
              <w:pStyle w:val="ChartorTableNoteandSource"/>
              <w:rPr>
                <w:noProof/>
              </w:rPr>
            </w:pPr>
            <w:r w:rsidRPr="00C67093">
              <w:t>Note:</w:t>
            </w:r>
            <w:r w:rsidR="001B4EAF">
              <w:tab/>
            </w:r>
            <w:r w:rsidR="008C2527">
              <w:rPr>
                <w:noProof/>
              </w:rPr>
              <w:t>B</w:t>
            </w:r>
            <w:r w:rsidRPr="00C67093">
              <w:rPr>
                <w:noProof/>
              </w:rPr>
              <w:t>ars represent renters in rental stress; dots</w:t>
            </w:r>
            <w:r w:rsidR="008C2527">
              <w:rPr>
                <w:noProof/>
              </w:rPr>
              <w:t> </w:t>
            </w:r>
            <w:r w:rsidRPr="00C67093">
              <w:rPr>
                <w:noProof/>
              </w:rPr>
              <w:t xml:space="preserve">represent renters not in rental stress. </w:t>
            </w:r>
            <w:r w:rsidR="00656B80">
              <w:rPr>
                <w:noProof/>
              </w:rPr>
              <w:t xml:space="preserve">Share of renters with feelings experienced ‘all’ or ‘most’ of the time in the past 4 weeks. </w:t>
            </w:r>
            <w:r w:rsidR="00D0696C">
              <w:t>Data is population-weighted.</w:t>
            </w:r>
          </w:p>
          <w:p w14:paraId="0FBA67AC" w14:textId="283F393A" w:rsidR="00E03BFF" w:rsidRPr="00E03BFF" w:rsidRDefault="00E03BFF" w:rsidP="00A71448">
            <w:pPr>
              <w:pStyle w:val="ChartorTableNoteandSource"/>
              <w:rPr>
                <w:noProof/>
              </w:rPr>
            </w:pPr>
            <w:r>
              <w:rPr>
                <w:noProof/>
              </w:rPr>
              <w:t>Source:</w:t>
            </w:r>
            <w:r>
              <w:rPr>
                <w:noProof/>
              </w:rPr>
              <w:tab/>
            </w:r>
            <w:r w:rsidRPr="00C67093">
              <w:rPr>
                <w:noProof/>
              </w:rPr>
              <w:t>HILDA Survey, Restricted Release 23</w:t>
            </w:r>
            <w:r w:rsidR="006D0709">
              <w:rPr>
                <w:noProof/>
              </w:rPr>
              <w:t>; NH</w:t>
            </w:r>
            <w:r w:rsidR="001C79FF">
              <w:rPr>
                <w:noProof/>
              </w:rPr>
              <w:t>SAC 2025</w:t>
            </w:r>
          </w:p>
        </w:tc>
        <w:tc>
          <w:tcPr>
            <w:tcW w:w="4644" w:type="dxa"/>
          </w:tcPr>
          <w:p w14:paraId="104D4D0D" w14:textId="306FCF58" w:rsidR="00371532" w:rsidRDefault="00791A68" w:rsidP="00A71448">
            <w:pPr>
              <w:pStyle w:val="ChartorTableNoteandSource"/>
              <w:rPr>
                <w:noProof/>
              </w:rPr>
            </w:pPr>
            <w:r w:rsidRPr="00C67093">
              <w:t>Note:</w:t>
            </w:r>
            <w:r w:rsidR="001B4EAF">
              <w:tab/>
            </w:r>
            <w:r w:rsidR="008C2527">
              <w:rPr>
                <w:noProof/>
              </w:rPr>
              <w:t>Bars</w:t>
            </w:r>
            <w:r w:rsidRPr="00C67093">
              <w:rPr>
                <w:noProof/>
              </w:rPr>
              <w:t xml:space="preserve"> represent renters in rental stress; </w:t>
            </w:r>
            <w:r w:rsidR="008C2527">
              <w:rPr>
                <w:noProof/>
              </w:rPr>
              <w:t>dots </w:t>
            </w:r>
            <w:r w:rsidRPr="00C67093">
              <w:rPr>
                <w:noProof/>
              </w:rPr>
              <w:t>represent renters not in rental stress.</w:t>
            </w:r>
            <w:r w:rsidR="00D0696C">
              <w:rPr>
                <w:noProof/>
              </w:rPr>
              <w:t xml:space="preserve"> </w:t>
            </w:r>
            <w:r w:rsidR="00921925">
              <w:rPr>
                <w:noProof/>
              </w:rPr>
              <w:t xml:space="preserve">Share of renters with </w:t>
            </w:r>
            <w:r w:rsidR="00656B80">
              <w:rPr>
                <w:noProof/>
              </w:rPr>
              <w:t>feelings experienced</w:t>
            </w:r>
            <w:r w:rsidR="00921925">
              <w:rPr>
                <w:noProof/>
              </w:rPr>
              <w:t xml:space="preserve"> ‘all’ or ‘most’ of the time in the past 4 weeks.</w:t>
            </w:r>
            <w:r w:rsidR="00756862">
              <w:rPr>
                <w:noProof/>
              </w:rPr>
              <w:t xml:space="preserve"> </w:t>
            </w:r>
            <w:r w:rsidR="00756862" w:rsidRPr="00756862">
              <w:rPr>
                <w:noProof/>
              </w:rPr>
              <w:t xml:space="preserve">Overall mental health measured using </w:t>
            </w:r>
            <w:r w:rsidR="00756862">
              <w:rPr>
                <w:noProof/>
              </w:rPr>
              <w:t xml:space="preserve">the </w:t>
            </w:r>
            <w:r w:rsidR="00756862" w:rsidRPr="00756862">
              <w:rPr>
                <w:noProof/>
              </w:rPr>
              <w:t>SF-36 Health Survey on a scale of 0 to 100</w:t>
            </w:r>
            <w:r w:rsidR="00756862">
              <w:rPr>
                <w:noProof/>
              </w:rPr>
              <w:t>.</w:t>
            </w:r>
            <w:r w:rsidR="00921925">
              <w:rPr>
                <w:noProof/>
              </w:rPr>
              <w:t xml:space="preserve"> </w:t>
            </w:r>
            <w:r w:rsidR="00D0696C">
              <w:t>Data is population-weighted.</w:t>
            </w:r>
          </w:p>
          <w:p w14:paraId="7D27EBDA" w14:textId="68AF4189" w:rsidR="00E03BFF" w:rsidRPr="006C15BD" w:rsidRDefault="00E03BFF" w:rsidP="00A71448">
            <w:pPr>
              <w:pStyle w:val="ChartorTableNoteandSource"/>
            </w:pPr>
            <w:r w:rsidRPr="0041126E">
              <w:t>Source:</w:t>
            </w:r>
            <w:r w:rsidRPr="0041126E">
              <w:tab/>
              <w:t>HILDA Survey, Restricted Release 23</w:t>
            </w:r>
            <w:r w:rsidR="001C79FF">
              <w:t>; NHSAC 2025</w:t>
            </w:r>
          </w:p>
        </w:tc>
      </w:tr>
    </w:tbl>
    <w:p w14:paraId="5108FE1D" w14:textId="416A3432" w:rsidR="00791A68" w:rsidRPr="00C67093" w:rsidRDefault="00791A68">
      <w:r w:rsidRPr="00C67093">
        <w:t>While this analysis shows a correlation between rental stress and indicators of wellbeing, it should not be interpreted as implying causation. Housing stress and wellbeing are both likely affected by common factors, such as financial circumstances (Rowley and Ong 2012).</w:t>
      </w:r>
      <w:r w:rsidRPr="00CE1402">
        <w:t xml:space="preserve"> </w:t>
      </w:r>
    </w:p>
    <w:p w14:paraId="610976E0" w14:textId="77777777" w:rsidR="00791A68" w:rsidRPr="00C67093" w:rsidRDefault="00791A68" w:rsidP="00744F72">
      <w:pPr>
        <w:pStyle w:val="Heading3Numbered"/>
      </w:pPr>
      <w:r w:rsidRPr="00C67093">
        <w:t>Rental stress and material deprivation</w:t>
      </w:r>
    </w:p>
    <w:p w14:paraId="1DCE5405" w14:textId="691072E6" w:rsidR="00A21E37" w:rsidRDefault="00791A68" w:rsidP="00C0055D">
      <w:r w:rsidRPr="00C67093">
        <w:t>Households in rental stress also face higher levels of material deprivation across a range of important goods, services and experiences (</w:t>
      </w:r>
      <w:r w:rsidR="00D568E9">
        <w:t xml:space="preserve">see </w:t>
      </w:r>
      <w:r w:rsidRPr="00C67093">
        <w:t xml:space="preserve">Chart </w:t>
      </w:r>
      <w:r>
        <w:t>4</w:t>
      </w:r>
      <w:r w:rsidRPr="00C67093">
        <w:t>.1</w:t>
      </w:r>
      <w:r w:rsidR="00E577B5">
        <w:t>8</w:t>
      </w:r>
      <w:r w:rsidRPr="00C67093">
        <w:t xml:space="preserve">). </w:t>
      </w:r>
      <w:r w:rsidR="00E23994" w:rsidRPr="00E23994">
        <w:t xml:space="preserve">Material deprivation </w:t>
      </w:r>
      <w:r w:rsidR="00E23994">
        <w:t>occurs</w:t>
      </w:r>
      <w:r w:rsidR="00E23994" w:rsidRPr="00E23994">
        <w:t xml:space="preserve"> when people do not have, and are unable to afford, items that are regarded to be essential</w:t>
      </w:r>
      <w:r w:rsidR="00E23994">
        <w:t>.</w:t>
      </w:r>
    </w:p>
    <w:p w14:paraId="43224F22" w14:textId="47009738" w:rsidR="00791A68" w:rsidRPr="00C67093" w:rsidRDefault="00791A68" w:rsidP="00C0055D">
      <w:r w:rsidRPr="00C67093">
        <w:t xml:space="preserve">In 2022, </w:t>
      </w:r>
      <w:r w:rsidR="00D11732">
        <w:t xml:space="preserve">rates of </w:t>
      </w:r>
      <w:r w:rsidRPr="00C67093">
        <w:t>material deprivation</w:t>
      </w:r>
      <w:r w:rsidR="00EE4124">
        <w:t xml:space="preserve"> for key </w:t>
      </w:r>
      <w:r w:rsidR="00D33F40">
        <w:t>items</w:t>
      </w:r>
      <w:r w:rsidR="000D73CD">
        <w:t xml:space="preserve"> – such as</w:t>
      </w:r>
      <w:r w:rsidRPr="00C67093" w:rsidDel="000D73CD">
        <w:t xml:space="preserve"> </w:t>
      </w:r>
      <w:r w:rsidRPr="00C67093">
        <w:t>not having home contents insurance, not having</w:t>
      </w:r>
      <w:r w:rsidR="00035B7C">
        <w:t xml:space="preserve"> at least</w:t>
      </w:r>
      <w:r w:rsidRPr="00C67093">
        <w:t xml:space="preserve"> $500 </w:t>
      </w:r>
      <w:r w:rsidR="00D568E9">
        <w:t xml:space="preserve">in </w:t>
      </w:r>
      <w:r w:rsidRPr="00C67093">
        <w:t xml:space="preserve">savings for an emergency, and not </w:t>
      </w:r>
      <w:r w:rsidR="00C0055D">
        <w:t xml:space="preserve">having dental treatment when needed – were almost twice as </w:t>
      </w:r>
      <w:r w:rsidRPr="00C67093">
        <w:t xml:space="preserve">high for households in rental stress </w:t>
      </w:r>
      <w:r w:rsidR="00D568E9">
        <w:t>than</w:t>
      </w:r>
      <w:r w:rsidR="00610D36">
        <w:t xml:space="preserve"> for</w:t>
      </w:r>
      <w:r w:rsidRPr="00C67093">
        <w:t xml:space="preserve"> households not in rental stress. </w:t>
      </w:r>
      <w:r w:rsidR="0051797A">
        <w:t xml:space="preserve">Material deprivation for not having a motor vehicle was </w:t>
      </w:r>
      <w:r w:rsidR="008E74A4">
        <w:t>more than</w:t>
      </w:r>
      <w:r w:rsidR="0051797A">
        <w:t xml:space="preserve"> three times as high for households in rental stress compared to households not in rental stress</w:t>
      </w:r>
      <w:r w:rsidR="00165165">
        <w:t>.</w:t>
      </w:r>
    </w:p>
    <w:p w14:paraId="1642AA70" w14:textId="2F3D82C7" w:rsidR="00791A68" w:rsidRPr="00C67093" w:rsidRDefault="0051797A">
      <w:r>
        <w:t>High</w:t>
      </w:r>
      <w:r w:rsidR="00791A68" w:rsidRPr="00C67093">
        <w:t xml:space="preserve"> rates of material deprivation for households in rental stress </w:t>
      </w:r>
      <w:r w:rsidR="00725F8D">
        <w:t xml:space="preserve">among selected </w:t>
      </w:r>
      <w:r w:rsidR="0006658B">
        <w:t>items</w:t>
      </w:r>
      <w:r w:rsidR="00725F8D">
        <w:t xml:space="preserve"> </w:t>
      </w:r>
      <w:r w:rsidR="00771958">
        <w:t xml:space="preserve">were </w:t>
      </w:r>
      <w:r w:rsidR="00791A68" w:rsidRPr="00C67093">
        <w:t>related to not having home contents insurance (3</w:t>
      </w:r>
      <w:r w:rsidR="00725F8D">
        <w:t>2</w:t>
      </w:r>
      <w:r w:rsidR="0099326B">
        <w:t> per cent</w:t>
      </w:r>
      <w:r w:rsidR="00791A68" w:rsidRPr="00C67093">
        <w:t>), not having at least $500 in savings for an emergency (2</w:t>
      </w:r>
      <w:r w:rsidR="00AD337A">
        <w:t>6</w:t>
      </w:r>
      <w:r w:rsidR="0099326B">
        <w:t> per cent</w:t>
      </w:r>
      <w:r w:rsidR="00791A68" w:rsidRPr="00C67093">
        <w:t>), not having dental treatment when needed (1</w:t>
      </w:r>
      <w:r w:rsidR="00AD337A">
        <w:t>3</w:t>
      </w:r>
      <w:r w:rsidR="0099326B">
        <w:t> per cent</w:t>
      </w:r>
      <w:r w:rsidR="00791A68" w:rsidRPr="00C67093">
        <w:t>), not having a motor vehicle (1</w:t>
      </w:r>
      <w:r w:rsidR="00AD337A">
        <w:t>1</w:t>
      </w:r>
      <w:r w:rsidR="0099326B">
        <w:t> per cent</w:t>
      </w:r>
      <w:r w:rsidR="00791A68" w:rsidRPr="00C67093">
        <w:t>), and not getting together with friends or family for a drink or meal at least once a month (</w:t>
      </w:r>
      <w:r w:rsidR="00AD337A">
        <w:t>7</w:t>
      </w:r>
      <w:r w:rsidR="0099326B">
        <w:t> per cent</w:t>
      </w:r>
      <w:r w:rsidR="00791A68" w:rsidRPr="00C67093">
        <w:t>)</w:t>
      </w:r>
      <w:r w:rsidR="00AD337A">
        <w:t xml:space="preserve"> (</w:t>
      </w:r>
      <w:r w:rsidR="00475093">
        <w:t xml:space="preserve">see </w:t>
      </w:r>
      <w:r w:rsidR="00AD337A">
        <w:t>Chart 4.1</w:t>
      </w:r>
      <w:r w:rsidR="00E577B5">
        <w:t>8</w:t>
      </w:r>
      <w:r w:rsidR="00791A68" w:rsidRPr="00C67093">
        <w:t>)</w:t>
      </w:r>
      <w:r w:rsidR="002055A1">
        <w:t>.</w:t>
      </w:r>
    </w:p>
    <w:p w14:paraId="797C9FCC" w14:textId="01D7685A" w:rsidR="006F5BB5" w:rsidRDefault="00791A68">
      <w:r w:rsidRPr="00C67093">
        <w:lastRenderedPageBreak/>
        <w:t xml:space="preserve">Households in rental stress also reported higher rates of material deprivation </w:t>
      </w:r>
      <w:r w:rsidR="00303BCC">
        <w:t>related to</w:t>
      </w:r>
      <w:r w:rsidR="003B18ED">
        <w:t xml:space="preserve"> not being able to</w:t>
      </w:r>
      <w:r w:rsidR="003B18ED" w:rsidRPr="00C67093">
        <w:t xml:space="preserve"> </w:t>
      </w:r>
      <w:r w:rsidRPr="00C67093">
        <w:t xml:space="preserve">keep at least </w:t>
      </w:r>
      <w:r w:rsidR="00863E0E">
        <w:t>1</w:t>
      </w:r>
      <w:r w:rsidRPr="00C67093">
        <w:t xml:space="preserve"> room in the house adequately warm when it</w:t>
      </w:r>
      <w:r w:rsidR="00292A60">
        <w:t xml:space="preserve"> i</w:t>
      </w:r>
      <w:r w:rsidRPr="00C67093">
        <w:t xml:space="preserve">s cold, </w:t>
      </w:r>
      <w:r w:rsidR="00303BCC">
        <w:t>not having</w:t>
      </w:r>
      <w:r w:rsidRPr="00C67093">
        <w:t xml:space="preserve"> a decent and secure home, and</w:t>
      </w:r>
      <w:r w:rsidR="00303BCC">
        <w:t xml:space="preserve"> not having </w:t>
      </w:r>
      <w:r w:rsidRPr="00C67093">
        <w:t xml:space="preserve">a substantial </w:t>
      </w:r>
      <w:r>
        <w:t>meal</w:t>
      </w:r>
      <w:r w:rsidRPr="00C67093">
        <w:t xml:space="preserve"> at least once a day, although these rates were relatively low (</w:t>
      </w:r>
      <w:r w:rsidR="0071078B">
        <w:t>see</w:t>
      </w:r>
      <w:r w:rsidR="001B4EAF">
        <w:t> </w:t>
      </w:r>
      <w:r w:rsidRPr="00C67093">
        <w:t xml:space="preserve">Chart </w:t>
      </w:r>
      <w:r>
        <w:t>4</w:t>
      </w:r>
      <w:r w:rsidRPr="00C67093">
        <w:t>.1</w:t>
      </w:r>
      <w:r w:rsidR="00E577B5">
        <w:t>8</w:t>
      </w:r>
      <w:r w:rsidRPr="00C67093">
        <w:t>).</w:t>
      </w:r>
    </w:p>
    <w:p w14:paraId="5FED61B1" w14:textId="2039ACD0" w:rsidR="00791A68" w:rsidRPr="00CE1402" w:rsidRDefault="00791A68">
      <w:r w:rsidRPr="00C67093">
        <w:t xml:space="preserve">Greater deprivation of </w:t>
      </w:r>
      <w:r w:rsidR="0082141F">
        <w:t>essential</w:t>
      </w:r>
      <w:r w:rsidRPr="00C67093">
        <w:t xml:space="preserve"> goods, services and experiences among households in rental stress highlights the additional burdens these households often face compared to other renter households.</w:t>
      </w:r>
    </w:p>
    <w:p w14:paraId="30C9ABC1" w14:textId="5454CC85" w:rsidR="00791A68" w:rsidRPr="00CE1402" w:rsidRDefault="00791A68">
      <w:r w:rsidRPr="00C67093">
        <w:t xml:space="preserve">More broadly, material deprivation among renters </w:t>
      </w:r>
      <w:r>
        <w:t xml:space="preserve">is </w:t>
      </w:r>
      <w:r w:rsidRPr="00C67093">
        <w:t xml:space="preserve">more common than for the general population. A recent </w:t>
      </w:r>
      <w:r w:rsidR="0066214B">
        <w:t xml:space="preserve">study </w:t>
      </w:r>
      <w:r w:rsidRPr="00C67093">
        <w:t xml:space="preserve">by </w:t>
      </w:r>
      <w:r w:rsidR="00DF24B2">
        <w:t>the Australian Council of Social Service (</w:t>
      </w:r>
      <w:r w:rsidRPr="00C67093">
        <w:t>ACOSS</w:t>
      </w:r>
      <w:r w:rsidR="00DF24B2">
        <w:t>)</w:t>
      </w:r>
      <w:r w:rsidRPr="00C67093">
        <w:t xml:space="preserve"> and UNSW</w:t>
      </w:r>
      <w:r w:rsidR="001D575B">
        <w:t xml:space="preserve"> Sydney</w:t>
      </w:r>
      <w:r w:rsidRPr="00C67093">
        <w:t xml:space="preserve"> found that private renters are twice as likely to experience multiple deprivation</w:t>
      </w:r>
      <w:r w:rsidR="008B693A">
        <w:t>s</w:t>
      </w:r>
      <w:r w:rsidRPr="00C67093">
        <w:t xml:space="preserve"> compared to the general population (</w:t>
      </w:r>
      <w:r w:rsidR="0049164B">
        <w:t>Naidoo et al.</w:t>
      </w:r>
      <w:r w:rsidRPr="00C67093">
        <w:t xml:space="preserve"> 2024).</w:t>
      </w:r>
      <w:r w:rsidRPr="00CE1402">
        <w:t xml:space="preserve"> </w:t>
      </w:r>
    </w:p>
    <w:p w14:paraId="43CEC688" w14:textId="14C0EF9D" w:rsidR="00791A68" w:rsidRPr="00C67093" w:rsidRDefault="000679F0" w:rsidP="001B4EAF">
      <w:pPr>
        <w:pStyle w:val="ChartMainHeading"/>
      </w:pPr>
      <w:r>
        <w:t>Share of renter households d</w:t>
      </w:r>
      <w:r w:rsidR="00791A68" w:rsidRPr="00C67093">
        <w:t>epriv</w:t>
      </w:r>
      <w:r>
        <w:t>ed</w:t>
      </w:r>
      <w:r w:rsidR="00791A68" w:rsidRPr="00C67093">
        <w:t xml:space="preserve"> of selected </w:t>
      </w:r>
      <w:r w:rsidR="00D05E5D">
        <w:t>essential</w:t>
      </w:r>
      <w:r w:rsidR="0082141F">
        <w:t xml:space="preserve"> </w:t>
      </w:r>
      <w:r w:rsidR="00791A68" w:rsidRPr="00C67093">
        <w:t>items, by rental stress status, 2022</w:t>
      </w:r>
    </w:p>
    <w:p w14:paraId="43C31E03" w14:textId="5EFDE017" w:rsidR="0099326B" w:rsidRDefault="00E621E7" w:rsidP="0099326B">
      <w:pPr>
        <w:pStyle w:val="ChartGraphic"/>
        <w:rPr>
          <w:sz w:val="18"/>
          <w:szCs w:val="18"/>
        </w:rPr>
      </w:pPr>
      <w:r w:rsidRPr="00E621E7">
        <w:rPr>
          <w:noProof/>
        </w:rPr>
        <w:drawing>
          <wp:inline distT="0" distB="0" distL="0" distR="0" wp14:anchorId="53CB843A" wp14:editId="2425D7D0">
            <wp:extent cx="5579707" cy="2525940"/>
            <wp:effectExtent l="0" t="0" r="2540" b="0"/>
            <wp:docPr id="2143011541" name="Picture 2" descr="This bar chart shows the share of renter households deprived of selected essentially items, by rental stress status, in 2022. The share of households in rental stress that did not have home contents insurance, at least $500 in savings for an emergency, and dental treatment when needed were 32 per cent, 26 per cent, and 13 per cent respectively. These rates of material deprivation were almost twice as high as the rates of deprivation for rental households not in rental stress. Rates of material deprivation were also higher for households in rental stress, compared to households not in rental stress, for each of the other selected essential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11541" name="Picture 2" descr="This bar chart shows the share of renter households deprived of selected essentially items, by rental stress status, in 2022. The share of households in rental stress that did not have home contents insurance, at least $500 in savings for an emergency, and dental treatment when needed were 32 per cent, 26 per cent, and 13 per cent respectively. These rates of material deprivation were almost twice as high as the rates of deprivation for rental households not in rental stress. Rates of material deprivation were also higher for households in rental stress, compared to households not in rental stress, for each of the other selected essential items."/>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593408" cy="2532142"/>
                    </a:xfrm>
                    <a:prstGeom prst="rect">
                      <a:avLst/>
                    </a:prstGeom>
                    <a:noFill/>
                    <a:ln>
                      <a:noFill/>
                    </a:ln>
                  </pic:spPr>
                </pic:pic>
              </a:graphicData>
            </a:graphic>
          </wp:inline>
        </w:drawing>
      </w:r>
    </w:p>
    <w:p w14:paraId="04AE84D9" w14:textId="59484FA7" w:rsidR="00791A68" w:rsidRDefault="00791A68" w:rsidP="00DB6DE6">
      <w:pPr>
        <w:pStyle w:val="ChartorTableNoteandSource"/>
      </w:pPr>
      <w:r w:rsidRPr="00C67093">
        <w:t>Note:</w:t>
      </w:r>
      <w:r w:rsidR="001B4EAF">
        <w:tab/>
      </w:r>
      <w:r w:rsidR="004E1C4E">
        <w:t>S</w:t>
      </w:r>
      <w:r w:rsidR="004E1C4E" w:rsidRPr="004E1C4E">
        <w:t>hare of renter households, by rental stress status, that report not being able to afford items widely considered to be essential</w:t>
      </w:r>
      <w:r w:rsidR="004E1C4E">
        <w:t xml:space="preserve">. </w:t>
      </w:r>
      <w:r w:rsidRPr="00C67093">
        <w:t xml:space="preserve">Rental stress </w:t>
      </w:r>
      <w:r w:rsidR="00F340BB">
        <w:t xml:space="preserve">is </w:t>
      </w:r>
      <w:r w:rsidRPr="00C67093">
        <w:t xml:space="preserve">defined using the 30/40 rule. </w:t>
      </w:r>
      <w:r w:rsidR="00916DCF">
        <w:t>Data is population-weighted.</w:t>
      </w:r>
    </w:p>
    <w:p w14:paraId="1C29EA14" w14:textId="12ABE081" w:rsidR="005565A3" w:rsidRDefault="005565A3" w:rsidP="005565A3">
      <w:pPr>
        <w:pStyle w:val="ChartorTableNoteandSource"/>
      </w:pPr>
      <w:r>
        <w:t>Source:</w:t>
      </w:r>
      <w:r>
        <w:tab/>
      </w:r>
      <w:r w:rsidRPr="00C67093">
        <w:t>HILDA Survey, Restricted Release 23</w:t>
      </w:r>
      <w:r w:rsidR="00387CBE">
        <w:t>; NHSAC 2025</w:t>
      </w:r>
    </w:p>
    <w:p w14:paraId="4175579F" w14:textId="77777777" w:rsidR="00D86A1F" w:rsidRDefault="00D86A1F" w:rsidP="0041126E">
      <w:pPr>
        <w:sectPr w:rsidR="00D86A1F" w:rsidSect="00BD2E5A">
          <w:headerReference w:type="even" r:id="rId133"/>
          <w:headerReference w:type="default" r:id="rId134"/>
          <w:footerReference w:type="even" r:id="rId135"/>
          <w:footerReference w:type="default" r:id="rId136"/>
          <w:type w:val="oddPage"/>
          <w:pgSz w:w="11906" w:h="16838" w:code="9"/>
          <w:pgMar w:top="1843" w:right="1418" w:bottom="1418" w:left="1418" w:header="709" w:footer="709" w:gutter="0"/>
          <w:cols w:space="708"/>
          <w:docGrid w:linePitch="360"/>
        </w:sectPr>
      </w:pPr>
    </w:p>
    <w:p w14:paraId="758D8681" w14:textId="77777777" w:rsidR="00791A68" w:rsidRDefault="00791A68" w:rsidP="006F5BB5">
      <w:pPr>
        <w:pStyle w:val="Heading1Numbered"/>
        <w:spacing w:before="0"/>
      </w:pPr>
      <w:bookmarkStart w:id="133" w:name="_Toc196395896"/>
      <w:r w:rsidRPr="00CD47CB">
        <w:lastRenderedPageBreak/>
        <w:t>H</w:t>
      </w:r>
      <w:r>
        <w:t>ousing system outlook</w:t>
      </w:r>
      <w:bookmarkEnd w:id="133"/>
    </w:p>
    <w:tbl>
      <w:tblPr>
        <w:tblW w:w="5000" w:type="pct"/>
        <w:shd w:val="clear" w:color="auto" w:fill="F2E3C7" w:themeFill="background2"/>
        <w:tblCellMar>
          <w:top w:w="284" w:type="dxa"/>
          <w:left w:w="284" w:type="dxa"/>
          <w:bottom w:w="284" w:type="dxa"/>
          <w:right w:w="284" w:type="dxa"/>
        </w:tblCellMar>
        <w:tblLook w:val="0600" w:firstRow="0" w:lastRow="0" w:firstColumn="0" w:lastColumn="0" w:noHBand="1" w:noVBand="1"/>
      </w:tblPr>
      <w:tblGrid>
        <w:gridCol w:w="9070"/>
      </w:tblGrid>
      <w:tr w:rsidR="00791A68" w14:paraId="7336549B" w14:textId="77777777">
        <w:tc>
          <w:tcPr>
            <w:tcW w:w="5000" w:type="pct"/>
            <w:shd w:val="clear" w:color="auto" w:fill="F2E3C7" w:themeFill="background2"/>
            <w:hideMark/>
          </w:tcPr>
          <w:p w14:paraId="516DFA30" w14:textId="6B6C42C9" w:rsidR="00791A68" w:rsidRDefault="00143AF8">
            <w:pPr>
              <w:pStyle w:val="BoxHeading"/>
            </w:pPr>
            <w:r>
              <w:t>Overview</w:t>
            </w:r>
          </w:p>
          <w:p w14:paraId="0323D44A" w14:textId="07C29FC8" w:rsidR="00791A68" w:rsidRDefault="00791A68">
            <w:pPr>
              <w:pStyle w:val="BoxText"/>
            </w:pPr>
            <w:r>
              <w:t>This chapter presents the Council</w:t>
            </w:r>
            <w:r w:rsidR="00A15C79">
              <w:t>’</w:t>
            </w:r>
            <w:r>
              <w:t xml:space="preserve">s national </w:t>
            </w:r>
            <w:r w:rsidRPr="003A25FE">
              <w:rPr>
                <w:rFonts w:ascii="Calibri" w:hAnsi="Calibri" w:cs="Calibri"/>
                <w:color w:val="auto"/>
                <w:bdr w:val="none" w:sz="0" w:space="0" w:color="auto" w:frame="1"/>
              </w:rPr>
              <w:t xml:space="preserve">and state and territory </w:t>
            </w:r>
            <w:r>
              <w:rPr>
                <w:color w:val="auto"/>
              </w:rPr>
              <w:t>forecasts</w:t>
            </w:r>
            <w:r w:rsidRPr="003A25FE">
              <w:rPr>
                <w:color w:val="auto"/>
              </w:rPr>
              <w:t xml:space="preserve"> </w:t>
            </w:r>
            <w:r>
              <w:t>for new housing supply and demand over the Housing Accord period (2024</w:t>
            </w:r>
            <w:r w:rsidR="00566CC5">
              <w:t>–</w:t>
            </w:r>
            <w:r>
              <w:t>25 to 2028</w:t>
            </w:r>
            <w:r w:rsidR="00566CC5">
              <w:t>–</w:t>
            </w:r>
            <w:r>
              <w:t>29) and describes the implications of these forecasts for housing affordability.</w:t>
            </w:r>
          </w:p>
          <w:p w14:paraId="1093CDFD" w14:textId="77777777" w:rsidR="00791A68" w:rsidRPr="00C744E2" w:rsidRDefault="00791A68" w:rsidP="00C744E2">
            <w:pPr>
              <w:pStyle w:val="BoxHeading2"/>
            </w:pPr>
            <w:r w:rsidRPr="00C744E2">
              <w:t>Key points</w:t>
            </w:r>
          </w:p>
          <w:p w14:paraId="115211BF" w14:textId="28C6F371" w:rsidR="00791A68" w:rsidRPr="002949B5" w:rsidRDefault="00791A68">
            <w:pPr>
              <w:pStyle w:val="Boxbullet"/>
            </w:pPr>
            <w:r>
              <w:t xml:space="preserve">Over the Housing Accord period, the Council </w:t>
            </w:r>
            <w:r w:rsidRPr="0008072A">
              <w:t>forecasts</w:t>
            </w:r>
            <w:r>
              <w:t xml:space="preserve"> that Australia</w:t>
            </w:r>
            <w:r w:rsidR="00A15C79">
              <w:t>’</w:t>
            </w:r>
            <w:r>
              <w:t xml:space="preserve">s gross new housing supply will </w:t>
            </w:r>
            <w:r w:rsidRPr="002949B5">
              <w:t xml:space="preserve">be </w:t>
            </w:r>
            <w:r w:rsidR="00F00FE4" w:rsidRPr="002949B5">
              <w:t xml:space="preserve">938,000 </w:t>
            </w:r>
            <w:r w:rsidRPr="002949B5">
              <w:t>dwellings under baseline macroeconomic conditions and current policy settings.</w:t>
            </w:r>
            <w:r w:rsidRPr="002949B5">
              <w:rPr>
                <w:rStyle w:val="FootnoteReference"/>
              </w:rPr>
              <w:footnoteReference w:id="9"/>
            </w:r>
            <w:r w:rsidRPr="002949B5">
              <w:t xml:space="preserve"> This implies a supply shortfall of </w:t>
            </w:r>
            <w:r w:rsidR="00F00FE4" w:rsidRPr="002949B5">
              <w:t xml:space="preserve">262,000 </w:t>
            </w:r>
            <w:r w:rsidRPr="002949B5">
              <w:t>relative to the Housing Accord target.</w:t>
            </w:r>
          </w:p>
          <w:p w14:paraId="147F84A9" w14:textId="10B74D40" w:rsidR="00791A68" w:rsidRPr="002949B5" w:rsidRDefault="00791A68">
            <w:pPr>
              <w:pStyle w:val="Boxbullet"/>
            </w:pPr>
            <w:r w:rsidRPr="002949B5">
              <w:t>The Council</w:t>
            </w:r>
            <w:r w:rsidR="00A15C79" w:rsidRPr="002949B5">
              <w:t>’</w:t>
            </w:r>
            <w:r w:rsidRPr="002949B5">
              <w:t xml:space="preserve">s forecasts indicate there will be a net supply shortfall, relative to new demand, of around </w:t>
            </w:r>
            <w:r w:rsidR="00B44325" w:rsidRPr="002949B5">
              <w:t xml:space="preserve">47,000 </w:t>
            </w:r>
            <w:r w:rsidRPr="002949B5">
              <w:t>dwellings in the 2024</w:t>
            </w:r>
            <w:r w:rsidR="00420048" w:rsidRPr="002949B5">
              <w:t>–</w:t>
            </w:r>
            <w:r w:rsidRPr="002949B5">
              <w:t xml:space="preserve">25 financial year. </w:t>
            </w:r>
          </w:p>
          <w:p w14:paraId="7B110AAD" w14:textId="631B3809" w:rsidR="00791A68" w:rsidRPr="002949B5" w:rsidRDefault="00791A68">
            <w:pPr>
              <w:pStyle w:val="Boxbullet"/>
            </w:pPr>
            <w:r w:rsidRPr="002949B5">
              <w:t>The undersupply of housing is expected to continue across the forecast period, adding to existing affordability pressures. Net new housing supply over the forecast period to 2028</w:t>
            </w:r>
            <w:r w:rsidR="00420048" w:rsidRPr="002949B5">
              <w:t>–</w:t>
            </w:r>
            <w:r w:rsidRPr="002949B5">
              <w:t xml:space="preserve">29 is projected to </w:t>
            </w:r>
            <w:r w:rsidR="0059750D" w:rsidRPr="002949B5">
              <w:t xml:space="preserve">fall short of new demand by </w:t>
            </w:r>
            <w:r w:rsidR="00FE4D2C" w:rsidRPr="002949B5">
              <w:t>79,000</w:t>
            </w:r>
            <w:r w:rsidRPr="002949B5" w:rsidDel="00AD6F07">
              <w:t xml:space="preserve"> </w:t>
            </w:r>
            <w:r w:rsidRPr="002949B5">
              <w:t>dwellings.</w:t>
            </w:r>
          </w:p>
          <w:p w14:paraId="6ACA6FF7" w14:textId="5E0A2E96" w:rsidR="00791A68" w:rsidRPr="0099326B" w:rsidRDefault="00791A68" w:rsidP="0099326B">
            <w:pPr>
              <w:pStyle w:val="Boxbullet"/>
              <w:rPr>
                <w:color w:val="auto"/>
              </w:rPr>
            </w:pPr>
            <w:r>
              <w:t xml:space="preserve">While the forecasts are sensitive to macroeconomic and demographic conditions, it is unlikely that unexpectedly favourable conditions alone could enable the Housing Accord target to be met or address accumulated affordability pressures. </w:t>
            </w:r>
          </w:p>
        </w:tc>
      </w:tr>
    </w:tbl>
    <w:p w14:paraId="0658C482" w14:textId="6780AD50" w:rsidR="00791A68" w:rsidRDefault="00791A68" w:rsidP="0099326B">
      <w:pPr>
        <w:pStyle w:val="Heading2Numbered"/>
      </w:pPr>
      <w:bookmarkStart w:id="134" w:name="_Toc195026606"/>
      <w:bookmarkStart w:id="135" w:name="_Toc196395897"/>
      <w:r>
        <w:t xml:space="preserve">The </w:t>
      </w:r>
      <w:r w:rsidRPr="0099326B">
        <w:t>Council</w:t>
      </w:r>
      <w:r>
        <w:t xml:space="preserve"> has prepared </w:t>
      </w:r>
      <w:r w:rsidR="00CE0C42">
        <w:t xml:space="preserve">updated forecasts of </w:t>
      </w:r>
      <w:r>
        <w:t>new supply</w:t>
      </w:r>
      <w:r w:rsidR="00CE0C42">
        <w:t xml:space="preserve"> and </w:t>
      </w:r>
      <w:r>
        <w:t>demand and affordability</w:t>
      </w:r>
      <w:bookmarkEnd w:id="134"/>
      <w:bookmarkEnd w:id="135"/>
    </w:p>
    <w:p w14:paraId="16776EFE" w14:textId="2654C577" w:rsidR="00791A68" w:rsidRDefault="00791A68">
      <w:r>
        <w:t>This chapter presents the Council</w:t>
      </w:r>
      <w:r w:rsidR="00A15C79">
        <w:t>’</w:t>
      </w:r>
      <w:r>
        <w:t>s forecasts of new housing supply, demand and affordability up to and including the 2028</w:t>
      </w:r>
      <w:r w:rsidR="00E46E6C">
        <w:t>–</w:t>
      </w:r>
      <w:r>
        <w:t>29 financial year. The forecasts are used to provide a view of the likely future performance of the housing system, inform discussion on policy measures that aim to address housing supply, and inform the Council</w:t>
      </w:r>
      <w:r w:rsidR="00A15C79">
        <w:t>’</w:t>
      </w:r>
      <w:r>
        <w:t>s view on the suitability of the target of 1.2</w:t>
      </w:r>
      <w:r w:rsidR="0099326B">
        <w:t> million</w:t>
      </w:r>
      <w:r>
        <w:t xml:space="preserve"> new homes between 2024</w:t>
      </w:r>
      <w:r w:rsidR="00E46E6C">
        <w:t>–</w:t>
      </w:r>
      <w:r>
        <w:t>25 and 2028</w:t>
      </w:r>
      <w:r w:rsidR="00E46E6C">
        <w:t>–</w:t>
      </w:r>
      <w:r>
        <w:t xml:space="preserve">29 </w:t>
      </w:r>
      <w:r w:rsidRPr="00AE43CA">
        <w:t xml:space="preserve">under the Housing </w:t>
      </w:r>
      <w:r w:rsidRPr="002949B5">
        <w:t xml:space="preserve">Accord (see </w:t>
      </w:r>
      <w:r w:rsidR="000B6F3D" w:rsidRPr="002949B5">
        <w:rPr>
          <w:rStyle w:val="Emphasis"/>
        </w:rPr>
        <w:t xml:space="preserve">Advice </w:t>
      </w:r>
      <w:r w:rsidRPr="002949B5">
        <w:rPr>
          <w:rStyle w:val="Emphasis"/>
        </w:rPr>
        <w:t>on</w:t>
      </w:r>
      <w:r w:rsidRPr="001B4EAF">
        <w:rPr>
          <w:rStyle w:val="Emphasis"/>
        </w:rPr>
        <w:t xml:space="preserve"> the suitability of the 1.2</w:t>
      </w:r>
      <w:r w:rsidR="0099326B" w:rsidRPr="001B4EAF">
        <w:rPr>
          <w:rStyle w:val="Emphasis"/>
        </w:rPr>
        <w:t> million</w:t>
      </w:r>
      <w:r w:rsidRPr="001B4EAF">
        <w:rPr>
          <w:rStyle w:val="Emphasis"/>
        </w:rPr>
        <w:t xml:space="preserve"> National Housing Accord </w:t>
      </w:r>
      <w:r w:rsidR="00FC0BE6" w:rsidRPr="001B4EAF">
        <w:rPr>
          <w:rStyle w:val="Emphasis"/>
        </w:rPr>
        <w:t>t</w:t>
      </w:r>
      <w:r w:rsidRPr="001B4EAF">
        <w:rPr>
          <w:rStyle w:val="Emphasis"/>
        </w:rPr>
        <w:t>arget</w:t>
      </w:r>
      <w:r w:rsidRPr="009628A8">
        <w:rPr>
          <w:i/>
          <w:iCs/>
        </w:rPr>
        <w:t>)</w:t>
      </w:r>
      <w:r>
        <w:t>.</w:t>
      </w:r>
    </w:p>
    <w:p w14:paraId="7EE9CFD9" w14:textId="1C159A0D" w:rsidR="00791A68" w:rsidRDefault="00791A68">
      <w:r>
        <w:t>The Council</w:t>
      </w:r>
      <w:r w:rsidR="00A15C79">
        <w:t>’</w:t>
      </w:r>
      <w:r>
        <w:t>s forecasts are based on a model designed to capture the dynamics of housing supply and demand in Australia (see Box 5.1). The modelling framework is suited to answering questions about the rate at which new housing construction will take place in national and state housing markets under different economic and demographic conditions.</w:t>
      </w:r>
    </w:p>
    <w:p w14:paraId="6AD7C645" w14:textId="4709F4E5" w:rsidR="00791A68" w:rsidRDefault="00791A68">
      <w:r>
        <w:lastRenderedPageBreak/>
        <w:t>The forecasts estimate newly constructed housing and new underlying demand. The Council</w:t>
      </w:r>
      <w:r w:rsidR="00A15C79">
        <w:t>’</w:t>
      </w:r>
      <w:r>
        <w:t>s forecasts of supply and demand are</w:t>
      </w:r>
      <w:r w:rsidR="00A913E2">
        <w:t>,</w:t>
      </w:r>
      <w:r>
        <w:t xml:space="preserve"> therefore</w:t>
      </w:r>
      <w:r w:rsidR="00A913E2">
        <w:t>,</w:t>
      </w:r>
      <w:r>
        <w:t xml:space="preserve"> </w:t>
      </w:r>
      <w:r w:rsidR="00A15C79">
        <w:t>‘</w:t>
      </w:r>
      <w:r>
        <w:t>flow</w:t>
      </w:r>
      <w:r w:rsidR="00A15C79">
        <w:t>’</w:t>
      </w:r>
      <w:r>
        <w:t xml:space="preserve"> concepts</w:t>
      </w:r>
      <w:r w:rsidR="00C953DE">
        <w:t xml:space="preserve"> –</w:t>
      </w:r>
      <w:r>
        <w:t xml:space="preserve"> they reflect additions to total demand (</w:t>
      </w:r>
      <w:r w:rsidR="00C953DE">
        <w:t>that is,</w:t>
      </w:r>
      <w:r>
        <w:t xml:space="preserve"> the number of households) and total supply (</w:t>
      </w:r>
      <w:r w:rsidR="00C953DE">
        <w:t>that is,</w:t>
      </w:r>
      <w:r>
        <w:t xml:space="preserve"> the stock of housing) in the system in any given year. </w:t>
      </w:r>
      <w:r w:rsidR="00A913E2">
        <w:t>Having m</w:t>
      </w:r>
      <w:r>
        <w:t xml:space="preserve">ore new supply than new demand in a period implies an easing in housing market conditions, a higher vacancy rate and a slowing in the growth of rents and dwelling prices, all else equal. Conversely, </w:t>
      </w:r>
      <w:r w:rsidR="001B24EF">
        <w:t>having</w:t>
      </w:r>
      <w:r>
        <w:t xml:space="preserve"> more demand relative to supply in a given period implies a lower vacancy rate, and faster growth of rents and dwelling prices. </w:t>
      </w:r>
    </w:p>
    <w:p w14:paraId="72DE2A71" w14:textId="408BFD7B" w:rsidR="00791A68" w:rsidRPr="002949B5" w:rsidRDefault="00791A68">
      <w:r>
        <w:t xml:space="preserve">The forecasts do not directly reflect the significant unmet need and affordability pressures that have already accumulated in the housing system, including unmet need for housing to address current levels of homelessness and to provide suitable homes for those who are marginally housed. </w:t>
      </w:r>
      <w:r w:rsidR="002C0B66">
        <w:t>A</w:t>
      </w:r>
      <w:r>
        <w:t xml:space="preserve"> variety of definitions and methodologies used to estimate unmet housing need ha</w:t>
      </w:r>
      <w:r w:rsidR="002C0B66">
        <w:t>s</w:t>
      </w:r>
      <w:r>
        <w:t xml:space="preserve"> produced a range of estimates. For </w:t>
      </w:r>
      <w:r w:rsidRPr="002949B5">
        <w:t xml:space="preserve">example, </w:t>
      </w:r>
      <w:r w:rsidR="006D13AC" w:rsidRPr="002949B5">
        <w:t xml:space="preserve">van del </w:t>
      </w:r>
      <w:proofErr w:type="spellStart"/>
      <w:r w:rsidR="006D13AC" w:rsidRPr="002949B5">
        <w:t>Nouwelant</w:t>
      </w:r>
      <w:proofErr w:type="spellEnd"/>
      <w:r w:rsidR="006D13AC" w:rsidRPr="002949B5">
        <w:t xml:space="preserve"> et al </w:t>
      </w:r>
      <w:r w:rsidRPr="002949B5">
        <w:t xml:space="preserve">(2022) used 2021 Census data to estimate that around 640,000 Australian households in the </w:t>
      </w:r>
      <w:r w:rsidR="00B85719" w:rsidRPr="002949B5">
        <w:t xml:space="preserve">2 </w:t>
      </w:r>
      <w:r w:rsidRPr="002949B5">
        <w:t>lowest income quintiles were experiencing homelessness, living in overcrowded housing, or experiencing rental stress. Estimating unmet housing need is beyond the scope of the Council</w:t>
      </w:r>
      <w:r w:rsidR="00A15C79" w:rsidRPr="002949B5">
        <w:t>’</w:t>
      </w:r>
      <w:r w:rsidRPr="002949B5">
        <w:t xml:space="preserve">s current model. </w:t>
      </w:r>
      <w:r w:rsidR="009E4212" w:rsidRPr="002949B5">
        <w:t>The Council</w:t>
      </w:r>
      <w:r w:rsidRPr="002949B5">
        <w:t xml:space="preserve"> is currently expanding its model </w:t>
      </w:r>
      <w:r w:rsidR="001B74A2" w:rsidRPr="002949B5">
        <w:t>to include</w:t>
      </w:r>
      <w:r w:rsidRPr="002949B5">
        <w:t xml:space="preserve"> forecasts of unmet housing need in future reports.</w:t>
      </w:r>
    </w:p>
    <w:p w14:paraId="500F281C" w14:textId="0E0E77F9" w:rsidR="00791A68" w:rsidRPr="002949B5" w:rsidRDefault="00791A68">
      <w:r w:rsidRPr="002949B5">
        <w:t>Care should be taken when interpreting the Council</w:t>
      </w:r>
      <w:r w:rsidR="00A15C79" w:rsidRPr="002949B5">
        <w:t>’</w:t>
      </w:r>
      <w:r w:rsidRPr="002949B5">
        <w:t>s forecasts. The Council</w:t>
      </w:r>
      <w:r w:rsidR="00A15C79" w:rsidRPr="002949B5">
        <w:t>’</w:t>
      </w:r>
      <w:r w:rsidRPr="002949B5">
        <w:t>s framework models the housing market by calibrating a simplified representation of the market to historical data. Forecasts are generated by inputting recent data and external projections of macroeconomic and demographic variables into the calibrated model. This approach assumes that historical relationships between variables remain fixed over the forecast period, whereas</w:t>
      </w:r>
      <w:r w:rsidR="000B485A" w:rsidRPr="002949B5">
        <w:t>,</w:t>
      </w:r>
      <w:r w:rsidRPr="002949B5">
        <w:t xml:space="preserve"> in reality</w:t>
      </w:r>
      <w:r w:rsidR="004351D6" w:rsidRPr="002949B5">
        <w:t>,</w:t>
      </w:r>
      <w:r w:rsidRPr="002949B5">
        <w:t xml:space="preserve"> they are likely to evolve over time. </w:t>
      </w:r>
      <w:r w:rsidR="00003776" w:rsidRPr="0041126E">
        <w:t xml:space="preserve">Moreover, the recent </w:t>
      </w:r>
      <w:r w:rsidR="00DA60F7" w:rsidRPr="0041126E">
        <w:t>increase</w:t>
      </w:r>
      <w:r w:rsidR="00003776" w:rsidRPr="0041126E">
        <w:t xml:space="preserve"> in global economic uncertainty poses greater-than-usual risks around </w:t>
      </w:r>
      <w:r w:rsidR="00CA794B">
        <w:t>the</w:t>
      </w:r>
      <w:r w:rsidR="00003776" w:rsidRPr="0041126E">
        <w:t xml:space="preserve"> forecast inputs, particularly regarding the future path of interest rates and material costs.</w:t>
      </w:r>
      <w:r w:rsidR="00003776" w:rsidRPr="002949B5">
        <w:t xml:space="preserve"> </w:t>
      </w:r>
      <w:r w:rsidRPr="002949B5">
        <w:t>Long</w:t>
      </w:r>
      <w:r w:rsidR="00A15C79" w:rsidRPr="002949B5">
        <w:noBreakHyphen/>
      </w:r>
      <w:r w:rsidRPr="002949B5">
        <w:t>term forecasting for housing markets is</w:t>
      </w:r>
      <w:r w:rsidR="005D270D" w:rsidRPr="002949B5">
        <w:t>,</w:t>
      </w:r>
      <w:r w:rsidRPr="002949B5">
        <w:t xml:space="preserve"> therefore</w:t>
      </w:r>
      <w:r w:rsidR="005D270D" w:rsidRPr="002949B5">
        <w:t>,</w:t>
      </w:r>
      <w:r w:rsidRPr="002949B5">
        <w:t xml:space="preserve"> inherently uncertain. Estimates of supply, demand and affordability for the early part of the forecast period should be considered more reliable than those for later parts. </w:t>
      </w:r>
      <w:r w:rsidR="00FF01CD" w:rsidRPr="002949B5">
        <w:t>Further detail on the f</w:t>
      </w:r>
      <w:r w:rsidR="000411B9" w:rsidRPr="002949B5">
        <w:t xml:space="preserve">eatures and limitations of the </w:t>
      </w:r>
      <w:r w:rsidR="00B44D6C" w:rsidRPr="002949B5">
        <w:t xml:space="preserve">Council’s </w:t>
      </w:r>
      <w:r w:rsidR="00325E4A" w:rsidRPr="002949B5">
        <w:t xml:space="preserve">modelling </w:t>
      </w:r>
      <w:r w:rsidR="00B44D6C" w:rsidRPr="002949B5">
        <w:t xml:space="preserve">framework </w:t>
      </w:r>
      <w:r w:rsidR="00187023" w:rsidRPr="002949B5">
        <w:t>can be found in</w:t>
      </w:r>
      <w:r w:rsidR="00E1493B" w:rsidRPr="002949B5">
        <w:t xml:space="preserve"> </w:t>
      </w:r>
      <w:r w:rsidR="00B44D6C" w:rsidRPr="002949B5">
        <w:t>Box 5.1</w:t>
      </w:r>
      <w:r w:rsidR="00187023" w:rsidRPr="002949B5">
        <w:t xml:space="preserve"> below</w:t>
      </w:r>
      <w:r w:rsidR="00B44D6C" w:rsidRPr="002949B5">
        <w:t>.</w:t>
      </w:r>
    </w:p>
    <w:p w14:paraId="60129F1E" w14:textId="659E6AD0" w:rsidR="00791A68" w:rsidRPr="00BD05E9" w:rsidRDefault="00791A68">
      <w:r w:rsidRPr="002949B5">
        <w:t xml:space="preserve">A key addition since </w:t>
      </w:r>
      <w:r w:rsidRPr="002949B5">
        <w:rPr>
          <w:rStyle w:val="Emphasis"/>
        </w:rPr>
        <w:t>State of the Housing System 2024</w:t>
      </w:r>
      <w:r w:rsidRPr="002949B5">
        <w:t xml:space="preserve"> is</w:t>
      </w:r>
      <w:r>
        <w:t xml:space="preserve"> the inclusion of housing supply forecasts for each of the </w:t>
      </w:r>
      <w:r w:rsidR="0039757A">
        <w:t xml:space="preserve">8 </w:t>
      </w:r>
      <w:r>
        <w:t>states and territories. These are produced by running the Council</w:t>
      </w:r>
      <w:r w:rsidR="00A15C79">
        <w:t>’</w:t>
      </w:r>
      <w:r>
        <w:t>s forecasting model</w:t>
      </w:r>
      <w:r w:rsidR="00B65919">
        <w:t>, which incorporates</w:t>
      </w:r>
      <w:r>
        <w:t xml:space="preserve"> jurisdiction</w:t>
      </w:r>
      <w:r w:rsidR="00A15C79">
        <w:noBreakHyphen/>
      </w:r>
      <w:r>
        <w:t>level data and forecast inputs.</w:t>
      </w:r>
    </w:p>
    <w:p w14:paraId="7A416193" w14:textId="0974A9DF" w:rsidR="00791A68" w:rsidRPr="00C94451" w:rsidRDefault="00791A68" w:rsidP="00744F72">
      <w:pPr>
        <w:pStyle w:val="Heading2Numbered"/>
      </w:pPr>
      <w:bookmarkStart w:id="136" w:name="_Toc195026607"/>
      <w:bookmarkStart w:id="137" w:name="_Toc196395898"/>
      <w:r>
        <w:t>The National Accord</w:t>
      </w:r>
      <w:r w:rsidR="00A15C79">
        <w:t>’</w:t>
      </w:r>
      <w:r>
        <w:t>s 1.2</w:t>
      </w:r>
      <w:r w:rsidR="0099326B">
        <w:t> million</w:t>
      </w:r>
      <w:r>
        <w:t xml:space="preserve"> target for gross new supply is highly unlikely to be met</w:t>
      </w:r>
      <w:bookmarkEnd w:id="136"/>
      <w:bookmarkEnd w:id="137"/>
      <w:r>
        <w:t xml:space="preserve"> </w:t>
      </w:r>
    </w:p>
    <w:p w14:paraId="39492D4D" w14:textId="0754178F" w:rsidR="00791A68" w:rsidRDefault="00791A68" w:rsidP="00744F72">
      <w:pPr>
        <w:pStyle w:val="Heading3Numbered"/>
      </w:pPr>
      <w:r>
        <w:t>National supply forecasts</w:t>
      </w:r>
    </w:p>
    <w:p w14:paraId="475BC833" w14:textId="6A4175E2" w:rsidR="00791A68" w:rsidRDefault="00791A68">
      <w:r>
        <w:t>Over the 5</w:t>
      </w:r>
      <w:r w:rsidR="00A15C79">
        <w:noBreakHyphen/>
      </w:r>
      <w:r>
        <w:t xml:space="preserve">year Housing Accord period, the Council forecasts that gross new housing supply will be </w:t>
      </w:r>
      <w:r w:rsidRPr="002949B5">
        <w:t>9</w:t>
      </w:r>
      <w:r w:rsidR="00A83BEB" w:rsidRPr="0041126E">
        <w:t>3</w:t>
      </w:r>
      <w:r w:rsidRPr="002949B5">
        <w:t>8,000 dwellings under baseline macroeconomic conditions and current policy settings. This implies a supply shortfall of 2</w:t>
      </w:r>
      <w:r w:rsidR="00A83BEB" w:rsidRPr="0041126E">
        <w:t>6</w:t>
      </w:r>
      <w:r w:rsidRPr="002949B5">
        <w:t>2,000</w:t>
      </w:r>
      <w:r w:rsidRPr="002949B5" w:rsidDel="00157DE3">
        <w:t xml:space="preserve"> </w:t>
      </w:r>
      <w:r w:rsidRPr="002949B5">
        <w:t>relative to the 1.2</w:t>
      </w:r>
      <w:r w:rsidR="0099326B" w:rsidRPr="002949B5">
        <w:t> million</w:t>
      </w:r>
      <w:r w:rsidRPr="002949B5">
        <w:t xml:space="preserve"> Housing Accord target, which is larger than the 256,900 supply shortfall forecast in </w:t>
      </w:r>
      <w:r w:rsidRPr="00A272B1">
        <w:rPr>
          <w:rStyle w:val="Emphasis"/>
        </w:rPr>
        <w:t>State of the Housing System 2024</w:t>
      </w:r>
      <w:r w:rsidRPr="002949B5">
        <w:t xml:space="preserve">. </w:t>
      </w:r>
      <w:r w:rsidR="00826219" w:rsidRPr="002949B5">
        <w:t>A</w:t>
      </w:r>
      <w:r w:rsidRPr="002949B5">
        <w:t>n upward revision to interest rate assumptions since the</w:t>
      </w:r>
      <w:r w:rsidR="003B7F81" w:rsidRPr="002949B5">
        <w:t xml:space="preserve"> 2024 report</w:t>
      </w:r>
      <w:r w:rsidRPr="002949B5" w:rsidDel="003B7F81">
        <w:rPr>
          <w:i/>
        </w:rPr>
        <w:t xml:space="preserve"> </w:t>
      </w:r>
      <w:r w:rsidR="00826219" w:rsidRPr="002949B5">
        <w:t>primarily drives the downgrade in the overall supply forecast</w:t>
      </w:r>
      <w:r w:rsidRPr="002949B5">
        <w:t>.</w:t>
      </w:r>
      <w:r>
        <w:t xml:space="preserve"> </w:t>
      </w:r>
    </w:p>
    <w:tbl>
      <w:tblPr>
        <w:tblW w:w="5000" w:type="pct"/>
        <w:tblLayout w:type="fixed"/>
        <w:tblLook w:val="0000" w:firstRow="0" w:lastRow="0" w:firstColumn="0" w:lastColumn="0" w:noHBand="0" w:noVBand="0"/>
      </w:tblPr>
      <w:tblGrid>
        <w:gridCol w:w="4535"/>
        <w:gridCol w:w="4535"/>
      </w:tblGrid>
      <w:tr w:rsidR="00791A68" w14:paraId="3B3A0A7C" w14:textId="77777777">
        <w:trPr>
          <w:cantSplit/>
        </w:trPr>
        <w:tc>
          <w:tcPr>
            <w:tcW w:w="4535" w:type="dxa"/>
          </w:tcPr>
          <w:p w14:paraId="271C3594" w14:textId="4CA15F29" w:rsidR="00791A68" w:rsidRPr="00A83BEB" w:rsidRDefault="00791A68" w:rsidP="006F5BB5">
            <w:pPr>
              <w:pStyle w:val="ChartMainHeading"/>
              <w:spacing w:before="0"/>
            </w:pPr>
            <w:r w:rsidRPr="00A83BEB">
              <w:lastRenderedPageBreak/>
              <w:t>Gross new housing supply</w:t>
            </w:r>
          </w:p>
        </w:tc>
        <w:tc>
          <w:tcPr>
            <w:tcW w:w="4535" w:type="dxa"/>
          </w:tcPr>
          <w:p w14:paraId="00403B92" w14:textId="6C544886" w:rsidR="00791A68" w:rsidRPr="00A83BEB" w:rsidRDefault="00791A68" w:rsidP="006F5BB5">
            <w:pPr>
              <w:pStyle w:val="ChartMainHeading"/>
              <w:spacing w:before="0"/>
            </w:pPr>
            <w:r w:rsidRPr="00A83BEB">
              <w:t>Gross new housing supply</w:t>
            </w:r>
            <w:r w:rsidR="00003F64">
              <w:t>,</w:t>
            </w:r>
            <w:r w:rsidRPr="00A83BEB">
              <w:t xml:space="preserve"> by</w:t>
            </w:r>
            <w:r w:rsidR="00396A52">
              <w:t> </w:t>
            </w:r>
            <w:r w:rsidRPr="00A83BEB">
              <w:t>dwelling type</w:t>
            </w:r>
          </w:p>
        </w:tc>
      </w:tr>
      <w:tr w:rsidR="00791A68" w14:paraId="1BBB7735" w14:textId="77777777" w:rsidTr="009628A8">
        <w:trPr>
          <w:cantSplit/>
        </w:trPr>
        <w:tc>
          <w:tcPr>
            <w:tcW w:w="4535" w:type="dxa"/>
          </w:tcPr>
          <w:p w14:paraId="3CB1049A" w14:textId="5C043881" w:rsidR="00791A68" w:rsidRPr="0041126E" w:rsidRDefault="003532D0" w:rsidP="0099326B">
            <w:pPr>
              <w:pStyle w:val="ChartGraphic"/>
              <w:rPr>
                <w:highlight w:val="yellow"/>
              </w:rPr>
            </w:pPr>
            <w:r w:rsidRPr="0041126E">
              <w:rPr>
                <w:noProof/>
              </w:rPr>
              <w:drawing>
                <wp:inline distT="0" distB="0" distL="0" distR="0" wp14:anchorId="7043728A" wp14:editId="583A06B1">
                  <wp:extent cx="2742565" cy="2718435"/>
                  <wp:effectExtent l="0" t="0" r="635" b="0"/>
                  <wp:docPr id="611440966" name="Picture 5" descr="This line chart shows the rolling annual total of gross new housing supply from June quarter 2011 to June quarter 2029, where the period between March quarter 2025 and June quarter 2029 is a forecast. &#10;&#10;In the historic period, new supply rises from a low of 144,000 in September 2012 to a peak of 224,000 in March 2017. It remains elevated before starting to fall in December 2018, and then sitting around 180,000 from March 2021 until December 2024 when supply is 177,000.&#10;&#10;In the forecast period, new housing supply grows in a gradual and consistent fashion to 197,000 dwellings per year in June quarter 2029, which is well below the implied annual Housing Accord target of 240,000 houses per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440966" name="Picture 5" descr="This line chart shows the rolling annual total of gross new housing supply from June quarter 2011 to June quarter 2029, where the period between March quarter 2025 and June quarter 2029 is a forecast. &#10;&#10;In the historic period, new supply rises from a low of 144,000 in September 2012 to a peak of 224,000 in March 2017. It remains elevated before starting to fall in December 2018, and then sitting around 180,000 from March 2021 until December 2024 when supply is 177,000.&#10;&#10;In the forecast period, new housing supply grows in a gradual and consistent fashion to 197,000 dwellings per year in June quarter 2029, which is well below the implied annual Housing Accord target of 240,000 houses per year.&#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2565" cy="2718435"/>
                          </a:xfrm>
                          <a:prstGeom prst="rect">
                            <a:avLst/>
                          </a:prstGeom>
                          <a:noFill/>
                          <a:ln>
                            <a:noFill/>
                          </a:ln>
                        </pic:spPr>
                      </pic:pic>
                    </a:graphicData>
                  </a:graphic>
                </wp:inline>
              </w:drawing>
            </w:r>
          </w:p>
        </w:tc>
        <w:tc>
          <w:tcPr>
            <w:tcW w:w="4535" w:type="dxa"/>
          </w:tcPr>
          <w:p w14:paraId="6E0A49BB" w14:textId="61DE72DA" w:rsidR="00791A68" w:rsidRPr="0041126E" w:rsidRDefault="003532D0" w:rsidP="0099326B">
            <w:pPr>
              <w:pStyle w:val="ChartGraphic"/>
              <w:rPr>
                <w:highlight w:val="yellow"/>
              </w:rPr>
            </w:pPr>
            <w:r w:rsidRPr="0041126E">
              <w:rPr>
                <w:noProof/>
              </w:rPr>
              <w:drawing>
                <wp:inline distT="0" distB="0" distL="0" distR="0" wp14:anchorId="1A20F8E6" wp14:editId="48577237">
                  <wp:extent cx="2742565" cy="2742565"/>
                  <wp:effectExtent l="0" t="0" r="0" b="0"/>
                  <wp:docPr id="371193688" name="Picture 6" descr="This line chart shows the rolling annual totals of gross new housing supply for detached and higher density housing from June quarter 2011 to June quarter 2029, where the period between March quarter 2025 and June quarter 2029 is a forecast. &#10;&#10;In the historic period, new detached housing supply is relatively stable, ranging from 92,000 dwellings in September 2012 to 123,000 dwellings in March 2019 to 111,000 dwellings in December 2024. Higher density housing has more variation, ranging from 50,000 dwellings in March 2012 to 106,000 dwellings in September 2017 to 65,000 dwellings in December 2024. &#10;&#10;In the forecast period, new housing supply is primarily driven by detached housing, which is forecast to rise to 126,000 dwellings per annum by June quarter 2029. Higher density housing is forecast to rise to 70,000 dwellings in September 2025 remain stable around this level until the end of the forecast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193688" name="Picture 6" descr="This line chart shows the rolling annual totals of gross new housing supply for detached and higher density housing from June quarter 2011 to June quarter 2029, where the period between March quarter 2025 and June quarter 2029 is a forecast. &#10;&#10;In the historic period, new detached housing supply is relatively stable, ranging from 92,000 dwellings in September 2012 to 123,000 dwellings in March 2019 to 111,000 dwellings in December 2024. Higher density housing has more variation, ranging from 50,000 dwellings in March 2012 to 106,000 dwellings in September 2017 to 65,000 dwellings in December 2024. &#10;&#10;In the forecast period, new housing supply is primarily driven by detached housing, which is forecast to rise to 126,000 dwellings per annum by June quarter 2029. Higher density housing is forecast to rise to 70,000 dwellings in September 2025 remain stable around this level until the end of the forecast period.&#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2565" cy="2742565"/>
                          </a:xfrm>
                          <a:prstGeom prst="rect">
                            <a:avLst/>
                          </a:prstGeom>
                          <a:noFill/>
                          <a:ln>
                            <a:noFill/>
                          </a:ln>
                        </pic:spPr>
                      </pic:pic>
                    </a:graphicData>
                  </a:graphic>
                </wp:inline>
              </w:drawing>
            </w:r>
          </w:p>
        </w:tc>
      </w:tr>
      <w:tr w:rsidR="00791A68" w14:paraId="08C542F7" w14:textId="77777777" w:rsidTr="0099326B">
        <w:trPr>
          <w:cantSplit/>
          <w:trHeight w:val="321"/>
        </w:trPr>
        <w:tc>
          <w:tcPr>
            <w:tcW w:w="4535" w:type="dxa"/>
          </w:tcPr>
          <w:p w14:paraId="57C4E333" w14:textId="22D07CA1" w:rsidR="00934794" w:rsidRPr="002949B5" w:rsidRDefault="00934794" w:rsidP="00934794">
            <w:pPr>
              <w:pStyle w:val="ChartorTableNoteandSource"/>
            </w:pPr>
            <w:r w:rsidRPr="000F75C4">
              <w:t>Note:</w:t>
            </w:r>
            <w:r w:rsidRPr="000F75C4">
              <w:tab/>
            </w:r>
            <w:r w:rsidRPr="002949B5">
              <w:t xml:space="preserve">The numbers shown are rolling annual totals. </w:t>
            </w:r>
            <w:r w:rsidR="00124B45" w:rsidRPr="002949B5">
              <w:t>The i</w:t>
            </w:r>
            <w:r w:rsidRPr="002949B5">
              <w:t xml:space="preserve">mplied </w:t>
            </w:r>
            <w:r w:rsidR="00342172" w:rsidRPr="002949B5">
              <w:t xml:space="preserve">annual </w:t>
            </w:r>
            <w:r w:rsidRPr="002949B5">
              <w:t xml:space="preserve">Housing Accord target </w:t>
            </w:r>
            <w:r w:rsidR="00B11EDA" w:rsidRPr="002949B5">
              <w:t xml:space="preserve">represents </w:t>
            </w:r>
            <w:r w:rsidR="00022290" w:rsidRPr="002949B5">
              <w:t xml:space="preserve">the Housing Accord target </w:t>
            </w:r>
            <w:r w:rsidR="009D6B97" w:rsidRPr="002949B5">
              <w:t xml:space="preserve">of 1.2 million </w:t>
            </w:r>
            <w:r w:rsidR="00E25C72" w:rsidRPr="002949B5">
              <w:t xml:space="preserve">completions distributed </w:t>
            </w:r>
            <w:r w:rsidR="00022290" w:rsidRPr="002949B5">
              <w:t>evenly over the</w:t>
            </w:r>
            <w:r w:rsidRPr="002949B5">
              <w:t xml:space="preserve"> 5</w:t>
            </w:r>
            <w:r w:rsidR="00114F1C" w:rsidRPr="002949B5">
              <w:noBreakHyphen/>
            </w:r>
            <w:r w:rsidRPr="002949B5">
              <w:t>year</w:t>
            </w:r>
            <w:r w:rsidR="009D6B97" w:rsidRPr="002949B5">
              <w:t xml:space="preserve"> Housing Accord period</w:t>
            </w:r>
            <w:r w:rsidRPr="002949B5">
              <w:t>.</w:t>
            </w:r>
          </w:p>
          <w:p w14:paraId="7AC37B4E" w14:textId="3CF8265E" w:rsidR="005565A3" w:rsidRPr="005565A3" w:rsidRDefault="005565A3" w:rsidP="005565A3">
            <w:pPr>
              <w:pStyle w:val="ChartorTableNoteandSource"/>
            </w:pPr>
            <w:r w:rsidRPr="002949B5">
              <w:t>Source:</w:t>
            </w:r>
            <w:r w:rsidRPr="002949B5">
              <w:tab/>
            </w:r>
            <w:r w:rsidR="00523663" w:rsidRPr="0041126E">
              <w:t>ABS Building Activity 2025;</w:t>
            </w:r>
            <w:r w:rsidR="00523663" w:rsidRPr="002949B5">
              <w:t xml:space="preserve"> </w:t>
            </w:r>
            <w:r w:rsidRPr="002949B5">
              <w:t>NHSAC 2025</w:t>
            </w:r>
          </w:p>
        </w:tc>
        <w:tc>
          <w:tcPr>
            <w:tcW w:w="4535" w:type="dxa"/>
          </w:tcPr>
          <w:p w14:paraId="20059A1E" w14:textId="2EF3260A" w:rsidR="00791A68" w:rsidRPr="002949B5" w:rsidRDefault="00791A68" w:rsidP="00DB6DE6">
            <w:pPr>
              <w:pStyle w:val="ChartorTableNoteandSource"/>
            </w:pPr>
            <w:r>
              <w:t>Note:</w:t>
            </w:r>
            <w:r w:rsidR="001B4EAF">
              <w:tab/>
            </w:r>
            <w:r w:rsidR="000C1C94" w:rsidRPr="002949B5">
              <w:t xml:space="preserve">The </w:t>
            </w:r>
            <w:r w:rsidR="004C01CB" w:rsidRPr="002949B5">
              <w:t>n</w:t>
            </w:r>
            <w:r w:rsidRPr="002949B5">
              <w:t>umbers shown are rolling annual totals</w:t>
            </w:r>
            <w:r w:rsidR="004C01CB" w:rsidRPr="002949B5">
              <w:t>.</w:t>
            </w:r>
          </w:p>
          <w:p w14:paraId="17789A54" w14:textId="2FABF026" w:rsidR="005565A3" w:rsidRPr="005565A3" w:rsidRDefault="005565A3" w:rsidP="003B35FD">
            <w:pPr>
              <w:pStyle w:val="ChartorTableNoteandSource"/>
            </w:pPr>
            <w:r w:rsidRPr="002949B5">
              <w:t>Source:</w:t>
            </w:r>
            <w:r w:rsidRPr="002949B5">
              <w:tab/>
            </w:r>
            <w:r w:rsidR="00523663" w:rsidRPr="0041126E">
              <w:t>ABS Building Activity 2025;</w:t>
            </w:r>
            <w:r w:rsidR="00523663" w:rsidRPr="002949B5">
              <w:t xml:space="preserve"> </w:t>
            </w:r>
            <w:r w:rsidRPr="002949B5">
              <w:t>NHSAC 2025</w:t>
            </w:r>
          </w:p>
        </w:tc>
      </w:tr>
    </w:tbl>
    <w:p w14:paraId="12A6A4EC" w14:textId="48C1F333" w:rsidR="00791A68" w:rsidRPr="006E082A" w:rsidRDefault="00791A68" w:rsidP="006E082A">
      <w:pPr>
        <w:spacing w:before="200" w:after="200"/>
        <w:rPr>
          <w:spacing w:val="-4"/>
        </w:rPr>
      </w:pPr>
      <w:r w:rsidRPr="006E082A">
        <w:rPr>
          <w:spacing w:val="-4"/>
        </w:rPr>
        <w:t>From 2025 to early 2027, gross new housing supply is expected to remain low</w:t>
      </w:r>
      <w:r w:rsidR="00D90387" w:rsidRPr="006E082A">
        <w:rPr>
          <w:spacing w:val="-4"/>
        </w:rPr>
        <w:t>, at</w:t>
      </w:r>
      <w:r w:rsidRPr="006E082A">
        <w:rPr>
          <w:spacing w:val="-4"/>
        </w:rPr>
        <w:t xml:space="preserve"> around 18</w:t>
      </w:r>
      <w:r w:rsidR="0019214F" w:rsidRPr="006E082A">
        <w:rPr>
          <w:spacing w:val="-4"/>
        </w:rPr>
        <w:t>3</w:t>
      </w:r>
      <w:r w:rsidRPr="006E082A">
        <w:rPr>
          <w:spacing w:val="-4"/>
        </w:rPr>
        <w:t>,000</w:t>
      </w:r>
      <w:r w:rsidR="006E082A" w:rsidRPr="006E082A">
        <w:rPr>
          <w:spacing w:val="-4"/>
        </w:rPr>
        <w:t> </w:t>
      </w:r>
      <w:r w:rsidRPr="006E082A">
        <w:rPr>
          <w:spacing w:val="-4"/>
        </w:rPr>
        <w:t>dwellings per year. Recent data on new dwelling approvals and commencements suggest that currently weak supply conditions will persist over the first half of the Housing Accord period (see</w:t>
      </w:r>
      <w:r w:rsidR="006E082A" w:rsidRPr="006E082A">
        <w:rPr>
          <w:spacing w:val="-4"/>
        </w:rPr>
        <w:t> </w:t>
      </w:r>
      <w:r w:rsidRPr="006E082A">
        <w:rPr>
          <w:spacing w:val="-4"/>
        </w:rPr>
        <w:t>Chapter 2</w:t>
      </w:r>
      <w:r w:rsidR="000B6744" w:rsidRPr="006E082A">
        <w:rPr>
          <w:spacing w:val="-4"/>
        </w:rPr>
        <w:t>,</w:t>
      </w:r>
      <w:r w:rsidRPr="006E082A">
        <w:rPr>
          <w:i/>
          <w:iCs/>
          <w:spacing w:val="-4"/>
        </w:rPr>
        <w:t xml:space="preserve"> </w:t>
      </w:r>
      <w:r w:rsidRPr="006E082A">
        <w:rPr>
          <w:rStyle w:val="Emphasis"/>
          <w:spacing w:val="-4"/>
        </w:rPr>
        <w:t>Housing market conditions</w:t>
      </w:r>
      <w:r w:rsidRPr="006E082A">
        <w:rPr>
          <w:spacing w:val="-4"/>
        </w:rPr>
        <w:t>). New dwelling approvals are expected to remain subdued over the next year, particularly for higher</w:t>
      </w:r>
      <w:r w:rsidR="00A15C79" w:rsidRPr="006E082A">
        <w:rPr>
          <w:spacing w:val="-4"/>
        </w:rPr>
        <w:noBreakHyphen/>
      </w:r>
      <w:r w:rsidRPr="006E082A">
        <w:rPr>
          <w:spacing w:val="-4"/>
        </w:rPr>
        <w:t>density developments, as ongoing high costs, capacity constraints and slowing dwelling price growth constrain the commercial feasibility of many housing projects.</w:t>
      </w:r>
    </w:p>
    <w:p w14:paraId="1E11A523" w14:textId="5659E2B9" w:rsidR="00791A68" w:rsidRPr="002949B5" w:rsidRDefault="00791A68" w:rsidP="006E082A">
      <w:pPr>
        <w:spacing w:before="200" w:after="200"/>
      </w:pPr>
      <w:r>
        <w:t>The Council expects these commercial feasibility constraints to ease over time. Interest rates are expected to continue declining in 2025 (</w:t>
      </w:r>
      <w:r w:rsidR="0007757B">
        <w:t xml:space="preserve">see </w:t>
      </w:r>
      <w:r>
        <w:t>Chart 5.4), which will help reduce the financing constraints developers and construction companies</w:t>
      </w:r>
      <w:r w:rsidR="0007757B">
        <w:t xml:space="preserve"> face</w:t>
      </w:r>
      <w:r>
        <w:t xml:space="preserve">. Lower interest rates will also improve </w:t>
      </w:r>
      <w:r w:rsidR="001B5334">
        <w:t>buyers</w:t>
      </w:r>
      <w:r w:rsidR="00A15C79">
        <w:t>’</w:t>
      </w:r>
      <w:r>
        <w:t xml:space="preserve"> borrowing capacity, resulting in a lift in dwelling prices. These outcomes provide a stronger incentive for developers to expand housing supply. Moreover, the Council expects that </w:t>
      </w:r>
      <w:r w:rsidR="0073411E">
        <w:t>government funding for non</w:t>
      </w:r>
      <w:r w:rsidR="00A15C79">
        <w:noBreakHyphen/>
      </w:r>
      <w:r w:rsidR="0073411E">
        <w:t>market housing will support</w:t>
      </w:r>
      <w:r>
        <w:t xml:space="preserve"> housing supply </w:t>
      </w:r>
      <w:r w:rsidR="00404009">
        <w:t xml:space="preserve">during </w:t>
      </w:r>
      <w:r>
        <w:t xml:space="preserve">the </w:t>
      </w:r>
      <w:r w:rsidRPr="002949B5">
        <w:t>Housing Accord period. By 2028</w:t>
      </w:r>
      <w:r w:rsidR="00404009" w:rsidRPr="002949B5">
        <w:softHyphen/>
        <w:t>–</w:t>
      </w:r>
      <w:r w:rsidRPr="002949B5">
        <w:t>29, the Council expects annual gross new housing supply to be around 19</w:t>
      </w:r>
      <w:r w:rsidR="008E2A3E" w:rsidRPr="0041126E">
        <w:t>7</w:t>
      </w:r>
      <w:r w:rsidRPr="002949B5">
        <w:t>,000 dwellings</w:t>
      </w:r>
      <w:r w:rsidR="00404009" w:rsidRPr="002949B5">
        <w:t xml:space="preserve"> –</w:t>
      </w:r>
      <w:r w:rsidRPr="002949B5">
        <w:t xml:space="preserve"> similar to annual average supply in the decade before the commencement of the Housing Accord. </w:t>
      </w:r>
    </w:p>
    <w:p w14:paraId="25F8FA6C" w14:textId="04374957" w:rsidR="00791A68" w:rsidRDefault="00697964" w:rsidP="006E082A">
      <w:pPr>
        <w:spacing w:before="200" w:after="200"/>
      </w:pPr>
      <w:r w:rsidRPr="002949B5">
        <w:t>Detached houses are expected to drive n</w:t>
      </w:r>
      <w:r w:rsidR="00791A68" w:rsidRPr="002949B5">
        <w:t xml:space="preserve">ew housing supply growth, with the new supply of houses expected to reach a </w:t>
      </w:r>
      <w:r w:rsidR="00F247E8" w:rsidRPr="002949B5">
        <w:t>3</w:t>
      </w:r>
      <w:r w:rsidR="00A15C79" w:rsidRPr="002949B5">
        <w:noBreakHyphen/>
      </w:r>
      <w:r w:rsidR="00791A68" w:rsidRPr="002949B5">
        <w:t>decade high by the end of the Housing Accord period (</w:t>
      </w:r>
      <w:r w:rsidR="00F247E8" w:rsidRPr="002949B5">
        <w:t xml:space="preserve">see </w:t>
      </w:r>
      <w:r w:rsidR="00791A68" w:rsidRPr="002949B5">
        <w:t>Chart 5.2). In contrast, the Council expects that the supply of higher</w:t>
      </w:r>
      <w:r w:rsidR="00A15C79" w:rsidRPr="002949B5">
        <w:noBreakHyphen/>
      </w:r>
      <w:r w:rsidR="00791A68" w:rsidRPr="002949B5">
        <w:t>density housing will remain low throughout the Housing Accord period</w:t>
      </w:r>
      <w:r w:rsidR="00791A68" w:rsidRPr="002949B5" w:rsidDel="000A0F6F">
        <w:t>.</w:t>
      </w:r>
      <w:r w:rsidR="00791A68" w:rsidRPr="002949B5">
        <w:t xml:space="preserve"> This is partly because planning agencies typically take longer to approve higher</w:t>
      </w:r>
      <w:r w:rsidR="00A15C79" w:rsidRPr="002949B5">
        <w:noBreakHyphen/>
      </w:r>
      <w:r w:rsidR="00791A68" w:rsidRPr="002949B5">
        <w:t>density development applications (</w:t>
      </w:r>
      <w:r w:rsidR="003F2DE3" w:rsidRPr="002949B5">
        <w:t>N</w:t>
      </w:r>
      <w:r w:rsidR="004927D5" w:rsidRPr="002949B5">
        <w:t>ational Housing Supply Council</w:t>
      </w:r>
      <w:r w:rsidR="003F2DE3" w:rsidRPr="002949B5">
        <w:t xml:space="preserve"> 2010</w:t>
      </w:r>
      <w:r w:rsidR="00791A68" w:rsidRPr="002949B5">
        <w:t>), construction companies typically take longer to build these dwellings (</w:t>
      </w:r>
      <w:r w:rsidR="00F247E8" w:rsidRPr="002949B5">
        <w:t xml:space="preserve">see </w:t>
      </w:r>
      <w:r w:rsidR="00791A68" w:rsidRPr="002949B5">
        <w:t>Chart 2.</w:t>
      </w:r>
      <w:r w:rsidR="00F777D7" w:rsidRPr="002949B5">
        <w:t>37</w:t>
      </w:r>
      <w:r w:rsidR="00791A68" w:rsidRPr="002949B5">
        <w:t>), and recent project commencements have been delayed due to lower commercial feasibility (</w:t>
      </w:r>
      <w:r w:rsidR="00777A13" w:rsidRPr="002949B5">
        <w:t xml:space="preserve">see </w:t>
      </w:r>
      <w:r w:rsidR="00791A68" w:rsidRPr="002949B5">
        <w:t>Chart 2.4</w:t>
      </w:r>
      <w:r w:rsidR="00CA0D8B" w:rsidRPr="002949B5">
        <w:t>2</w:t>
      </w:r>
      <w:r w:rsidR="00791A68" w:rsidRPr="002949B5">
        <w:t>). As a result, the boost to supply from lower interest rates and easing construction sector constraints</w:t>
      </w:r>
      <w:r w:rsidR="00791A68">
        <w:t xml:space="preserve"> is expected to be delayed, with an uptick in the new supply of higher</w:t>
      </w:r>
      <w:r w:rsidR="00A15C79">
        <w:noBreakHyphen/>
      </w:r>
      <w:r w:rsidR="00791A68">
        <w:t>density housing only occurring in the second half of the Housing Accord period. The Council expects higher</w:t>
      </w:r>
      <w:r w:rsidR="00A15C79">
        <w:noBreakHyphen/>
      </w:r>
      <w:r w:rsidR="00791A68">
        <w:t>density supply to continue rising beyond the Housing Accord period</w:t>
      </w:r>
      <w:r w:rsidR="008E4210">
        <w:t xml:space="preserve">. </w:t>
      </w:r>
    </w:p>
    <w:p w14:paraId="5BABB861" w14:textId="14329558" w:rsidR="00791A68" w:rsidRDefault="00791A68">
      <w:r>
        <w:lastRenderedPageBreak/>
        <w:t>The outlook for national housing supply is subject to a considerable degree of uncertainty, with the balance of risks likely skewed to the upside. The Council</w:t>
      </w:r>
      <w:r w:rsidR="00A15C79">
        <w:t>’</w:t>
      </w:r>
      <w:r>
        <w:t>s model does not explicitly capture structural reforms to residential land markets until these policies</w:t>
      </w:r>
      <w:r w:rsidR="00A15C79">
        <w:t>’</w:t>
      </w:r>
      <w:r>
        <w:t xml:space="preserve"> impacts are captured in the </w:t>
      </w:r>
      <w:r w:rsidR="000448A4">
        <w:t>Australian Bureau of Stati</w:t>
      </w:r>
      <w:r w:rsidR="007C5393">
        <w:t>st</w:t>
      </w:r>
      <w:r w:rsidR="000448A4">
        <w:t>ics (</w:t>
      </w:r>
      <w:r>
        <w:t>ABS</w:t>
      </w:r>
      <w:r w:rsidR="000448A4">
        <w:t>)</w:t>
      </w:r>
      <w:r>
        <w:t xml:space="preserve"> dwelling approvals data. This means that the impacts of recent reforms, such as upzoning, accelerated land releases and increased government funding of enabling infrastructure, are not fully captured in the Council</w:t>
      </w:r>
      <w:r w:rsidR="00A15C79">
        <w:t>’</w:t>
      </w:r>
      <w:r>
        <w:t>s forecasts. These represent significant upside risks, particularly for higher</w:t>
      </w:r>
      <w:r w:rsidR="00A15C79">
        <w:noBreakHyphen/>
      </w:r>
      <w:r>
        <w:t>density housing forecasts.</w:t>
      </w:r>
    </w:p>
    <w:tbl>
      <w:tblPr>
        <w:tblW w:w="5000" w:type="pct"/>
        <w:tblLayout w:type="fixed"/>
        <w:tblLook w:val="0000" w:firstRow="0" w:lastRow="0" w:firstColumn="0" w:lastColumn="0" w:noHBand="0" w:noVBand="0"/>
      </w:tblPr>
      <w:tblGrid>
        <w:gridCol w:w="4535"/>
        <w:gridCol w:w="4535"/>
      </w:tblGrid>
      <w:tr w:rsidR="00791A68" w14:paraId="61534D17" w14:textId="77777777">
        <w:trPr>
          <w:cantSplit/>
        </w:trPr>
        <w:tc>
          <w:tcPr>
            <w:tcW w:w="4428" w:type="dxa"/>
          </w:tcPr>
          <w:p w14:paraId="65CD5573" w14:textId="702D8123" w:rsidR="00791A68" w:rsidRPr="008E2A3E" w:rsidRDefault="00791A68" w:rsidP="001B4EAF">
            <w:pPr>
              <w:pStyle w:val="ChartMainHeading"/>
            </w:pPr>
            <w:r w:rsidRPr="008E2A3E">
              <w:t>Construction cost growth</w:t>
            </w:r>
          </w:p>
        </w:tc>
        <w:tc>
          <w:tcPr>
            <w:tcW w:w="4428" w:type="dxa"/>
          </w:tcPr>
          <w:p w14:paraId="1154126B" w14:textId="77777777" w:rsidR="00791A68" w:rsidRPr="008E2A3E" w:rsidRDefault="00791A68" w:rsidP="001B4EAF">
            <w:pPr>
              <w:pStyle w:val="ChartMainHeading"/>
            </w:pPr>
            <w:r w:rsidRPr="008E2A3E">
              <w:t>Cash rate</w:t>
            </w:r>
          </w:p>
        </w:tc>
      </w:tr>
      <w:tr w:rsidR="00791A68" w14:paraId="1BF25597" w14:textId="77777777">
        <w:trPr>
          <w:cantSplit/>
        </w:trPr>
        <w:tc>
          <w:tcPr>
            <w:tcW w:w="4428" w:type="dxa"/>
          </w:tcPr>
          <w:p w14:paraId="53C14A5D" w14:textId="5BD37C2A" w:rsidR="00791A68" w:rsidRPr="0041126E" w:rsidRDefault="007C7A0B" w:rsidP="0099326B">
            <w:pPr>
              <w:pStyle w:val="ChartGraphic"/>
              <w:rPr>
                <w:highlight w:val="yellow"/>
              </w:rPr>
            </w:pPr>
            <w:r w:rsidRPr="0041126E">
              <w:rPr>
                <w:noProof/>
              </w:rPr>
              <w:drawing>
                <wp:inline distT="0" distB="0" distL="0" distR="0" wp14:anchorId="6834D3DA" wp14:editId="187CC9AF">
                  <wp:extent cx="2742565" cy="2742565"/>
                  <wp:effectExtent l="0" t="0" r="0" b="0"/>
                  <wp:docPr id="940579224" name="Picture 11" descr="This line chart shows the through-the-year growth in construction costs between June quarter 2001 and June quarter 2029, where the period between March quarter 2025 and June quarter 2029 is a forecast.&#10;&#10;Construction cost growth has fluctuated over the past 20 years. It reached 7.3% in March 2004 and declined to 0.4% in December 2019, before reaching a high of 14.3% in September 2022 and declining again to 5.0% in December 2024. &#10;&#10;Construction cost growth is forecast to fall further to 0.6% in December 2025, before rising to 2.5% in September 2026 and stabilising around this level until June 20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79224" name="Picture 11" descr="This line chart shows the through-the-year growth in construction costs between June quarter 2001 and June quarter 2029, where the period between March quarter 2025 and June quarter 2029 is a forecast.&#10;&#10;Construction cost growth has fluctuated over the past 20 years. It reached 7.3% in March 2004 and declined to 0.4% in December 2019, before reaching a high of 14.3% in September 2022 and declining again to 5.0% in December 2024. &#10;&#10;Construction cost growth is forecast to fall further to 0.6% in December 2025, before rising to 2.5% in September 2026 and stabilising around this level until June 2029.&#1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742565" cy="2742565"/>
                          </a:xfrm>
                          <a:prstGeom prst="rect">
                            <a:avLst/>
                          </a:prstGeom>
                          <a:noFill/>
                          <a:ln>
                            <a:noFill/>
                          </a:ln>
                        </pic:spPr>
                      </pic:pic>
                    </a:graphicData>
                  </a:graphic>
                </wp:inline>
              </w:drawing>
            </w:r>
            <w:r w:rsidR="00791A68" w:rsidRPr="0041126E" w:rsidDel="001F770B">
              <w:rPr>
                <w:highlight w:val="yellow"/>
              </w:rPr>
              <w:t xml:space="preserve">  </w:t>
            </w:r>
          </w:p>
        </w:tc>
        <w:tc>
          <w:tcPr>
            <w:tcW w:w="4428" w:type="dxa"/>
          </w:tcPr>
          <w:p w14:paraId="394EB7EA" w14:textId="082C9CFB" w:rsidR="00791A68" w:rsidRPr="0041126E" w:rsidRDefault="00003665" w:rsidP="0041126E">
            <w:pPr>
              <w:pStyle w:val="ChartGraphic"/>
              <w:jc w:val="left"/>
              <w:rPr>
                <w:highlight w:val="yellow"/>
              </w:rPr>
            </w:pPr>
            <w:r w:rsidRPr="0041126E">
              <w:rPr>
                <w:noProof/>
              </w:rPr>
              <w:drawing>
                <wp:inline distT="0" distB="0" distL="0" distR="0" wp14:anchorId="3C35E418" wp14:editId="0EF1131E">
                  <wp:extent cx="2742565" cy="2742565"/>
                  <wp:effectExtent l="0" t="0" r="0" b="0"/>
                  <wp:docPr id="1279232059" name="Picture 12" descr="This line chart shows the cash rate between June 2001 and June 2029, where the period between March 2025 and June 2029 reflects the assumption that underlies the baseline housing supply forecasts.&#10;&#10;The chart shows the cash rate rising to peak above 7% prior to the Global Financial Crisis in 2008. After a sharp drop and a partial rebound, the cash rate then declines to sit just above 0% throughout 2021. The cash rate rises again to peak above 4% in 2024, before beginning to fall. The cash rate is assumed to continue falling until early 2026, where it stabilises around 3.5%.&#10;&#10;The chart also shows the cash rate assumption underlying the baseline forecasts from the 2024 State of the Housing System report. This assumption is lower and stabilises around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32059" name="Picture 12" descr="This line chart shows the cash rate between June 2001 and June 2029, where the period between March 2025 and June 2029 reflects the assumption that underlies the baseline housing supply forecasts.&#10;&#10;The chart shows the cash rate rising to peak above 7% prior to the Global Financial Crisis in 2008. After a sharp drop and a partial rebound, the cash rate then declines to sit just above 0% throughout 2021. The cash rate rises again to peak above 4% in 2024, before beginning to fall. The cash rate is assumed to continue falling until early 2026, where it stabilises around 3.5%.&#10;&#10;The chart also shows the cash rate assumption underlying the baseline forecasts from the 2024 State of the Housing System report. This assumption is lower and stabilises around 3%.&#1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742565" cy="2742565"/>
                          </a:xfrm>
                          <a:prstGeom prst="rect">
                            <a:avLst/>
                          </a:prstGeom>
                          <a:noFill/>
                          <a:ln>
                            <a:noFill/>
                          </a:ln>
                        </pic:spPr>
                      </pic:pic>
                    </a:graphicData>
                  </a:graphic>
                </wp:inline>
              </w:drawing>
            </w:r>
          </w:p>
        </w:tc>
      </w:tr>
      <w:tr w:rsidR="00791A68" w14:paraId="3361C413" w14:textId="77777777">
        <w:trPr>
          <w:cantSplit/>
          <w:trHeight w:val="599"/>
        </w:trPr>
        <w:tc>
          <w:tcPr>
            <w:tcW w:w="4428" w:type="dxa"/>
          </w:tcPr>
          <w:p w14:paraId="43614424" w14:textId="17158EDF" w:rsidR="00791A68" w:rsidRPr="002949B5" w:rsidRDefault="00791A68" w:rsidP="00DB6DE6">
            <w:pPr>
              <w:pStyle w:val="ChartorTableNoteandSource"/>
            </w:pPr>
            <w:r w:rsidRPr="002949B5">
              <w:t>Note:</w:t>
            </w:r>
            <w:r w:rsidR="001B4EAF" w:rsidRPr="002949B5">
              <w:tab/>
            </w:r>
            <w:r w:rsidR="00934794" w:rsidRPr="002949B5">
              <w:t>The numbers shown are the t</w:t>
            </w:r>
            <w:r w:rsidRPr="002949B5">
              <w:t>hrough</w:t>
            </w:r>
            <w:r w:rsidR="00A15C79" w:rsidRPr="002949B5">
              <w:noBreakHyphen/>
            </w:r>
            <w:r w:rsidRPr="002949B5">
              <w:t>the</w:t>
            </w:r>
            <w:r w:rsidR="00A15C79" w:rsidRPr="002949B5">
              <w:noBreakHyphen/>
            </w:r>
            <w:r w:rsidRPr="002949B5">
              <w:t>year growth in the implicit price deflator for total private dwelling investment</w:t>
            </w:r>
            <w:r w:rsidR="00E07923" w:rsidRPr="002949B5">
              <w:t>.</w:t>
            </w:r>
          </w:p>
          <w:p w14:paraId="7C8EF6FA" w14:textId="2E200209" w:rsidR="005565A3" w:rsidRPr="002949B5" w:rsidRDefault="005565A3" w:rsidP="003B35FD">
            <w:pPr>
              <w:pStyle w:val="ChartorTableNoteandSource"/>
            </w:pPr>
            <w:r w:rsidRPr="002949B5">
              <w:t>Source:</w:t>
            </w:r>
            <w:r w:rsidRPr="002949B5">
              <w:tab/>
              <w:t>ABS National Accounts Expenditure on Gross Domestic Product (GDP), Implicit price deflators 2024; Budget 2025–26; NHSAC 2025</w:t>
            </w:r>
          </w:p>
        </w:tc>
        <w:tc>
          <w:tcPr>
            <w:tcW w:w="4428" w:type="dxa"/>
          </w:tcPr>
          <w:p w14:paraId="76780F4A" w14:textId="3620EB15" w:rsidR="00791A68" w:rsidRPr="002949B5" w:rsidRDefault="00791A68" w:rsidP="00DB6DE6">
            <w:pPr>
              <w:pStyle w:val="ChartorTableNoteandSource"/>
            </w:pPr>
            <w:r w:rsidRPr="002949B5">
              <w:t>Note:</w:t>
            </w:r>
            <w:r w:rsidR="001B4EAF" w:rsidRPr="002949B5">
              <w:tab/>
            </w:r>
            <w:r w:rsidR="001E2DFB" w:rsidRPr="002949B5">
              <w:t>The numbers shown represent a</w:t>
            </w:r>
            <w:r w:rsidR="00312905" w:rsidRPr="002949B5">
              <w:t xml:space="preserve"> </w:t>
            </w:r>
            <w:r w:rsidRPr="002949B5">
              <w:t>quarter</w:t>
            </w:r>
            <w:r w:rsidR="00A15C79" w:rsidRPr="002949B5">
              <w:noBreakHyphen/>
            </w:r>
            <w:r w:rsidRPr="002949B5">
              <w:t>average series</w:t>
            </w:r>
            <w:r w:rsidR="001E2DFB" w:rsidRPr="002949B5">
              <w:t>. T</w:t>
            </w:r>
            <w:r w:rsidR="00312905" w:rsidRPr="002949B5">
              <w:t xml:space="preserve">he </w:t>
            </w:r>
            <w:r w:rsidRPr="002949B5">
              <w:t xml:space="preserve">dotted line </w:t>
            </w:r>
            <w:r w:rsidR="00312905" w:rsidRPr="002949B5">
              <w:t xml:space="preserve">represents </w:t>
            </w:r>
            <w:r w:rsidRPr="002949B5">
              <w:t xml:space="preserve">the assumption in </w:t>
            </w:r>
            <w:r w:rsidRPr="0041126E">
              <w:rPr>
                <w:i/>
              </w:rPr>
              <w:t>State of the Housing System 2024</w:t>
            </w:r>
            <w:r w:rsidR="00A04281" w:rsidRPr="002949B5">
              <w:t>.</w:t>
            </w:r>
          </w:p>
          <w:p w14:paraId="597D34DC" w14:textId="770A2CAC" w:rsidR="005565A3" w:rsidRPr="002949B5" w:rsidRDefault="005565A3" w:rsidP="003B35FD">
            <w:pPr>
              <w:pStyle w:val="ChartorTableNoteandSource"/>
            </w:pPr>
            <w:r w:rsidRPr="002949B5">
              <w:t>Source:</w:t>
            </w:r>
            <w:r w:rsidRPr="002949B5">
              <w:tab/>
              <w:t>RBA 202</w:t>
            </w:r>
            <w:r w:rsidR="00584C48" w:rsidRPr="002949B5">
              <w:t>5</w:t>
            </w:r>
            <w:r w:rsidRPr="002949B5">
              <w:t>; Bloomberg 2025; Budget 2025–26; NHSAC 2025</w:t>
            </w:r>
          </w:p>
        </w:tc>
      </w:tr>
    </w:tbl>
    <w:p w14:paraId="48ABD2CF" w14:textId="3AAD7E47" w:rsidR="00791A68" w:rsidRDefault="00791A68" w:rsidP="006E082A">
      <w:pPr>
        <w:pStyle w:val="Heading3Numbered"/>
        <w:spacing w:before="240"/>
      </w:pPr>
      <w:r>
        <w:t xml:space="preserve">State and territory </w:t>
      </w:r>
      <w:r w:rsidRPr="0099326B">
        <w:t>supply</w:t>
      </w:r>
      <w:r>
        <w:t xml:space="preserve"> forecasts</w:t>
      </w:r>
    </w:p>
    <w:p w14:paraId="7BAE0BB8" w14:textId="686F18AC" w:rsidR="00E17686" w:rsidRDefault="00791A68" w:rsidP="006E082A">
      <w:r>
        <w:t>The Council</w:t>
      </w:r>
      <w:r w:rsidR="00BB4999">
        <w:t xml:space="preserve"> generates its</w:t>
      </w:r>
      <w:r>
        <w:t xml:space="preserve"> forecasts of state and territory housing supply by running </w:t>
      </w:r>
      <w:r w:rsidR="00B370DC">
        <w:t>its</w:t>
      </w:r>
      <w:r>
        <w:t xml:space="preserve"> forecasting model</w:t>
      </w:r>
      <w:r w:rsidR="00B370DC">
        <w:t>, which</w:t>
      </w:r>
      <w:r>
        <w:t xml:space="preserve"> </w:t>
      </w:r>
      <w:r w:rsidR="00B370DC">
        <w:t>incorporates</w:t>
      </w:r>
      <w:r>
        <w:t xml:space="preserve"> jurisdiction</w:t>
      </w:r>
      <w:r w:rsidR="00A15C79">
        <w:noBreakHyphen/>
      </w:r>
      <w:r>
        <w:t xml:space="preserve">level data on housing supply, rental markets, dwelling prices and economic conditions. </w:t>
      </w:r>
      <w:r w:rsidR="003D735D">
        <w:t>R</w:t>
      </w:r>
      <w:r>
        <w:t>ecent new dwelling approvals, commencements and completions data</w:t>
      </w:r>
      <w:r w:rsidR="003D735D">
        <w:t xml:space="preserve"> </w:t>
      </w:r>
      <w:r w:rsidR="00643BB0">
        <w:t xml:space="preserve">are the main </w:t>
      </w:r>
      <w:r w:rsidR="003D735D">
        <w:t>determin</w:t>
      </w:r>
      <w:r w:rsidR="00643BB0">
        <w:t>ants of the</w:t>
      </w:r>
      <w:r w:rsidR="003D735D">
        <w:t xml:space="preserve"> near</w:t>
      </w:r>
      <w:r w:rsidR="00A15C79">
        <w:noBreakHyphen/>
      </w:r>
      <w:r w:rsidR="003D735D">
        <w:t>term forecasts</w:t>
      </w:r>
      <w:r>
        <w:t>. Forecasts over the remainder of the Housing Accord period largely reflect the sensitivity of each jurisdiction</w:t>
      </w:r>
      <w:r w:rsidR="00A15C79">
        <w:t>’</w:t>
      </w:r>
      <w:r>
        <w:t>s housing supply to macroeconomic and demographic variables.</w:t>
      </w:r>
      <w:r w:rsidR="00E17686">
        <w:br w:type="page"/>
      </w:r>
    </w:p>
    <w:p w14:paraId="16BEF724" w14:textId="0A5BB7FD" w:rsidR="00791A68" w:rsidRDefault="00791A68" w:rsidP="006E082A">
      <w:r>
        <w:lastRenderedPageBreak/>
        <w:t>Table 5.1 presents the Council</w:t>
      </w:r>
      <w:r w:rsidR="00A15C79">
        <w:t>’</w:t>
      </w:r>
      <w:r>
        <w:t>s housing supply forecasts for each state and territory. In New South Wales, Victoria, Tasmania and the Australian Capital Territory, new housing supply over the Housing Accord period is expected to be l</w:t>
      </w:r>
      <w:r w:rsidR="00B73A58">
        <w:t>ess</w:t>
      </w:r>
      <w:r>
        <w:t xml:space="preserve"> than in the preceding </w:t>
      </w:r>
      <w:r w:rsidR="00D15A7C">
        <w:t xml:space="preserve">5 </w:t>
      </w:r>
      <w:r>
        <w:t>years. In contrast, Queensland, Western</w:t>
      </w:r>
      <w:r w:rsidR="001B4EAF">
        <w:t> </w:t>
      </w:r>
      <w:r>
        <w:t>Australia, South Australia and the Northern Territory</w:t>
      </w:r>
      <w:r>
        <w:rPr>
          <w:rStyle w:val="FootnoteReference"/>
        </w:rPr>
        <w:footnoteReference w:id="10"/>
      </w:r>
      <w:r>
        <w:t xml:space="preserve"> are expected to generate </w:t>
      </w:r>
      <w:r w:rsidR="00575324">
        <w:t>more</w:t>
      </w:r>
      <w:r>
        <w:t xml:space="preserve"> new housing than in the preceding </w:t>
      </w:r>
      <w:r w:rsidR="00D15A7C">
        <w:t>5</w:t>
      </w:r>
      <w:r>
        <w:t xml:space="preserve"> years. </w:t>
      </w:r>
    </w:p>
    <w:p w14:paraId="371BD761" w14:textId="085C6F36" w:rsidR="00791A68" w:rsidRPr="00126EE8" w:rsidRDefault="00791A68">
      <w:r>
        <w:t>Nonetheless, all jurisdictions are expected to generate less new housing than their population</w:t>
      </w:r>
      <w:r w:rsidR="00A15C79">
        <w:noBreakHyphen/>
      </w:r>
      <w:r>
        <w:t>implied shares of the Housing Accord target (which the Council has calculated by multiplying the 1.2</w:t>
      </w:r>
      <w:r w:rsidR="0099326B">
        <w:t> million</w:t>
      </w:r>
      <w:r>
        <w:t xml:space="preserve"> target by each jurisdiction</w:t>
      </w:r>
      <w:r w:rsidR="00A15C79">
        <w:t>’</w:t>
      </w:r>
      <w:r>
        <w:t xml:space="preserve">s population share as at December 2022 – see </w:t>
      </w:r>
      <w:r w:rsidR="00F20932">
        <w:t>the</w:t>
      </w:r>
      <w:r>
        <w:t xml:space="preserve"> footnote in Table 5.1). Housing supply forecasts for the Northern Territory and Tasmania are particularly weak relative to their shares of the Housing Accord target. However, this supply shortfall is partly offset by the fact that new housing demand in these jurisdictions is expected to remain muted over the Housing Accord period due to low projected population growth.</w:t>
      </w:r>
    </w:p>
    <w:p w14:paraId="422270AA" w14:textId="7C8FBECD" w:rsidR="00791A68" w:rsidRPr="00CB1838" w:rsidRDefault="00791A68" w:rsidP="0099326B">
      <w:pPr>
        <w:pStyle w:val="TableMainHeading"/>
      </w:pPr>
      <w:r>
        <w:t>Gross new housing supply and population</w:t>
      </w:r>
      <w:r w:rsidR="00EF185A">
        <w:t>,</w:t>
      </w:r>
      <w:r>
        <w:t xml:space="preserve"> by state and territory</w:t>
      </w:r>
    </w:p>
    <w:tbl>
      <w:tblPr>
        <w:tblW w:w="5130" w:type="pct"/>
        <w:tblLayout w:type="fixed"/>
        <w:tblLook w:val="04A0" w:firstRow="1" w:lastRow="0" w:firstColumn="1" w:lastColumn="0" w:noHBand="0" w:noVBand="1"/>
      </w:tblPr>
      <w:tblGrid>
        <w:gridCol w:w="1373"/>
        <w:gridCol w:w="1561"/>
        <w:gridCol w:w="992"/>
        <w:gridCol w:w="992"/>
        <w:gridCol w:w="992"/>
        <w:gridCol w:w="992"/>
        <w:gridCol w:w="1133"/>
        <w:gridCol w:w="1271"/>
      </w:tblGrid>
      <w:tr w:rsidR="00EC59F5" w:rsidRPr="009D2B6D" w14:paraId="796EC0F0" w14:textId="77777777" w:rsidTr="006E4FD5">
        <w:trPr>
          <w:trHeight w:val="825"/>
        </w:trPr>
        <w:tc>
          <w:tcPr>
            <w:tcW w:w="737" w:type="pct"/>
            <w:vMerge w:val="restart"/>
            <w:tcBorders>
              <w:top w:val="nil"/>
              <w:left w:val="nil"/>
              <w:right w:val="single" w:sz="12" w:space="0" w:color="FFFFFF" w:themeColor="background1"/>
            </w:tcBorders>
            <w:shd w:val="clear" w:color="auto" w:fill="F2E3C7" w:themeFill="background2"/>
            <w:noWrap/>
            <w:vAlign w:val="center"/>
            <w:hideMark/>
          </w:tcPr>
          <w:p w14:paraId="3E490E16" w14:textId="5F628465" w:rsidR="00791A68" w:rsidRPr="009D2B6D" w:rsidRDefault="00791A68" w:rsidP="00EC59F5">
            <w:pPr>
              <w:pStyle w:val="TableColumnHeadingLeft"/>
            </w:pPr>
            <w:r w:rsidRPr="009D2B6D">
              <w:t>State</w:t>
            </w:r>
            <w:r>
              <w:t>/</w:t>
            </w:r>
            <w:r w:rsidR="00EC59F5">
              <w:t xml:space="preserve"> </w:t>
            </w:r>
            <w:r w:rsidR="00FF3BE7">
              <w:t>te</w:t>
            </w:r>
            <w:r>
              <w:t>rritory</w:t>
            </w:r>
          </w:p>
        </w:tc>
        <w:tc>
          <w:tcPr>
            <w:tcW w:w="838" w:type="pct"/>
            <w:tcBorders>
              <w:top w:val="nil"/>
              <w:left w:val="single" w:sz="12" w:space="0" w:color="FFFFFF" w:themeColor="background1"/>
              <w:bottom w:val="single" w:sz="12" w:space="0" w:color="F2E3C7" w:themeColor="background2"/>
              <w:right w:val="single" w:sz="12" w:space="0" w:color="FFFFFF" w:themeColor="background1"/>
            </w:tcBorders>
            <w:shd w:val="clear" w:color="auto" w:fill="F2E3C7" w:themeFill="background2"/>
          </w:tcPr>
          <w:p w14:paraId="1F793DB3" w14:textId="14E681F7" w:rsidR="00791A68" w:rsidRPr="00342CCD" w:rsidRDefault="00791A68" w:rsidP="00EC59F5">
            <w:pPr>
              <w:pStyle w:val="TableColumnHeadingRight"/>
            </w:pPr>
            <w:r w:rsidRPr="009D2B6D">
              <w:t>Gross new housing supply,</w:t>
            </w:r>
            <w:r w:rsidR="00EC59F5">
              <w:t xml:space="preserve"> </w:t>
            </w:r>
            <w:r w:rsidRPr="009D2B6D">
              <w:t>201</w:t>
            </w:r>
            <w:r>
              <w:t>9</w:t>
            </w:r>
            <w:r w:rsidR="00FF3BE7">
              <w:t>–</w:t>
            </w:r>
            <w:r>
              <w:t>20</w:t>
            </w:r>
            <w:r w:rsidR="00EC59F5">
              <w:t xml:space="preserve"> </w:t>
            </w:r>
            <w:r w:rsidRPr="009D2B6D">
              <w:t>to 2023</w:t>
            </w:r>
            <w:r w:rsidR="00FF3BE7">
              <w:t>–</w:t>
            </w:r>
            <w:r w:rsidRPr="009D2B6D">
              <w:t>24</w:t>
            </w:r>
          </w:p>
        </w:tc>
        <w:tc>
          <w:tcPr>
            <w:tcW w:w="1066" w:type="pct"/>
            <w:gridSpan w:val="2"/>
            <w:tcBorders>
              <w:top w:val="nil"/>
              <w:left w:val="single" w:sz="12" w:space="0" w:color="FFFFFF" w:themeColor="background1"/>
              <w:bottom w:val="single" w:sz="12" w:space="0" w:color="F2E3C7" w:themeColor="background2"/>
              <w:right w:val="single" w:sz="12" w:space="0" w:color="FFFFFF" w:themeColor="background1"/>
            </w:tcBorders>
            <w:shd w:val="clear" w:color="auto" w:fill="F2E3C7" w:themeFill="background2"/>
            <w:vAlign w:val="center"/>
            <w:hideMark/>
          </w:tcPr>
          <w:p w14:paraId="11F89545" w14:textId="10D277A1" w:rsidR="00791A68" w:rsidRPr="00EC59F5" w:rsidRDefault="00791A68" w:rsidP="00EC59F5">
            <w:pPr>
              <w:pStyle w:val="TableColumnHeadingRight"/>
            </w:pPr>
            <w:r w:rsidRPr="00344524">
              <w:t>Gross new housing supply,</w:t>
            </w:r>
            <w:r w:rsidR="00EC59F5">
              <w:t xml:space="preserve"> </w:t>
            </w:r>
            <w:r w:rsidRPr="00344524">
              <w:t>2024</w:t>
            </w:r>
            <w:r w:rsidR="00704D69">
              <w:t>–</w:t>
            </w:r>
            <w:r w:rsidRPr="00344524">
              <w:t>25 to 2028</w:t>
            </w:r>
            <w:r w:rsidR="00704D69">
              <w:t>–</w:t>
            </w:r>
            <w:r w:rsidRPr="00344524">
              <w:t>29 (forecast)</w:t>
            </w:r>
          </w:p>
        </w:tc>
        <w:tc>
          <w:tcPr>
            <w:tcW w:w="1066" w:type="pct"/>
            <w:gridSpan w:val="2"/>
            <w:tcBorders>
              <w:top w:val="nil"/>
              <w:left w:val="single" w:sz="12" w:space="0" w:color="FFFFFF" w:themeColor="background1"/>
              <w:bottom w:val="single" w:sz="12" w:space="0" w:color="F2E3C7" w:themeColor="background2"/>
              <w:right w:val="single" w:sz="12" w:space="0" w:color="FFFFFF" w:themeColor="background1"/>
            </w:tcBorders>
            <w:shd w:val="clear" w:color="auto" w:fill="F2E3C7" w:themeFill="background2"/>
            <w:vAlign w:val="center"/>
            <w:hideMark/>
          </w:tcPr>
          <w:p w14:paraId="2DB6C7D0" w14:textId="7EF6EE29" w:rsidR="00791A68" w:rsidRPr="009D2B6D" w:rsidRDefault="00791A68" w:rsidP="00EC59F5">
            <w:pPr>
              <w:pStyle w:val="TableColumnHeadingRight"/>
              <w:rPr>
                <w:bCs/>
              </w:rPr>
            </w:pPr>
            <w:r w:rsidRPr="00344524">
              <w:t>Population,</w:t>
            </w:r>
            <w:r w:rsidR="00EC59F5">
              <w:t xml:space="preserve"> </w:t>
            </w:r>
            <w:r w:rsidRPr="00344524">
              <w:t>December 2022</w:t>
            </w:r>
            <w:r>
              <w:rPr>
                <w:bCs/>
              </w:rPr>
              <w:t>*</w:t>
            </w:r>
          </w:p>
        </w:tc>
        <w:tc>
          <w:tcPr>
            <w:tcW w:w="609" w:type="pct"/>
            <w:vMerge w:val="restart"/>
            <w:tcBorders>
              <w:top w:val="nil"/>
              <w:left w:val="single" w:sz="12" w:space="0" w:color="FFFFFF" w:themeColor="background1"/>
              <w:right w:val="single" w:sz="12" w:space="0" w:color="FFFFFF" w:themeColor="background1"/>
            </w:tcBorders>
            <w:shd w:val="clear" w:color="auto" w:fill="F2E3C7" w:themeFill="background2"/>
            <w:vAlign w:val="center"/>
            <w:hideMark/>
          </w:tcPr>
          <w:p w14:paraId="581C4131" w14:textId="48E744B9" w:rsidR="00791A68" w:rsidRPr="009628A8" w:rsidRDefault="00791A68" w:rsidP="00EC59F5">
            <w:pPr>
              <w:pStyle w:val="TableColumnHeadingRight"/>
            </w:pPr>
            <w:r w:rsidRPr="00344524">
              <w:t>Share of 1.2</w:t>
            </w:r>
            <w:r w:rsidR="0099326B">
              <w:t> million</w:t>
            </w:r>
            <w:r w:rsidRPr="00344524" w:rsidDel="00E6574D">
              <w:t xml:space="preserve"> </w:t>
            </w:r>
            <w:r w:rsidR="00704D69">
              <w:t>Housing</w:t>
            </w:r>
            <w:r w:rsidRPr="00344524">
              <w:t xml:space="preserve"> Accord target*</w:t>
            </w:r>
          </w:p>
        </w:tc>
        <w:tc>
          <w:tcPr>
            <w:tcW w:w="683" w:type="pct"/>
            <w:vMerge w:val="restart"/>
            <w:tcBorders>
              <w:top w:val="nil"/>
              <w:left w:val="single" w:sz="12" w:space="0" w:color="FFFFFF" w:themeColor="background1"/>
              <w:right w:val="nil"/>
            </w:tcBorders>
            <w:shd w:val="clear" w:color="auto" w:fill="F2E3C7" w:themeFill="background2"/>
            <w:vAlign w:val="center"/>
            <w:hideMark/>
          </w:tcPr>
          <w:p w14:paraId="4EFDCB58" w14:textId="3DD10E8F" w:rsidR="00791A68" w:rsidRPr="009628A8" w:rsidRDefault="00791A68" w:rsidP="00EC59F5">
            <w:pPr>
              <w:pStyle w:val="TableColumnHeadingRight"/>
            </w:pPr>
            <w:r w:rsidRPr="00344524">
              <w:t>Gross new supply forecast, ratio to share of target</w:t>
            </w:r>
            <w:r w:rsidR="00EC59F5">
              <w:t xml:space="preserve"> </w:t>
            </w:r>
            <w:r w:rsidR="006118B6">
              <w:t>(%)</w:t>
            </w:r>
            <w:r w:rsidRPr="00344524">
              <w:t>*</w:t>
            </w:r>
          </w:p>
        </w:tc>
      </w:tr>
      <w:tr w:rsidR="007C61F5" w:rsidRPr="009D2B6D" w14:paraId="013C80E8" w14:textId="77777777" w:rsidTr="006E4FD5">
        <w:trPr>
          <w:trHeight w:val="300"/>
        </w:trPr>
        <w:tc>
          <w:tcPr>
            <w:tcW w:w="737" w:type="pct"/>
            <w:vMerge/>
            <w:tcBorders>
              <w:left w:val="nil"/>
              <w:bottom w:val="nil"/>
              <w:right w:val="single" w:sz="12" w:space="0" w:color="FFFFFF" w:themeColor="background1"/>
            </w:tcBorders>
            <w:shd w:val="clear" w:color="000000" w:fill="D4B08C"/>
            <w:noWrap/>
            <w:vAlign w:val="center"/>
          </w:tcPr>
          <w:p w14:paraId="28ECAC74" w14:textId="77777777" w:rsidR="00791A68" w:rsidRPr="009D2B6D" w:rsidRDefault="00791A68">
            <w:pPr>
              <w:spacing w:before="0" w:after="0"/>
              <w:rPr>
                <w:rFonts w:ascii="Calibri" w:hAnsi="Calibri" w:cs="Calibri"/>
                <w:b/>
                <w:bCs/>
                <w:color w:val="000000"/>
                <w:sz w:val="16"/>
                <w:szCs w:val="16"/>
              </w:rPr>
            </w:pPr>
          </w:p>
        </w:tc>
        <w:tc>
          <w:tcPr>
            <w:tcW w:w="838" w:type="pct"/>
            <w:tcBorders>
              <w:top w:val="single" w:sz="12" w:space="0" w:color="F2E3C7" w:themeColor="background2"/>
              <w:left w:val="single" w:sz="12" w:space="0" w:color="FFFFFF" w:themeColor="background1"/>
              <w:bottom w:val="nil"/>
              <w:right w:val="single" w:sz="12" w:space="0" w:color="FFFFFF" w:themeColor="background1"/>
            </w:tcBorders>
            <w:shd w:val="clear" w:color="auto" w:fill="F2E3C7" w:themeFill="background2"/>
            <w:vAlign w:val="center"/>
          </w:tcPr>
          <w:p w14:paraId="1E8BDA3A" w14:textId="77777777" w:rsidR="00791A68" w:rsidRPr="00EC59F5" w:rsidRDefault="00791A68" w:rsidP="00EC59F5">
            <w:pPr>
              <w:pStyle w:val="TableColumnHeadingRight"/>
              <w:rPr>
                <w:rStyle w:val="Emphasis"/>
                <w:b w:val="0"/>
                <w:bCs/>
              </w:rPr>
            </w:pPr>
            <w:r w:rsidRPr="00EC59F5">
              <w:rPr>
                <w:rStyle w:val="Emphasis"/>
                <w:b w:val="0"/>
                <w:bCs/>
              </w:rPr>
              <w:t>Number</w:t>
            </w:r>
          </w:p>
        </w:tc>
        <w:tc>
          <w:tcPr>
            <w:tcW w:w="533" w:type="pct"/>
            <w:tcBorders>
              <w:top w:val="single" w:sz="12" w:space="0" w:color="F2E3C7" w:themeColor="background2"/>
              <w:left w:val="single" w:sz="12" w:space="0" w:color="FFFFFF" w:themeColor="background1"/>
              <w:bottom w:val="nil"/>
              <w:right w:val="single" w:sz="12" w:space="0" w:color="F2E3C7" w:themeColor="background2"/>
            </w:tcBorders>
            <w:shd w:val="clear" w:color="auto" w:fill="F2E3C7" w:themeFill="background2"/>
            <w:noWrap/>
            <w:vAlign w:val="center"/>
          </w:tcPr>
          <w:p w14:paraId="763F9CD6" w14:textId="77777777" w:rsidR="00791A68" w:rsidRPr="00EC59F5" w:rsidRDefault="00791A68" w:rsidP="00EC59F5">
            <w:pPr>
              <w:pStyle w:val="TableColumnHeadingRight"/>
              <w:rPr>
                <w:rStyle w:val="Emphasis"/>
                <w:b w:val="0"/>
                <w:bCs/>
              </w:rPr>
            </w:pPr>
            <w:r w:rsidRPr="00EC59F5">
              <w:rPr>
                <w:rStyle w:val="Emphasis"/>
                <w:b w:val="0"/>
                <w:bCs/>
              </w:rPr>
              <w:t>Number</w:t>
            </w:r>
          </w:p>
        </w:tc>
        <w:tc>
          <w:tcPr>
            <w:tcW w:w="533" w:type="pct"/>
            <w:tcBorders>
              <w:top w:val="single" w:sz="12" w:space="0" w:color="F2E3C7" w:themeColor="background2"/>
              <w:left w:val="single" w:sz="12" w:space="0" w:color="F2E3C7" w:themeColor="background2"/>
              <w:bottom w:val="nil"/>
              <w:right w:val="single" w:sz="12" w:space="0" w:color="FFFFFF" w:themeColor="background1"/>
            </w:tcBorders>
            <w:shd w:val="clear" w:color="auto" w:fill="F2E3C7" w:themeFill="background2"/>
            <w:noWrap/>
            <w:vAlign w:val="center"/>
          </w:tcPr>
          <w:p w14:paraId="0170BFAC" w14:textId="49385EBF" w:rsidR="00791A68" w:rsidRPr="00EC59F5" w:rsidRDefault="00791A68" w:rsidP="00EC59F5">
            <w:pPr>
              <w:pStyle w:val="TableColumnHeadingRight"/>
              <w:rPr>
                <w:rStyle w:val="Emphasis"/>
                <w:b w:val="0"/>
                <w:bCs/>
              </w:rPr>
            </w:pPr>
            <w:r w:rsidRPr="00EC59F5">
              <w:rPr>
                <w:rStyle w:val="Emphasis"/>
                <w:b w:val="0"/>
                <w:bCs/>
              </w:rPr>
              <w:t>Share of total</w:t>
            </w:r>
            <w:r w:rsidR="006118B6" w:rsidRPr="00EC59F5">
              <w:rPr>
                <w:rStyle w:val="Emphasis"/>
                <w:b w:val="0"/>
                <w:bCs/>
              </w:rPr>
              <w:t xml:space="preserve"> (%)</w:t>
            </w:r>
          </w:p>
        </w:tc>
        <w:tc>
          <w:tcPr>
            <w:tcW w:w="533" w:type="pct"/>
            <w:tcBorders>
              <w:top w:val="single" w:sz="12" w:space="0" w:color="F2E3C7" w:themeColor="background2"/>
              <w:left w:val="single" w:sz="12" w:space="0" w:color="FFFFFF" w:themeColor="background1"/>
              <w:bottom w:val="nil"/>
              <w:right w:val="single" w:sz="12" w:space="0" w:color="F2E3C7" w:themeColor="background2"/>
            </w:tcBorders>
            <w:shd w:val="clear" w:color="auto" w:fill="F2E3C7" w:themeFill="background2"/>
            <w:noWrap/>
            <w:vAlign w:val="center"/>
          </w:tcPr>
          <w:p w14:paraId="5D75DBC3" w14:textId="77777777" w:rsidR="00791A68" w:rsidRPr="00EC59F5" w:rsidRDefault="00791A68" w:rsidP="00EC59F5">
            <w:pPr>
              <w:pStyle w:val="TableColumnHeadingRight"/>
              <w:rPr>
                <w:rStyle w:val="Emphasis"/>
                <w:b w:val="0"/>
                <w:bCs/>
              </w:rPr>
            </w:pPr>
            <w:r w:rsidRPr="00EC59F5">
              <w:rPr>
                <w:rStyle w:val="Emphasis"/>
                <w:b w:val="0"/>
                <w:bCs/>
              </w:rPr>
              <w:t>Number (000s)</w:t>
            </w:r>
          </w:p>
        </w:tc>
        <w:tc>
          <w:tcPr>
            <w:tcW w:w="533" w:type="pct"/>
            <w:tcBorders>
              <w:top w:val="single" w:sz="12" w:space="0" w:color="F2E3C7" w:themeColor="background2"/>
              <w:left w:val="single" w:sz="12" w:space="0" w:color="F2E3C7" w:themeColor="background2"/>
              <w:bottom w:val="nil"/>
              <w:right w:val="single" w:sz="12" w:space="0" w:color="FFFFFF" w:themeColor="background1"/>
            </w:tcBorders>
            <w:shd w:val="clear" w:color="auto" w:fill="F2E3C7" w:themeFill="background2"/>
            <w:noWrap/>
            <w:vAlign w:val="center"/>
          </w:tcPr>
          <w:p w14:paraId="0D7C9D1D" w14:textId="32910023" w:rsidR="00791A68" w:rsidRPr="00EC59F5" w:rsidRDefault="00791A68" w:rsidP="00EC59F5">
            <w:pPr>
              <w:pStyle w:val="TableColumnHeadingRight"/>
              <w:rPr>
                <w:rStyle w:val="Emphasis"/>
                <w:b w:val="0"/>
                <w:bCs/>
              </w:rPr>
            </w:pPr>
            <w:r w:rsidRPr="00EC59F5">
              <w:rPr>
                <w:rStyle w:val="Emphasis"/>
                <w:b w:val="0"/>
                <w:bCs/>
              </w:rPr>
              <w:t>Share of total</w:t>
            </w:r>
            <w:r w:rsidR="006118B6" w:rsidRPr="00EC59F5">
              <w:rPr>
                <w:rStyle w:val="Emphasis"/>
                <w:b w:val="0"/>
                <w:bCs/>
              </w:rPr>
              <w:t xml:space="preserve"> (%)</w:t>
            </w:r>
          </w:p>
        </w:tc>
        <w:tc>
          <w:tcPr>
            <w:tcW w:w="609" w:type="pct"/>
            <w:vMerge/>
            <w:tcBorders>
              <w:left w:val="single" w:sz="12" w:space="0" w:color="FFFFFF" w:themeColor="background1"/>
              <w:bottom w:val="nil"/>
              <w:right w:val="single" w:sz="12" w:space="0" w:color="FFFFFF" w:themeColor="background1"/>
            </w:tcBorders>
            <w:shd w:val="clear" w:color="000000" w:fill="F6EFE7"/>
            <w:vAlign w:val="center"/>
          </w:tcPr>
          <w:p w14:paraId="00A4153D" w14:textId="77777777" w:rsidR="00791A68" w:rsidRPr="009D2B6D" w:rsidRDefault="00791A68">
            <w:pPr>
              <w:spacing w:before="0" w:after="0"/>
              <w:jc w:val="right"/>
              <w:rPr>
                <w:rFonts w:ascii="Calibri" w:hAnsi="Calibri" w:cs="Calibri"/>
                <w:color w:val="000000"/>
                <w:sz w:val="16"/>
                <w:szCs w:val="16"/>
              </w:rPr>
            </w:pPr>
          </w:p>
        </w:tc>
        <w:tc>
          <w:tcPr>
            <w:tcW w:w="683" w:type="pct"/>
            <w:vMerge/>
            <w:tcBorders>
              <w:left w:val="single" w:sz="12" w:space="0" w:color="FFFFFF" w:themeColor="background1"/>
              <w:bottom w:val="nil"/>
              <w:right w:val="nil"/>
            </w:tcBorders>
            <w:shd w:val="clear" w:color="auto" w:fill="F2E3C7" w:themeFill="background2"/>
            <w:vAlign w:val="center"/>
          </w:tcPr>
          <w:p w14:paraId="31CF8560" w14:textId="77777777" w:rsidR="00791A68" w:rsidRPr="009D2B6D" w:rsidRDefault="00791A68">
            <w:pPr>
              <w:spacing w:before="0" w:after="0"/>
              <w:jc w:val="right"/>
              <w:rPr>
                <w:rFonts w:ascii="Calibri" w:hAnsi="Calibri" w:cs="Calibri"/>
                <w:color w:val="000000"/>
                <w:sz w:val="16"/>
                <w:szCs w:val="16"/>
              </w:rPr>
            </w:pPr>
          </w:p>
        </w:tc>
      </w:tr>
      <w:tr w:rsidR="00EC59F5" w:rsidRPr="009D2B6D" w14:paraId="598D59F3" w14:textId="77777777" w:rsidTr="006E4FD5">
        <w:trPr>
          <w:trHeight w:val="300"/>
        </w:trPr>
        <w:tc>
          <w:tcPr>
            <w:tcW w:w="737" w:type="pct"/>
            <w:tcBorders>
              <w:top w:val="nil"/>
              <w:left w:val="nil"/>
              <w:bottom w:val="single" w:sz="8" w:space="0" w:color="F2E3C7" w:themeColor="background2"/>
              <w:right w:val="single" w:sz="12" w:space="0" w:color="FFFFFF" w:themeColor="background1"/>
            </w:tcBorders>
            <w:shd w:val="clear" w:color="auto" w:fill="auto"/>
            <w:noWrap/>
            <w:vAlign w:val="center"/>
            <w:hideMark/>
          </w:tcPr>
          <w:p w14:paraId="0929F8C6" w14:textId="77E1A6ED" w:rsidR="00791A68" w:rsidRPr="00EC59F5" w:rsidRDefault="001F3B15" w:rsidP="00EC59F5">
            <w:pPr>
              <w:pStyle w:val="TableTextLeft"/>
              <w:rPr>
                <w:rStyle w:val="Strong"/>
              </w:rPr>
            </w:pPr>
            <w:r>
              <w:rPr>
                <w:rStyle w:val="Strong"/>
              </w:rPr>
              <w:t>NSW</w:t>
            </w:r>
          </w:p>
        </w:tc>
        <w:tc>
          <w:tcPr>
            <w:tcW w:w="838" w:type="pct"/>
            <w:tcBorders>
              <w:top w:val="nil"/>
              <w:left w:val="single" w:sz="12" w:space="0" w:color="FFFFFF" w:themeColor="background1"/>
              <w:bottom w:val="single" w:sz="8" w:space="0" w:color="F2E3C7" w:themeColor="background2"/>
              <w:right w:val="single" w:sz="12" w:space="0" w:color="FFFFFF" w:themeColor="background1"/>
            </w:tcBorders>
            <w:shd w:val="clear" w:color="auto" w:fill="auto"/>
          </w:tcPr>
          <w:p w14:paraId="2A396D68" w14:textId="3154A775" w:rsidR="00791A68" w:rsidRPr="002949B5" w:rsidRDefault="00E03177" w:rsidP="00EC59F5">
            <w:pPr>
              <w:pStyle w:val="TableTextRight"/>
            </w:pPr>
            <w:r w:rsidRPr="002949B5">
              <w:t>251,000</w:t>
            </w:r>
          </w:p>
        </w:tc>
        <w:tc>
          <w:tcPr>
            <w:tcW w:w="533" w:type="pct"/>
            <w:tcBorders>
              <w:top w:val="nil"/>
              <w:left w:val="single" w:sz="12" w:space="0" w:color="FFFFFF" w:themeColor="background1"/>
              <w:bottom w:val="single" w:sz="8" w:space="0" w:color="F2E3C7" w:themeColor="background2"/>
              <w:right w:val="single" w:sz="12" w:space="0" w:color="FFFFFF" w:themeColor="background1"/>
            </w:tcBorders>
            <w:shd w:val="clear" w:color="auto" w:fill="auto"/>
            <w:noWrap/>
          </w:tcPr>
          <w:p w14:paraId="7826EF37" w14:textId="17A911C4" w:rsidR="00791A68" w:rsidRPr="002949B5" w:rsidRDefault="00E03177" w:rsidP="00EC59F5">
            <w:pPr>
              <w:pStyle w:val="TableTextRight"/>
              <w:rPr>
                <w:color w:val="000000"/>
              </w:rPr>
            </w:pPr>
            <w:r w:rsidRPr="002949B5">
              <w:t>246,000</w:t>
            </w:r>
          </w:p>
        </w:tc>
        <w:tc>
          <w:tcPr>
            <w:tcW w:w="533" w:type="pct"/>
            <w:tcBorders>
              <w:top w:val="nil"/>
              <w:left w:val="single" w:sz="12" w:space="0" w:color="FFFFFF" w:themeColor="background1"/>
              <w:bottom w:val="single" w:sz="8" w:space="0" w:color="F2E3C7" w:themeColor="background2"/>
              <w:right w:val="single" w:sz="12" w:space="0" w:color="FFFFFF" w:themeColor="background1"/>
            </w:tcBorders>
            <w:shd w:val="clear" w:color="auto" w:fill="auto"/>
            <w:noWrap/>
          </w:tcPr>
          <w:p w14:paraId="08B41947" w14:textId="4C1B5303" w:rsidR="00791A68" w:rsidRPr="002949B5" w:rsidRDefault="00E03177" w:rsidP="00EC59F5">
            <w:pPr>
              <w:pStyle w:val="TableTextRight"/>
              <w:rPr>
                <w:color w:val="000000"/>
              </w:rPr>
            </w:pPr>
            <w:r w:rsidRPr="002949B5">
              <w:t>26.2</w:t>
            </w:r>
          </w:p>
        </w:tc>
        <w:tc>
          <w:tcPr>
            <w:tcW w:w="533" w:type="pct"/>
            <w:tcBorders>
              <w:top w:val="nil"/>
              <w:left w:val="single" w:sz="12" w:space="0" w:color="FFFFFF" w:themeColor="background1"/>
              <w:bottom w:val="single" w:sz="8" w:space="0" w:color="F2E3C7" w:themeColor="background2"/>
              <w:right w:val="single" w:sz="12" w:space="0" w:color="FFFFFF" w:themeColor="background1"/>
            </w:tcBorders>
            <w:shd w:val="clear" w:color="auto" w:fill="auto"/>
            <w:noWrap/>
          </w:tcPr>
          <w:p w14:paraId="003A7BDC" w14:textId="61FD3234" w:rsidR="00791A68" w:rsidRPr="002949B5" w:rsidRDefault="00791A68" w:rsidP="00EC59F5">
            <w:pPr>
              <w:pStyle w:val="TableTextRight"/>
              <w:rPr>
                <w:color w:val="000000"/>
              </w:rPr>
            </w:pPr>
            <w:r w:rsidRPr="002949B5">
              <w:t>8,239</w:t>
            </w:r>
          </w:p>
        </w:tc>
        <w:tc>
          <w:tcPr>
            <w:tcW w:w="533" w:type="pct"/>
            <w:tcBorders>
              <w:top w:val="nil"/>
              <w:left w:val="single" w:sz="12" w:space="0" w:color="FFFFFF" w:themeColor="background1"/>
              <w:bottom w:val="single" w:sz="8" w:space="0" w:color="F2E3C7" w:themeColor="background2"/>
              <w:right w:val="single" w:sz="12" w:space="0" w:color="FFFFFF" w:themeColor="background1"/>
            </w:tcBorders>
            <w:shd w:val="clear" w:color="auto" w:fill="auto"/>
            <w:noWrap/>
          </w:tcPr>
          <w:p w14:paraId="5EAE49D6" w14:textId="41DF3F5D" w:rsidR="00791A68" w:rsidRPr="002949B5" w:rsidRDefault="00791A68" w:rsidP="00EC59F5">
            <w:pPr>
              <w:pStyle w:val="TableTextRight"/>
              <w:rPr>
                <w:color w:val="000000"/>
              </w:rPr>
            </w:pPr>
            <w:r w:rsidRPr="002949B5">
              <w:t>31.4</w:t>
            </w:r>
          </w:p>
        </w:tc>
        <w:tc>
          <w:tcPr>
            <w:tcW w:w="609" w:type="pct"/>
            <w:tcBorders>
              <w:top w:val="nil"/>
              <w:left w:val="single" w:sz="12" w:space="0" w:color="FFFFFF" w:themeColor="background1"/>
              <w:bottom w:val="single" w:sz="8" w:space="0" w:color="F2E3C7" w:themeColor="background2"/>
              <w:right w:val="single" w:sz="12" w:space="0" w:color="FFFFFF" w:themeColor="background1"/>
            </w:tcBorders>
            <w:shd w:val="clear" w:color="auto" w:fill="auto"/>
          </w:tcPr>
          <w:p w14:paraId="5F53894F" w14:textId="7CBB3392" w:rsidR="00791A68" w:rsidRPr="002949B5" w:rsidRDefault="00791A68" w:rsidP="00EC59F5">
            <w:pPr>
              <w:pStyle w:val="TableTextRight"/>
              <w:rPr>
                <w:color w:val="000000"/>
              </w:rPr>
            </w:pPr>
            <w:r w:rsidRPr="002949B5">
              <w:t>376,000</w:t>
            </w:r>
          </w:p>
        </w:tc>
        <w:tc>
          <w:tcPr>
            <w:tcW w:w="683" w:type="pct"/>
            <w:tcBorders>
              <w:top w:val="nil"/>
              <w:left w:val="single" w:sz="12" w:space="0" w:color="FFFFFF" w:themeColor="background1"/>
              <w:bottom w:val="single" w:sz="8" w:space="0" w:color="F2E3C7" w:themeColor="background2"/>
              <w:right w:val="nil"/>
            </w:tcBorders>
            <w:shd w:val="clear" w:color="auto" w:fill="auto"/>
          </w:tcPr>
          <w:p w14:paraId="22C77983" w14:textId="4F4C6684" w:rsidR="00791A68" w:rsidRPr="002949B5" w:rsidRDefault="00E03177" w:rsidP="00EC59F5">
            <w:pPr>
              <w:pStyle w:val="TableTextRight"/>
              <w:rPr>
                <w:color w:val="000000"/>
              </w:rPr>
            </w:pPr>
            <w:r w:rsidRPr="002949B5">
              <w:t>65</w:t>
            </w:r>
          </w:p>
        </w:tc>
      </w:tr>
      <w:tr w:rsidR="00EC59F5" w:rsidRPr="009D2B6D" w14:paraId="092E8C2C" w14:textId="77777777" w:rsidTr="006E4FD5">
        <w:trPr>
          <w:trHeight w:val="300"/>
        </w:trPr>
        <w:tc>
          <w:tcPr>
            <w:tcW w:w="737" w:type="pct"/>
            <w:tcBorders>
              <w:top w:val="single" w:sz="8" w:space="0" w:color="F2E3C7" w:themeColor="background2"/>
              <w:left w:val="nil"/>
              <w:bottom w:val="single" w:sz="8" w:space="0" w:color="F2E3C7" w:themeColor="background2"/>
              <w:right w:val="single" w:sz="12" w:space="0" w:color="FFFFFF" w:themeColor="background1"/>
            </w:tcBorders>
            <w:shd w:val="clear" w:color="auto" w:fill="auto"/>
            <w:noWrap/>
            <w:vAlign w:val="center"/>
            <w:hideMark/>
          </w:tcPr>
          <w:p w14:paraId="1EC0A46F" w14:textId="38782673" w:rsidR="00791A68" w:rsidRPr="00EC59F5" w:rsidRDefault="001F3B15" w:rsidP="00EC59F5">
            <w:pPr>
              <w:pStyle w:val="TableTextLeft"/>
              <w:rPr>
                <w:rStyle w:val="Strong"/>
              </w:rPr>
            </w:pPr>
            <w:r>
              <w:rPr>
                <w:rStyle w:val="Strong"/>
              </w:rPr>
              <w:t>VIC</w:t>
            </w:r>
          </w:p>
        </w:tc>
        <w:tc>
          <w:tcPr>
            <w:tcW w:w="838" w:type="pct"/>
            <w:tcBorders>
              <w:top w:val="single" w:sz="8" w:space="0" w:color="F2E3C7" w:themeColor="background2"/>
              <w:left w:val="single" w:sz="12" w:space="0" w:color="FFFFFF" w:themeColor="background1"/>
              <w:bottom w:val="single" w:sz="8" w:space="0" w:color="F2E3C7" w:themeColor="background2"/>
              <w:right w:val="single" w:sz="12" w:space="0" w:color="FFFFFF" w:themeColor="background1"/>
            </w:tcBorders>
            <w:shd w:val="clear" w:color="auto" w:fill="auto"/>
          </w:tcPr>
          <w:p w14:paraId="5F70F20A" w14:textId="4105BA48" w:rsidR="00791A68" w:rsidRPr="002949B5" w:rsidRDefault="00E03177" w:rsidP="00EC59F5">
            <w:pPr>
              <w:pStyle w:val="TableTextRight"/>
            </w:pPr>
            <w:r w:rsidRPr="002949B5">
              <w:t>306,000</w:t>
            </w:r>
          </w:p>
        </w:tc>
        <w:tc>
          <w:tcPr>
            <w:tcW w:w="533" w:type="pct"/>
            <w:tcBorders>
              <w:top w:val="single" w:sz="8" w:space="0" w:color="F2E3C7" w:themeColor="background2"/>
              <w:left w:val="single" w:sz="12" w:space="0" w:color="FFFFFF" w:themeColor="background1"/>
              <w:bottom w:val="single" w:sz="8" w:space="0" w:color="F2E3C7" w:themeColor="background2"/>
              <w:right w:val="single" w:sz="12" w:space="0" w:color="FFFFFF" w:themeColor="background1"/>
            </w:tcBorders>
            <w:shd w:val="clear" w:color="auto" w:fill="auto"/>
            <w:noWrap/>
          </w:tcPr>
          <w:p w14:paraId="0B0260EC" w14:textId="13C83E51" w:rsidR="00791A68" w:rsidRPr="002949B5" w:rsidRDefault="00E03177" w:rsidP="00EC59F5">
            <w:pPr>
              <w:pStyle w:val="TableTextRight"/>
              <w:rPr>
                <w:color w:val="000000"/>
              </w:rPr>
            </w:pPr>
            <w:r w:rsidRPr="002949B5">
              <w:t>300,000</w:t>
            </w:r>
          </w:p>
        </w:tc>
        <w:tc>
          <w:tcPr>
            <w:tcW w:w="533" w:type="pct"/>
            <w:tcBorders>
              <w:top w:val="single" w:sz="8" w:space="0" w:color="F2E3C7" w:themeColor="background2"/>
              <w:left w:val="single" w:sz="12" w:space="0" w:color="FFFFFF" w:themeColor="background1"/>
              <w:bottom w:val="single" w:sz="8" w:space="0" w:color="F2E3C7" w:themeColor="background2"/>
              <w:right w:val="single" w:sz="12" w:space="0" w:color="FFFFFF" w:themeColor="background1"/>
            </w:tcBorders>
            <w:shd w:val="clear" w:color="auto" w:fill="auto"/>
            <w:noWrap/>
          </w:tcPr>
          <w:p w14:paraId="754CF7CD" w14:textId="040B5AF5" w:rsidR="00791A68" w:rsidRPr="002949B5" w:rsidRDefault="00E03177" w:rsidP="00EC59F5">
            <w:pPr>
              <w:pStyle w:val="TableTextRight"/>
              <w:rPr>
                <w:color w:val="000000"/>
              </w:rPr>
            </w:pPr>
            <w:r w:rsidRPr="002949B5">
              <w:t>32.0</w:t>
            </w:r>
          </w:p>
        </w:tc>
        <w:tc>
          <w:tcPr>
            <w:tcW w:w="533" w:type="pct"/>
            <w:tcBorders>
              <w:top w:val="single" w:sz="8" w:space="0" w:color="F2E3C7" w:themeColor="background2"/>
              <w:left w:val="single" w:sz="12" w:space="0" w:color="FFFFFF" w:themeColor="background1"/>
              <w:bottom w:val="single" w:sz="8" w:space="0" w:color="F2E3C7" w:themeColor="background2"/>
              <w:right w:val="single" w:sz="12" w:space="0" w:color="FFFFFF" w:themeColor="background1"/>
            </w:tcBorders>
            <w:shd w:val="clear" w:color="auto" w:fill="auto"/>
            <w:noWrap/>
          </w:tcPr>
          <w:p w14:paraId="24CB6AE9" w14:textId="6FA8A8A2" w:rsidR="00791A68" w:rsidRPr="002949B5" w:rsidRDefault="00791A68" w:rsidP="00EC59F5">
            <w:pPr>
              <w:pStyle w:val="TableTextRight"/>
              <w:rPr>
                <w:color w:val="000000"/>
              </w:rPr>
            </w:pPr>
            <w:r w:rsidRPr="002949B5">
              <w:t>6,704</w:t>
            </w:r>
          </w:p>
        </w:tc>
        <w:tc>
          <w:tcPr>
            <w:tcW w:w="533" w:type="pct"/>
            <w:tcBorders>
              <w:top w:val="single" w:sz="8" w:space="0" w:color="F2E3C7" w:themeColor="background2"/>
              <w:left w:val="single" w:sz="12" w:space="0" w:color="FFFFFF" w:themeColor="background1"/>
              <w:bottom w:val="single" w:sz="8" w:space="0" w:color="F2E3C7" w:themeColor="background2"/>
              <w:right w:val="single" w:sz="12" w:space="0" w:color="FFFFFF" w:themeColor="background1"/>
            </w:tcBorders>
            <w:shd w:val="clear" w:color="auto" w:fill="auto"/>
            <w:noWrap/>
          </w:tcPr>
          <w:p w14:paraId="2AD134CD" w14:textId="0E1C1212" w:rsidR="00791A68" w:rsidRPr="002949B5" w:rsidRDefault="00791A68" w:rsidP="00EC59F5">
            <w:pPr>
              <w:pStyle w:val="TableTextRight"/>
              <w:rPr>
                <w:color w:val="000000"/>
              </w:rPr>
            </w:pPr>
            <w:r w:rsidRPr="002949B5">
              <w:t>25.5</w:t>
            </w:r>
          </w:p>
        </w:tc>
        <w:tc>
          <w:tcPr>
            <w:tcW w:w="609" w:type="pct"/>
            <w:tcBorders>
              <w:top w:val="single" w:sz="8" w:space="0" w:color="F2E3C7" w:themeColor="background2"/>
              <w:left w:val="single" w:sz="12" w:space="0" w:color="FFFFFF" w:themeColor="background1"/>
              <w:bottom w:val="single" w:sz="8" w:space="0" w:color="F2E3C7" w:themeColor="background2"/>
              <w:right w:val="single" w:sz="12" w:space="0" w:color="FFFFFF" w:themeColor="background1"/>
            </w:tcBorders>
            <w:shd w:val="clear" w:color="auto" w:fill="auto"/>
            <w:noWrap/>
          </w:tcPr>
          <w:p w14:paraId="36E3733E" w14:textId="1457289A" w:rsidR="00791A68" w:rsidRPr="002949B5" w:rsidRDefault="00791A68" w:rsidP="00EC59F5">
            <w:pPr>
              <w:pStyle w:val="TableTextRight"/>
              <w:rPr>
                <w:color w:val="000000"/>
              </w:rPr>
            </w:pPr>
            <w:r w:rsidRPr="002949B5">
              <w:t>306,000</w:t>
            </w:r>
          </w:p>
        </w:tc>
        <w:tc>
          <w:tcPr>
            <w:tcW w:w="683" w:type="pct"/>
            <w:tcBorders>
              <w:top w:val="single" w:sz="8" w:space="0" w:color="F2E3C7" w:themeColor="background2"/>
              <w:left w:val="single" w:sz="12" w:space="0" w:color="FFFFFF" w:themeColor="background1"/>
              <w:bottom w:val="single" w:sz="8" w:space="0" w:color="F2E3C7" w:themeColor="background2"/>
              <w:right w:val="nil"/>
            </w:tcBorders>
            <w:shd w:val="clear" w:color="auto" w:fill="auto"/>
            <w:noWrap/>
          </w:tcPr>
          <w:p w14:paraId="4EC8D209" w14:textId="42AD1EF4" w:rsidR="00791A68" w:rsidRPr="002949B5" w:rsidRDefault="00E03177" w:rsidP="00EC59F5">
            <w:pPr>
              <w:pStyle w:val="TableTextRight"/>
              <w:rPr>
                <w:color w:val="000000"/>
              </w:rPr>
            </w:pPr>
            <w:r w:rsidRPr="002949B5">
              <w:t>98</w:t>
            </w:r>
          </w:p>
        </w:tc>
      </w:tr>
      <w:tr w:rsidR="00EC59F5" w:rsidRPr="009D2B6D" w14:paraId="396E6AD6" w14:textId="77777777" w:rsidTr="006E4FD5">
        <w:trPr>
          <w:trHeight w:val="300"/>
        </w:trPr>
        <w:tc>
          <w:tcPr>
            <w:tcW w:w="737" w:type="pct"/>
            <w:tcBorders>
              <w:top w:val="single" w:sz="8" w:space="0" w:color="F2E3C7" w:themeColor="background2"/>
              <w:left w:val="nil"/>
              <w:bottom w:val="single" w:sz="8" w:space="0" w:color="F2E3C7" w:themeColor="background2"/>
              <w:right w:val="single" w:sz="12" w:space="0" w:color="FFFFFF" w:themeColor="background1"/>
            </w:tcBorders>
            <w:shd w:val="clear" w:color="auto" w:fill="auto"/>
            <w:noWrap/>
            <w:vAlign w:val="center"/>
            <w:hideMark/>
          </w:tcPr>
          <w:p w14:paraId="59C432D9" w14:textId="720E12F3" w:rsidR="00791A68" w:rsidRPr="00EC59F5" w:rsidRDefault="001F3B15" w:rsidP="00EC59F5">
            <w:pPr>
              <w:pStyle w:val="TableTextLeft"/>
              <w:rPr>
                <w:rStyle w:val="Strong"/>
              </w:rPr>
            </w:pPr>
            <w:r>
              <w:rPr>
                <w:rStyle w:val="Strong"/>
              </w:rPr>
              <w:t>QLD</w:t>
            </w:r>
          </w:p>
        </w:tc>
        <w:tc>
          <w:tcPr>
            <w:tcW w:w="838" w:type="pct"/>
            <w:tcBorders>
              <w:top w:val="single" w:sz="8" w:space="0" w:color="F2E3C7" w:themeColor="background2"/>
              <w:left w:val="single" w:sz="12" w:space="0" w:color="FFFFFF" w:themeColor="background1"/>
              <w:bottom w:val="single" w:sz="8" w:space="0" w:color="F2E3C7" w:themeColor="background2"/>
              <w:right w:val="single" w:sz="12" w:space="0" w:color="FFFFFF" w:themeColor="background1"/>
            </w:tcBorders>
            <w:shd w:val="clear" w:color="auto" w:fill="auto"/>
          </w:tcPr>
          <w:p w14:paraId="56DF97E1" w14:textId="06894817" w:rsidR="00791A68" w:rsidRPr="002949B5" w:rsidRDefault="00E03177" w:rsidP="00EC59F5">
            <w:pPr>
              <w:pStyle w:val="TableTextRight"/>
            </w:pPr>
            <w:r w:rsidRPr="002949B5">
              <w:t>166,000</w:t>
            </w:r>
          </w:p>
        </w:tc>
        <w:tc>
          <w:tcPr>
            <w:tcW w:w="533" w:type="pct"/>
            <w:tcBorders>
              <w:top w:val="single" w:sz="8" w:space="0" w:color="F2E3C7" w:themeColor="background2"/>
              <w:left w:val="single" w:sz="12" w:space="0" w:color="FFFFFF" w:themeColor="background1"/>
              <w:bottom w:val="single" w:sz="8" w:space="0" w:color="F2E3C7" w:themeColor="background2"/>
              <w:right w:val="single" w:sz="12" w:space="0" w:color="FFFFFF" w:themeColor="background1"/>
            </w:tcBorders>
            <w:shd w:val="clear" w:color="auto" w:fill="auto"/>
            <w:noWrap/>
          </w:tcPr>
          <w:p w14:paraId="5AD285E7" w14:textId="5B9F5ED7" w:rsidR="00791A68" w:rsidRPr="002949B5" w:rsidRDefault="00E03177" w:rsidP="00EC59F5">
            <w:pPr>
              <w:pStyle w:val="TableTextRight"/>
              <w:rPr>
                <w:color w:val="000000"/>
              </w:rPr>
            </w:pPr>
            <w:r w:rsidRPr="002949B5">
              <w:t>194,000</w:t>
            </w:r>
          </w:p>
        </w:tc>
        <w:tc>
          <w:tcPr>
            <w:tcW w:w="533" w:type="pct"/>
            <w:tcBorders>
              <w:top w:val="single" w:sz="8" w:space="0" w:color="F2E3C7" w:themeColor="background2"/>
              <w:left w:val="single" w:sz="12" w:space="0" w:color="FFFFFF" w:themeColor="background1"/>
              <w:bottom w:val="single" w:sz="8" w:space="0" w:color="F2E3C7" w:themeColor="background2"/>
              <w:right w:val="single" w:sz="12" w:space="0" w:color="FFFFFF" w:themeColor="background1"/>
            </w:tcBorders>
            <w:shd w:val="clear" w:color="auto" w:fill="auto"/>
            <w:noWrap/>
          </w:tcPr>
          <w:p w14:paraId="5967CFB9" w14:textId="0C0638B3" w:rsidR="00791A68" w:rsidRPr="002949B5" w:rsidRDefault="00E03177" w:rsidP="00EC59F5">
            <w:pPr>
              <w:pStyle w:val="TableTextRight"/>
              <w:rPr>
                <w:color w:val="000000"/>
              </w:rPr>
            </w:pPr>
            <w:r w:rsidRPr="002949B5">
              <w:t>20.7</w:t>
            </w:r>
          </w:p>
        </w:tc>
        <w:tc>
          <w:tcPr>
            <w:tcW w:w="533" w:type="pct"/>
            <w:tcBorders>
              <w:top w:val="single" w:sz="8" w:space="0" w:color="F2E3C7" w:themeColor="background2"/>
              <w:left w:val="single" w:sz="12" w:space="0" w:color="FFFFFF" w:themeColor="background1"/>
              <w:bottom w:val="single" w:sz="8" w:space="0" w:color="F2E3C7" w:themeColor="background2"/>
              <w:right w:val="single" w:sz="12" w:space="0" w:color="FFFFFF" w:themeColor="background1"/>
            </w:tcBorders>
            <w:shd w:val="clear" w:color="auto" w:fill="auto"/>
            <w:noWrap/>
          </w:tcPr>
          <w:p w14:paraId="7E98E01E" w14:textId="55523851" w:rsidR="00791A68" w:rsidRPr="002949B5" w:rsidRDefault="00791A68" w:rsidP="00EC59F5">
            <w:pPr>
              <w:pStyle w:val="TableTextRight"/>
              <w:rPr>
                <w:color w:val="000000"/>
              </w:rPr>
            </w:pPr>
            <w:r w:rsidRPr="002949B5">
              <w:t>5,378</w:t>
            </w:r>
          </w:p>
        </w:tc>
        <w:tc>
          <w:tcPr>
            <w:tcW w:w="533" w:type="pct"/>
            <w:tcBorders>
              <w:top w:val="single" w:sz="8" w:space="0" w:color="F2E3C7" w:themeColor="background2"/>
              <w:left w:val="single" w:sz="12" w:space="0" w:color="FFFFFF" w:themeColor="background1"/>
              <w:bottom w:val="single" w:sz="8" w:space="0" w:color="F2E3C7" w:themeColor="background2"/>
              <w:right w:val="single" w:sz="12" w:space="0" w:color="FFFFFF" w:themeColor="background1"/>
            </w:tcBorders>
            <w:shd w:val="clear" w:color="auto" w:fill="auto"/>
            <w:noWrap/>
          </w:tcPr>
          <w:p w14:paraId="49DADF07" w14:textId="405208D8" w:rsidR="00791A68" w:rsidRPr="002949B5" w:rsidRDefault="00791A68" w:rsidP="00EC59F5">
            <w:pPr>
              <w:pStyle w:val="TableTextRight"/>
              <w:rPr>
                <w:color w:val="000000"/>
              </w:rPr>
            </w:pPr>
            <w:r w:rsidRPr="002949B5">
              <w:t>20.5</w:t>
            </w:r>
          </w:p>
        </w:tc>
        <w:tc>
          <w:tcPr>
            <w:tcW w:w="609" w:type="pct"/>
            <w:tcBorders>
              <w:top w:val="single" w:sz="8" w:space="0" w:color="F2E3C7" w:themeColor="background2"/>
              <w:left w:val="single" w:sz="12" w:space="0" w:color="FFFFFF" w:themeColor="background1"/>
              <w:bottom w:val="single" w:sz="8" w:space="0" w:color="F2E3C7" w:themeColor="background2"/>
              <w:right w:val="single" w:sz="12" w:space="0" w:color="FFFFFF" w:themeColor="background1"/>
            </w:tcBorders>
            <w:shd w:val="clear" w:color="auto" w:fill="auto"/>
          </w:tcPr>
          <w:p w14:paraId="6CAADA65" w14:textId="72B0D16E" w:rsidR="00791A68" w:rsidRPr="002949B5" w:rsidRDefault="00791A68" w:rsidP="00EC59F5">
            <w:pPr>
              <w:pStyle w:val="TableTextRight"/>
              <w:rPr>
                <w:color w:val="000000"/>
              </w:rPr>
            </w:pPr>
            <w:r w:rsidRPr="002949B5">
              <w:t>246,000</w:t>
            </w:r>
          </w:p>
        </w:tc>
        <w:tc>
          <w:tcPr>
            <w:tcW w:w="683" w:type="pct"/>
            <w:tcBorders>
              <w:top w:val="single" w:sz="8" w:space="0" w:color="F2E3C7" w:themeColor="background2"/>
              <w:left w:val="single" w:sz="12" w:space="0" w:color="FFFFFF" w:themeColor="background1"/>
              <w:bottom w:val="single" w:sz="8" w:space="0" w:color="F2E3C7" w:themeColor="background2"/>
              <w:right w:val="nil"/>
            </w:tcBorders>
            <w:shd w:val="clear" w:color="auto" w:fill="auto"/>
          </w:tcPr>
          <w:p w14:paraId="71894023" w14:textId="65B9CF4A" w:rsidR="00791A68" w:rsidRPr="002949B5" w:rsidRDefault="00E03177" w:rsidP="00EC59F5">
            <w:pPr>
              <w:pStyle w:val="TableTextRight"/>
              <w:rPr>
                <w:color w:val="000000"/>
              </w:rPr>
            </w:pPr>
            <w:r w:rsidRPr="002949B5">
              <w:t>79</w:t>
            </w:r>
          </w:p>
        </w:tc>
      </w:tr>
      <w:tr w:rsidR="00EC59F5" w:rsidRPr="009D2B6D" w14:paraId="5A09ABCF" w14:textId="77777777" w:rsidTr="00257975">
        <w:trPr>
          <w:trHeight w:val="236"/>
        </w:trPr>
        <w:tc>
          <w:tcPr>
            <w:tcW w:w="737" w:type="pct"/>
            <w:tcBorders>
              <w:top w:val="single" w:sz="8" w:space="0" w:color="F2E3C7" w:themeColor="background2"/>
              <w:left w:val="nil"/>
              <w:bottom w:val="single" w:sz="8" w:space="0" w:color="F2E3C7" w:themeColor="background2"/>
              <w:right w:val="single" w:sz="12" w:space="0" w:color="FFFFFF" w:themeColor="background1"/>
            </w:tcBorders>
            <w:shd w:val="clear" w:color="auto" w:fill="auto"/>
            <w:noWrap/>
            <w:vAlign w:val="center"/>
            <w:hideMark/>
          </w:tcPr>
          <w:p w14:paraId="5C0571C7" w14:textId="6E65CB6A" w:rsidR="00791A68" w:rsidRPr="00EC59F5" w:rsidRDefault="001F3B15" w:rsidP="00EC59F5">
            <w:pPr>
              <w:pStyle w:val="TableTextLeft"/>
              <w:rPr>
                <w:rStyle w:val="Strong"/>
              </w:rPr>
            </w:pPr>
            <w:r>
              <w:rPr>
                <w:rStyle w:val="Strong"/>
              </w:rPr>
              <w:t>WA</w:t>
            </w:r>
          </w:p>
        </w:tc>
        <w:tc>
          <w:tcPr>
            <w:tcW w:w="838" w:type="pct"/>
            <w:tcBorders>
              <w:top w:val="single" w:sz="8" w:space="0" w:color="F2E3C7" w:themeColor="background2"/>
              <w:left w:val="single" w:sz="12" w:space="0" w:color="FFFFFF" w:themeColor="background1"/>
              <w:bottom w:val="single" w:sz="8" w:space="0" w:color="F2E3C7" w:themeColor="background2"/>
              <w:right w:val="single" w:sz="12" w:space="0" w:color="FFFFFF" w:themeColor="background1"/>
            </w:tcBorders>
            <w:shd w:val="clear" w:color="auto" w:fill="auto"/>
          </w:tcPr>
          <w:p w14:paraId="57EAB78F" w14:textId="245246CA" w:rsidR="00791A68" w:rsidRPr="002949B5" w:rsidRDefault="00E03177" w:rsidP="00EC59F5">
            <w:pPr>
              <w:pStyle w:val="TableTextRight"/>
            </w:pPr>
            <w:r w:rsidRPr="002949B5">
              <w:t>75,000</w:t>
            </w:r>
          </w:p>
        </w:tc>
        <w:tc>
          <w:tcPr>
            <w:tcW w:w="533" w:type="pct"/>
            <w:tcBorders>
              <w:top w:val="single" w:sz="8" w:space="0" w:color="F2E3C7" w:themeColor="background2"/>
              <w:left w:val="single" w:sz="12" w:space="0" w:color="FFFFFF" w:themeColor="background1"/>
              <w:bottom w:val="single" w:sz="8" w:space="0" w:color="F2E3C7" w:themeColor="background2"/>
              <w:right w:val="single" w:sz="12" w:space="0" w:color="FFFFFF" w:themeColor="background1"/>
            </w:tcBorders>
            <w:shd w:val="clear" w:color="auto" w:fill="auto"/>
            <w:noWrap/>
          </w:tcPr>
          <w:p w14:paraId="6290C1BD" w14:textId="0372855C" w:rsidR="00791A68" w:rsidRPr="002949B5" w:rsidRDefault="00E03177" w:rsidP="00EC59F5">
            <w:pPr>
              <w:pStyle w:val="TableTextRight"/>
              <w:rPr>
                <w:color w:val="000000"/>
              </w:rPr>
            </w:pPr>
            <w:r w:rsidRPr="002949B5">
              <w:t>105,000</w:t>
            </w:r>
          </w:p>
        </w:tc>
        <w:tc>
          <w:tcPr>
            <w:tcW w:w="533" w:type="pct"/>
            <w:tcBorders>
              <w:top w:val="single" w:sz="8" w:space="0" w:color="F2E3C7" w:themeColor="background2"/>
              <w:left w:val="single" w:sz="12" w:space="0" w:color="FFFFFF" w:themeColor="background1"/>
              <w:bottom w:val="single" w:sz="8" w:space="0" w:color="F2E3C7" w:themeColor="background2"/>
              <w:right w:val="single" w:sz="12" w:space="0" w:color="FFFFFF" w:themeColor="background1"/>
            </w:tcBorders>
            <w:shd w:val="clear" w:color="auto" w:fill="auto"/>
            <w:noWrap/>
          </w:tcPr>
          <w:p w14:paraId="666552DD" w14:textId="5B72C2F5" w:rsidR="00791A68" w:rsidRPr="002949B5" w:rsidRDefault="00E03177" w:rsidP="00EC59F5">
            <w:pPr>
              <w:pStyle w:val="TableTextRight"/>
              <w:rPr>
                <w:color w:val="000000"/>
              </w:rPr>
            </w:pPr>
            <w:r w:rsidRPr="002949B5">
              <w:t>11.2</w:t>
            </w:r>
          </w:p>
        </w:tc>
        <w:tc>
          <w:tcPr>
            <w:tcW w:w="533" w:type="pct"/>
            <w:tcBorders>
              <w:top w:val="single" w:sz="8" w:space="0" w:color="F2E3C7" w:themeColor="background2"/>
              <w:left w:val="single" w:sz="12" w:space="0" w:color="FFFFFF" w:themeColor="background1"/>
              <w:bottom w:val="single" w:sz="8" w:space="0" w:color="F2E3C7" w:themeColor="background2"/>
              <w:right w:val="single" w:sz="12" w:space="0" w:color="FFFFFF" w:themeColor="background1"/>
            </w:tcBorders>
            <w:shd w:val="clear" w:color="auto" w:fill="auto"/>
            <w:noWrap/>
          </w:tcPr>
          <w:p w14:paraId="5828D501" w14:textId="0A5E3930" w:rsidR="00791A68" w:rsidRPr="002949B5" w:rsidRDefault="00791A68" w:rsidP="00EC59F5">
            <w:pPr>
              <w:pStyle w:val="TableTextRight"/>
              <w:rPr>
                <w:color w:val="000000"/>
              </w:rPr>
            </w:pPr>
            <w:r w:rsidRPr="002949B5">
              <w:t>2,825</w:t>
            </w:r>
          </w:p>
        </w:tc>
        <w:tc>
          <w:tcPr>
            <w:tcW w:w="533" w:type="pct"/>
            <w:tcBorders>
              <w:top w:val="single" w:sz="8" w:space="0" w:color="F2E3C7" w:themeColor="background2"/>
              <w:left w:val="single" w:sz="12" w:space="0" w:color="FFFFFF" w:themeColor="background1"/>
              <w:bottom w:val="single" w:sz="8" w:space="0" w:color="F2E3C7" w:themeColor="background2"/>
              <w:right w:val="single" w:sz="12" w:space="0" w:color="FFFFFF" w:themeColor="background1"/>
            </w:tcBorders>
            <w:shd w:val="clear" w:color="auto" w:fill="auto"/>
            <w:noWrap/>
          </w:tcPr>
          <w:p w14:paraId="318076B5" w14:textId="180F2567" w:rsidR="00791A68" w:rsidRPr="002949B5" w:rsidRDefault="00791A68" w:rsidP="00EC59F5">
            <w:pPr>
              <w:pStyle w:val="TableTextRight"/>
              <w:rPr>
                <w:color w:val="000000"/>
              </w:rPr>
            </w:pPr>
            <w:r w:rsidRPr="002949B5">
              <w:t>10.8</w:t>
            </w:r>
          </w:p>
        </w:tc>
        <w:tc>
          <w:tcPr>
            <w:tcW w:w="609" w:type="pct"/>
            <w:tcBorders>
              <w:top w:val="single" w:sz="8" w:space="0" w:color="F2E3C7" w:themeColor="background2"/>
              <w:left w:val="single" w:sz="12" w:space="0" w:color="FFFFFF" w:themeColor="background1"/>
              <w:bottom w:val="single" w:sz="8" w:space="0" w:color="F2E3C7" w:themeColor="background2"/>
              <w:right w:val="single" w:sz="12" w:space="0" w:color="FFFFFF" w:themeColor="background1"/>
            </w:tcBorders>
            <w:shd w:val="clear" w:color="auto" w:fill="auto"/>
            <w:noWrap/>
          </w:tcPr>
          <w:p w14:paraId="2856D473" w14:textId="5CA99052" w:rsidR="00791A68" w:rsidRPr="002949B5" w:rsidRDefault="00791A68" w:rsidP="00EC59F5">
            <w:pPr>
              <w:pStyle w:val="TableTextRight"/>
              <w:rPr>
                <w:color w:val="000000"/>
              </w:rPr>
            </w:pPr>
            <w:r w:rsidRPr="002949B5">
              <w:t>129,000</w:t>
            </w:r>
          </w:p>
        </w:tc>
        <w:tc>
          <w:tcPr>
            <w:tcW w:w="683" w:type="pct"/>
            <w:tcBorders>
              <w:top w:val="single" w:sz="8" w:space="0" w:color="F2E3C7" w:themeColor="background2"/>
              <w:left w:val="single" w:sz="12" w:space="0" w:color="FFFFFF" w:themeColor="background1"/>
              <w:bottom w:val="single" w:sz="8" w:space="0" w:color="F2E3C7" w:themeColor="background2"/>
              <w:right w:val="nil"/>
            </w:tcBorders>
            <w:shd w:val="clear" w:color="auto" w:fill="auto"/>
            <w:noWrap/>
          </w:tcPr>
          <w:p w14:paraId="2620F953" w14:textId="5CAE151B" w:rsidR="00791A68" w:rsidRPr="002949B5" w:rsidRDefault="00E03177" w:rsidP="00EC59F5">
            <w:pPr>
              <w:pStyle w:val="TableTextRight"/>
              <w:rPr>
                <w:color w:val="000000"/>
              </w:rPr>
            </w:pPr>
            <w:r w:rsidRPr="002949B5">
              <w:t>81</w:t>
            </w:r>
          </w:p>
        </w:tc>
      </w:tr>
      <w:tr w:rsidR="00EC59F5" w:rsidRPr="009D2B6D" w14:paraId="13E4ECFF" w14:textId="77777777" w:rsidTr="006E4FD5">
        <w:trPr>
          <w:trHeight w:val="300"/>
        </w:trPr>
        <w:tc>
          <w:tcPr>
            <w:tcW w:w="737" w:type="pct"/>
            <w:tcBorders>
              <w:top w:val="single" w:sz="8" w:space="0" w:color="F2E3C7" w:themeColor="background2"/>
              <w:left w:val="nil"/>
              <w:bottom w:val="single" w:sz="8" w:space="0" w:color="F2E3C7" w:themeColor="background2"/>
              <w:right w:val="single" w:sz="12" w:space="0" w:color="FFFFFF" w:themeColor="background1"/>
            </w:tcBorders>
            <w:shd w:val="clear" w:color="auto" w:fill="auto"/>
            <w:noWrap/>
            <w:vAlign w:val="center"/>
            <w:hideMark/>
          </w:tcPr>
          <w:p w14:paraId="4011090E" w14:textId="254A1830" w:rsidR="00791A68" w:rsidRPr="00EC59F5" w:rsidRDefault="001F3B15" w:rsidP="00EC59F5">
            <w:pPr>
              <w:pStyle w:val="TableTextLeft"/>
              <w:rPr>
                <w:rStyle w:val="Strong"/>
              </w:rPr>
            </w:pPr>
            <w:r>
              <w:rPr>
                <w:rStyle w:val="Strong"/>
              </w:rPr>
              <w:t>SA</w:t>
            </w:r>
          </w:p>
        </w:tc>
        <w:tc>
          <w:tcPr>
            <w:tcW w:w="838" w:type="pct"/>
            <w:tcBorders>
              <w:top w:val="single" w:sz="8" w:space="0" w:color="F2E3C7" w:themeColor="background2"/>
              <w:left w:val="single" w:sz="12" w:space="0" w:color="FFFFFF" w:themeColor="background1"/>
              <w:bottom w:val="single" w:sz="8" w:space="0" w:color="F2E3C7" w:themeColor="background2"/>
              <w:right w:val="single" w:sz="12" w:space="0" w:color="FFFFFF" w:themeColor="background1"/>
            </w:tcBorders>
            <w:shd w:val="clear" w:color="auto" w:fill="auto"/>
          </w:tcPr>
          <w:p w14:paraId="6895244B" w14:textId="1D6CA06D" w:rsidR="00791A68" w:rsidRPr="002949B5" w:rsidRDefault="00E03177" w:rsidP="00EC59F5">
            <w:pPr>
              <w:pStyle w:val="TableTextRight"/>
            </w:pPr>
            <w:r w:rsidRPr="002949B5">
              <w:t>54,000</w:t>
            </w:r>
          </w:p>
        </w:tc>
        <w:tc>
          <w:tcPr>
            <w:tcW w:w="533" w:type="pct"/>
            <w:tcBorders>
              <w:top w:val="single" w:sz="8" w:space="0" w:color="F2E3C7" w:themeColor="background2"/>
              <w:left w:val="single" w:sz="12" w:space="0" w:color="FFFFFF" w:themeColor="background1"/>
              <w:bottom w:val="single" w:sz="8" w:space="0" w:color="F2E3C7" w:themeColor="background2"/>
              <w:right w:val="single" w:sz="12" w:space="0" w:color="FFFFFF" w:themeColor="background1"/>
            </w:tcBorders>
            <w:shd w:val="clear" w:color="auto" w:fill="auto"/>
            <w:noWrap/>
          </w:tcPr>
          <w:p w14:paraId="3C9E32A7" w14:textId="6B53337C" w:rsidR="00791A68" w:rsidRPr="002949B5" w:rsidRDefault="00E03177" w:rsidP="00EC59F5">
            <w:pPr>
              <w:pStyle w:val="TableTextRight"/>
              <w:rPr>
                <w:color w:val="000000"/>
              </w:rPr>
            </w:pPr>
            <w:r w:rsidRPr="002949B5">
              <w:t>59,000</w:t>
            </w:r>
          </w:p>
        </w:tc>
        <w:tc>
          <w:tcPr>
            <w:tcW w:w="533" w:type="pct"/>
            <w:tcBorders>
              <w:top w:val="single" w:sz="8" w:space="0" w:color="F2E3C7" w:themeColor="background2"/>
              <w:left w:val="single" w:sz="12" w:space="0" w:color="FFFFFF" w:themeColor="background1"/>
              <w:bottom w:val="single" w:sz="8" w:space="0" w:color="F2E3C7" w:themeColor="background2"/>
              <w:right w:val="single" w:sz="12" w:space="0" w:color="FFFFFF" w:themeColor="background1"/>
            </w:tcBorders>
            <w:shd w:val="clear" w:color="auto" w:fill="auto"/>
            <w:noWrap/>
          </w:tcPr>
          <w:p w14:paraId="1C0A0F9B" w14:textId="71EB1D98" w:rsidR="00791A68" w:rsidRPr="002949B5" w:rsidRDefault="00E03177" w:rsidP="00EC59F5">
            <w:pPr>
              <w:pStyle w:val="TableTextRight"/>
              <w:rPr>
                <w:color w:val="000000"/>
              </w:rPr>
            </w:pPr>
            <w:r w:rsidRPr="002949B5">
              <w:t>6.3</w:t>
            </w:r>
          </w:p>
        </w:tc>
        <w:tc>
          <w:tcPr>
            <w:tcW w:w="533" w:type="pct"/>
            <w:tcBorders>
              <w:top w:val="single" w:sz="8" w:space="0" w:color="F2E3C7" w:themeColor="background2"/>
              <w:left w:val="single" w:sz="12" w:space="0" w:color="FFFFFF" w:themeColor="background1"/>
              <w:bottom w:val="single" w:sz="8" w:space="0" w:color="F2E3C7" w:themeColor="background2"/>
              <w:right w:val="single" w:sz="12" w:space="0" w:color="FFFFFF" w:themeColor="background1"/>
            </w:tcBorders>
            <w:shd w:val="clear" w:color="auto" w:fill="auto"/>
            <w:noWrap/>
          </w:tcPr>
          <w:p w14:paraId="4905661B" w14:textId="19713991" w:rsidR="00791A68" w:rsidRPr="002949B5" w:rsidRDefault="00791A68" w:rsidP="00EC59F5">
            <w:pPr>
              <w:pStyle w:val="TableTextRight"/>
              <w:rPr>
                <w:color w:val="000000"/>
              </w:rPr>
            </w:pPr>
            <w:r w:rsidRPr="002949B5">
              <w:t>1,834</w:t>
            </w:r>
          </w:p>
        </w:tc>
        <w:tc>
          <w:tcPr>
            <w:tcW w:w="533" w:type="pct"/>
            <w:tcBorders>
              <w:top w:val="single" w:sz="8" w:space="0" w:color="F2E3C7" w:themeColor="background2"/>
              <w:left w:val="single" w:sz="12" w:space="0" w:color="FFFFFF" w:themeColor="background1"/>
              <w:bottom w:val="single" w:sz="8" w:space="0" w:color="F2E3C7" w:themeColor="background2"/>
              <w:right w:val="single" w:sz="12" w:space="0" w:color="FFFFFF" w:themeColor="background1"/>
            </w:tcBorders>
            <w:shd w:val="clear" w:color="auto" w:fill="auto"/>
            <w:noWrap/>
          </w:tcPr>
          <w:p w14:paraId="6F2AE782" w14:textId="52AC8673" w:rsidR="00791A68" w:rsidRPr="002949B5" w:rsidRDefault="00791A68" w:rsidP="00EC59F5">
            <w:pPr>
              <w:pStyle w:val="TableTextRight"/>
              <w:rPr>
                <w:color w:val="000000"/>
              </w:rPr>
            </w:pPr>
            <w:r w:rsidRPr="002949B5">
              <w:t>7.0</w:t>
            </w:r>
          </w:p>
        </w:tc>
        <w:tc>
          <w:tcPr>
            <w:tcW w:w="609" w:type="pct"/>
            <w:tcBorders>
              <w:top w:val="single" w:sz="8" w:space="0" w:color="F2E3C7" w:themeColor="background2"/>
              <w:left w:val="single" w:sz="12" w:space="0" w:color="FFFFFF" w:themeColor="background1"/>
              <w:bottom w:val="single" w:sz="8" w:space="0" w:color="F2E3C7" w:themeColor="background2"/>
              <w:right w:val="single" w:sz="12" w:space="0" w:color="FFFFFF" w:themeColor="background1"/>
            </w:tcBorders>
            <w:shd w:val="clear" w:color="auto" w:fill="auto"/>
          </w:tcPr>
          <w:p w14:paraId="5C004DED" w14:textId="7D3810D5" w:rsidR="00791A68" w:rsidRPr="002949B5" w:rsidRDefault="00791A68" w:rsidP="00EC59F5">
            <w:pPr>
              <w:pStyle w:val="TableTextRight"/>
              <w:rPr>
                <w:color w:val="000000"/>
              </w:rPr>
            </w:pPr>
            <w:r w:rsidRPr="002949B5">
              <w:t>84,000</w:t>
            </w:r>
          </w:p>
        </w:tc>
        <w:tc>
          <w:tcPr>
            <w:tcW w:w="683" w:type="pct"/>
            <w:tcBorders>
              <w:top w:val="single" w:sz="8" w:space="0" w:color="F2E3C7" w:themeColor="background2"/>
              <w:left w:val="single" w:sz="12" w:space="0" w:color="FFFFFF" w:themeColor="background1"/>
              <w:bottom w:val="single" w:sz="8" w:space="0" w:color="F2E3C7" w:themeColor="background2"/>
              <w:right w:val="nil"/>
            </w:tcBorders>
            <w:shd w:val="clear" w:color="auto" w:fill="auto"/>
          </w:tcPr>
          <w:p w14:paraId="12BA65ED" w14:textId="63DB52AB" w:rsidR="00791A68" w:rsidRPr="002949B5" w:rsidRDefault="00E03177" w:rsidP="00EC59F5">
            <w:pPr>
              <w:pStyle w:val="TableTextRight"/>
              <w:rPr>
                <w:color w:val="000000"/>
              </w:rPr>
            </w:pPr>
            <w:r w:rsidRPr="002949B5">
              <w:t>71</w:t>
            </w:r>
          </w:p>
        </w:tc>
      </w:tr>
      <w:tr w:rsidR="00EC59F5" w:rsidRPr="009D2B6D" w14:paraId="3A372C60" w14:textId="77777777" w:rsidTr="006E4FD5">
        <w:trPr>
          <w:trHeight w:val="300"/>
        </w:trPr>
        <w:tc>
          <w:tcPr>
            <w:tcW w:w="737" w:type="pct"/>
            <w:tcBorders>
              <w:top w:val="single" w:sz="8" w:space="0" w:color="F2E3C7" w:themeColor="background2"/>
              <w:left w:val="nil"/>
              <w:bottom w:val="single" w:sz="8" w:space="0" w:color="F2E3C7" w:themeColor="background2"/>
              <w:right w:val="single" w:sz="12" w:space="0" w:color="FFFFFF" w:themeColor="background1"/>
            </w:tcBorders>
            <w:shd w:val="clear" w:color="auto" w:fill="auto"/>
            <w:noWrap/>
            <w:vAlign w:val="center"/>
            <w:hideMark/>
          </w:tcPr>
          <w:p w14:paraId="5064B971" w14:textId="4DF27593" w:rsidR="00791A68" w:rsidRPr="00EC59F5" w:rsidRDefault="001F3B15" w:rsidP="00EC59F5">
            <w:pPr>
              <w:pStyle w:val="TableTextLeft"/>
              <w:rPr>
                <w:rStyle w:val="Strong"/>
              </w:rPr>
            </w:pPr>
            <w:r>
              <w:rPr>
                <w:rStyle w:val="Strong"/>
              </w:rPr>
              <w:t>TAS</w:t>
            </w:r>
          </w:p>
        </w:tc>
        <w:tc>
          <w:tcPr>
            <w:tcW w:w="838" w:type="pct"/>
            <w:tcBorders>
              <w:top w:val="single" w:sz="8" w:space="0" w:color="F2E3C7" w:themeColor="background2"/>
              <w:left w:val="single" w:sz="12" w:space="0" w:color="FFFFFF" w:themeColor="background1"/>
              <w:bottom w:val="single" w:sz="8" w:space="0" w:color="F2E3C7" w:themeColor="background2"/>
              <w:right w:val="single" w:sz="12" w:space="0" w:color="FFFFFF" w:themeColor="background1"/>
            </w:tcBorders>
            <w:shd w:val="clear" w:color="auto" w:fill="auto"/>
          </w:tcPr>
          <w:p w14:paraId="432B16D7" w14:textId="6FFF4D19" w:rsidR="00791A68" w:rsidRPr="002949B5" w:rsidRDefault="00E03177" w:rsidP="00EC59F5">
            <w:pPr>
              <w:pStyle w:val="TableTextRight"/>
            </w:pPr>
            <w:r w:rsidRPr="002949B5">
              <w:t>16,000</w:t>
            </w:r>
          </w:p>
        </w:tc>
        <w:tc>
          <w:tcPr>
            <w:tcW w:w="533" w:type="pct"/>
            <w:tcBorders>
              <w:top w:val="single" w:sz="8" w:space="0" w:color="F2E3C7" w:themeColor="background2"/>
              <w:left w:val="single" w:sz="12" w:space="0" w:color="FFFFFF" w:themeColor="background1"/>
              <w:bottom w:val="single" w:sz="8" w:space="0" w:color="F2E3C7" w:themeColor="background2"/>
              <w:right w:val="single" w:sz="12" w:space="0" w:color="FFFFFF" w:themeColor="background1"/>
            </w:tcBorders>
            <w:shd w:val="clear" w:color="auto" w:fill="auto"/>
            <w:noWrap/>
          </w:tcPr>
          <w:p w14:paraId="67181A6F" w14:textId="303DB643" w:rsidR="00791A68" w:rsidRPr="002949B5" w:rsidRDefault="00E03177" w:rsidP="00EC59F5">
            <w:pPr>
              <w:pStyle w:val="TableTextRight"/>
              <w:rPr>
                <w:color w:val="000000"/>
              </w:rPr>
            </w:pPr>
            <w:r w:rsidRPr="002949B5">
              <w:t>13,000</w:t>
            </w:r>
          </w:p>
        </w:tc>
        <w:tc>
          <w:tcPr>
            <w:tcW w:w="533" w:type="pct"/>
            <w:tcBorders>
              <w:top w:val="single" w:sz="8" w:space="0" w:color="F2E3C7" w:themeColor="background2"/>
              <w:left w:val="single" w:sz="12" w:space="0" w:color="FFFFFF" w:themeColor="background1"/>
              <w:bottom w:val="single" w:sz="8" w:space="0" w:color="F2E3C7" w:themeColor="background2"/>
              <w:right w:val="single" w:sz="12" w:space="0" w:color="FFFFFF" w:themeColor="background1"/>
            </w:tcBorders>
            <w:shd w:val="clear" w:color="auto" w:fill="auto"/>
            <w:noWrap/>
          </w:tcPr>
          <w:p w14:paraId="22BAF67B" w14:textId="4A85FDAF" w:rsidR="00791A68" w:rsidRPr="002949B5" w:rsidRDefault="00E03177" w:rsidP="00EC59F5">
            <w:pPr>
              <w:pStyle w:val="TableTextRight"/>
              <w:rPr>
                <w:color w:val="000000"/>
              </w:rPr>
            </w:pPr>
            <w:r w:rsidRPr="002949B5">
              <w:t>1.4</w:t>
            </w:r>
          </w:p>
        </w:tc>
        <w:tc>
          <w:tcPr>
            <w:tcW w:w="533" w:type="pct"/>
            <w:tcBorders>
              <w:top w:val="single" w:sz="8" w:space="0" w:color="F2E3C7" w:themeColor="background2"/>
              <w:left w:val="single" w:sz="12" w:space="0" w:color="FFFFFF" w:themeColor="background1"/>
              <w:bottom w:val="single" w:sz="8" w:space="0" w:color="F2E3C7" w:themeColor="background2"/>
              <w:right w:val="single" w:sz="12" w:space="0" w:color="FFFFFF" w:themeColor="background1"/>
            </w:tcBorders>
            <w:shd w:val="clear" w:color="auto" w:fill="auto"/>
            <w:noWrap/>
          </w:tcPr>
          <w:p w14:paraId="798EA492" w14:textId="2EB70BD8" w:rsidR="00791A68" w:rsidRPr="002949B5" w:rsidRDefault="00791A68" w:rsidP="00EC59F5">
            <w:pPr>
              <w:pStyle w:val="TableTextRight"/>
              <w:rPr>
                <w:color w:val="000000"/>
              </w:rPr>
            </w:pPr>
            <w:r w:rsidRPr="002949B5">
              <w:t>572</w:t>
            </w:r>
          </w:p>
        </w:tc>
        <w:tc>
          <w:tcPr>
            <w:tcW w:w="533" w:type="pct"/>
            <w:tcBorders>
              <w:top w:val="single" w:sz="8" w:space="0" w:color="F2E3C7" w:themeColor="background2"/>
              <w:left w:val="single" w:sz="12" w:space="0" w:color="FFFFFF" w:themeColor="background1"/>
              <w:bottom w:val="single" w:sz="8" w:space="0" w:color="F2E3C7" w:themeColor="background2"/>
              <w:right w:val="single" w:sz="12" w:space="0" w:color="FFFFFF" w:themeColor="background1"/>
            </w:tcBorders>
            <w:shd w:val="clear" w:color="auto" w:fill="auto"/>
            <w:noWrap/>
          </w:tcPr>
          <w:p w14:paraId="704C77B6" w14:textId="408537EB" w:rsidR="00791A68" w:rsidRPr="002949B5" w:rsidRDefault="00791A68" w:rsidP="00EC59F5">
            <w:pPr>
              <w:pStyle w:val="TableTextRight"/>
              <w:rPr>
                <w:color w:val="000000"/>
              </w:rPr>
            </w:pPr>
            <w:r w:rsidRPr="002949B5">
              <w:t>2.2</w:t>
            </w:r>
          </w:p>
        </w:tc>
        <w:tc>
          <w:tcPr>
            <w:tcW w:w="609" w:type="pct"/>
            <w:tcBorders>
              <w:top w:val="single" w:sz="8" w:space="0" w:color="F2E3C7" w:themeColor="background2"/>
              <w:left w:val="single" w:sz="12" w:space="0" w:color="FFFFFF" w:themeColor="background1"/>
              <w:bottom w:val="single" w:sz="8" w:space="0" w:color="F2E3C7" w:themeColor="background2"/>
              <w:right w:val="single" w:sz="12" w:space="0" w:color="FFFFFF" w:themeColor="background1"/>
            </w:tcBorders>
            <w:shd w:val="clear" w:color="auto" w:fill="auto"/>
            <w:noWrap/>
          </w:tcPr>
          <w:p w14:paraId="409978EE" w14:textId="519A68E4" w:rsidR="00791A68" w:rsidRPr="002949B5" w:rsidRDefault="00791A68" w:rsidP="00EC59F5">
            <w:pPr>
              <w:pStyle w:val="TableTextRight"/>
              <w:rPr>
                <w:color w:val="000000"/>
              </w:rPr>
            </w:pPr>
            <w:r w:rsidRPr="002949B5">
              <w:t>26,000</w:t>
            </w:r>
          </w:p>
        </w:tc>
        <w:tc>
          <w:tcPr>
            <w:tcW w:w="683" w:type="pct"/>
            <w:tcBorders>
              <w:top w:val="single" w:sz="8" w:space="0" w:color="F2E3C7" w:themeColor="background2"/>
              <w:left w:val="single" w:sz="12" w:space="0" w:color="FFFFFF" w:themeColor="background1"/>
              <w:bottom w:val="single" w:sz="8" w:space="0" w:color="F2E3C7" w:themeColor="background2"/>
              <w:right w:val="nil"/>
            </w:tcBorders>
            <w:shd w:val="clear" w:color="auto" w:fill="auto"/>
            <w:noWrap/>
          </w:tcPr>
          <w:p w14:paraId="5AC10705" w14:textId="1161F825" w:rsidR="00791A68" w:rsidRPr="002949B5" w:rsidRDefault="00E03177" w:rsidP="00EC59F5">
            <w:pPr>
              <w:pStyle w:val="TableTextRight"/>
              <w:rPr>
                <w:color w:val="000000"/>
              </w:rPr>
            </w:pPr>
            <w:r w:rsidRPr="002949B5">
              <w:t>51</w:t>
            </w:r>
          </w:p>
        </w:tc>
      </w:tr>
      <w:tr w:rsidR="00EC59F5" w:rsidRPr="009D2B6D" w14:paraId="2944C258" w14:textId="77777777" w:rsidTr="006E4FD5">
        <w:trPr>
          <w:trHeight w:val="281"/>
        </w:trPr>
        <w:tc>
          <w:tcPr>
            <w:tcW w:w="737" w:type="pct"/>
            <w:tcBorders>
              <w:top w:val="single" w:sz="8" w:space="0" w:color="F2E3C7" w:themeColor="background2"/>
              <w:left w:val="nil"/>
              <w:bottom w:val="single" w:sz="8" w:space="0" w:color="F2E3C7" w:themeColor="background2"/>
              <w:right w:val="single" w:sz="12" w:space="0" w:color="FFFFFF" w:themeColor="background1"/>
            </w:tcBorders>
            <w:shd w:val="clear" w:color="auto" w:fill="auto"/>
            <w:noWrap/>
            <w:vAlign w:val="center"/>
            <w:hideMark/>
          </w:tcPr>
          <w:p w14:paraId="71AE2561" w14:textId="7AC48DAC" w:rsidR="00791A68" w:rsidRPr="00EC59F5" w:rsidRDefault="001F3B15" w:rsidP="00EC59F5">
            <w:pPr>
              <w:pStyle w:val="TableTextLeft"/>
              <w:rPr>
                <w:rStyle w:val="Strong"/>
              </w:rPr>
            </w:pPr>
            <w:r>
              <w:rPr>
                <w:rStyle w:val="Strong"/>
              </w:rPr>
              <w:t>ACT</w:t>
            </w:r>
          </w:p>
        </w:tc>
        <w:tc>
          <w:tcPr>
            <w:tcW w:w="838" w:type="pct"/>
            <w:tcBorders>
              <w:top w:val="single" w:sz="8" w:space="0" w:color="F2E3C7" w:themeColor="background2"/>
              <w:left w:val="single" w:sz="12" w:space="0" w:color="FFFFFF" w:themeColor="background1"/>
              <w:bottom w:val="single" w:sz="8" w:space="0" w:color="F2E3C7" w:themeColor="background2"/>
              <w:right w:val="single" w:sz="12" w:space="0" w:color="FFFFFF" w:themeColor="background1"/>
            </w:tcBorders>
            <w:shd w:val="clear" w:color="auto" w:fill="auto"/>
          </w:tcPr>
          <w:p w14:paraId="40DCF785" w14:textId="7679678C" w:rsidR="00791A68" w:rsidRPr="002949B5" w:rsidRDefault="00E03177" w:rsidP="00EC59F5">
            <w:pPr>
              <w:pStyle w:val="TableTextRight"/>
            </w:pPr>
            <w:r w:rsidRPr="002949B5">
              <w:t>24,000</w:t>
            </w:r>
          </w:p>
        </w:tc>
        <w:tc>
          <w:tcPr>
            <w:tcW w:w="533" w:type="pct"/>
            <w:tcBorders>
              <w:top w:val="single" w:sz="8" w:space="0" w:color="F2E3C7" w:themeColor="background2"/>
              <w:left w:val="single" w:sz="12" w:space="0" w:color="FFFFFF" w:themeColor="background1"/>
              <w:bottom w:val="single" w:sz="8" w:space="0" w:color="F2E3C7" w:themeColor="background2"/>
              <w:right w:val="single" w:sz="12" w:space="0" w:color="FFFFFF" w:themeColor="background1"/>
            </w:tcBorders>
            <w:shd w:val="clear" w:color="auto" w:fill="auto"/>
            <w:noWrap/>
          </w:tcPr>
          <w:p w14:paraId="781077C3" w14:textId="2A866A56" w:rsidR="00791A68" w:rsidRPr="002949B5" w:rsidRDefault="00E03177" w:rsidP="00EC59F5">
            <w:pPr>
              <w:pStyle w:val="TableTextRight"/>
              <w:rPr>
                <w:color w:val="000000"/>
              </w:rPr>
            </w:pPr>
            <w:r w:rsidRPr="002949B5">
              <w:t>16,000</w:t>
            </w:r>
          </w:p>
        </w:tc>
        <w:tc>
          <w:tcPr>
            <w:tcW w:w="533" w:type="pct"/>
            <w:tcBorders>
              <w:top w:val="single" w:sz="8" w:space="0" w:color="F2E3C7" w:themeColor="background2"/>
              <w:left w:val="single" w:sz="12" w:space="0" w:color="FFFFFF" w:themeColor="background1"/>
              <w:bottom w:val="single" w:sz="8" w:space="0" w:color="F2E3C7" w:themeColor="background2"/>
              <w:right w:val="single" w:sz="12" w:space="0" w:color="FFFFFF" w:themeColor="background1"/>
            </w:tcBorders>
            <w:shd w:val="clear" w:color="auto" w:fill="auto"/>
            <w:noWrap/>
          </w:tcPr>
          <w:p w14:paraId="2ACF7ADD" w14:textId="01AA1E1E" w:rsidR="00791A68" w:rsidRPr="002949B5" w:rsidRDefault="00E03177" w:rsidP="00EC59F5">
            <w:pPr>
              <w:pStyle w:val="TableTextRight"/>
              <w:rPr>
                <w:color w:val="000000"/>
              </w:rPr>
            </w:pPr>
            <w:r w:rsidRPr="002949B5">
              <w:t>1.8</w:t>
            </w:r>
          </w:p>
        </w:tc>
        <w:tc>
          <w:tcPr>
            <w:tcW w:w="533" w:type="pct"/>
            <w:tcBorders>
              <w:top w:val="single" w:sz="8" w:space="0" w:color="F2E3C7" w:themeColor="background2"/>
              <w:left w:val="single" w:sz="12" w:space="0" w:color="FFFFFF" w:themeColor="background1"/>
              <w:bottom w:val="single" w:sz="8" w:space="0" w:color="F2E3C7" w:themeColor="background2"/>
              <w:right w:val="single" w:sz="12" w:space="0" w:color="FFFFFF" w:themeColor="background1"/>
            </w:tcBorders>
            <w:shd w:val="clear" w:color="auto" w:fill="auto"/>
            <w:noWrap/>
          </w:tcPr>
          <w:p w14:paraId="74A9300C" w14:textId="1EFEDB8D" w:rsidR="00791A68" w:rsidRPr="002949B5" w:rsidRDefault="00791A68" w:rsidP="00EC59F5">
            <w:pPr>
              <w:pStyle w:val="TableTextRight"/>
              <w:rPr>
                <w:color w:val="000000"/>
              </w:rPr>
            </w:pPr>
            <w:r w:rsidRPr="002949B5">
              <w:t>461</w:t>
            </w:r>
          </w:p>
        </w:tc>
        <w:tc>
          <w:tcPr>
            <w:tcW w:w="533" w:type="pct"/>
            <w:tcBorders>
              <w:top w:val="single" w:sz="8" w:space="0" w:color="F2E3C7" w:themeColor="background2"/>
              <w:left w:val="single" w:sz="12" w:space="0" w:color="FFFFFF" w:themeColor="background1"/>
              <w:bottom w:val="single" w:sz="8" w:space="0" w:color="F2E3C7" w:themeColor="background2"/>
              <w:right w:val="single" w:sz="12" w:space="0" w:color="FFFFFF" w:themeColor="background1"/>
            </w:tcBorders>
            <w:shd w:val="clear" w:color="auto" w:fill="auto"/>
            <w:noWrap/>
          </w:tcPr>
          <w:p w14:paraId="19A52C4E" w14:textId="1F130BCA" w:rsidR="00791A68" w:rsidRPr="002949B5" w:rsidRDefault="00791A68" w:rsidP="00EC59F5">
            <w:pPr>
              <w:pStyle w:val="TableTextRight"/>
              <w:rPr>
                <w:color w:val="000000"/>
              </w:rPr>
            </w:pPr>
            <w:r w:rsidRPr="002949B5">
              <w:t>1.8</w:t>
            </w:r>
          </w:p>
        </w:tc>
        <w:tc>
          <w:tcPr>
            <w:tcW w:w="609" w:type="pct"/>
            <w:tcBorders>
              <w:top w:val="single" w:sz="8" w:space="0" w:color="F2E3C7" w:themeColor="background2"/>
              <w:left w:val="single" w:sz="12" w:space="0" w:color="FFFFFF" w:themeColor="background1"/>
              <w:bottom w:val="single" w:sz="8" w:space="0" w:color="F2E3C7" w:themeColor="background2"/>
              <w:right w:val="single" w:sz="12" w:space="0" w:color="FFFFFF" w:themeColor="background1"/>
            </w:tcBorders>
            <w:shd w:val="clear" w:color="auto" w:fill="auto"/>
          </w:tcPr>
          <w:p w14:paraId="70A16E32" w14:textId="08BAA671" w:rsidR="00791A68" w:rsidRPr="002949B5" w:rsidRDefault="00791A68" w:rsidP="00EC59F5">
            <w:pPr>
              <w:pStyle w:val="TableTextRight"/>
              <w:rPr>
                <w:color w:val="000000"/>
              </w:rPr>
            </w:pPr>
            <w:r w:rsidRPr="002949B5">
              <w:t>21,000</w:t>
            </w:r>
          </w:p>
        </w:tc>
        <w:tc>
          <w:tcPr>
            <w:tcW w:w="683" w:type="pct"/>
            <w:tcBorders>
              <w:top w:val="single" w:sz="8" w:space="0" w:color="F2E3C7" w:themeColor="background2"/>
              <w:left w:val="single" w:sz="12" w:space="0" w:color="FFFFFF" w:themeColor="background1"/>
              <w:bottom w:val="single" w:sz="8" w:space="0" w:color="F2E3C7" w:themeColor="background2"/>
              <w:right w:val="nil"/>
            </w:tcBorders>
            <w:shd w:val="clear" w:color="auto" w:fill="auto"/>
          </w:tcPr>
          <w:p w14:paraId="7C0D6767" w14:textId="76521333" w:rsidR="00791A68" w:rsidRPr="002949B5" w:rsidRDefault="00E03177" w:rsidP="00EC59F5">
            <w:pPr>
              <w:pStyle w:val="TableTextRight"/>
              <w:rPr>
                <w:color w:val="000000"/>
              </w:rPr>
            </w:pPr>
            <w:r w:rsidRPr="002949B5">
              <w:t>78</w:t>
            </w:r>
          </w:p>
        </w:tc>
      </w:tr>
      <w:tr w:rsidR="00EC59F5" w:rsidRPr="009D2B6D" w14:paraId="0C5E4BBC" w14:textId="77777777" w:rsidTr="006E4FD5">
        <w:trPr>
          <w:trHeight w:val="300"/>
        </w:trPr>
        <w:tc>
          <w:tcPr>
            <w:tcW w:w="737" w:type="pct"/>
            <w:tcBorders>
              <w:top w:val="single" w:sz="8" w:space="0" w:color="F2E3C7" w:themeColor="background2"/>
              <w:left w:val="nil"/>
              <w:bottom w:val="single" w:sz="12" w:space="0" w:color="F2E3C7" w:themeColor="accent6"/>
              <w:right w:val="single" w:sz="12" w:space="0" w:color="FFFFFF" w:themeColor="background1"/>
            </w:tcBorders>
            <w:shd w:val="clear" w:color="auto" w:fill="auto"/>
            <w:noWrap/>
            <w:vAlign w:val="center"/>
            <w:hideMark/>
          </w:tcPr>
          <w:p w14:paraId="4DE08169" w14:textId="2C7582F8" w:rsidR="00791A68" w:rsidRPr="00EC59F5" w:rsidRDefault="001F3B15" w:rsidP="00EC59F5">
            <w:pPr>
              <w:pStyle w:val="TableTextLeft"/>
              <w:rPr>
                <w:rStyle w:val="Strong"/>
              </w:rPr>
            </w:pPr>
            <w:r>
              <w:rPr>
                <w:rStyle w:val="Strong"/>
              </w:rPr>
              <w:t>NT</w:t>
            </w:r>
          </w:p>
        </w:tc>
        <w:tc>
          <w:tcPr>
            <w:tcW w:w="838" w:type="pct"/>
            <w:tcBorders>
              <w:top w:val="single" w:sz="8" w:space="0" w:color="F2E3C7" w:themeColor="background2"/>
              <w:left w:val="single" w:sz="12" w:space="0" w:color="FFFFFF" w:themeColor="background1"/>
              <w:bottom w:val="single" w:sz="12" w:space="0" w:color="F2E3C7" w:themeColor="accent6"/>
              <w:right w:val="single" w:sz="12" w:space="0" w:color="FFFFFF" w:themeColor="background1"/>
            </w:tcBorders>
            <w:shd w:val="clear" w:color="auto" w:fill="auto"/>
          </w:tcPr>
          <w:p w14:paraId="38D17203" w14:textId="45B79579" w:rsidR="00791A68" w:rsidRPr="002949B5" w:rsidRDefault="00E03177" w:rsidP="00EC59F5">
            <w:pPr>
              <w:pStyle w:val="TableTextRight"/>
            </w:pPr>
            <w:r w:rsidRPr="002949B5">
              <w:t>3,000</w:t>
            </w:r>
          </w:p>
        </w:tc>
        <w:tc>
          <w:tcPr>
            <w:tcW w:w="533" w:type="pct"/>
            <w:tcBorders>
              <w:top w:val="single" w:sz="8" w:space="0" w:color="F2E3C7" w:themeColor="background2"/>
              <w:left w:val="single" w:sz="12" w:space="0" w:color="FFFFFF" w:themeColor="background1"/>
              <w:bottom w:val="single" w:sz="12" w:space="0" w:color="F2E3C7" w:themeColor="accent6"/>
              <w:right w:val="single" w:sz="12" w:space="0" w:color="FFFFFF" w:themeColor="background1"/>
            </w:tcBorders>
            <w:shd w:val="clear" w:color="auto" w:fill="auto"/>
            <w:noWrap/>
          </w:tcPr>
          <w:p w14:paraId="560FA0E6" w14:textId="2EEE1169" w:rsidR="00791A68" w:rsidRPr="002949B5" w:rsidRDefault="00E03177" w:rsidP="00EC59F5">
            <w:pPr>
              <w:pStyle w:val="TableTextRight"/>
              <w:rPr>
                <w:color w:val="000000"/>
              </w:rPr>
            </w:pPr>
            <w:r w:rsidRPr="002949B5">
              <w:t>4,000</w:t>
            </w:r>
          </w:p>
        </w:tc>
        <w:tc>
          <w:tcPr>
            <w:tcW w:w="533" w:type="pct"/>
            <w:tcBorders>
              <w:top w:val="single" w:sz="8" w:space="0" w:color="F2E3C7" w:themeColor="background2"/>
              <w:left w:val="single" w:sz="12" w:space="0" w:color="FFFFFF" w:themeColor="background1"/>
              <w:bottom w:val="single" w:sz="12" w:space="0" w:color="F2E3C7" w:themeColor="accent6"/>
              <w:right w:val="single" w:sz="12" w:space="0" w:color="FFFFFF" w:themeColor="background1"/>
            </w:tcBorders>
            <w:shd w:val="clear" w:color="auto" w:fill="auto"/>
            <w:noWrap/>
          </w:tcPr>
          <w:p w14:paraId="309C8028" w14:textId="7E1EA36F" w:rsidR="00791A68" w:rsidRPr="002949B5" w:rsidRDefault="00E03177" w:rsidP="00EC59F5">
            <w:pPr>
              <w:pStyle w:val="TableTextRight"/>
              <w:rPr>
                <w:color w:val="000000"/>
              </w:rPr>
            </w:pPr>
            <w:r w:rsidRPr="002949B5">
              <w:t>0.4</w:t>
            </w:r>
          </w:p>
        </w:tc>
        <w:tc>
          <w:tcPr>
            <w:tcW w:w="533" w:type="pct"/>
            <w:tcBorders>
              <w:top w:val="single" w:sz="8" w:space="0" w:color="F2E3C7" w:themeColor="background2"/>
              <w:left w:val="single" w:sz="12" w:space="0" w:color="FFFFFF" w:themeColor="background1"/>
              <w:bottom w:val="single" w:sz="12" w:space="0" w:color="F2E3C7" w:themeColor="accent6"/>
              <w:right w:val="single" w:sz="12" w:space="0" w:color="FFFFFF" w:themeColor="background1"/>
            </w:tcBorders>
            <w:shd w:val="clear" w:color="auto" w:fill="auto"/>
            <w:noWrap/>
          </w:tcPr>
          <w:p w14:paraId="7EED47E2" w14:textId="3E74A2FE" w:rsidR="00791A68" w:rsidRPr="002949B5" w:rsidRDefault="00791A68" w:rsidP="00EC59F5">
            <w:pPr>
              <w:pStyle w:val="TableTextRight"/>
              <w:rPr>
                <w:color w:val="000000"/>
              </w:rPr>
            </w:pPr>
            <w:r w:rsidRPr="002949B5">
              <w:t>250</w:t>
            </w:r>
          </w:p>
        </w:tc>
        <w:tc>
          <w:tcPr>
            <w:tcW w:w="533" w:type="pct"/>
            <w:tcBorders>
              <w:top w:val="single" w:sz="8" w:space="0" w:color="F2E3C7" w:themeColor="background2"/>
              <w:left w:val="single" w:sz="12" w:space="0" w:color="FFFFFF" w:themeColor="background1"/>
              <w:bottom w:val="single" w:sz="12" w:space="0" w:color="F2E3C7" w:themeColor="accent6"/>
              <w:right w:val="single" w:sz="12" w:space="0" w:color="FFFFFF" w:themeColor="background1"/>
            </w:tcBorders>
            <w:shd w:val="clear" w:color="auto" w:fill="auto"/>
            <w:noWrap/>
          </w:tcPr>
          <w:p w14:paraId="6FEBA2A2" w14:textId="5B09D86D" w:rsidR="00791A68" w:rsidRPr="002949B5" w:rsidRDefault="00791A68" w:rsidP="00EC59F5">
            <w:pPr>
              <w:pStyle w:val="TableTextRight"/>
              <w:rPr>
                <w:color w:val="000000"/>
              </w:rPr>
            </w:pPr>
            <w:r w:rsidRPr="002949B5">
              <w:t>1.0</w:t>
            </w:r>
          </w:p>
        </w:tc>
        <w:tc>
          <w:tcPr>
            <w:tcW w:w="609" w:type="pct"/>
            <w:tcBorders>
              <w:top w:val="single" w:sz="8" w:space="0" w:color="F2E3C7" w:themeColor="background2"/>
              <w:left w:val="single" w:sz="12" w:space="0" w:color="FFFFFF" w:themeColor="background1"/>
              <w:bottom w:val="single" w:sz="12" w:space="0" w:color="F2E3C7" w:themeColor="accent6"/>
              <w:right w:val="single" w:sz="12" w:space="0" w:color="FFFFFF" w:themeColor="background1"/>
            </w:tcBorders>
            <w:shd w:val="clear" w:color="auto" w:fill="auto"/>
            <w:noWrap/>
          </w:tcPr>
          <w:p w14:paraId="3DCB12AB" w14:textId="4F090336" w:rsidR="00791A68" w:rsidRPr="002949B5" w:rsidRDefault="00791A68" w:rsidP="00EC59F5">
            <w:pPr>
              <w:pStyle w:val="TableTextRight"/>
              <w:rPr>
                <w:color w:val="000000"/>
              </w:rPr>
            </w:pPr>
            <w:r w:rsidRPr="002949B5">
              <w:t>11,000</w:t>
            </w:r>
          </w:p>
        </w:tc>
        <w:tc>
          <w:tcPr>
            <w:tcW w:w="683" w:type="pct"/>
            <w:tcBorders>
              <w:top w:val="single" w:sz="8" w:space="0" w:color="F2E3C7" w:themeColor="background2"/>
              <w:left w:val="single" w:sz="12" w:space="0" w:color="FFFFFF" w:themeColor="background1"/>
              <w:bottom w:val="single" w:sz="12" w:space="0" w:color="F2E3C7" w:themeColor="accent6"/>
              <w:right w:val="nil"/>
            </w:tcBorders>
            <w:shd w:val="clear" w:color="auto" w:fill="auto"/>
            <w:noWrap/>
          </w:tcPr>
          <w:p w14:paraId="329800AA" w14:textId="7870E5A9" w:rsidR="00791A68" w:rsidRPr="002949B5" w:rsidRDefault="00E03177" w:rsidP="00EC59F5">
            <w:pPr>
              <w:pStyle w:val="TableTextRight"/>
              <w:rPr>
                <w:color w:val="000000"/>
              </w:rPr>
            </w:pPr>
            <w:r w:rsidRPr="002949B5">
              <w:t>31</w:t>
            </w:r>
          </w:p>
        </w:tc>
      </w:tr>
      <w:tr w:rsidR="00EC59F5" w:rsidRPr="009D2B6D" w14:paraId="6D3DCF33" w14:textId="77777777" w:rsidTr="006E4FD5">
        <w:trPr>
          <w:trHeight w:val="300"/>
        </w:trPr>
        <w:tc>
          <w:tcPr>
            <w:tcW w:w="737" w:type="pct"/>
            <w:tcBorders>
              <w:top w:val="single" w:sz="12" w:space="0" w:color="F2E3C7" w:themeColor="accent6"/>
              <w:left w:val="nil"/>
              <w:bottom w:val="single" w:sz="8" w:space="0" w:color="F2E3C7" w:themeColor="background2"/>
              <w:right w:val="nil"/>
            </w:tcBorders>
            <w:shd w:val="clear" w:color="auto" w:fill="auto"/>
            <w:noWrap/>
            <w:vAlign w:val="center"/>
            <w:hideMark/>
          </w:tcPr>
          <w:p w14:paraId="188C13D6" w14:textId="38AC39BA" w:rsidR="00791A68" w:rsidRPr="00EC59F5" w:rsidRDefault="001F3B15" w:rsidP="00EC59F5">
            <w:pPr>
              <w:pStyle w:val="TableTextLeft"/>
              <w:rPr>
                <w:rStyle w:val="Strong"/>
              </w:rPr>
            </w:pPr>
            <w:r>
              <w:rPr>
                <w:rStyle w:val="Strong"/>
              </w:rPr>
              <w:t>AUS</w:t>
            </w:r>
          </w:p>
        </w:tc>
        <w:tc>
          <w:tcPr>
            <w:tcW w:w="838" w:type="pct"/>
            <w:tcBorders>
              <w:top w:val="single" w:sz="12" w:space="0" w:color="F2E3C7" w:themeColor="accent6"/>
              <w:left w:val="nil"/>
              <w:bottom w:val="single" w:sz="8" w:space="0" w:color="F2E3C7" w:themeColor="background2"/>
              <w:right w:val="single" w:sz="12" w:space="0" w:color="FFFFFF" w:themeColor="background1"/>
            </w:tcBorders>
            <w:shd w:val="clear" w:color="auto" w:fill="auto"/>
          </w:tcPr>
          <w:p w14:paraId="50E1B67B" w14:textId="1E278CD7" w:rsidR="00791A68" w:rsidRPr="002949B5" w:rsidRDefault="00E03177" w:rsidP="00EC59F5">
            <w:pPr>
              <w:pStyle w:val="TableTextRight"/>
            </w:pPr>
            <w:r w:rsidRPr="002949B5">
              <w:t>896,000</w:t>
            </w:r>
          </w:p>
        </w:tc>
        <w:tc>
          <w:tcPr>
            <w:tcW w:w="533" w:type="pct"/>
            <w:tcBorders>
              <w:top w:val="single" w:sz="12" w:space="0" w:color="F2E3C7" w:themeColor="accent6"/>
              <w:left w:val="single" w:sz="12" w:space="0" w:color="FFFFFF" w:themeColor="background1"/>
              <w:bottom w:val="single" w:sz="8" w:space="0" w:color="F2E3C7" w:themeColor="background2"/>
              <w:right w:val="single" w:sz="12" w:space="0" w:color="FFFFFF" w:themeColor="background1"/>
            </w:tcBorders>
            <w:shd w:val="clear" w:color="auto" w:fill="auto"/>
            <w:noWrap/>
          </w:tcPr>
          <w:p w14:paraId="7E22804B" w14:textId="6E52E51A" w:rsidR="00791A68" w:rsidRPr="002949B5" w:rsidRDefault="00E03177" w:rsidP="00EC59F5">
            <w:pPr>
              <w:pStyle w:val="TableTextRight"/>
              <w:rPr>
                <w:color w:val="000000"/>
              </w:rPr>
            </w:pPr>
            <w:r w:rsidRPr="002949B5">
              <w:t>938,000</w:t>
            </w:r>
          </w:p>
        </w:tc>
        <w:tc>
          <w:tcPr>
            <w:tcW w:w="533" w:type="pct"/>
            <w:tcBorders>
              <w:top w:val="single" w:sz="12" w:space="0" w:color="F2E3C7" w:themeColor="accent6"/>
              <w:left w:val="single" w:sz="12" w:space="0" w:color="FFFFFF" w:themeColor="background1"/>
              <w:bottom w:val="single" w:sz="8" w:space="0" w:color="F2E3C7" w:themeColor="background2"/>
              <w:right w:val="single" w:sz="12" w:space="0" w:color="FFFFFF" w:themeColor="background1"/>
            </w:tcBorders>
            <w:shd w:val="clear" w:color="auto" w:fill="auto"/>
            <w:noWrap/>
          </w:tcPr>
          <w:p w14:paraId="0CA0C7DE" w14:textId="7D2BFDD8" w:rsidR="00791A68" w:rsidRPr="002949B5" w:rsidRDefault="00E03177" w:rsidP="00EC59F5">
            <w:pPr>
              <w:pStyle w:val="TableTextRight"/>
              <w:rPr>
                <w:color w:val="000000"/>
              </w:rPr>
            </w:pPr>
            <w:r w:rsidRPr="002949B5">
              <w:t>100.0</w:t>
            </w:r>
          </w:p>
        </w:tc>
        <w:tc>
          <w:tcPr>
            <w:tcW w:w="533" w:type="pct"/>
            <w:tcBorders>
              <w:top w:val="single" w:sz="12" w:space="0" w:color="F2E3C7" w:themeColor="accent6"/>
              <w:left w:val="single" w:sz="12" w:space="0" w:color="FFFFFF" w:themeColor="background1"/>
              <w:bottom w:val="single" w:sz="8" w:space="0" w:color="F2E3C7" w:themeColor="background2"/>
              <w:right w:val="single" w:sz="12" w:space="0" w:color="FFFFFF" w:themeColor="background1"/>
            </w:tcBorders>
            <w:shd w:val="clear" w:color="auto" w:fill="auto"/>
            <w:noWrap/>
          </w:tcPr>
          <w:p w14:paraId="0F2044A0" w14:textId="159254EE" w:rsidR="00791A68" w:rsidRPr="002949B5" w:rsidRDefault="00791A68" w:rsidP="00EC59F5">
            <w:pPr>
              <w:pStyle w:val="TableTextRight"/>
              <w:rPr>
                <w:color w:val="000000"/>
              </w:rPr>
            </w:pPr>
            <w:r w:rsidRPr="002949B5">
              <w:t>26,268</w:t>
            </w:r>
          </w:p>
        </w:tc>
        <w:tc>
          <w:tcPr>
            <w:tcW w:w="533" w:type="pct"/>
            <w:tcBorders>
              <w:top w:val="single" w:sz="12" w:space="0" w:color="F2E3C7" w:themeColor="accent6"/>
              <w:left w:val="single" w:sz="12" w:space="0" w:color="FFFFFF" w:themeColor="background1"/>
              <w:bottom w:val="single" w:sz="8" w:space="0" w:color="F2E3C7" w:themeColor="background2"/>
              <w:right w:val="single" w:sz="12" w:space="0" w:color="FFFFFF" w:themeColor="background1"/>
            </w:tcBorders>
            <w:shd w:val="clear" w:color="auto" w:fill="auto"/>
            <w:noWrap/>
          </w:tcPr>
          <w:p w14:paraId="63F571B5" w14:textId="049E7026" w:rsidR="00791A68" w:rsidRPr="002949B5" w:rsidRDefault="00791A68" w:rsidP="00EC59F5">
            <w:pPr>
              <w:pStyle w:val="TableTextRight"/>
              <w:rPr>
                <w:color w:val="000000"/>
              </w:rPr>
            </w:pPr>
            <w:r w:rsidRPr="002949B5">
              <w:t>100.0</w:t>
            </w:r>
          </w:p>
        </w:tc>
        <w:tc>
          <w:tcPr>
            <w:tcW w:w="609" w:type="pct"/>
            <w:tcBorders>
              <w:top w:val="single" w:sz="12" w:space="0" w:color="F2E3C7" w:themeColor="accent6"/>
              <w:left w:val="single" w:sz="12" w:space="0" w:color="FFFFFF" w:themeColor="background1"/>
              <w:bottom w:val="single" w:sz="8" w:space="0" w:color="F2E3C7" w:themeColor="background2"/>
              <w:right w:val="single" w:sz="12" w:space="0" w:color="FFFFFF" w:themeColor="background1"/>
            </w:tcBorders>
            <w:shd w:val="clear" w:color="auto" w:fill="auto"/>
            <w:hideMark/>
          </w:tcPr>
          <w:p w14:paraId="5A1826D0" w14:textId="0DDFFF0E" w:rsidR="00791A68" w:rsidRPr="002949B5" w:rsidRDefault="00791A68" w:rsidP="00EC59F5">
            <w:pPr>
              <w:pStyle w:val="TableTextRight"/>
              <w:rPr>
                <w:color w:val="000000"/>
              </w:rPr>
            </w:pPr>
            <w:r w:rsidRPr="002949B5">
              <w:t>1,200,000</w:t>
            </w:r>
          </w:p>
        </w:tc>
        <w:tc>
          <w:tcPr>
            <w:tcW w:w="683" w:type="pct"/>
            <w:tcBorders>
              <w:top w:val="single" w:sz="12" w:space="0" w:color="F2E3C7" w:themeColor="accent6"/>
              <w:left w:val="single" w:sz="12" w:space="0" w:color="FFFFFF" w:themeColor="background1"/>
              <w:bottom w:val="single" w:sz="8" w:space="0" w:color="F2E3C7" w:themeColor="background2"/>
              <w:right w:val="nil"/>
            </w:tcBorders>
            <w:shd w:val="clear" w:color="auto" w:fill="auto"/>
          </w:tcPr>
          <w:p w14:paraId="6B95CF47" w14:textId="1BB63AC9" w:rsidR="00791A68" w:rsidRPr="002949B5" w:rsidRDefault="00E03177" w:rsidP="00EC59F5">
            <w:pPr>
              <w:pStyle w:val="TableTextRight"/>
              <w:rPr>
                <w:color w:val="000000"/>
              </w:rPr>
            </w:pPr>
            <w:r w:rsidRPr="002949B5">
              <w:t>78</w:t>
            </w:r>
          </w:p>
        </w:tc>
      </w:tr>
    </w:tbl>
    <w:p w14:paraId="7742D3D5" w14:textId="4DDDEBEF" w:rsidR="00791A68" w:rsidRPr="00783EAF" w:rsidRDefault="00791A68" w:rsidP="00DB6DE6">
      <w:pPr>
        <w:pStyle w:val="ChartorTableNoteandSource"/>
        <w:rPr>
          <w:shd w:val="clear" w:color="auto" w:fill="FFFFFF"/>
        </w:rPr>
      </w:pPr>
      <w:r w:rsidRPr="00783EAF">
        <w:rPr>
          <w:shd w:val="clear" w:color="auto" w:fill="FFFFFF"/>
        </w:rPr>
        <w:t>*</w:t>
      </w:r>
      <w:r w:rsidR="001B4EAF">
        <w:rPr>
          <w:shd w:val="clear" w:color="auto" w:fill="FFFFFF"/>
        </w:rPr>
        <w:tab/>
      </w:r>
      <w:r>
        <w:rPr>
          <w:shd w:val="clear" w:color="auto" w:fill="FFFFFF"/>
        </w:rPr>
        <w:t>T</w:t>
      </w:r>
      <w:r w:rsidRPr="00783EAF">
        <w:rPr>
          <w:shd w:val="clear" w:color="auto" w:fill="FFFFFF"/>
        </w:rPr>
        <w:t xml:space="preserve">he </w:t>
      </w:r>
      <w:r>
        <w:rPr>
          <w:shd w:val="clear" w:color="auto" w:fill="FFFFFF"/>
        </w:rPr>
        <w:t>Council has apportioned the Housing Accord target to each state and territory by using their share of the national population in December 2022 (these were the latest population figures available when the 1.2</w:t>
      </w:r>
      <w:r w:rsidR="0099326B">
        <w:rPr>
          <w:shd w:val="clear" w:color="auto" w:fill="FFFFFF"/>
        </w:rPr>
        <w:t> million</w:t>
      </w:r>
      <w:r>
        <w:rPr>
          <w:shd w:val="clear" w:color="auto" w:fill="FFFFFF"/>
        </w:rPr>
        <w:t xml:space="preserve"> Housing Accord target was agreed in August 2023). Of the available options for calculating jurisdictions</w:t>
      </w:r>
      <w:r w:rsidR="00A15C79">
        <w:rPr>
          <w:shd w:val="clear" w:color="auto" w:fill="FFFFFF"/>
        </w:rPr>
        <w:t>’</w:t>
      </w:r>
      <w:r>
        <w:rPr>
          <w:shd w:val="clear" w:color="auto" w:fill="FFFFFF"/>
        </w:rPr>
        <w:t xml:space="preserve"> share of the target, the Council has chosen this method because it is transparent and stable over time. Alternative approaches could </w:t>
      </w:r>
      <w:r w:rsidR="00A340FF">
        <w:rPr>
          <w:shd w:val="clear" w:color="auto" w:fill="FFFFFF"/>
        </w:rPr>
        <w:t>be</w:t>
      </w:r>
      <w:r>
        <w:rPr>
          <w:shd w:val="clear" w:color="auto" w:fill="FFFFFF"/>
        </w:rPr>
        <w:t xml:space="preserve"> based on projected population growth over the Housing Accord period. </w:t>
      </w:r>
      <w:r w:rsidRPr="00783EAF">
        <w:rPr>
          <w:shd w:val="clear" w:color="auto" w:fill="FFFFFF"/>
        </w:rPr>
        <w:t>Th</w:t>
      </w:r>
      <w:r>
        <w:rPr>
          <w:shd w:val="clear" w:color="auto" w:fill="FFFFFF"/>
        </w:rPr>
        <w:t>e</w:t>
      </w:r>
      <w:r w:rsidRPr="00783EAF">
        <w:rPr>
          <w:shd w:val="clear" w:color="auto" w:fill="FFFFFF"/>
        </w:rPr>
        <w:t xml:space="preserve"> </w:t>
      </w:r>
      <w:r>
        <w:rPr>
          <w:shd w:val="clear" w:color="auto" w:fill="FFFFFF"/>
        </w:rPr>
        <w:t>calculated target shares</w:t>
      </w:r>
      <w:r w:rsidRPr="00783EAF">
        <w:rPr>
          <w:shd w:val="clear" w:color="auto" w:fill="FFFFFF"/>
        </w:rPr>
        <w:t xml:space="preserve"> do not reflect formal agreement between </w:t>
      </w:r>
      <w:r>
        <w:rPr>
          <w:shd w:val="clear" w:color="auto" w:fill="FFFFFF"/>
        </w:rPr>
        <w:t xml:space="preserve">the </w:t>
      </w:r>
      <w:r w:rsidR="00927DBB">
        <w:rPr>
          <w:shd w:val="clear" w:color="auto" w:fill="FFFFFF"/>
        </w:rPr>
        <w:t>Australian and</w:t>
      </w:r>
      <w:r>
        <w:rPr>
          <w:shd w:val="clear" w:color="auto" w:fill="FFFFFF"/>
        </w:rPr>
        <w:t xml:space="preserve"> state and territory governments.</w:t>
      </w:r>
    </w:p>
    <w:p w14:paraId="59C57967" w14:textId="3844FF21" w:rsidR="00791A68" w:rsidRPr="002949B5" w:rsidRDefault="00791A68" w:rsidP="00DB6DE6">
      <w:pPr>
        <w:pStyle w:val="ChartorTableNoteandSource"/>
        <w:rPr>
          <w:rFonts w:eastAsia="Calibri"/>
          <w:lang w:eastAsia="en-US"/>
        </w:rPr>
      </w:pPr>
      <w:r w:rsidRPr="002949B5">
        <w:rPr>
          <w:rFonts w:eastAsia="Calibri"/>
          <w:lang w:eastAsia="en-US"/>
        </w:rPr>
        <w:t>Note</w:t>
      </w:r>
      <w:r w:rsidR="007F7250" w:rsidRPr="002949B5">
        <w:rPr>
          <w:rFonts w:eastAsia="Calibri"/>
          <w:lang w:eastAsia="en-US"/>
        </w:rPr>
        <w:t>s</w:t>
      </w:r>
      <w:r w:rsidRPr="002949B5">
        <w:rPr>
          <w:rFonts w:eastAsia="Calibri"/>
          <w:lang w:eastAsia="en-US"/>
        </w:rPr>
        <w:t>:</w:t>
      </w:r>
      <w:r w:rsidR="001B4EAF" w:rsidRPr="002949B5">
        <w:rPr>
          <w:rFonts w:eastAsia="Calibri"/>
          <w:lang w:eastAsia="en-US"/>
        </w:rPr>
        <w:tab/>
      </w:r>
      <w:r w:rsidR="00EF03EE" w:rsidRPr="002949B5">
        <w:rPr>
          <w:rFonts w:eastAsia="Calibri"/>
          <w:lang w:eastAsia="en-US"/>
        </w:rPr>
        <w:t>Housing s</w:t>
      </w:r>
      <w:r w:rsidR="007F7250" w:rsidRPr="002949B5">
        <w:rPr>
          <w:rFonts w:eastAsia="Calibri"/>
          <w:lang w:eastAsia="en-US"/>
        </w:rPr>
        <w:t xml:space="preserve">upply </w:t>
      </w:r>
      <w:r w:rsidR="008215B1" w:rsidRPr="002949B5">
        <w:rPr>
          <w:rFonts w:eastAsia="Calibri"/>
          <w:lang w:eastAsia="en-US"/>
        </w:rPr>
        <w:t>data</w:t>
      </w:r>
      <w:r w:rsidR="00EF03EE" w:rsidRPr="002949B5">
        <w:rPr>
          <w:rFonts w:eastAsia="Calibri"/>
          <w:lang w:eastAsia="en-US"/>
        </w:rPr>
        <w:t xml:space="preserve">, </w:t>
      </w:r>
      <w:r w:rsidR="007F7250" w:rsidRPr="002949B5">
        <w:rPr>
          <w:rFonts w:eastAsia="Calibri"/>
          <w:lang w:eastAsia="en-US"/>
        </w:rPr>
        <w:t xml:space="preserve">forecasts </w:t>
      </w:r>
      <w:r w:rsidR="00EF03EE" w:rsidRPr="002949B5">
        <w:rPr>
          <w:rFonts w:eastAsia="Calibri"/>
          <w:lang w:eastAsia="en-US"/>
        </w:rPr>
        <w:t xml:space="preserve">and population-implied shares </w:t>
      </w:r>
      <w:r w:rsidR="007F7250" w:rsidRPr="002949B5">
        <w:rPr>
          <w:rFonts w:eastAsia="Calibri"/>
          <w:lang w:eastAsia="en-US"/>
        </w:rPr>
        <w:t xml:space="preserve">are rounded to the closest thousand. </w:t>
      </w:r>
      <w:r w:rsidR="00582CA5" w:rsidRPr="002949B5">
        <w:rPr>
          <w:rFonts w:eastAsia="Calibri"/>
          <w:lang w:eastAsia="en-US"/>
        </w:rPr>
        <w:t>T</w:t>
      </w:r>
      <w:r w:rsidR="00F00AFF" w:rsidRPr="002949B5">
        <w:rPr>
          <w:rFonts w:eastAsia="Calibri"/>
          <w:lang w:eastAsia="en-US"/>
        </w:rPr>
        <w:t>otals, ratios and shares may not be consistent with component f</w:t>
      </w:r>
      <w:r w:rsidR="00582CA5" w:rsidRPr="002949B5">
        <w:rPr>
          <w:rFonts w:eastAsia="Calibri"/>
          <w:lang w:eastAsia="en-US"/>
        </w:rPr>
        <w:t>igures due to rounding.</w:t>
      </w:r>
    </w:p>
    <w:p w14:paraId="1D887E06" w14:textId="09125A46" w:rsidR="006E082A" w:rsidRDefault="005565A3" w:rsidP="002D209A">
      <w:pPr>
        <w:pStyle w:val="ChartorTableNoteandSource"/>
      </w:pPr>
      <w:r w:rsidRPr="002949B5">
        <w:rPr>
          <w:rFonts w:eastAsia="Calibri"/>
          <w:lang w:eastAsia="en-US"/>
        </w:rPr>
        <w:t>Source:</w:t>
      </w:r>
      <w:r w:rsidRPr="002949B5">
        <w:rPr>
          <w:rFonts w:eastAsia="Calibri"/>
          <w:lang w:eastAsia="en-US"/>
        </w:rPr>
        <w:tab/>
        <w:t xml:space="preserve">NHSAC 2025; </w:t>
      </w:r>
      <w:r w:rsidR="00FE67EF" w:rsidRPr="0041126E">
        <w:rPr>
          <w:rFonts w:eastAsia="Calibri"/>
        </w:rPr>
        <w:t>ABS National, state and territory population 202</w:t>
      </w:r>
      <w:r w:rsidR="00CA34BD" w:rsidRPr="0041126E">
        <w:rPr>
          <w:rFonts w:eastAsia="Calibri"/>
        </w:rPr>
        <w:t>3</w:t>
      </w:r>
      <w:r w:rsidR="00FE67EF" w:rsidRPr="0041126E">
        <w:rPr>
          <w:rFonts w:eastAsia="Calibri"/>
        </w:rPr>
        <w:t xml:space="preserve"> and ABS Building Activity 2025</w:t>
      </w:r>
      <w:r w:rsidR="006E082A">
        <w:br w:type="page"/>
      </w:r>
    </w:p>
    <w:p w14:paraId="07CF5B55" w14:textId="6B5B02D4" w:rsidR="00791A68" w:rsidRDefault="00604A35">
      <w:r>
        <w:lastRenderedPageBreak/>
        <w:t>Detached housing is expected to dominate n</w:t>
      </w:r>
      <w:r w:rsidR="00791A68" w:rsidRPr="000E4802">
        <w:t xml:space="preserve">ew housing supply </w:t>
      </w:r>
      <w:r>
        <w:t>during</w:t>
      </w:r>
      <w:r w:rsidRPr="000E4802">
        <w:t xml:space="preserve"> </w:t>
      </w:r>
      <w:r w:rsidR="00791A68" w:rsidRPr="000E4802">
        <w:t xml:space="preserve">the </w:t>
      </w:r>
      <w:r w:rsidR="00791A68">
        <w:t>Housing</w:t>
      </w:r>
      <w:r w:rsidR="00791A68" w:rsidRPr="000E4802">
        <w:t xml:space="preserve"> Accord period. The outlook for detached housing supply across most jurisdictions is expected to be similar to, or exceed, such supply over the preceding </w:t>
      </w:r>
      <w:r>
        <w:t>5</w:t>
      </w:r>
      <w:r w:rsidRPr="000E4802">
        <w:t xml:space="preserve"> </w:t>
      </w:r>
      <w:r w:rsidR="00791A68" w:rsidRPr="000E4802">
        <w:t>years</w:t>
      </w:r>
      <w:r w:rsidR="00B34E8D">
        <w:t xml:space="preserve"> </w:t>
      </w:r>
      <w:r w:rsidR="00791A68" w:rsidRPr="000E4802">
        <w:t>(</w:t>
      </w:r>
      <w:r>
        <w:t xml:space="preserve">see </w:t>
      </w:r>
      <w:r w:rsidR="00791A68" w:rsidRPr="000E4802">
        <w:t>Chart 5</w:t>
      </w:r>
      <w:r w:rsidR="00791A68">
        <w:t>.</w:t>
      </w:r>
      <w:r w:rsidR="00791A68" w:rsidRPr="000E4802">
        <w:t>5). In contrast, the outlook for higher</w:t>
      </w:r>
      <w:r w:rsidR="00A15C79">
        <w:noBreakHyphen/>
      </w:r>
      <w:r w:rsidR="00791A68" w:rsidRPr="000E4802">
        <w:t>density housing is weaker, with all jurisdictions expected to generate fewer new higher</w:t>
      </w:r>
      <w:r w:rsidR="00A15C79">
        <w:noBreakHyphen/>
      </w:r>
      <w:r w:rsidR="00791A68" w:rsidRPr="000E4802">
        <w:t>density dwellings than in the late 2010s (</w:t>
      </w:r>
      <w:r w:rsidR="00A346CA">
        <w:t xml:space="preserve">see </w:t>
      </w:r>
      <w:r w:rsidR="00791A68" w:rsidRPr="000E4802">
        <w:t xml:space="preserve">Chart </w:t>
      </w:r>
      <w:r w:rsidR="00791A68">
        <w:t>5</w:t>
      </w:r>
      <w:r w:rsidR="00791A68" w:rsidRPr="000E4802">
        <w:t xml:space="preserve">.6). </w:t>
      </w:r>
    </w:p>
    <w:tbl>
      <w:tblPr>
        <w:tblW w:w="5000" w:type="pct"/>
        <w:tblLayout w:type="fixed"/>
        <w:tblLook w:val="0000" w:firstRow="0" w:lastRow="0" w:firstColumn="0" w:lastColumn="0" w:noHBand="0" w:noVBand="0"/>
      </w:tblPr>
      <w:tblGrid>
        <w:gridCol w:w="4535"/>
        <w:gridCol w:w="4535"/>
      </w:tblGrid>
      <w:tr w:rsidR="00791A68" w14:paraId="4DEC9190" w14:textId="77777777">
        <w:trPr>
          <w:cantSplit/>
        </w:trPr>
        <w:tc>
          <w:tcPr>
            <w:tcW w:w="4535" w:type="dxa"/>
          </w:tcPr>
          <w:p w14:paraId="38EF8979" w14:textId="088D3DAE" w:rsidR="00791A68" w:rsidRPr="00D20169" w:rsidRDefault="00791A68" w:rsidP="006F5BB5">
            <w:pPr>
              <w:pStyle w:val="ChartMainHeading"/>
              <w:spacing w:before="0"/>
            </w:pPr>
            <w:r w:rsidRPr="00D20169">
              <w:t>Gross new supply of detached houses</w:t>
            </w:r>
            <w:r w:rsidR="00954912" w:rsidRPr="00D20169">
              <w:t>,</w:t>
            </w:r>
            <w:r w:rsidRPr="00D20169">
              <w:t xml:space="preserve"> by jurisdiction</w:t>
            </w:r>
          </w:p>
        </w:tc>
        <w:tc>
          <w:tcPr>
            <w:tcW w:w="4535" w:type="dxa"/>
          </w:tcPr>
          <w:p w14:paraId="5879A645" w14:textId="2C88F4FA" w:rsidR="00791A68" w:rsidRPr="00D20169" w:rsidRDefault="00791A68" w:rsidP="006F5BB5">
            <w:pPr>
              <w:pStyle w:val="ChartMainHeading"/>
              <w:spacing w:before="0"/>
            </w:pPr>
            <w:r w:rsidRPr="00D20169">
              <w:t>Gross new supply of higher</w:t>
            </w:r>
            <w:r w:rsidR="00A15C79" w:rsidRPr="00D20169">
              <w:noBreakHyphen/>
            </w:r>
            <w:r w:rsidRPr="00D20169">
              <w:t>density housing</w:t>
            </w:r>
            <w:r w:rsidR="00954912" w:rsidRPr="00D20169">
              <w:t>,</w:t>
            </w:r>
            <w:r w:rsidRPr="00D20169">
              <w:t xml:space="preserve"> by jurisdiction</w:t>
            </w:r>
          </w:p>
        </w:tc>
      </w:tr>
      <w:tr w:rsidR="00791A68" w14:paraId="4D62F89F" w14:textId="77777777">
        <w:trPr>
          <w:cantSplit/>
        </w:trPr>
        <w:tc>
          <w:tcPr>
            <w:tcW w:w="4535" w:type="dxa"/>
          </w:tcPr>
          <w:p w14:paraId="07991BC1" w14:textId="1AD26AE6" w:rsidR="00791A68" w:rsidRPr="0041126E" w:rsidRDefault="007D78E8" w:rsidP="0041126E">
            <w:pPr>
              <w:pStyle w:val="ChartGraphic"/>
              <w:jc w:val="left"/>
              <w:rPr>
                <w:highlight w:val="yellow"/>
              </w:rPr>
            </w:pPr>
            <w:r w:rsidRPr="0041126E">
              <w:rPr>
                <w:noProof/>
              </w:rPr>
              <w:drawing>
                <wp:inline distT="0" distB="0" distL="0" distR="0" wp14:anchorId="0A3280A3" wp14:editId="157C57A3">
                  <wp:extent cx="2742565" cy="2735580"/>
                  <wp:effectExtent l="0" t="0" r="0" b="0"/>
                  <wp:docPr id="248364426" name="Picture 36" descr="This column chart shows gross new supply of detached houses by jurisdiction for the historical periods 2014–15 to 2018–19 and 2019–20 to 2023–24, along with forecast supply for the period 2024–25 to 2028–29.&#10;&#10;For Queensland, WA, SA and NT more supply is forecast from 2024–25 to 2028–29 than occurred from 2019–20 to 2023–24. For the other states and territories, less supply is foreca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64426" name="Picture 36" descr="This column chart shows gross new supply of detached houses by jurisdiction for the historical periods 2014–15 to 2018–19 and 2019–20 to 2023–24, along with forecast supply for the period 2024–25 to 2028–29.&#10;&#10;For Queensland, WA, SA and NT more supply is forecast from 2024–25 to 2028–29 than occurred from 2019–20 to 2023–24. For the other states and territories, less supply is forecast.&#1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742565" cy="2735580"/>
                          </a:xfrm>
                          <a:prstGeom prst="rect">
                            <a:avLst/>
                          </a:prstGeom>
                          <a:noFill/>
                          <a:ln>
                            <a:noFill/>
                          </a:ln>
                        </pic:spPr>
                      </pic:pic>
                    </a:graphicData>
                  </a:graphic>
                </wp:inline>
              </w:drawing>
            </w:r>
          </w:p>
        </w:tc>
        <w:tc>
          <w:tcPr>
            <w:tcW w:w="4535" w:type="dxa"/>
          </w:tcPr>
          <w:p w14:paraId="17CA77CF" w14:textId="155BAB3C" w:rsidR="00791A68" w:rsidRPr="0041126E" w:rsidRDefault="00B073F4" w:rsidP="0099326B">
            <w:pPr>
              <w:pStyle w:val="ChartGraphic"/>
              <w:rPr>
                <w:highlight w:val="yellow"/>
              </w:rPr>
            </w:pPr>
            <w:r w:rsidRPr="0041126E">
              <w:rPr>
                <w:noProof/>
              </w:rPr>
              <w:drawing>
                <wp:inline distT="0" distB="0" distL="0" distR="0" wp14:anchorId="213C2A8B" wp14:editId="0F47F446">
                  <wp:extent cx="2742565" cy="2742565"/>
                  <wp:effectExtent l="0" t="0" r="0" b="0"/>
                  <wp:docPr id="297458005" name="Picture 35" descr="This column chart shows gross new supply of higher-density housing by jurisdiction for the historical periods 2014–15 to 2018–19 and 2019–20 to 2023–24, along with forecast supply for the period 2024–25 to 2028–29.&#10;&#10;For Queensland, WA and NT more supply is forecast from 2024–25 to 2028–29 than occurred from 2019–20 to 2023–24. For the other states and territories, less supply is foreca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58005" name="Picture 35" descr="This column chart shows gross new supply of higher-density housing by jurisdiction for the historical periods 2014–15 to 2018–19 and 2019–20 to 2023–24, along with forecast supply for the period 2024–25 to 2028–29.&#10;&#10;For Queensland, WA and NT more supply is forecast from 2024–25 to 2028–29 than occurred from 2019–20 to 2023–24. For the other states and territories, less supply is forecast.&#1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742565" cy="2742565"/>
                          </a:xfrm>
                          <a:prstGeom prst="rect">
                            <a:avLst/>
                          </a:prstGeom>
                          <a:noFill/>
                          <a:ln>
                            <a:noFill/>
                          </a:ln>
                        </pic:spPr>
                      </pic:pic>
                    </a:graphicData>
                  </a:graphic>
                </wp:inline>
              </w:drawing>
            </w:r>
          </w:p>
        </w:tc>
      </w:tr>
      <w:tr w:rsidR="00791A68" w14:paraId="74BED35C" w14:textId="77777777" w:rsidTr="0099326B">
        <w:trPr>
          <w:cantSplit/>
          <w:trHeight w:val="87"/>
        </w:trPr>
        <w:tc>
          <w:tcPr>
            <w:tcW w:w="4535" w:type="dxa"/>
          </w:tcPr>
          <w:p w14:paraId="68E8BCFB" w14:textId="2B9679F3" w:rsidR="00791A68" w:rsidRPr="002949B5" w:rsidRDefault="00791A68" w:rsidP="00DB6DE6">
            <w:pPr>
              <w:pStyle w:val="ChartorTableNoteandSource"/>
            </w:pPr>
            <w:r w:rsidRPr="002949B5">
              <w:t>Source:</w:t>
            </w:r>
            <w:r w:rsidR="001B4EAF" w:rsidRPr="002949B5">
              <w:tab/>
            </w:r>
            <w:r w:rsidR="00C34F0F" w:rsidRPr="0041126E">
              <w:t>ABS Building Activity 2025;</w:t>
            </w:r>
            <w:r w:rsidR="00C34F0F" w:rsidRPr="002949B5">
              <w:t xml:space="preserve"> </w:t>
            </w:r>
            <w:r w:rsidRPr="002949B5">
              <w:t>NHSAC 2025</w:t>
            </w:r>
          </w:p>
        </w:tc>
        <w:tc>
          <w:tcPr>
            <w:tcW w:w="4535" w:type="dxa"/>
          </w:tcPr>
          <w:p w14:paraId="43A6E57D" w14:textId="25ABC5A0" w:rsidR="00791A68" w:rsidRPr="002949B5" w:rsidRDefault="00791A68" w:rsidP="00DB6DE6">
            <w:pPr>
              <w:pStyle w:val="ChartorTableNoteandSource"/>
            </w:pPr>
            <w:r w:rsidRPr="002949B5">
              <w:t>Source:</w:t>
            </w:r>
            <w:r w:rsidR="001B4EAF" w:rsidRPr="002949B5">
              <w:tab/>
            </w:r>
            <w:r w:rsidR="00C34F0F" w:rsidRPr="0041126E">
              <w:t>ABS Building Activity 2025;</w:t>
            </w:r>
            <w:r w:rsidR="00C34F0F" w:rsidRPr="002949B5">
              <w:t xml:space="preserve"> </w:t>
            </w:r>
            <w:r w:rsidRPr="002949B5">
              <w:t>NHSAC 2025</w:t>
            </w:r>
          </w:p>
        </w:tc>
      </w:tr>
    </w:tbl>
    <w:p w14:paraId="57BF604A" w14:textId="13698149" w:rsidR="00EC59F5" w:rsidRDefault="00791A68">
      <w:r>
        <w:t xml:space="preserve">As is the case for the national supply forecasts, the supply forecasts for each state and territory are subject to uncertainty. </w:t>
      </w:r>
      <w:r w:rsidRPr="00954C7D">
        <w:t xml:space="preserve">Forecasts for smaller jurisdictions need to be interpreted with caution as they are particularly sensitive to volatility in underlying </w:t>
      </w:r>
      <w:r>
        <w:t>new</w:t>
      </w:r>
      <w:r w:rsidRPr="00954C7D">
        <w:t xml:space="preserve"> </w:t>
      </w:r>
      <w:r>
        <w:t>dwelling</w:t>
      </w:r>
      <w:r w:rsidRPr="00954C7D">
        <w:t xml:space="preserve"> approvals, commencements and completions data.</w:t>
      </w:r>
      <w:r w:rsidR="00EC59F5">
        <w:br w:type="page"/>
      </w:r>
    </w:p>
    <w:p w14:paraId="63DDD810" w14:textId="77777777" w:rsidR="00791A68" w:rsidRDefault="00791A68" w:rsidP="0099326B">
      <w:pPr>
        <w:pStyle w:val="Heading3Numbered"/>
      </w:pPr>
      <w:r>
        <w:lastRenderedPageBreak/>
        <w:t>Upzoning policy scenarios</w:t>
      </w:r>
    </w:p>
    <w:p w14:paraId="10118C6A" w14:textId="33EC62C8" w:rsidR="00791A68" w:rsidRDefault="00791A68">
      <w:r>
        <w:t>A</w:t>
      </w:r>
      <w:r w:rsidRPr="001A0C0E">
        <w:t>s</w:t>
      </w:r>
      <w:r>
        <w:t xml:space="preserve"> discussed</w:t>
      </w:r>
      <w:r w:rsidR="003F30B1">
        <w:t xml:space="preserve"> </w:t>
      </w:r>
      <w:r>
        <w:t xml:space="preserve">in Box 5.1, </w:t>
      </w:r>
      <w:bookmarkStart w:id="138" w:name="_Hlk193448621"/>
      <w:r>
        <w:t xml:space="preserve">the supply forecasts do not directly incorporate the impacts of </w:t>
      </w:r>
      <w:r w:rsidRPr="001A0C0E">
        <w:t xml:space="preserve">recent </w:t>
      </w:r>
      <w:r>
        <w:t>state and territory government policy measures related to land use reform</w:t>
      </w:r>
      <w:r w:rsidRPr="001A0C0E">
        <w:t>.</w:t>
      </w:r>
      <w:r>
        <w:t xml:space="preserve"> </w:t>
      </w:r>
      <w:bookmarkEnd w:id="138"/>
      <w:r>
        <w:t xml:space="preserve">Most significantly, </w:t>
      </w:r>
      <w:r w:rsidRPr="001A0C0E">
        <w:t xml:space="preserve">supply forecasts </w:t>
      </w:r>
      <w:r>
        <w:t xml:space="preserve">do not incorporate potential additional supply arising from </w:t>
      </w:r>
      <w:r w:rsidR="009B3B1A" w:rsidRPr="009B3B1A">
        <w:t xml:space="preserve">recent upzoning initiatives </w:t>
      </w:r>
      <w:r w:rsidR="009B3B1A">
        <w:t xml:space="preserve">in </w:t>
      </w:r>
      <w:r w:rsidRPr="001A0C0E">
        <w:t>N</w:t>
      </w:r>
      <w:r w:rsidR="006D686A">
        <w:t xml:space="preserve">ew </w:t>
      </w:r>
      <w:r w:rsidRPr="001A0C0E">
        <w:t>S</w:t>
      </w:r>
      <w:r w:rsidR="006D686A">
        <w:t xml:space="preserve">outh </w:t>
      </w:r>
      <w:r w:rsidRPr="001A0C0E">
        <w:t>W</w:t>
      </w:r>
      <w:r w:rsidR="006D686A">
        <w:t>ales</w:t>
      </w:r>
      <w:r w:rsidRPr="001A0C0E">
        <w:t xml:space="preserve"> and Victoria.</w:t>
      </w:r>
      <w:r w:rsidRPr="00232BB1">
        <w:t xml:space="preserve"> </w:t>
      </w:r>
      <w:r w:rsidRPr="001A0C0E">
        <w:t xml:space="preserve">These policy measures represent upside risks for the forecasts. </w:t>
      </w:r>
    </w:p>
    <w:p w14:paraId="0C448B17" w14:textId="38B9793F" w:rsidR="00791A68" w:rsidRPr="002949B5" w:rsidRDefault="00791A68" w:rsidP="001B4EAF">
      <w:pPr>
        <w:spacing w:after="0"/>
      </w:pPr>
      <w:r w:rsidRPr="002949B5">
        <w:t xml:space="preserve">The </w:t>
      </w:r>
      <w:r w:rsidR="00367C54" w:rsidRPr="002949B5">
        <w:t xml:space="preserve">New South Wales </w:t>
      </w:r>
      <w:r w:rsidRPr="002949B5">
        <w:t xml:space="preserve">and Victorian governments have made public estimates of the </w:t>
      </w:r>
      <w:r w:rsidRPr="000C647A">
        <w:rPr>
          <w:rStyle w:val="Emphasis"/>
        </w:rPr>
        <w:t xml:space="preserve">potential </w:t>
      </w:r>
      <w:r w:rsidRPr="002949B5">
        <w:t>addition to supply arising from these initiatives.</w:t>
      </w:r>
      <w:r w:rsidRPr="002949B5">
        <w:rPr>
          <w:rStyle w:val="FootnoteReference"/>
        </w:rPr>
        <w:footnoteReference w:id="11"/>
      </w:r>
      <w:r w:rsidRPr="002949B5">
        <w:t xml:space="preserve"> These are not estimates of </w:t>
      </w:r>
      <w:r w:rsidRPr="000C647A">
        <w:rPr>
          <w:rStyle w:val="Emphasis"/>
        </w:rPr>
        <w:t>actual</w:t>
      </w:r>
      <w:r w:rsidRPr="002949B5">
        <w:t xml:space="preserve"> supply expected to arise. The Council assesses that realising the full potential of these new reforms in the near</w:t>
      </w:r>
      <w:r w:rsidR="00B25D24" w:rsidRPr="002949B5">
        <w:t xml:space="preserve"> </w:t>
      </w:r>
      <w:r w:rsidRPr="002949B5">
        <w:t>to</w:t>
      </w:r>
      <w:r w:rsidR="00B25D24" w:rsidRPr="002949B5">
        <w:t xml:space="preserve"> </w:t>
      </w:r>
      <w:r w:rsidRPr="002949B5">
        <w:t>medium term is highly unlikely given ongoing commercial feasibility and capacity constraints across the sector, especially for higher</w:t>
      </w:r>
      <w:r w:rsidR="00A15C79" w:rsidRPr="002949B5">
        <w:noBreakHyphen/>
      </w:r>
      <w:r w:rsidRPr="002949B5">
        <w:t>density housing projects (see Chapter 2</w:t>
      </w:r>
      <w:r w:rsidR="00235CA7" w:rsidRPr="002949B5">
        <w:t>,</w:t>
      </w:r>
      <w:r w:rsidRPr="002949B5">
        <w:rPr>
          <w:i/>
        </w:rPr>
        <w:t xml:space="preserve"> </w:t>
      </w:r>
      <w:r w:rsidRPr="002949B5">
        <w:rPr>
          <w:rStyle w:val="Emphasis"/>
        </w:rPr>
        <w:t>Housing market conditions</w:t>
      </w:r>
      <w:r w:rsidRPr="002949B5">
        <w:t>).</w:t>
      </w:r>
    </w:p>
    <w:p w14:paraId="3C9896E5" w14:textId="562A0E4A" w:rsidR="00791A68" w:rsidRPr="002949B5" w:rsidRDefault="00791A68">
      <w:r w:rsidRPr="002949B5">
        <w:t xml:space="preserve">Nonetheless, for illustrative purposes, the Council has prepared </w:t>
      </w:r>
      <w:r w:rsidR="0094150E" w:rsidRPr="002949B5">
        <w:t xml:space="preserve">a </w:t>
      </w:r>
      <w:r w:rsidRPr="002949B5">
        <w:t xml:space="preserve">scenario analysis whereby the </w:t>
      </w:r>
      <w:r w:rsidR="00367C54" w:rsidRPr="002949B5">
        <w:t>New South Wales</w:t>
      </w:r>
      <w:r w:rsidRPr="002949B5">
        <w:t xml:space="preserve"> and Victorian governments</w:t>
      </w:r>
      <w:r w:rsidR="00A15C79" w:rsidRPr="002949B5">
        <w:t>’</w:t>
      </w:r>
      <w:r w:rsidRPr="002949B5">
        <w:t xml:space="preserve"> public estimates of their policies</w:t>
      </w:r>
      <w:r w:rsidR="00A15C79" w:rsidRPr="002949B5">
        <w:t>’</w:t>
      </w:r>
      <w:r w:rsidRPr="002949B5">
        <w:t xml:space="preserve"> potential impacts are fully realised over their stated timeframe. For simplicity, </w:t>
      </w:r>
      <w:r w:rsidR="0094150E" w:rsidRPr="002949B5">
        <w:t xml:space="preserve">the Council </w:t>
      </w:r>
      <w:r w:rsidRPr="002949B5">
        <w:t>assume</w:t>
      </w:r>
      <w:r w:rsidR="0094150E" w:rsidRPr="002949B5">
        <w:t>s</w:t>
      </w:r>
      <w:r w:rsidRPr="002949B5">
        <w:t xml:space="preserve"> that the additional housing supply from these policies </w:t>
      </w:r>
      <w:r w:rsidR="004D6131" w:rsidRPr="002949B5">
        <w:t xml:space="preserve">will </w:t>
      </w:r>
      <w:r w:rsidRPr="002949B5">
        <w:t xml:space="preserve">increase by a constant amount each quarter, and that the additional supply </w:t>
      </w:r>
      <w:r w:rsidR="004D6131" w:rsidRPr="002949B5">
        <w:t xml:space="preserve">will </w:t>
      </w:r>
      <w:r w:rsidRPr="002949B5">
        <w:t xml:space="preserve">not result in higher construction costs. Taken together, these assumptions imply that the </w:t>
      </w:r>
      <w:r w:rsidR="00367C54" w:rsidRPr="002949B5">
        <w:t>New South Wales</w:t>
      </w:r>
      <w:r w:rsidRPr="002949B5">
        <w:t xml:space="preserve"> and Victorian </w:t>
      </w:r>
      <w:r w:rsidR="001711CA" w:rsidRPr="002949B5">
        <w:t>governments</w:t>
      </w:r>
      <w:r w:rsidR="00A15C79" w:rsidRPr="002949B5">
        <w:t>’</w:t>
      </w:r>
      <w:r w:rsidR="001711CA" w:rsidRPr="002949B5">
        <w:t xml:space="preserve"> </w:t>
      </w:r>
      <w:r w:rsidRPr="002949B5">
        <w:t>upzoning policies would respectively add around 130,000 and 20,000 dwellings to these states</w:t>
      </w:r>
      <w:r w:rsidR="00A15C79" w:rsidRPr="002949B5">
        <w:t>’</w:t>
      </w:r>
      <w:r w:rsidRPr="002949B5">
        <w:t xml:space="preserve"> gross new housing supply over the Housing Accord period. </w:t>
      </w:r>
    </w:p>
    <w:p w14:paraId="44E1A91B" w14:textId="0F3583E5" w:rsidR="00791A68" w:rsidRDefault="00791A68" w:rsidP="004811DC">
      <w:r w:rsidRPr="002949B5">
        <w:t xml:space="preserve">Charts 5.7 and 5.8 show forecasts of national gross new housing supply and rent growth under this scenario. Across the </w:t>
      </w:r>
      <w:r w:rsidR="00801CF9" w:rsidRPr="002949B5">
        <w:t xml:space="preserve">5 </w:t>
      </w:r>
      <w:r w:rsidRPr="002949B5">
        <w:t>years of the Housing Accord period, gross new housing supply would reach 1,0</w:t>
      </w:r>
      <w:r w:rsidR="003E47D2" w:rsidRPr="0041126E">
        <w:t>9</w:t>
      </w:r>
      <w:r w:rsidRPr="002949B5">
        <w:t xml:space="preserve">0,000 new dwellings (around 152,000 </w:t>
      </w:r>
      <w:r w:rsidR="00801CF9" w:rsidRPr="002949B5">
        <w:t xml:space="preserve">more dwellings </w:t>
      </w:r>
      <w:r w:rsidRPr="002949B5">
        <w:t>than under baseline conditions) and average rent growth would fall to 3.1</w:t>
      </w:r>
      <w:r w:rsidR="0099326B" w:rsidRPr="002949B5">
        <w:t> per cent</w:t>
      </w:r>
      <w:r w:rsidRPr="002949B5">
        <w:t xml:space="preserve"> (0.8 percentage points lower than under baseline conditions).</w:t>
      </w:r>
      <w:r w:rsidR="00B92C7A" w:rsidRPr="002949B5">
        <w:rPr>
          <w:rStyle w:val="FootnoteReference"/>
        </w:rPr>
        <w:footnoteReference w:id="12"/>
      </w:r>
      <w:r w:rsidRPr="002949B5">
        <w:t xml:space="preserve"> These outcomes would represent a significant improvement in the national outlook for housing supply and affordability. </w:t>
      </w:r>
      <w:r w:rsidR="00373C0B" w:rsidRPr="002949B5">
        <w:t>Housing s</w:t>
      </w:r>
      <w:r w:rsidRPr="002949B5">
        <w:t>uppl</w:t>
      </w:r>
      <w:r w:rsidR="00906D38" w:rsidRPr="002949B5">
        <w:t>y</w:t>
      </w:r>
      <w:r w:rsidR="002B1E9A" w:rsidRPr="002949B5">
        <w:t xml:space="preserve"> in</w:t>
      </w:r>
      <w:r w:rsidRPr="002949B5">
        <w:t xml:space="preserve"> N</w:t>
      </w:r>
      <w:r w:rsidR="006D686A" w:rsidRPr="002949B5">
        <w:t xml:space="preserve">ew </w:t>
      </w:r>
      <w:r w:rsidRPr="002949B5">
        <w:t>S</w:t>
      </w:r>
      <w:r w:rsidR="006D686A" w:rsidRPr="002949B5">
        <w:t xml:space="preserve">outh </w:t>
      </w:r>
      <w:r w:rsidRPr="002949B5">
        <w:t>W</w:t>
      </w:r>
      <w:r w:rsidR="006D686A" w:rsidRPr="002949B5">
        <w:t>ales</w:t>
      </w:r>
      <w:r w:rsidRPr="002949B5">
        <w:t xml:space="preserve"> and Victoria would approximately meet their respective shares of the Housing Accord target.</w:t>
      </w:r>
      <w:r>
        <w:t xml:space="preserve"> </w:t>
      </w:r>
    </w:p>
    <w:tbl>
      <w:tblPr>
        <w:tblW w:w="5000" w:type="pct"/>
        <w:tblLayout w:type="fixed"/>
        <w:tblLook w:val="0000" w:firstRow="0" w:lastRow="0" w:firstColumn="0" w:lastColumn="0" w:noHBand="0" w:noVBand="0"/>
      </w:tblPr>
      <w:tblGrid>
        <w:gridCol w:w="4535"/>
        <w:gridCol w:w="4535"/>
      </w:tblGrid>
      <w:tr w:rsidR="00791A68" w:rsidRPr="007C6126" w14:paraId="2F8818F6" w14:textId="77777777">
        <w:trPr>
          <w:cantSplit/>
        </w:trPr>
        <w:tc>
          <w:tcPr>
            <w:tcW w:w="4428" w:type="dxa"/>
          </w:tcPr>
          <w:p w14:paraId="20214973" w14:textId="03EF21A2" w:rsidR="00791A68" w:rsidRPr="00AA0039" w:rsidRDefault="00791A68" w:rsidP="00AB436F">
            <w:pPr>
              <w:pStyle w:val="ChartMainHeading"/>
              <w:spacing w:before="0"/>
            </w:pPr>
            <w:r w:rsidRPr="00AA0039">
              <w:lastRenderedPageBreak/>
              <w:t>Gross new housing supply: N</w:t>
            </w:r>
            <w:r w:rsidR="005C0319" w:rsidRPr="00AA0039">
              <w:t xml:space="preserve">ew </w:t>
            </w:r>
            <w:r w:rsidRPr="00AA0039">
              <w:t>S</w:t>
            </w:r>
            <w:r w:rsidR="005C0319" w:rsidRPr="00AA0039">
              <w:t xml:space="preserve">outh </w:t>
            </w:r>
            <w:r w:rsidRPr="00AA0039">
              <w:t>W</w:t>
            </w:r>
            <w:r w:rsidR="005C0319" w:rsidRPr="00AA0039">
              <w:t>ales</w:t>
            </w:r>
            <w:r w:rsidRPr="00AA0039">
              <w:t xml:space="preserve"> and Victoria upzoning policy scenario</w:t>
            </w:r>
          </w:p>
        </w:tc>
        <w:tc>
          <w:tcPr>
            <w:tcW w:w="4428" w:type="dxa"/>
          </w:tcPr>
          <w:p w14:paraId="380B960C" w14:textId="0A4F36EA" w:rsidR="00791A68" w:rsidRPr="00AA0039" w:rsidRDefault="00791A68" w:rsidP="00AB436F">
            <w:pPr>
              <w:pStyle w:val="ChartMainHeading"/>
              <w:spacing w:before="0"/>
            </w:pPr>
            <w:r w:rsidRPr="00AA0039">
              <w:t>Nominal rent growth: N</w:t>
            </w:r>
            <w:r w:rsidR="005C0319" w:rsidRPr="00AA0039">
              <w:t xml:space="preserve">ew </w:t>
            </w:r>
            <w:r w:rsidRPr="00AA0039">
              <w:t>S</w:t>
            </w:r>
            <w:r w:rsidR="005C0319" w:rsidRPr="00AA0039">
              <w:t xml:space="preserve">outh </w:t>
            </w:r>
            <w:r w:rsidRPr="00AA0039">
              <w:t>W</w:t>
            </w:r>
            <w:r w:rsidR="005C0319" w:rsidRPr="00AA0039">
              <w:t>ales</w:t>
            </w:r>
            <w:r w:rsidRPr="00AA0039">
              <w:t xml:space="preserve"> and Victoria upzoning policy scenario</w:t>
            </w:r>
          </w:p>
        </w:tc>
      </w:tr>
      <w:tr w:rsidR="00791A68" w:rsidRPr="007C6126" w14:paraId="6B6FCA2E" w14:textId="77777777">
        <w:trPr>
          <w:cantSplit/>
        </w:trPr>
        <w:tc>
          <w:tcPr>
            <w:tcW w:w="4428" w:type="dxa"/>
          </w:tcPr>
          <w:p w14:paraId="13325D9A" w14:textId="292B5727" w:rsidR="00791A68" w:rsidRPr="0041126E" w:rsidRDefault="0094682E" w:rsidP="0041126E">
            <w:pPr>
              <w:pStyle w:val="ChartGraphic"/>
              <w:jc w:val="left"/>
              <w:rPr>
                <w:highlight w:val="yellow"/>
              </w:rPr>
            </w:pPr>
            <w:r w:rsidRPr="0041126E">
              <w:rPr>
                <w:noProof/>
              </w:rPr>
              <w:drawing>
                <wp:inline distT="0" distB="0" distL="0" distR="0" wp14:anchorId="0BC88C8A" wp14:editId="29EF5D5B">
                  <wp:extent cx="2742565" cy="2757170"/>
                  <wp:effectExtent l="0" t="0" r="0" b="0"/>
                  <wp:docPr id="1470954766" name="Picture 23" descr="This line chart shows the rolling annual total of gross new housing supply in the NSW and Victoria upzoning policy scenario, along with the baseline forecast and implied annual Housing Accord target for comparison. The chart covers the period from June quarter 2011 to June quarter 2029, where the period from March quarter 2025 to June quarter 2029 displays the forecasts.&#10;&#10;In the NSW and Victorian upzoning policy scenario, new housing supply increases consistently over the forecast period reaching 254,000 by June 2029, which is above the implied annual Housing Accord target of 240,000. By comparison, the baseline forecast is lower, increasing consistently to 197,000 by June 20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54766" name="Picture 23" descr="This line chart shows the rolling annual total of gross new housing supply in the NSW and Victoria upzoning policy scenario, along with the baseline forecast and implied annual Housing Accord target for comparison. The chart covers the period from June quarter 2011 to June quarter 2029, where the period from March quarter 2025 to June quarter 2029 displays the forecasts.&#10;&#10;In the NSW and Victorian upzoning policy scenario, new housing supply increases consistently over the forecast period reaching 254,000 by June 2029, which is above the implied annual Housing Accord target of 240,000. By comparison, the baseline forecast is lower, increasing consistently to 197,000 by June 2029.&#1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742565" cy="2757170"/>
                          </a:xfrm>
                          <a:prstGeom prst="rect">
                            <a:avLst/>
                          </a:prstGeom>
                          <a:noFill/>
                          <a:ln>
                            <a:noFill/>
                          </a:ln>
                        </pic:spPr>
                      </pic:pic>
                    </a:graphicData>
                  </a:graphic>
                </wp:inline>
              </w:drawing>
            </w:r>
          </w:p>
        </w:tc>
        <w:tc>
          <w:tcPr>
            <w:tcW w:w="4428" w:type="dxa"/>
          </w:tcPr>
          <w:p w14:paraId="0E3D9452" w14:textId="6F10BF3A" w:rsidR="00791A68" w:rsidRPr="0041126E" w:rsidRDefault="00EB4260" w:rsidP="0041126E">
            <w:pPr>
              <w:spacing w:before="0" w:after="0"/>
              <w:rPr>
                <w:highlight w:val="yellow"/>
              </w:rPr>
            </w:pPr>
            <w:r w:rsidRPr="0041126E">
              <w:rPr>
                <w:noProof/>
              </w:rPr>
              <w:drawing>
                <wp:inline distT="0" distB="0" distL="0" distR="0" wp14:anchorId="493776A1" wp14:editId="6514ED0B">
                  <wp:extent cx="2742565" cy="2742565"/>
                  <wp:effectExtent l="0" t="0" r="0" b="0"/>
                  <wp:docPr id="937473946" name="Picture 15" descr="This line chart shows through-the-year rent growth in the NSW and Victoria upzoning policy scenario, along with the baseline forecast for comparison. The chart covers the period from June quarter 2011 to June quarter 2029, where the period from March quarter 2025 to June quarter 2029 displays the forecasts.&#10;&#10;In the NSW and Victorian upzoning policy scenario, rent growth falls from 6.4% in December 2024 to 2.8% by June 2029. This decline is faster than the decline that occurs in the baseline forecast which declines to 3.6% in June 20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73946" name="Picture 15" descr="This line chart shows through-the-year rent growth in the NSW and Victoria upzoning policy scenario, along with the baseline forecast for comparison. The chart covers the period from June quarter 2011 to June quarter 2029, where the period from March quarter 2025 to June quarter 2029 displays the forecasts.&#10;&#10;In the NSW and Victorian upzoning policy scenario, rent growth falls from 6.4% in December 2024 to 2.8% by June 2029. This decline is faster than the decline that occurs in the baseline forecast which declines to 3.6% in June 2029.&#1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742565" cy="2742565"/>
                          </a:xfrm>
                          <a:prstGeom prst="rect">
                            <a:avLst/>
                          </a:prstGeom>
                          <a:noFill/>
                          <a:ln>
                            <a:noFill/>
                          </a:ln>
                        </pic:spPr>
                      </pic:pic>
                    </a:graphicData>
                  </a:graphic>
                </wp:inline>
              </w:drawing>
            </w:r>
          </w:p>
        </w:tc>
      </w:tr>
      <w:tr w:rsidR="00791A68" w14:paraId="30CD3B07" w14:textId="77777777">
        <w:trPr>
          <w:cantSplit/>
          <w:trHeight w:val="689"/>
        </w:trPr>
        <w:tc>
          <w:tcPr>
            <w:tcW w:w="4428" w:type="dxa"/>
          </w:tcPr>
          <w:p w14:paraId="20A03AA2" w14:textId="64185267" w:rsidR="00791A68" w:rsidRPr="002949B5" w:rsidRDefault="00791A68" w:rsidP="00EC59F5">
            <w:pPr>
              <w:pStyle w:val="ChartorTableNoteandSource"/>
              <w:spacing w:after="0"/>
            </w:pPr>
            <w:r w:rsidRPr="002949B5">
              <w:t>Note:</w:t>
            </w:r>
            <w:r w:rsidR="001B4EAF" w:rsidRPr="002949B5">
              <w:tab/>
            </w:r>
            <w:r w:rsidR="00CD6AD4" w:rsidRPr="002949B5">
              <w:t>The n</w:t>
            </w:r>
            <w:r w:rsidRPr="002949B5">
              <w:t>umbers shown are rolling annual totals</w:t>
            </w:r>
            <w:r w:rsidR="001E2DFB" w:rsidRPr="002949B5">
              <w:t>. T</w:t>
            </w:r>
            <w:r w:rsidRPr="002949B5">
              <w:t xml:space="preserve">he dotted line represents the Australian forecast with the total potential supply from </w:t>
            </w:r>
            <w:r w:rsidR="00903B3D" w:rsidRPr="002949B5">
              <w:t xml:space="preserve">the </w:t>
            </w:r>
            <w:r w:rsidRPr="002949B5">
              <w:t>NSW Government</w:t>
            </w:r>
            <w:r w:rsidR="00A15C79" w:rsidRPr="002949B5">
              <w:t>’</w:t>
            </w:r>
            <w:r w:rsidRPr="002949B5">
              <w:t xml:space="preserve">s </w:t>
            </w:r>
            <w:r w:rsidR="00AA4C45" w:rsidRPr="002949B5">
              <w:t>Low and Mid-Rise Housing Policy</w:t>
            </w:r>
            <w:r w:rsidRPr="002949B5">
              <w:t xml:space="preserve"> </w:t>
            </w:r>
            <w:r w:rsidR="00FE69D6" w:rsidRPr="002949B5">
              <w:t xml:space="preserve">initiative </w:t>
            </w:r>
            <w:r w:rsidRPr="002949B5">
              <w:t xml:space="preserve">and Transport Oriented Development </w:t>
            </w:r>
            <w:r w:rsidR="00E073BE" w:rsidRPr="002949B5">
              <w:t>Program</w:t>
            </w:r>
            <w:r w:rsidR="005117AE" w:rsidRPr="002949B5">
              <w:t>,</w:t>
            </w:r>
            <w:r w:rsidRPr="002949B5">
              <w:t xml:space="preserve"> and the Victorian Government</w:t>
            </w:r>
            <w:r w:rsidR="00A15C79" w:rsidRPr="002949B5">
              <w:t>’</w:t>
            </w:r>
            <w:r w:rsidRPr="002949B5">
              <w:t>s Activity Centre Program included.</w:t>
            </w:r>
          </w:p>
          <w:p w14:paraId="07C9CEBF" w14:textId="524348DC" w:rsidR="005565A3" w:rsidRPr="002949B5" w:rsidRDefault="005565A3" w:rsidP="005565A3">
            <w:pPr>
              <w:pStyle w:val="ChartorTableNoteandSource"/>
              <w:spacing w:after="0"/>
            </w:pPr>
            <w:r w:rsidRPr="002949B5">
              <w:t>Source:</w:t>
            </w:r>
            <w:r w:rsidRPr="002949B5">
              <w:tab/>
            </w:r>
            <w:r w:rsidR="00C34F0F" w:rsidRPr="0041126E">
              <w:t>ABS Building Activity 2025;</w:t>
            </w:r>
            <w:r w:rsidR="00C34F0F" w:rsidRPr="002949B5">
              <w:t xml:space="preserve"> </w:t>
            </w:r>
            <w:r w:rsidRPr="002949B5">
              <w:t>NHSAC 2025</w:t>
            </w:r>
          </w:p>
          <w:p w14:paraId="7AB9B853" w14:textId="5AA07F46" w:rsidR="005565A3" w:rsidRPr="00285514" w:rsidRDefault="005565A3" w:rsidP="0041126E"/>
        </w:tc>
        <w:tc>
          <w:tcPr>
            <w:tcW w:w="4428" w:type="dxa"/>
          </w:tcPr>
          <w:p w14:paraId="6BCEF44D" w14:textId="26B59BD7" w:rsidR="00791A68" w:rsidRPr="002949B5" w:rsidRDefault="00791A68" w:rsidP="00EC59F5">
            <w:pPr>
              <w:pStyle w:val="ChartorTableNoteandSource"/>
              <w:spacing w:after="0"/>
            </w:pPr>
            <w:r w:rsidRPr="002949B5">
              <w:t>Note:</w:t>
            </w:r>
            <w:r w:rsidR="001B4EAF" w:rsidRPr="002949B5">
              <w:tab/>
            </w:r>
            <w:r w:rsidR="00444824" w:rsidRPr="002949B5">
              <w:t>The numbers shown represent t</w:t>
            </w:r>
            <w:r w:rsidRPr="002949B5">
              <w:t>hrough</w:t>
            </w:r>
            <w:r w:rsidR="00A15C79" w:rsidRPr="002949B5">
              <w:noBreakHyphen/>
            </w:r>
            <w:r w:rsidRPr="002949B5">
              <w:t>the</w:t>
            </w:r>
            <w:r w:rsidR="00A15C79" w:rsidRPr="002949B5">
              <w:noBreakHyphen/>
            </w:r>
            <w:r w:rsidRPr="002949B5">
              <w:t>year growth</w:t>
            </w:r>
            <w:r w:rsidR="00444824" w:rsidRPr="002949B5">
              <w:t>. N</w:t>
            </w:r>
            <w:r w:rsidRPr="002949B5">
              <w:t>ear</w:t>
            </w:r>
            <w:r w:rsidR="00A15C79" w:rsidRPr="002949B5">
              <w:noBreakHyphen/>
            </w:r>
            <w:r w:rsidRPr="002949B5">
              <w:t>term forecasts partly reflect the impact of recent increases in Commonwealth Rent Assistance</w:t>
            </w:r>
            <w:r w:rsidR="00444824" w:rsidRPr="002949B5">
              <w:t>. T</w:t>
            </w:r>
            <w:r w:rsidRPr="002949B5">
              <w:t xml:space="preserve">he dotted line represents the Australian forecast with the total potential supply from </w:t>
            </w:r>
            <w:r w:rsidR="00123677" w:rsidRPr="002949B5">
              <w:t>the</w:t>
            </w:r>
            <w:r w:rsidRPr="002949B5">
              <w:t xml:space="preserve"> NSW Government</w:t>
            </w:r>
            <w:r w:rsidR="00A15C79" w:rsidRPr="002949B5">
              <w:t>’</w:t>
            </w:r>
            <w:r w:rsidRPr="002949B5">
              <w:t xml:space="preserve">s </w:t>
            </w:r>
            <w:r w:rsidR="008C48FA" w:rsidRPr="002949B5">
              <w:t>Low and Mid-Rise</w:t>
            </w:r>
            <w:r w:rsidR="0014179E" w:rsidRPr="002949B5">
              <w:t xml:space="preserve"> Housing Policy</w:t>
            </w:r>
            <w:r w:rsidRPr="002949B5">
              <w:t xml:space="preserve"> </w:t>
            </w:r>
            <w:r w:rsidR="00FE69D6" w:rsidRPr="002949B5">
              <w:t>initiative</w:t>
            </w:r>
            <w:r w:rsidRPr="002949B5">
              <w:t xml:space="preserve"> and Transport Oriented Development </w:t>
            </w:r>
            <w:r w:rsidR="00FE69D6" w:rsidRPr="002949B5">
              <w:t>Program</w:t>
            </w:r>
            <w:r w:rsidR="005117AE" w:rsidRPr="002949B5">
              <w:t>,</w:t>
            </w:r>
            <w:r w:rsidR="00FE69D6" w:rsidRPr="002949B5">
              <w:t xml:space="preserve"> </w:t>
            </w:r>
            <w:r w:rsidRPr="002949B5">
              <w:t>and the Victorian Government</w:t>
            </w:r>
            <w:r w:rsidR="00A15C79" w:rsidRPr="002949B5">
              <w:t>’</w:t>
            </w:r>
            <w:r w:rsidRPr="002949B5">
              <w:t xml:space="preserve">s Activity Centre Program included. </w:t>
            </w:r>
          </w:p>
          <w:p w14:paraId="7ADDFA03" w14:textId="101A90BB" w:rsidR="005565A3" w:rsidRPr="002949B5" w:rsidRDefault="005565A3" w:rsidP="00AD2F7F">
            <w:pPr>
              <w:pStyle w:val="ChartorTableNoteandSource"/>
              <w:spacing w:after="0"/>
            </w:pPr>
            <w:r w:rsidRPr="002949B5">
              <w:t>Source:</w:t>
            </w:r>
            <w:r w:rsidRPr="002949B5">
              <w:tab/>
              <w:t>ABS Consumer Price Index 202</w:t>
            </w:r>
            <w:r w:rsidR="00CB7376" w:rsidRPr="002949B5">
              <w:t>5</w:t>
            </w:r>
            <w:r w:rsidRPr="002949B5">
              <w:t>; NHSAC 2025</w:t>
            </w:r>
          </w:p>
        </w:tc>
      </w:tr>
    </w:tbl>
    <w:p w14:paraId="61D91611" w14:textId="1CCD764C" w:rsidR="00791A68" w:rsidRDefault="00791A68" w:rsidP="001B4EAF">
      <w:pPr>
        <w:pStyle w:val="Heading2Numbered"/>
      </w:pPr>
      <w:bookmarkStart w:id="139" w:name="_Toc195026608"/>
      <w:bookmarkStart w:id="140" w:name="_Toc196395899"/>
      <w:r>
        <w:t xml:space="preserve">New demand is expected to exceed net </w:t>
      </w:r>
      <w:r w:rsidRPr="001B4EAF">
        <w:t>new</w:t>
      </w:r>
      <w:r>
        <w:t xml:space="preserve"> supply in each year of the Accord period</w:t>
      </w:r>
      <w:bookmarkEnd w:id="139"/>
      <w:bookmarkEnd w:id="140"/>
    </w:p>
    <w:p w14:paraId="60306CC8" w14:textId="6893375E" w:rsidR="00791A68" w:rsidRDefault="00791A68">
      <w:r>
        <w:t xml:space="preserve">The Housing Accord target is measured using gross new housing supply. However, net new supply, which adjusts for housing demolitions, is a better measure </w:t>
      </w:r>
      <w:r w:rsidR="00EE74CB">
        <w:t>of</w:t>
      </w:r>
      <w:r>
        <w:t xml:space="preserve"> overall surplus or deficit of dwellings entering the housing system, and the implications of this balance for housing affordability. </w:t>
      </w:r>
    </w:p>
    <w:p w14:paraId="5C55C760" w14:textId="201DF677" w:rsidR="006E082A" w:rsidRDefault="00791A68">
      <w:r w:rsidRPr="002949B5">
        <w:t>Australian net new housing supply is projected to be 8</w:t>
      </w:r>
      <w:r w:rsidR="00811335" w:rsidRPr="0041126E">
        <w:t>25</w:t>
      </w:r>
      <w:r w:rsidRPr="002949B5">
        <w:t xml:space="preserve">,000 over the Housing Accord period. This is more than </w:t>
      </w:r>
      <w:r w:rsidR="00873C48" w:rsidRPr="0041126E">
        <w:t>44</w:t>
      </w:r>
      <w:r w:rsidRPr="002949B5">
        <w:t xml:space="preserve">,000 below the comparable figure in </w:t>
      </w:r>
      <w:r w:rsidRPr="002949B5">
        <w:rPr>
          <w:rStyle w:val="Emphasis"/>
        </w:rPr>
        <w:t>State of the Housing System 2024</w:t>
      </w:r>
      <w:r w:rsidR="007E068D" w:rsidRPr="002949B5">
        <w:t xml:space="preserve">. </w:t>
      </w:r>
      <w:r w:rsidRPr="002949B5">
        <w:t>The downgrade</w:t>
      </w:r>
      <w:r w:rsidR="00633749" w:rsidRPr="002949B5">
        <w:t xml:space="preserve"> in net supply forecasts</w:t>
      </w:r>
      <w:r w:rsidRPr="002949B5">
        <w:t xml:space="preserve"> is </w:t>
      </w:r>
      <w:r w:rsidR="002F1AB2" w:rsidRPr="0041126E">
        <w:t xml:space="preserve">primarily </w:t>
      </w:r>
      <w:r w:rsidRPr="002949B5">
        <w:t xml:space="preserve">driven by the Council </w:t>
      </w:r>
      <w:r w:rsidR="00633749" w:rsidRPr="002949B5">
        <w:t>applying</w:t>
      </w:r>
      <w:r w:rsidRPr="002949B5">
        <w:t xml:space="preserve"> a higher demolition rate than in </w:t>
      </w:r>
      <w:r w:rsidRPr="002949B5" w:rsidDel="00974624">
        <w:t xml:space="preserve">the </w:t>
      </w:r>
      <w:r w:rsidR="00974624" w:rsidRPr="002949B5">
        <w:t>2024 report</w:t>
      </w:r>
      <w:r w:rsidRPr="00285514">
        <w:rPr>
          <w:i/>
        </w:rPr>
        <w:t xml:space="preserve"> </w:t>
      </w:r>
      <w:r w:rsidRPr="002949B5">
        <w:t xml:space="preserve">following consultation and stakeholder feedback. </w:t>
      </w:r>
      <w:r w:rsidR="006E082A">
        <w:br w:type="page"/>
      </w:r>
    </w:p>
    <w:p w14:paraId="2ED46D39" w14:textId="3D15D375" w:rsidR="00791A68" w:rsidRPr="000B0A5A" w:rsidRDefault="00791A68">
      <w:r w:rsidRPr="002949B5">
        <w:lastRenderedPageBreak/>
        <w:t xml:space="preserve">Over the Housing Accord period, the Council expects </w:t>
      </w:r>
      <w:r w:rsidR="00DA73ED" w:rsidRPr="002949B5">
        <w:t xml:space="preserve">that </w:t>
      </w:r>
      <w:r w:rsidRPr="002949B5">
        <w:t xml:space="preserve">new underlying demand for housing will </w:t>
      </w:r>
      <w:r w:rsidR="00B24314" w:rsidRPr="002949B5">
        <w:t>come from</w:t>
      </w:r>
      <w:r w:rsidRPr="002949B5">
        <w:t xml:space="preserve"> 904,000 households – that is, based on age group and geographic demographic forecasts, and the historical propensity of these groups to form households. In the near term, new underlying demand for housing is forecast to remain elevated, with 205,000 new households projected to form</w:t>
      </w:r>
      <w:r>
        <w:t xml:space="preserve"> in 2024</w:t>
      </w:r>
      <w:r w:rsidR="00DA73ED">
        <w:t>–</w:t>
      </w:r>
      <w:r w:rsidR="00F06F63">
        <w:t>‍</w:t>
      </w:r>
      <w:r>
        <w:t>25 (</w:t>
      </w:r>
      <w:r w:rsidR="00DA73ED">
        <w:t xml:space="preserve">see </w:t>
      </w:r>
      <w:r w:rsidR="006E234D">
        <w:t xml:space="preserve">Charts </w:t>
      </w:r>
      <w:r>
        <w:t xml:space="preserve">5.9 and 5.10). This is </w:t>
      </w:r>
      <w:r w:rsidR="004F279E">
        <w:t xml:space="preserve">less </w:t>
      </w:r>
      <w:r>
        <w:t xml:space="preserve">than </w:t>
      </w:r>
      <w:r w:rsidRPr="002949B5">
        <w:t>the 241,</w:t>
      </w:r>
      <w:r w:rsidR="002A748D" w:rsidRPr="0041126E">
        <w:t>0</w:t>
      </w:r>
      <w:r w:rsidRPr="002949B5">
        <w:t>00 new households formed in 2023</w:t>
      </w:r>
      <w:r w:rsidR="00DA73ED" w:rsidRPr="002949B5">
        <w:t>–</w:t>
      </w:r>
      <w:r w:rsidR="00F06F63" w:rsidRPr="002949B5">
        <w:t>‍</w:t>
      </w:r>
      <w:r w:rsidRPr="002949B5">
        <w:t>24, reflecting a moderation of population growth towards its pre</w:t>
      </w:r>
      <w:r w:rsidR="00A15C79" w:rsidRPr="002949B5">
        <w:noBreakHyphen/>
      </w:r>
      <w:r w:rsidR="0036495B" w:rsidRPr="002949B5">
        <w:t>P</w:t>
      </w:r>
      <w:r w:rsidRPr="002949B5">
        <w:t>andemic rate (</w:t>
      </w:r>
      <w:r w:rsidR="006E3269" w:rsidRPr="002949B5">
        <w:t xml:space="preserve">see </w:t>
      </w:r>
      <w:r w:rsidRPr="002949B5">
        <w:t>Chart</w:t>
      </w:r>
      <w:r w:rsidR="00EC1EC1">
        <w:t> </w:t>
      </w:r>
      <w:r w:rsidRPr="002949B5">
        <w:t>5.11). From 2025</w:t>
      </w:r>
      <w:r w:rsidR="006E3269" w:rsidRPr="002949B5">
        <w:t>–</w:t>
      </w:r>
      <w:r w:rsidRPr="002949B5">
        <w:t>26 onwards, new underlying demand is forecast to stabilise at around 175,000 new</w:t>
      </w:r>
      <w:r>
        <w:t xml:space="preserve"> households per year.</w:t>
      </w:r>
    </w:p>
    <w:tbl>
      <w:tblPr>
        <w:tblW w:w="5000" w:type="pct"/>
        <w:tblLayout w:type="fixed"/>
        <w:tblLook w:val="0000" w:firstRow="0" w:lastRow="0" w:firstColumn="0" w:lastColumn="0" w:noHBand="0" w:noVBand="0"/>
      </w:tblPr>
      <w:tblGrid>
        <w:gridCol w:w="4535"/>
        <w:gridCol w:w="4535"/>
      </w:tblGrid>
      <w:tr w:rsidR="00791A68" w14:paraId="091010C4" w14:textId="77777777">
        <w:trPr>
          <w:cantSplit/>
        </w:trPr>
        <w:tc>
          <w:tcPr>
            <w:tcW w:w="4535" w:type="dxa"/>
          </w:tcPr>
          <w:p w14:paraId="266EF767" w14:textId="77777777" w:rsidR="00791A68" w:rsidRPr="004963E0" w:rsidRDefault="00791A68" w:rsidP="001B4EAF">
            <w:pPr>
              <w:pStyle w:val="ChartMainHeading"/>
            </w:pPr>
            <w:r w:rsidRPr="004963E0">
              <w:t>Annual net new housing supply and new housing demand</w:t>
            </w:r>
          </w:p>
        </w:tc>
        <w:tc>
          <w:tcPr>
            <w:tcW w:w="4535" w:type="dxa"/>
          </w:tcPr>
          <w:p w14:paraId="0A160024" w14:textId="4D6B9229" w:rsidR="00791A68" w:rsidRPr="004963E0" w:rsidRDefault="00791A68" w:rsidP="001B4EAF">
            <w:pPr>
              <w:pStyle w:val="ChartMainHeading"/>
            </w:pPr>
            <w:r w:rsidRPr="004963E0">
              <w:t>Net new housing supply minus new housing demand</w:t>
            </w:r>
          </w:p>
        </w:tc>
      </w:tr>
      <w:tr w:rsidR="00791A68" w14:paraId="24B6114A" w14:textId="77777777">
        <w:trPr>
          <w:cantSplit/>
        </w:trPr>
        <w:tc>
          <w:tcPr>
            <w:tcW w:w="4535" w:type="dxa"/>
          </w:tcPr>
          <w:p w14:paraId="485FDEB5" w14:textId="08A8BB5B" w:rsidR="00791A68" w:rsidRPr="0041126E" w:rsidRDefault="00722FD6" w:rsidP="0041126E">
            <w:pPr>
              <w:pStyle w:val="ChartGraphic"/>
              <w:jc w:val="left"/>
              <w:rPr>
                <w:highlight w:val="yellow"/>
              </w:rPr>
            </w:pPr>
            <w:r w:rsidRPr="0041126E">
              <w:rPr>
                <w:noProof/>
              </w:rPr>
              <w:drawing>
                <wp:inline distT="0" distB="0" distL="0" distR="0" wp14:anchorId="25890829" wp14:editId="5FD1EB20">
                  <wp:extent cx="2742565" cy="2742565"/>
                  <wp:effectExtent l="0" t="0" r="0" b="0"/>
                  <wp:docPr id="1171167852" name="Picture 20" descr="This line chart shows new housing demand and net new housing supply for the financial years from 2022-23 to 2028-2029, where the period from 2024-25 to 2028-29 displays forecasts.&#10;&#10;New housing demand is forecast to fall from a high of 249,000 dwellings in 2022-23 to stabilise around 175,000 dwellings per annum from 2025-26 onward.&#10;&#10;Net new housing supply rises from 152,000 new dwellings in 2022-23 to around 173,000 dwellings in 2028-29. It is below new housing demand throughout the period display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67852" name="Picture 20" descr="This line chart shows new housing demand and net new housing supply for the financial years from 2022-23 to 2028-2029, where the period from 2024-25 to 2028-29 displays forecasts.&#10;&#10;New housing demand is forecast to fall from a high of 249,000 dwellings in 2022-23 to stabilise around 175,000 dwellings per annum from 2025-26 onward.&#10;&#10;Net new housing supply rises from 152,000 new dwellings in 2022-23 to around 173,000 dwellings in 2028-29. It is below new housing demand throughout the period displayed.&#1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742565" cy="2742565"/>
                          </a:xfrm>
                          <a:prstGeom prst="rect">
                            <a:avLst/>
                          </a:prstGeom>
                          <a:noFill/>
                          <a:ln>
                            <a:noFill/>
                          </a:ln>
                        </pic:spPr>
                      </pic:pic>
                    </a:graphicData>
                  </a:graphic>
                </wp:inline>
              </w:drawing>
            </w:r>
          </w:p>
        </w:tc>
        <w:tc>
          <w:tcPr>
            <w:tcW w:w="4535" w:type="dxa"/>
          </w:tcPr>
          <w:p w14:paraId="20EFA5BD" w14:textId="41CF359F" w:rsidR="00791A68" w:rsidRPr="0041126E" w:rsidRDefault="00C51818" w:rsidP="0041126E">
            <w:pPr>
              <w:pStyle w:val="ChartGraphic"/>
              <w:jc w:val="left"/>
              <w:rPr>
                <w:highlight w:val="yellow"/>
              </w:rPr>
            </w:pPr>
            <w:r w:rsidRPr="0041126E">
              <w:rPr>
                <w:noProof/>
              </w:rPr>
              <w:drawing>
                <wp:inline distT="0" distB="0" distL="0" distR="0" wp14:anchorId="22FBDE26" wp14:editId="536D4D03">
                  <wp:extent cx="2742565" cy="2653665"/>
                  <wp:effectExtent l="0" t="0" r="0" b="0"/>
                  <wp:docPr id="112267468" name="Picture 25" descr="This column chart shows net new housing supply minus new housing demand for the financial years from 2023-2024 to 2028-2029. &#10;&#10;Net new housing supply minus new housing demand is forecast to rise from -86,000 in 2023-24 to -3,000 in 2028-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67468" name="Picture 25" descr="This column chart shows net new housing supply minus new housing demand for the financial years from 2023-2024 to 2028-2029. &#10;&#10;Net new housing supply minus new housing demand is forecast to rise from -86,000 in 2023-24 to -3,000 in 2028-29.&#1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742565" cy="2653665"/>
                          </a:xfrm>
                          <a:prstGeom prst="rect">
                            <a:avLst/>
                          </a:prstGeom>
                          <a:noFill/>
                          <a:ln>
                            <a:noFill/>
                          </a:ln>
                        </pic:spPr>
                      </pic:pic>
                    </a:graphicData>
                  </a:graphic>
                </wp:inline>
              </w:drawing>
            </w:r>
          </w:p>
        </w:tc>
      </w:tr>
      <w:tr w:rsidR="00791A68" w14:paraId="680F7E89" w14:textId="77777777">
        <w:trPr>
          <w:cantSplit/>
          <w:trHeight w:val="552"/>
        </w:trPr>
        <w:tc>
          <w:tcPr>
            <w:tcW w:w="4535" w:type="dxa"/>
          </w:tcPr>
          <w:p w14:paraId="7E55BB76" w14:textId="45C8CC16" w:rsidR="00791A68" w:rsidRDefault="00791A68" w:rsidP="00DB6DE6">
            <w:pPr>
              <w:pStyle w:val="ChartorTableNoteandSource"/>
            </w:pPr>
            <w:r w:rsidRPr="0099326B">
              <w:t>Note:</w:t>
            </w:r>
            <w:r w:rsidR="001B4EAF">
              <w:tab/>
            </w:r>
            <w:r w:rsidRPr="0099326B">
              <w:t xml:space="preserve">Demand is measured </w:t>
            </w:r>
            <w:r w:rsidR="00DF5A45" w:rsidRPr="0099326B">
              <w:t xml:space="preserve">as </w:t>
            </w:r>
            <w:r w:rsidRPr="0099326B">
              <w:t xml:space="preserve">the number of new households that demographic trends imply would form. Supply is measured </w:t>
            </w:r>
            <w:r w:rsidR="00475F86" w:rsidRPr="0099326B">
              <w:t xml:space="preserve">as the </w:t>
            </w:r>
            <w:r w:rsidRPr="0099326B">
              <w:t>net number of dwelling completions.</w:t>
            </w:r>
          </w:p>
          <w:p w14:paraId="6843CA32" w14:textId="6855357F" w:rsidR="005565A3" w:rsidRPr="005565A3" w:rsidRDefault="005565A3" w:rsidP="00367F95">
            <w:pPr>
              <w:pStyle w:val="ChartorTableNoteandSource"/>
            </w:pPr>
            <w:r w:rsidRPr="0099326B">
              <w:t>Source:</w:t>
            </w:r>
            <w:r>
              <w:tab/>
            </w:r>
            <w:r w:rsidRPr="0099326B">
              <w:t>NHSAC 2025; Centre for Population 2024</w:t>
            </w:r>
          </w:p>
        </w:tc>
        <w:tc>
          <w:tcPr>
            <w:tcW w:w="4535" w:type="dxa"/>
          </w:tcPr>
          <w:p w14:paraId="6628E4A5" w14:textId="73350AA6" w:rsidR="00791A68" w:rsidRDefault="00791A68" w:rsidP="00DB6DE6">
            <w:pPr>
              <w:pStyle w:val="ChartorTableNoteandSource"/>
            </w:pPr>
            <w:r w:rsidRPr="0099326B">
              <w:t>Note:</w:t>
            </w:r>
            <w:r w:rsidR="001B4EAF">
              <w:tab/>
            </w:r>
            <w:r w:rsidRPr="0099326B">
              <w:t xml:space="preserve">Demand is measured </w:t>
            </w:r>
            <w:r w:rsidR="00DF5A45" w:rsidRPr="0099326B">
              <w:t xml:space="preserve">as </w:t>
            </w:r>
            <w:r w:rsidRPr="0099326B">
              <w:t xml:space="preserve">the number of new households that demographic trends imply would form. Supply is measured </w:t>
            </w:r>
            <w:r w:rsidR="00475F86" w:rsidRPr="0099326B">
              <w:t xml:space="preserve">as the </w:t>
            </w:r>
            <w:r w:rsidRPr="0099326B">
              <w:t>net number of dwelling completions.</w:t>
            </w:r>
          </w:p>
          <w:p w14:paraId="167D82CC" w14:textId="4EA99DD2" w:rsidR="005565A3" w:rsidRPr="005565A3" w:rsidRDefault="005565A3" w:rsidP="005565A3">
            <w:pPr>
              <w:pStyle w:val="ChartorTableNoteandSource"/>
            </w:pPr>
            <w:r w:rsidRPr="0099326B">
              <w:t>Source:</w:t>
            </w:r>
            <w:r>
              <w:tab/>
            </w:r>
            <w:r w:rsidRPr="0099326B">
              <w:t>NHSAC 2025; Centre for Population 2024</w:t>
            </w:r>
          </w:p>
        </w:tc>
      </w:tr>
    </w:tbl>
    <w:p w14:paraId="357630FA" w14:textId="2329F932" w:rsidR="00791A68" w:rsidRDefault="00791A68">
      <w:r w:rsidRPr="002949B5">
        <w:t>The Council</w:t>
      </w:r>
      <w:r w:rsidR="00A15C79" w:rsidRPr="002949B5">
        <w:t>’</w:t>
      </w:r>
      <w:r w:rsidRPr="002949B5">
        <w:t xml:space="preserve">s baseline forecasts imply that new underlying demand will exceed net new market supply </w:t>
      </w:r>
      <w:r w:rsidR="00475F86" w:rsidRPr="002949B5">
        <w:t>by about 4</w:t>
      </w:r>
      <w:r w:rsidR="00C90A1D" w:rsidRPr="0041126E">
        <w:t>7</w:t>
      </w:r>
      <w:r w:rsidR="00475F86" w:rsidRPr="002949B5">
        <w:t>,000</w:t>
      </w:r>
      <w:r w:rsidR="00475F86" w:rsidRPr="002949B5" w:rsidDel="007C102B">
        <w:t xml:space="preserve"> </w:t>
      </w:r>
      <w:r w:rsidR="00475F86" w:rsidRPr="002949B5">
        <w:t>dwellings</w:t>
      </w:r>
      <w:r w:rsidRPr="002949B5">
        <w:t xml:space="preserve"> in the 2024</w:t>
      </w:r>
      <w:r w:rsidR="00475F86" w:rsidRPr="002949B5">
        <w:t>–</w:t>
      </w:r>
      <w:r w:rsidRPr="002949B5">
        <w:t xml:space="preserve">25 financial year. This is smaller </w:t>
      </w:r>
      <w:r w:rsidR="0039752F" w:rsidRPr="002949B5">
        <w:t>than the</w:t>
      </w:r>
      <w:r w:rsidRPr="002949B5">
        <w:t xml:space="preserve"> supply shortfall </w:t>
      </w:r>
      <w:r w:rsidR="000B4A38" w:rsidRPr="002949B5">
        <w:t>of</w:t>
      </w:r>
      <w:r w:rsidR="001B4EAF" w:rsidRPr="002949B5">
        <w:t> </w:t>
      </w:r>
      <w:r w:rsidR="000B4A38" w:rsidRPr="002949B5">
        <w:t>around 8</w:t>
      </w:r>
      <w:r w:rsidR="00816EC0" w:rsidRPr="0041126E">
        <w:t>6</w:t>
      </w:r>
      <w:r w:rsidR="000B4A38" w:rsidRPr="002949B5">
        <w:t xml:space="preserve">,000 </w:t>
      </w:r>
      <w:r w:rsidRPr="002949B5">
        <w:t xml:space="preserve">in the preceding financial year. The Council expects this shortfall to continue narrowing to around </w:t>
      </w:r>
      <w:r w:rsidR="00D06782" w:rsidRPr="002949B5">
        <w:t>7,000</w:t>
      </w:r>
      <w:r w:rsidRPr="002949B5">
        <w:t xml:space="preserve"> in 2026</w:t>
      </w:r>
      <w:r w:rsidR="00AF3985" w:rsidRPr="002949B5">
        <w:t>–</w:t>
      </w:r>
      <w:r w:rsidRPr="002949B5">
        <w:t xml:space="preserve">27, and remain small for the </w:t>
      </w:r>
      <w:r w:rsidR="00AF3985" w:rsidRPr="002949B5">
        <w:t xml:space="preserve">duration </w:t>
      </w:r>
      <w:r w:rsidRPr="002949B5">
        <w:t xml:space="preserve">of the Housing Accord period. Over the entire Housing Accord period, net new supply is expected to be around </w:t>
      </w:r>
      <w:r w:rsidR="00D06782" w:rsidRPr="0041126E">
        <w:t>79</w:t>
      </w:r>
      <w:r w:rsidRPr="002949B5">
        <w:t>,000</w:t>
      </w:r>
      <w:r w:rsidRPr="002949B5" w:rsidDel="00EC0DA8">
        <w:t xml:space="preserve"> </w:t>
      </w:r>
      <w:r w:rsidRPr="002949B5">
        <w:t>dwellings short of new underlying demand (</w:t>
      </w:r>
      <w:r w:rsidR="00EB5120" w:rsidRPr="002949B5">
        <w:t xml:space="preserve">see </w:t>
      </w:r>
      <w:r w:rsidRPr="002949B5">
        <w:t>Table 5.2).</w:t>
      </w:r>
    </w:p>
    <w:p w14:paraId="1241AD2E" w14:textId="070B82B8" w:rsidR="00791A68" w:rsidRDefault="0099326B" w:rsidP="001B4EAF">
      <w:pPr>
        <w:pStyle w:val="ChartMainHeading"/>
      </w:pPr>
      <w:r w:rsidRPr="001B4EAF">
        <w:lastRenderedPageBreak/>
        <w:t>Population</w:t>
      </w:r>
      <w:r>
        <w:t xml:space="preserve"> growth</w:t>
      </w:r>
    </w:p>
    <w:p w14:paraId="3050C0E8" w14:textId="43EA089F" w:rsidR="0099326B" w:rsidRDefault="00A64163" w:rsidP="00315553">
      <w:pPr>
        <w:pStyle w:val="ChartGraphic"/>
        <w:jc w:val="left"/>
      </w:pPr>
      <w:r w:rsidRPr="00A64163">
        <w:t xml:space="preserve"> </w:t>
      </w:r>
      <w:r w:rsidR="00785844" w:rsidRPr="00785844">
        <w:t xml:space="preserve"> </w:t>
      </w:r>
      <w:r w:rsidR="004A12A4" w:rsidRPr="004A12A4">
        <w:t xml:space="preserve"> </w:t>
      </w:r>
      <w:r w:rsidR="00B16C7B" w:rsidRPr="00B16C7B">
        <w:t xml:space="preserve"> </w:t>
      </w:r>
      <w:r w:rsidR="000F3C06" w:rsidRPr="000F3C06">
        <w:rPr>
          <w:noProof/>
        </w:rPr>
        <w:drawing>
          <wp:inline distT="0" distB="0" distL="0" distR="0" wp14:anchorId="7ED3A72D" wp14:editId="52491579">
            <wp:extent cx="2743200" cy="2743200"/>
            <wp:effectExtent l="0" t="0" r="0" b="0"/>
            <wp:docPr id="1437343840" name="Picture 19" descr="This bar and line chart shows the population's natural increase and net overseas migration numbers in stacked bars, along with the overall population growth (natural increase plus net overseas migration) as a line. The chart shows actual data for the financial years from 2018-19 to 2023-24 and forecasts for 2024-25 to 2028-29. &#10;&#10;In 2018-19 and 2019-20 the population growth is between 300,000 and 400,000 people, it then drops significantly in 2020-21 to under 100,000 people due to the negative net overseas migration during the COVID-19 pandemic.&#10;&#10;Population growth then rebounds strongly, reaching 329,000 people in 2021-22 and peaking at 638,000 in 2022-23 due to very high levels of net overseas migration, before declining to 552,000 people in 2023-24 as net overseas migration begins to moderate.&#10;&#10;The moderation in net overseas migration is forecast to continue until population growth stabilises, remaining between 300,000 and 400,000 from 2025-26 until 2028-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43840" name="Picture 19" descr="This bar and line chart shows the population's natural increase and net overseas migration numbers in stacked bars, along with the overall population growth (natural increase plus net overseas migration) as a line. The chart shows actual data for the financial years from 2018-19 to 2023-24 and forecasts for 2024-25 to 2028-29. &#10;&#10;In 2018-19 and 2019-20 the population growth is between 300,000 and 400,000 people, it then drops significantly in 2020-21 to under 100,000 people due to the negative net overseas migration during the COVID-19 pandemic.&#10;&#10;Population growth then rebounds strongly, reaching 329,000 people in 2021-22 and peaking at 638,000 in 2022-23 due to very high levels of net overseas migration, before declining to 552,000 people in 2023-24 as net overseas migration begins to moderate.&#10;&#10;The moderation in net overseas migration is forecast to continue until population growth stabilises, remaining between 300,000 and 400,000 from 2025-26 until 2028-29.&#1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73968A32" w14:textId="079BBC4B" w:rsidR="0099326B" w:rsidRPr="003E3357" w:rsidRDefault="0099326B" w:rsidP="00DB6DE6">
      <w:pPr>
        <w:pStyle w:val="ChartorTableNoteandSource"/>
      </w:pPr>
      <w:r w:rsidRPr="003E3357">
        <w:t>Source:</w:t>
      </w:r>
      <w:r w:rsidR="001B4EAF">
        <w:tab/>
      </w:r>
      <w:r w:rsidRPr="002949B5">
        <w:t xml:space="preserve">ABS </w:t>
      </w:r>
      <w:r w:rsidR="00194171" w:rsidRPr="002949B5">
        <w:t xml:space="preserve">National, state and territory population </w:t>
      </w:r>
      <w:r w:rsidRPr="002949B5">
        <w:t>2024;</w:t>
      </w:r>
      <w:r w:rsidR="00CE6852">
        <w:br/>
      </w:r>
      <w:r w:rsidRPr="002949B5">
        <w:t xml:space="preserve"> Centre for Population 2024</w:t>
      </w:r>
    </w:p>
    <w:p w14:paraId="4CD14277" w14:textId="341ED123" w:rsidR="00791A68" w:rsidRPr="000163A7" w:rsidRDefault="00C6750C">
      <w:r>
        <w:t>A lower</w:t>
      </w:r>
      <w:r w:rsidR="00181714">
        <w:t>ed</w:t>
      </w:r>
      <w:r>
        <w:t xml:space="preserve"> vacancy rate will absorb s</w:t>
      </w:r>
      <w:r w:rsidR="00791A68">
        <w:t xml:space="preserve">ome of </w:t>
      </w:r>
      <w:r w:rsidR="00B1772C">
        <w:t xml:space="preserve">the </w:t>
      </w:r>
      <w:r w:rsidR="00757D55">
        <w:t>unmet demand</w:t>
      </w:r>
      <w:r>
        <w:t>,</w:t>
      </w:r>
      <w:r w:rsidR="00791A68">
        <w:t xml:space="preserve"> </w:t>
      </w:r>
      <w:r>
        <w:t>and s</w:t>
      </w:r>
      <w:r w:rsidR="00791A68">
        <w:t xml:space="preserve">ome will add to the homeless population. </w:t>
      </w:r>
      <w:r w:rsidR="00E84CAB">
        <w:t>Some</w:t>
      </w:r>
      <w:r w:rsidR="00FD1F50">
        <w:t xml:space="preserve"> may </w:t>
      </w:r>
      <w:r w:rsidR="002D7194">
        <w:t xml:space="preserve">be absorbed by </w:t>
      </w:r>
      <w:r w:rsidR="00791A68">
        <w:t>suboptimal types of shelter not captured by traditional measures of the housing stock, such as caravan parks, hotels and emergency shelters.</w:t>
      </w:r>
      <w:r w:rsidR="00E84CAB">
        <w:t xml:space="preserve"> </w:t>
      </w:r>
      <w:r w:rsidR="00791A68">
        <w:t>Most will be absorbed by households not forming that otherwise would</w:t>
      </w:r>
      <w:r w:rsidR="00FD1F50">
        <w:t xml:space="preserve"> have</w:t>
      </w:r>
      <w:r w:rsidR="00791A68">
        <w:t>, resulting in larger household</w:t>
      </w:r>
      <w:r>
        <w:t>s</w:t>
      </w:r>
      <w:r w:rsidR="00791A68">
        <w:t xml:space="preserve"> and </w:t>
      </w:r>
      <w:r w:rsidR="00E160E1">
        <w:t xml:space="preserve">more </w:t>
      </w:r>
      <w:r w:rsidR="00791A68">
        <w:t>instances of overcrowding</w:t>
      </w:r>
      <w:r w:rsidR="00FD1F50">
        <w:t xml:space="preserve">. </w:t>
      </w:r>
    </w:p>
    <w:p w14:paraId="12EFA626" w14:textId="3A58EA8E" w:rsidR="00791A68" w:rsidRPr="003A25FE" w:rsidRDefault="00791A68" w:rsidP="0099326B">
      <w:pPr>
        <w:pStyle w:val="TableMainHeading"/>
      </w:pPr>
      <w:r>
        <w:t xml:space="preserve">Forecasts </w:t>
      </w:r>
      <w:r w:rsidRPr="003A25FE">
        <w:t>of new market supply, demand and net balance</w:t>
      </w:r>
    </w:p>
    <w:tbl>
      <w:tblPr>
        <w:tblStyle w:val="GridTable4-Accent4"/>
        <w:tblW w:w="908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1739"/>
        <w:gridCol w:w="1740"/>
        <w:gridCol w:w="1739"/>
        <w:gridCol w:w="1740"/>
      </w:tblGrid>
      <w:tr w:rsidR="00F33CA7" w:rsidRPr="00240469" w14:paraId="2CC9E4FB" w14:textId="77777777" w:rsidTr="00163B7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tcBorders>
              <w:left w:val="none" w:sz="0" w:space="0" w:color="auto"/>
            </w:tcBorders>
            <w:shd w:val="clear" w:color="auto" w:fill="F2E3C7" w:themeFill="background2"/>
            <w:hideMark/>
          </w:tcPr>
          <w:p w14:paraId="0EC5CE42" w14:textId="77777777" w:rsidR="00791A68" w:rsidRPr="00847743" w:rsidRDefault="00791A68" w:rsidP="00EC59F5">
            <w:pPr>
              <w:pStyle w:val="TableColumnHeadingLeft"/>
              <w:rPr>
                <w:rFonts w:ascii="Times New Roman" w:hAnsi="Times New Roman"/>
                <w:b/>
                <w:color w:val="FFFFFF"/>
                <w:sz w:val="24"/>
                <w:szCs w:val="24"/>
              </w:rPr>
            </w:pPr>
            <w:r w:rsidRPr="00847743">
              <w:t>Year </w:t>
            </w:r>
          </w:p>
        </w:tc>
        <w:tc>
          <w:tcPr>
            <w:tcW w:w="1739" w:type="dxa"/>
            <w:shd w:val="clear" w:color="auto" w:fill="F2E3C7" w:themeFill="background2"/>
            <w:hideMark/>
          </w:tcPr>
          <w:p w14:paraId="55867445" w14:textId="77777777" w:rsidR="00791A68" w:rsidRPr="00847743" w:rsidRDefault="00791A68" w:rsidP="00EC59F5">
            <w:pPr>
              <w:pStyle w:val="TableColumnHeadingRight"/>
              <w:cnfStyle w:val="100000000000" w:firstRow="1" w:lastRow="0" w:firstColumn="0" w:lastColumn="0" w:oddVBand="0" w:evenVBand="0" w:oddHBand="0" w:evenHBand="0" w:firstRowFirstColumn="0" w:firstRowLastColumn="0" w:lastRowFirstColumn="0" w:lastRowLastColumn="0"/>
              <w:rPr>
                <w:b/>
              </w:rPr>
            </w:pPr>
            <w:r w:rsidRPr="00847743">
              <w:t>Gross new supply </w:t>
            </w:r>
          </w:p>
        </w:tc>
        <w:tc>
          <w:tcPr>
            <w:tcW w:w="1740" w:type="dxa"/>
            <w:shd w:val="clear" w:color="auto" w:fill="F2E3C7" w:themeFill="background2"/>
            <w:hideMark/>
          </w:tcPr>
          <w:p w14:paraId="2227610C" w14:textId="77777777" w:rsidR="00791A68" w:rsidRPr="00847743" w:rsidRDefault="00791A68" w:rsidP="00EC59F5">
            <w:pPr>
              <w:pStyle w:val="TableColumnHeadingRight"/>
              <w:cnfStyle w:val="100000000000" w:firstRow="1" w:lastRow="0" w:firstColumn="0" w:lastColumn="0" w:oddVBand="0" w:evenVBand="0" w:oddHBand="0" w:evenHBand="0" w:firstRowFirstColumn="0" w:firstRowLastColumn="0" w:lastRowFirstColumn="0" w:lastRowLastColumn="0"/>
              <w:rPr>
                <w:rFonts w:ascii="Times New Roman" w:hAnsi="Times New Roman"/>
                <w:b/>
                <w:color w:val="FFFFFF"/>
                <w:sz w:val="24"/>
                <w:szCs w:val="24"/>
              </w:rPr>
            </w:pPr>
            <w:r w:rsidRPr="00847743">
              <w:t>Net new supply</w:t>
            </w:r>
          </w:p>
        </w:tc>
        <w:tc>
          <w:tcPr>
            <w:tcW w:w="1739" w:type="dxa"/>
            <w:shd w:val="clear" w:color="auto" w:fill="F2E3C7" w:themeFill="background2"/>
            <w:hideMark/>
          </w:tcPr>
          <w:p w14:paraId="5BC2C500" w14:textId="77777777" w:rsidR="00791A68" w:rsidRPr="00847743" w:rsidRDefault="00791A68" w:rsidP="00EC59F5">
            <w:pPr>
              <w:pStyle w:val="TableColumnHeadingRight"/>
              <w:cnfStyle w:val="100000000000" w:firstRow="1" w:lastRow="0" w:firstColumn="0" w:lastColumn="0" w:oddVBand="0" w:evenVBand="0" w:oddHBand="0" w:evenHBand="0" w:firstRowFirstColumn="0" w:firstRowLastColumn="0" w:lastRowFirstColumn="0" w:lastRowLastColumn="0"/>
              <w:rPr>
                <w:rFonts w:ascii="Times New Roman" w:hAnsi="Times New Roman"/>
                <w:b/>
                <w:color w:val="FFFFFF"/>
                <w:sz w:val="24"/>
                <w:szCs w:val="24"/>
              </w:rPr>
            </w:pPr>
            <w:r w:rsidRPr="00847743">
              <w:t>New demand </w:t>
            </w:r>
          </w:p>
        </w:tc>
        <w:tc>
          <w:tcPr>
            <w:tcW w:w="1740" w:type="dxa"/>
            <w:tcBorders>
              <w:right w:val="none" w:sz="0" w:space="0" w:color="auto"/>
            </w:tcBorders>
            <w:shd w:val="clear" w:color="auto" w:fill="F2E3C7" w:themeFill="background2"/>
            <w:hideMark/>
          </w:tcPr>
          <w:p w14:paraId="5A0C8151" w14:textId="77777777" w:rsidR="00791A68" w:rsidRPr="00847743" w:rsidRDefault="00791A68" w:rsidP="00EC59F5">
            <w:pPr>
              <w:pStyle w:val="TableColumnHeadingRight"/>
              <w:cnfStyle w:val="100000000000" w:firstRow="1" w:lastRow="0" w:firstColumn="0" w:lastColumn="0" w:oddVBand="0" w:evenVBand="0" w:oddHBand="0" w:evenHBand="0" w:firstRowFirstColumn="0" w:firstRowLastColumn="0" w:lastRowFirstColumn="0" w:lastRowLastColumn="0"/>
              <w:rPr>
                <w:rFonts w:ascii="Times New Roman" w:hAnsi="Times New Roman"/>
                <w:b/>
                <w:color w:val="FFFFFF"/>
                <w:sz w:val="24"/>
                <w:szCs w:val="24"/>
              </w:rPr>
            </w:pPr>
            <w:r w:rsidRPr="00847743">
              <w:t>Net balance (net new supply less new demand)</w:t>
            </w:r>
          </w:p>
        </w:tc>
      </w:tr>
      <w:tr w:rsidR="00F33CA7" w:rsidRPr="00240469" w14:paraId="62CBEEF9" w14:textId="77777777" w:rsidTr="007B14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tcBorders>
              <w:bottom w:val="single" w:sz="4" w:space="0" w:color="F2E3C7" w:themeColor="accent6"/>
            </w:tcBorders>
            <w:shd w:val="clear" w:color="auto" w:fill="FFFFFF" w:themeFill="background1"/>
            <w:vAlign w:val="center"/>
            <w:hideMark/>
          </w:tcPr>
          <w:p w14:paraId="586241E1" w14:textId="27475C62" w:rsidR="00791A68" w:rsidRPr="0041126E" w:rsidRDefault="00791A68" w:rsidP="00EC59F5">
            <w:pPr>
              <w:pStyle w:val="TableTextLeft"/>
              <w:rPr>
                <w:rStyle w:val="Strong"/>
              </w:rPr>
            </w:pPr>
            <w:r w:rsidRPr="00847743">
              <w:rPr>
                <w:rStyle w:val="Strong"/>
              </w:rPr>
              <w:t>2023</w:t>
            </w:r>
            <w:r w:rsidR="00075809" w:rsidRPr="00847743">
              <w:rPr>
                <w:rStyle w:val="Strong"/>
              </w:rPr>
              <w:t>–</w:t>
            </w:r>
            <w:r w:rsidRPr="00847743">
              <w:rPr>
                <w:rStyle w:val="Strong"/>
              </w:rPr>
              <w:t>24 </w:t>
            </w:r>
          </w:p>
        </w:tc>
        <w:tc>
          <w:tcPr>
            <w:tcW w:w="1739" w:type="dxa"/>
            <w:tcBorders>
              <w:bottom w:val="single" w:sz="4" w:space="0" w:color="F2E3C7" w:themeColor="accent6"/>
            </w:tcBorders>
            <w:shd w:val="clear" w:color="auto" w:fill="FFFFFF" w:themeFill="background1"/>
          </w:tcPr>
          <w:p w14:paraId="4C8646A1" w14:textId="793AC43B" w:rsidR="00791A68" w:rsidRPr="002949B5" w:rsidRDefault="00847743" w:rsidP="00EC59F5">
            <w:pPr>
              <w:pStyle w:val="TableTextRight"/>
              <w:cnfStyle w:val="000000100000" w:firstRow="0" w:lastRow="0" w:firstColumn="0" w:lastColumn="0" w:oddVBand="0" w:evenVBand="0" w:oddHBand="1" w:evenHBand="0" w:firstRowFirstColumn="0" w:firstRowLastColumn="0" w:lastRowFirstColumn="0" w:lastRowLastColumn="0"/>
            </w:pPr>
            <w:r w:rsidRPr="002949B5">
              <w:t>177,000</w:t>
            </w:r>
          </w:p>
        </w:tc>
        <w:tc>
          <w:tcPr>
            <w:tcW w:w="1740" w:type="dxa"/>
            <w:tcBorders>
              <w:bottom w:val="single" w:sz="4" w:space="0" w:color="F2E3C7" w:themeColor="accent6"/>
            </w:tcBorders>
            <w:shd w:val="clear" w:color="auto" w:fill="FFFFFF" w:themeFill="background1"/>
          </w:tcPr>
          <w:p w14:paraId="56506BEC" w14:textId="5E86FBD3" w:rsidR="00791A68" w:rsidRPr="002949B5" w:rsidRDefault="00847743" w:rsidP="00EC59F5">
            <w:pPr>
              <w:pStyle w:val="TableTextRight"/>
              <w:cnfStyle w:val="000000100000" w:firstRow="0" w:lastRow="0" w:firstColumn="0" w:lastColumn="0" w:oddVBand="0" w:evenVBand="0" w:oddHBand="1" w:evenHBand="0" w:firstRowFirstColumn="0" w:firstRowLastColumn="0" w:lastRowFirstColumn="0" w:lastRowLastColumn="0"/>
            </w:pPr>
            <w:r w:rsidRPr="002949B5">
              <w:t>155,000</w:t>
            </w:r>
          </w:p>
        </w:tc>
        <w:tc>
          <w:tcPr>
            <w:tcW w:w="1739" w:type="dxa"/>
            <w:tcBorders>
              <w:bottom w:val="single" w:sz="4" w:space="0" w:color="F2E3C7" w:themeColor="accent6"/>
            </w:tcBorders>
            <w:shd w:val="clear" w:color="auto" w:fill="FFFFFF" w:themeFill="background1"/>
            <w:hideMark/>
          </w:tcPr>
          <w:p w14:paraId="664929FA" w14:textId="7B77B92C" w:rsidR="00791A68" w:rsidRPr="002949B5" w:rsidRDefault="00847743" w:rsidP="00EC59F5">
            <w:pPr>
              <w:pStyle w:val="TableTextRight"/>
              <w:cnfStyle w:val="000000100000" w:firstRow="0" w:lastRow="0" w:firstColumn="0" w:lastColumn="0" w:oddVBand="0" w:evenVBand="0" w:oddHBand="1" w:evenHBand="0" w:firstRowFirstColumn="0" w:firstRowLastColumn="0" w:lastRowFirstColumn="0" w:lastRowLastColumn="0"/>
            </w:pPr>
            <w:r w:rsidRPr="002949B5">
              <w:t>241,000</w:t>
            </w:r>
          </w:p>
        </w:tc>
        <w:tc>
          <w:tcPr>
            <w:tcW w:w="1740" w:type="dxa"/>
            <w:tcBorders>
              <w:bottom w:val="single" w:sz="4" w:space="0" w:color="F2E3C7" w:themeColor="accent6"/>
            </w:tcBorders>
            <w:shd w:val="clear" w:color="auto" w:fill="FFFFFF" w:themeFill="background1"/>
            <w:hideMark/>
          </w:tcPr>
          <w:p w14:paraId="1FDC5595" w14:textId="335AB327" w:rsidR="00791A68" w:rsidRPr="002949B5" w:rsidRDefault="00847743" w:rsidP="00EC59F5">
            <w:pPr>
              <w:pStyle w:val="TableTextRight"/>
              <w:cnfStyle w:val="000000100000" w:firstRow="0" w:lastRow="0" w:firstColumn="0" w:lastColumn="0" w:oddVBand="0" w:evenVBand="0" w:oddHBand="1" w:evenHBand="0" w:firstRowFirstColumn="0" w:firstRowLastColumn="0" w:lastRowFirstColumn="0" w:lastRowLastColumn="0"/>
            </w:pPr>
            <w:r w:rsidRPr="002949B5">
              <w:t>-86,000</w:t>
            </w:r>
          </w:p>
        </w:tc>
      </w:tr>
      <w:tr w:rsidR="00F33CA7" w:rsidRPr="00240469" w14:paraId="39257C96" w14:textId="77777777" w:rsidTr="007B14C0">
        <w:trPr>
          <w:trHeight w:val="30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F2E3C7" w:themeColor="accent6"/>
              <w:bottom w:val="single" w:sz="4" w:space="0" w:color="F2E3C7" w:themeColor="accent6"/>
            </w:tcBorders>
            <w:shd w:val="clear" w:color="auto" w:fill="FFFFFF" w:themeFill="background1"/>
            <w:vAlign w:val="center"/>
            <w:hideMark/>
          </w:tcPr>
          <w:p w14:paraId="449BA8FD" w14:textId="4E3D52DD" w:rsidR="00791A68" w:rsidRPr="0041126E" w:rsidRDefault="00791A68" w:rsidP="00EC59F5">
            <w:pPr>
              <w:pStyle w:val="TableTextLeft"/>
              <w:rPr>
                <w:rStyle w:val="Strong"/>
              </w:rPr>
            </w:pPr>
            <w:r w:rsidRPr="00847743">
              <w:rPr>
                <w:rStyle w:val="Strong"/>
              </w:rPr>
              <w:t>2024</w:t>
            </w:r>
            <w:r w:rsidR="00075809" w:rsidRPr="00847743">
              <w:rPr>
                <w:rStyle w:val="Strong"/>
              </w:rPr>
              <w:t>–</w:t>
            </w:r>
            <w:r w:rsidRPr="00847743">
              <w:rPr>
                <w:rStyle w:val="Strong"/>
              </w:rPr>
              <w:t>25 </w:t>
            </w:r>
          </w:p>
        </w:tc>
        <w:tc>
          <w:tcPr>
            <w:tcW w:w="1739" w:type="dxa"/>
            <w:tcBorders>
              <w:top w:val="single" w:sz="4" w:space="0" w:color="F2E3C7" w:themeColor="accent6"/>
              <w:bottom w:val="single" w:sz="4" w:space="0" w:color="F2E3C7" w:themeColor="accent6"/>
            </w:tcBorders>
            <w:shd w:val="clear" w:color="auto" w:fill="FFFFFF" w:themeFill="background1"/>
            <w:hideMark/>
          </w:tcPr>
          <w:p w14:paraId="22AEC648" w14:textId="3997A0A8" w:rsidR="00791A68" w:rsidRPr="002949B5" w:rsidRDefault="00847743" w:rsidP="00EC59F5">
            <w:pPr>
              <w:pStyle w:val="TableTextRight"/>
              <w:cnfStyle w:val="000000000000" w:firstRow="0" w:lastRow="0" w:firstColumn="0" w:lastColumn="0" w:oddVBand="0" w:evenVBand="0" w:oddHBand="0" w:evenHBand="0" w:firstRowFirstColumn="0" w:firstRowLastColumn="0" w:lastRowFirstColumn="0" w:lastRowLastColumn="0"/>
            </w:pPr>
            <w:r w:rsidRPr="002949B5">
              <w:t>179,000</w:t>
            </w:r>
          </w:p>
        </w:tc>
        <w:tc>
          <w:tcPr>
            <w:tcW w:w="1740" w:type="dxa"/>
            <w:tcBorders>
              <w:top w:val="single" w:sz="4" w:space="0" w:color="F2E3C7" w:themeColor="accent6"/>
              <w:bottom w:val="single" w:sz="4" w:space="0" w:color="F2E3C7" w:themeColor="accent6"/>
            </w:tcBorders>
            <w:shd w:val="clear" w:color="auto" w:fill="FFFFFF" w:themeFill="background1"/>
            <w:hideMark/>
          </w:tcPr>
          <w:p w14:paraId="25F97FDD" w14:textId="08FB1D6F" w:rsidR="00791A68" w:rsidRPr="002949B5" w:rsidRDefault="00847743" w:rsidP="00EC59F5">
            <w:pPr>
              <w:pStyle w:val="TableTextRight"/>
              <w:cnfStyle w:val="000000000000" w:firstRow="0" w:lastRow="0" w:firstColumn="0" w:lastColumn="0" w:oddVBand="0" w:evenVBand="0" w:oddHBand="0" w:evenHBand="0" w:firstRowFirstColumn="0" w:firstRowLastColumn="0" w:lastRowFirstColumn="0" w:lastRowLastColumn="0"/>
            </w:pPr>
            <w:r w:rsidRPr="002949B5">
              <w:t>158,000</w:t>
            </w:r>
          </w:p>
        </w:tc>
        <w:tc>
          <w:tcPr>
            <w:tcW w:w="1739" w:type="dxa"/>
            <w:tcBorders>
              <w:top w:val="single" w:sz="4" w:space="0" w:color="F2E3C7" w:themeColor="accent6"/>
              <w:bottom w:val="single" w:sz="4" w:space="0" w:color="F2E3C7" w:themeColor="accent6"/>
            </w:tcBorders>
            <w:shd w:val="clear" w:color="auto" w:fill="FFFFFF" w:themeFill="background1"/>
            <w:hideMark/>
          </w:tcPr>
          <w:p w14:paraId="6FAB149A" w14:textId="24A4DAFB" w:rsidR="00791A68" w:rsidRPr="002949B5" w:rsidRDefault="00847743" w:rsidP="00EC59F5">
            <w:pPr>
              <w:pStyle w:val="TableTextRight"/>
              <w:cnfStyle w:val="000000000000" w:firstRow="0" w:lastRow="0" w:firstColumn="0" w:lastColumn="0" w:oddVBand="0" w:evenVBand="0" w:oddHBand="0" w:evenHBand="0" w:firstRowFirstColumn="0" w:firstRowLastColumn="0" w:lastRowFirstColumn="0" w:lastRowLastColumn="0"/>
            </w:pPr>
            <w:r w:rsidRPr="002949B5">
              <w:t>205,000</w:t>
            </w:r>
          </w:p>
        </w:tc>
        <w:tc>
          <w:tcPr>
            <w:tcW w:w="1740" w:type="dxa"/>
            <w:tcBorders>
              <w:top w:val="single" w:sz="4" w:space="0" w:color="F2E3C7" w:themeColor="accent6"/>
              <w:bottom w:val="single" w:sz="4" w:space="0" w:color="F2E3C7" w:themeColor="accent6"/>
            </w:tcBorders>
            <w:shd w:val="clear" w:color="auto" w:fill="FFFFFF" w:themeFill="background1"/>
            <w:hideMark/>
          </w:tcPr>
          <w:p w14:paraId="1142578D" w14:textId="17B0BC69" w:rsidR="00791A68" w:rsidRPr="002949B5" w:rsidRDefault="00847743" w:rsidP="00EC59F5">
            <w:pPr>
              <w:pStyle w:val="TableTextRight"/>
              <w:cnfStyle w:val="000000000000" w:firstRow="0" w:lastRow="0" w:firstColumn="0" w:lastColumn="0" w:oddVBand="0" w:evenVBand="0" w:oddHBand="0" w:evenHBand="0" w:firstRowFirstColumn="0" w:firstRowLastColumn="0" w:lastRowFirstColumn="0" w:lastRowLastColumn="0"/>
            </w:pPr>
            <w:r w:rsidRPr="002949B5">
              <w:t>-47,000</w:t>
            </w:r>
          </w:p>
        </w:tc>
      </w:tr>
      <w:tr w:rsidR="00F33CA7" w:rsidRPr="00240469" w14:paraId="0C78CB80" w14:textId="77777777" w:rsidTr="007B14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F2E3C7" w:themeColor="accent6"/>
              <w:bottom w:val="single" w:sz="4" w:space="0" w:color="F2E3C7" w:themeColor="accent6"/>
            </w:tcBorders>
            <w:shd w:val="clear" w:color="auto" w:fill="FFFFFF" w:themeFill="background1"/>
            <w:vAlign w:val="center"/>
            <w:hideMark/>
          </w:tcPr>
          <w:p w14:paraId="6E296174" w14:textId="3E904224" w:rsidR="00791A68" w:rsidRPr="0041126E" w:rsidRDefault="00791A68" w:rsidP="00EC59F5">
            <w:pPr>
              <w:pStyle w:val="TableTextLeft"/>
              <w:rPr>
                <w:rStyle w:val="Strong"/>
              </w:rPr>
            </w:pPr>
            <w:r w:rsidRPr="00847743">
              <w:rPr>
                <w:rStyle w:val="Strong"/>
              </w:rPr>
              <w:t>2025</w:t>
            </w:r>
            <w:r w:rsidR="00075809" w:rsidRPr="00847743">
              <w:rPr>
                <w:rStyle w:val="Strong"/>
              </w:rPr>
              <w:t>–</w:t>
            </w:r>
            <w:r w:rsidRPr="00847743">
              <w:rPr>
                <w:rStyle w:val="Strong"/>
              </w:rPr>
              <w:t>26 </w:t>
            </w:r>
          </w:p>
        </w:tc>
        <w:tc>
          <w:tcPr>
            <w:tcW w:w="1739" w:type="dxa"/>
            <w:tcBorders>
              <w:top w:val="single" w:sz="4" w:space="0" w:color="F2E3C7" w:themeColor="accent6"/>
              <w:bottom w:val="single" w:sz="4" w:space="0" w:color="F2E3C7" w:themeColor="accent6"/>
            </w:tcBorders>
            <w:shd w:val="clear" w:color="auto" w:fill="FFFFFF" w:themeFill="background1"/>
            <w:hideMark/>
          </w:tcPr>
          <w:p w14:paraId="448C8C9C" w14:textId="7238C343" w:rsidR="00791A68" w:rsidRPr="002949B5" w:rsidRDefault="00847743" w:rsidP="00EC59F5">
            <w:pPr>
              <w:pStyle w:val="TableTextRight"/>
              <w:cnfStyle w:val="000000100000" w:firstRow="0" w:lastRow="0" w:firstColumn="0" w:lastColumn="0" w:oddVBand="0" w:evenVBand="0" w:oddHBand="1" w:evenHBand="0" w:firstRowFirstColumn="0" w:firstRowLastColumn="0" w:lastRowFirstColumn="0" w:lastRowLastColumn="0"/>
            </w:pPr>
            <w:r w:rsidRPr="002949B5">
              <w:t>183,000</w:t>
            </w:r>
          </w:p>
        </w:tc>
        <w:tc>
          <w:tcPr>
            <w:tcW w:w="1740" w:type="dxa"/>
            <w:tcBorders>
              <w:top w:val="single" w:sz="4" w:space="0" w:color="F2E3C7" w:themeColor="accent6"/>
              <w:bottom w:val="single" w:sz="4" w:space="0" w:color="F2E3C7" w:themeColor="accent6"/>
            </w:tcBorders>
            <w:shd w:val="clear" w:color="auto" w:fill="FFFFFF" w:themeFill="background1"/>
            <w:hideMark/>
          </w:tcPr>
          <w:p w14:paraId="5EFB250C" w14:textId="06A7C73F" w:rsidR="00791A68" w:rsidRPr="002949B5" w:rsidRDefault="00847743" w:rsidP="00EC59F5">
            <w:pPr>
              <w:pStyle w:val="TableTextRight"/>
              <w:cnfStyle w:val="000000100000" w:firstRow="0" w:lastRow="0" w:firstColumn="0" w:lastColumn="0" w:oddVBand="0" w:evenVBand="0" w:oddHBand="1" w:evenHBand="0" w:firstRowFirstColumn="0" w:firstRowLastColumn="0" w:lastRowFirstColumn="0" w:lastRowLastColumn="0"/>
            </w:pPr>
            <w:r w:rsidRPr="002949B5">
              <w:t>161,000</w:t>
            </w:r>
          </w:p>
        </w:tc>
        <w:tc>
          <w:tcPr>
            <w:tcW w:w="1739" w:type="dxa"/>
            <w:tcBorders>
              <w:top w:val="single" w:sz="4" w:space="0" w:color="F2E3C7" w:themeColor="accent6"/>
              <w:bottom w:val="single" w:sz="4" w:space="0" w:color="F2E3C7" w:themeColor="accent6"/>
            </w:tcBorders>
            <w:shd w:val="clear" w:color="auto" w:fill="FFFFFF" w:themeFill="background1"/>
            <w:hideMark/>
          </w:tcPr>
          <w:p w14:paraId="63C9182C" w14:textId="6D93708F" w:rsidR="00791A68" w:rsidRPr="002949B5" w:rsidRDefault="00847743" w:rsidP="00EC59F5">
            <w:pPr>
              <w:pStyle w:val="TableTextRight"/>
              <w:cnfStyle w:val="000000100000" w:firstRow="0" w:lastRow="0" w:firstColumn="0" w:lastColumn="0" w:oddVBand="0" w:evenVBand="0" w:oddHBand="1" w:evenHBand="0" w:firstRowFirstColumn="0" w:firstRowLastColumn="0" w:lastRowFirstColumn="0" w:lastRowLastColumn="0"/>
            </w:pPr>
            <w:r w:rsidRPr="002949B5">
              <w:t>179,000</w:t>
            </w:r>
          </w:p>
        </w:tc>
        <w:tc>
          <w:tcPr>
            <w:tcW w:w="1740" w:type="dxa"/>
            <w:tcBorders>
              <w:top w:val="single" w:sz="4" w:space="0" w:color="F2E3C7" w:themeColor="accent6"/>
              <w:bottom w:val="single" w:sz="4" w:space="0" w:color="F2E3C7" w:themeColor="accent6"/>
            </w:tcBorders>
            <w:shd w:val="clear" w:color="auto" w:fill="FFFFFF" w:themeFill="background1"/>
            <w:hideMark/>
          </w:tcPr>
          <w:p w14:paraId="34B12F85" w14:textId="0398444C" w:rsidR="00791A68" w:rsidRPr="002949B5" w:rsidRDefault="00847743" w:rsidP="00EC59F5">
            <w:pPr>
              <w:pStyle w:val="TableTextRight"/>
              <w:cnfStyle w:val="000000100000" w:firstRow="0" w:lastRow="0" w:firstColumn="0" w:lastColumn="0" w:oddVBand="0" w:evenVBand="0" w:oddHBand="1" w:evenHBand="0" w:firstRowFirstColumn="0" w:firstRowLastColumn="0" w:lastRowFirstColumn="0" w:lastRowLastColumn="0"/>
            </w:pPr>
            <w:r w:rsidRPr="002949B5">
              <w:t>-18,000</w:t>
            </w:r>
          </w:p>
        </w:tc>
      </w:tr>
      <w:tr w:rsidR="00F33CA7" w:rsidRPr="00240469" w14:paraId="55880EDF" w14:textId="77777777" w:rsidTr="007B14C0">
        <w:trPr>
          <w:trHeight w:val="30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F2E3C7" w:themeColor="accent6"/>
              <w:bottom w:val="single" w:sz="4" w:space="0" w:color="F2E3C7" w:themeColor="accent6"/>
            </w:tcBorders>
            <w:shd w:val="clear" w:color="auto" w:fill="FFFFFF" w:themeFill="background1"/>
            <w:vAlign w:val="center"/>
            <w:hideMark/>
          </w:tcPr>
          <w:p w14:paraId="11239A3C" w14:textId="7D6BEE61" w:rsidR="00791A68" w:rsidRPr="0041126E" w:rsidRDefault="00791A68" w:rsidP="00EC59F5">
            <w:pPr>
              <w:pStyle w:val="TableTextLeft"/>
              <w:rPr>
                <w:rStyle w:val="Strong"/>
              </w:rPr>
            </w:pPr>
            <w:r w:rsidRPr="00847743">
              <w:rPr>
                <w:rStyle w:val="Strong"/>
              </w:rPr>
              <w:t>2026</w:t>
            </w:r>
            <w:r w:rsidR="00075809" w:rsidRPr="00847743">
              <w:rPr>
                <w:rStyle w:val="Strong"/>
              </w:rPr>
              <w:t>–</w:t>
            </w:r>
            <w:r w:rsidRPr="00847743">
              <w:rPr>
                <w:rStyle w:val="Strong"/>
              </w:rPr>
              <w:t>27 </w:t>
            </w:r>
          </w:p>
        </w:tc>
        <w:tc>
          <w:tcPr>
            <w:tcW w:w="1739" w:type="dxa"/>
            <w:tcBorders>
              <w:top w:val="single" w:sz="4" w:space="0" w:color="F2E3C7" w:themeColor="accent6"/>
              <w:bottom w:val="single" w:sz="4" w:space="0" w:color="F2E3C7" w:themeColor="accent6"/>
            </w:tcBorders>
            <w:shd w:val="clear" w:color="auto" w:fill="FFFFFF" w:themeFill="background1"/>
            <w:hideMark/>
          </w:tcPr>
          <w:p w14:paraId="1DE0B422" w14:textId="0380D368" w:rsidR="00791A68" w:rsidRPr="002949B5" w:rsidRDefault="00847743" w:rsidP="00EC59F5">
            <w:pPr>
              <w:pStyle w:val="TableTextRight"/>
              <w:cnfStyle w:val="000000000000" w:firstRow="0" w:lastRow="0" w:firstColumn="0" w:lastColumn="0" w:oddVBand="0" w:evenVBand="0" w:oddHBand="0" w:evenHBand="0" w:firstRowFirstColumn="0" w:firstRowLastColumn="0" w:lastRowFirstColumn="0" w:lastRowLastColumn="0"/>
            </w:pPr>
            <w:r w:rsidRPr="002949B5">
              <w:t>186,000</w:t>
            </w:r>
          </w:p>
        </w:tc>
        <w:tc>
          <w:tcPr>
            <w:tcW w:w="1740" w:type="dxa"/>
            <w:tcBorders>
              <w:top w:val="single" w:sz="4" w:space="0" w:color="F2E3C7" w:themeColor="accent6"/>
              <w:bottom w:val="single" w:sz="4" w:space="0" w:color="F2E3C7" w:themeColor="accent6"/>
            </w:tcBorders>
            <w:shd w:val="clear" w:color="auto" w:fill="FFFFFF" w:themeFill="background1"/>
            <w:hideMark/>
          </w:tcPr>
          <w:p w14:paraId="506B4901" w14:textId="003AEE50" w:rsidR="00791A68" w:rsidRPr="002949B5" w:rsidRDefault="00847743" w:rsidP="00EC59F5">
            <w:pPr>
              <w:pStyle w:val="TableTextRight"/>
              <w:cnfStyle w:val="000000000000" w:firstRow="0" w:lastRow="0" w:firstColumn="0" w:lastColumn="0" w:oddVBand="0" w:evenVBand="0" w:oddHBand="0" w:evenHBand="0" w:firstRowFirstColumn="0" w:firstRowLastColumn="0" w:lastRowFirstColumn="0" w:lastRowLastColumn="0"/>
            </w:pPr>
            <w:r w:rsidRPr="002949B5">
              <w:t>164,000</w:t>
            </w:r>
          </w:p>
        </w:tc>
        <w:tc>
          <w:tcPr>
            <w:tcW w:w="1739" w:type="dxa"/>
            <w:tcBorders>
              <w:top w:val="single" w:sz="4" w:space="0" w:color="F2E3C7" w:themeColor="accent6"/>
              <w:bottom w:val="single" w:sz="4" w:space="0" w:color="F2E3C7" w:themeColor="accent6"/>
            </w:tcBorders>
            <w:shd w:val="clear" w:color="auto" w:fill="FFFFFF" w:themeFill="background1"/>
            <w:hideMark/>
          </w:tcPr>
          <w:p w14:paraId="3EDC7E3C" w14:textId="6FD52902" w:rsidR="00791A68" w:rsidRPr="002949B5" w:rsidRDefault="00847743" w:rsidP="00EC59F5">
            <w:pPr>
              <w:pStyle w:val="TableTextRight"/>
              <w:cnfStyle w:val="000000000000" w:firstRow="0" w:lastRow="0" w:firstColumn="0" w:lastColumn="0" w:oddVBand="0" w:evenVBand="0" w:oddHBand="0" w:evenHBand="0" w:firstRowFirstColumn="0" w:firstRowLastColumn="0" w:lastRowFirstColumn="0" w:lastRowLastColumn="0"/>
            </w:pPr>
            <w:r w:rsidRPr="002949B5">
              <w:t>171,000</w:t>
            </w:r>
          </w:p>
        </w:tc>
        <w:tc>
          <w:tcPr>
            <w:tcW w:w="1740" w:type="dxa"/>
            <w:tcBorders>
              <w:top w:val="single" w:sz="4" w:space="0" w:color="F2E3C7" w:themeColor="accent6"/>
              <w:bottom w:val="single" w:sz="4" w:space="0" w:color="F2E3C7" w:themeColor="accent6"/>
            </w:tcBorders>
            <w:shd w:val="clear" w:color="auto" w:fill="FFFFFF" w:themeFill="background1"/>
            <w:hideMark/>
          </w:tcPr>
          <w:p w14:paraId="2BE39997" w14:textId="2BAD6614" w:rsidR="00791A68" w:rsidRPr="002949B5" w:rsidRDefault="00847743" w:rsidP="00EC59F5">
            <w:pPr>
              <w:pStyle w:val="TableTextRight"/>
              <w:cnfStyle w:val="000000000000" w:firstRow="0" w:lastRow="0" w:firstColumn="0" w:lastColumn="0" w:oddVBand="0" w:evenVBand="0" w:oddHBand="0" w:evenHBand="0" w:firstRowFirstColumn="0" w:firstRowLastColumn="0" w:lastRowFirstColumn="0" w:lastRowLastColumn="0"/>
            </w:pPr>
            <w:r w:rsidRPr="002949B5">
              <w:t>-7,000</w:t>
            </w:r>
          </w:p>
        </w:tc>
      </w:tr>
      <w:tr w:rsidR="00F33CA7" w:rsidRPr="00240469" w14:paraId="4872EEEE" w14:textId="77777777" w:rsidTr="007B14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F2E3C7" w:themeColor="accent6"/>
              <w:bottom w:val="single" w:sz="4" w:space="0" w:color="F2E3C7" w:themeColor="accent6"/>
            </w:tcBorders>
            <w:shd w:val="clear" w:color="auto" w:fill="FFFFFF" w:themeFill="background1"/>
            <w:vAlign w:val="center"/>
            <w:hideMark/>
          </w:tcPr>
          <w:p w14:paraId="5FAF52C2" w14:textId="5B4E8CB9" w:rsidR="00791A68" w:rsidRPr="0041126E" w:rsidRDefault="00791A68" w:rsidP="00EC59F5">
            <w:pPr>
              <w:pStyle w:val="TableTextLeft"/>
              <w:rPr>
                <w:rStyle w:val="Strong"/>
              </w:rPr>
            </w:pPr>
            <w:r w:rsidRPr="00847743">
              <w:rPr>
                <w:rStyle w:val="Strong"/>
              </w:rPr>
              <w:t>2027</w:t>
            </w:r>
            <w:r w:rsidR="00075809" w:rsidRPr="00847743">
              <w:rPr>
                <w:rStyle w:val="Strong"/>
              </w:rPr>
              <w:t>–</w:t>
            </w:r>
            <w:r w:rsidRPr="00847743">
              <w:rPr>
                <w:rStyle w:val="Strong"/>
              </w:rPr>
              <w:t>28 </w:t>
            </w:r>
          </w:p>
        </w:tc>
        <w:tc>
          <w:tcPr>
            <w:tcW w:w="1739" w:type="dxa"/>
            <w:tcBorders>
              <w:top w:val="single" w:sz="4" w:space="0" w:color="F2E3C7" w:themeColor="accent6"/>
              <w:bottom w:val="single" w:sz="4" w:space="0" w:color="F2E3C7" w:themeColor="accent6"/>
            </w:tcBorders>
            <w:shd w:val="clear" w:color="auto" w:fill="FFFFFF" w:themeFill="background1"/>
            <w:hideMark/>
          </w:tcPr>
          <w:p w14:paraId="6406BCD5" w14:textId="3631EA07" w:rsidR="00791A68" w:rsidRPr="002949B5" w:rsidRDefault="00847743" w:rsidP="00EC59F5">
            <w:pPr>
              <w:pStyle w:val="TableTextRight"/>
              <w:cnfStyle w:val="000000100000" w:firstRow="0" w:lastRow="0" w:firstColumn="0" w:lastColumn="0" w:oddVBand="0" w:evenVBand="0" w:oddHBand="1" w:evenHBand="0" w:firstRowFirstColumn="0" w:firstRowLastColumn="0" w:lastRowFirstColumn="0" w:lastRowLastColumn="0"/>
            </w:pPr>
            <w:r w:rsidRPr="002949B5">
              <w:t>192,000</w:t>
            </w:r>
          </w:p>
        </w:tc>
        <w:tc>
          <w:tcPr>
            <w:tcW w:w="1740" w:type="dxa"/>
            <w:tcBorders>
              <w:top w:val="single" w:sz="4" w:space="0" w:color="F2E3C7" w:themeColor="accent6"/>
              <w:bottom w:val="single" w:sz="4" w:space="0" w:color="F2E3C7" w:themeColor="accent6"/>
            </w:tcBorders>
            <w:shd w:val="clear" w:color="auto" w:fill="FFFFFF" w:themeFill="background1"/>
            <w:hideMark/>
          </w:tcPr>
          <w:p w14:paraId="718727D8" w14:textId="33EBE370" w:rsidR="00791A68" w:rsidRPr="002949B5" w:rsidRDefault="00847743" w:rsidP="00EC59F5">
            <w:pPr>
              <w:pStyle w:val="TableTextRight"/>
              <w:cnfStyle w:val="000000100000" w:firstRow="0" w:lastRow="0" w:firstColumn="0" w:lastColumn="0" w:oddVBand="0" w:evenVBand="0" w:oddHBand="1" w:evenHBand="0" w:firstRowFirstColumn="0" w:firstRowLastColumn="0" w:lastRowFirstColumn="0" w:lastRowLastColumn="0"/>
            </w:pPr>
            <w:r w:rsidRPr="002949B5">
              <w:t>169,000</w:t>
            </w:r>
          </w:p>
        </w:tc>
        <w:tc>
          <w:tcPr>
            <w:tcW w:w="1739" w:type="dxa"/>
            <w:tcBorders>
              <w:top w:val="single" w:sz="4" w:space="0" w:color="F2E3C7" w:themeColor="accent6"/>
              <w:bottom w:val="single" w:sz="4" w:space="0" w:color="F2E3C7" w:themeColor="accent6"/>
            </w:tcBorders>
            <w:shd w:val="clear" w:color="auto" w:fill="FFFFFF" w:themeFill="background1"/>
            <w:hideMark/>
          </w:tcPr>
          <w:p w14:paraId="69107BF5" w14:textId="7B8111CE" w:rsidR="00791A68" w:rsidRPr="002949B5" w:rsidRDefault="00847743" w:rsidP="00EC59F5">
            <w:pPr>
              <w:pStyle w:val="TableTextRight"/>
              <w:cnfStyle w:val="000000100000" w:firstRow="0" w:lastRow="0" w:firstColumn="0" w:lastColumn="0" w:oddVBand="0" w:evenVBand="0" w:oddHBand="1" w:evenHBand="0" w:firstRowFirstColumn="0" w:firstRowLastColumn="0" w:lastRowFirstColumn="0" w:lastRowLastColumn="0"/>
            </w:pPr>
            <w:r w:rsidRPr="002949B5">
              <w:t>173,000</w:t>
            </w:r>
          </w:p>
        </w:tc>
        <w:tc>
          <w:tcPr>
            <w:tcW w:w="1740" w:type="dxa"/>
            <w:tcBorders>
              <w:top w:val="single" w:sz="4" w:space="0" w:color="F2E3C7" w:themeColor="accent6"/>
              <w:bottom w:val="single" w:sz="4" w:space="0" w:color="F2E3C7" w:themeColor="accent6"/>
            </w:tcBorders>
            <w:shd w:val="clear" w:color="auto" w:fill="FFFFFF" w:themeFill="background1"/>
            <w:hideMark/>
          </w:tcPr>
          <w:p w14:paraId="387054D3" w14:textId="6E6EA834" w:rsidR="00791A68" w:rsidRPr="002949B5" w:rsidRDefault="00847743" w:rsidP="00EC59F5">
            <w:pPr>
              <w:pStyle w:val="TableTextRight"/>
              <w:cnfStyle w:val="000000100000" w:firstRow="0" w:lastRow="0" w:firstColumn="0" w:lastColumn="0" w:oddVBand="0" w:evenVBand="0" w:oddHBand="1" w:evenHBand="0" w:firstRowFirstColumn="0" w:firstRowLastColumn="0" w:lastRowFirstColumn="0" w:lastRowLastColumn="0"/>
            </w:pPr>
            <w:r w:rsidRPr="002949B5">
              <w:t>-5,000</w:t>
            </w:r>
          </w:p>
        </w:tc>
      </w:tr>
      <w:tr w:rsidR="00F33CA7" w:rsidRPr="00240469" w14:paraId="2A449EA3" w14:textId="77777777" w:rsidTr="007B14C0">
        <w:trPr>
          <w:trHeight w:val="30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F2E3C7" w:themeColor="accent6"/>
              <w:bottom w:val="single" w:sz="12" w:space="0" w:color="F2E3C7" w:themeColor="background2"/>
            </w:tcBorders>
            <w:shd w:val="clear" w:color="auto" w:fill="FFFFFF" w:themeFill="background1"/>
            <w:vAlign w:val="center"/>
            <w:hideMark/>
          </w:tcPr>
          <w:p w14:paraId="7C44F6DA" w14:textId="6D0FDC4A" w:rsidR="00791A68" w:rsidRPr="0041126E" w:rsidRDefault="00791A68" w:rsidP="00EC59F5">
            <w:pPr>
              <w:pStyle w:val="TableTextLeft"/>
              <w:rPr>
                <w:rStyle w:val="Strong"/>
              </w:rPr>
            </w:pPr>
            <w:r w:rsidRPr="00847743">
              <w:rPr>
                <w:rStyle w:val="Strong"/>
              </w:rPr>
              <w:t>2028</w:t>
            </w:r>
            <w:r w:rsidR="00075809" w:rsidRPr="00847743">
              <w:rPr>
                <w:rStyle w:val="Strong"/>
              </w:rPr>
              <w:t>–</w:t>
            </w:r>
            <w:r w:rsidRPr="00847743">
              <w:rPr>
                <w:rStyle w:val="Strong"/>
              </w:rPr>
              <w:t>29 </w:t>
            </w:r>
          </w:p>
        </w:tc>
        <w:tc>
          <w:tcPr>
            <w:tcW w:w="1739" w:type="dxa"/>
            <w:tcBorders>
              <w:top w:val="single" w:sz="4" w:space="0" w:color="F2E3C7" w:themeColor="accent6"/>
              <w:bottom w:val="single" w:sz="12" w:space="0" w:color="F2E3C7" w:themeColor="background2"/>
            </w:tcBorders>
            <w:shd w:val="clear" w:color="auto" w:fill="FFFFFF" w:themeFill="background1"/>
            <w:hideMark/>
          </w:tcPr>
          <w:p w14:paraId="7CBEF397" w14:textId="2637CE39" w:rsidR="00791A68" w:rsidRPr="002949B5" w:rsidRDefault="00847743" w:rsidP="00EC59F5">
            <w:pPr>
              <w:pStyle w:val="TableTextRight"/>
              <w:cnfStyle w:val="000000000000" w:firstRow="0" w:lastRow="0" w:firstColumn="0" w:lastColumn="0" w:oddVBand="0" w:evenVBand="0" w:oddHBand="0" w:evenHBand="0" w:firstRowFirstColumn="0" w:firstRowLastColumn="0" w:lastRowFirstColumn="0" w:lastRowLastColumn="0"/>
            </w:pPr>
            <w:r w:rsidRPr="002949B5">
              <w:t>197,000</w:t>
            </w:r>
          </w:p>
        </w:tc>
        <w:tc>
          <w:tcPr>
            <w:tcW w:w="1740" w:type="dxa"/>
            <w:tcBorders>
              <w:top w:val="single" w:sz="4" w:space="0" w:color="F2E3C7" w:themeColor="accent6"/>
              <w:bottom w:val="single" w:sz="12" w:space="0" w:color="F2E3C7" w:themeColor="background2"/>
            </w:tcBorders>
            <w:shd w:val="clear" w:color="auto" w:fill="FFFFFF" w:themeFill="background1"/>
            <w:hideMark/>
          </w:tcPr>
          <w:p w14:paraId="4493E55C" w14:textId="45EF39F2" w:rsidR="00791A68" w:rsidRPr="002949B5" w:rsidRDefault="00847743" w:rsidP="00EC59F5">
            <w:pPr>
              <w:pStyle w:val="TableTextRight"/>
              <w:cnfStyle w:val="000000000000" w:firstRow="0" w:lastRow="0" w:firstColumn="0" w:lastColumn="0" w:oddVBand="0" w:evenVBand="0" w:oddHBand="0" w:evenHBand="0" w:firstRowFirstColumn="0" w:firstRowLastColumn="0" w:lastRowFirstColumn="0" w:lastRowLastColumn="0"/>
            </w:pPr>
            <w:r w:rsidRPr="002949B5">
              <w:t>173,000</w:t>
            </w:r>
          </w:p>
        </w:tc>
        <w:tc>
          <w:tcPr>
            <w:tcW w:w="1739" w:type="dxa"/>
            <w:tcBorders>
              <w:top w:val="single" w:sz="4" w:space="0" w:color="F2E3C7" w:themeColor="accent6"/>
              <w:bottom w:val="single" w:sz="12" w:space="0" w:color="F2E3C7" w:themeColor="background2"/>
            </w:tcBorders>
            <w:shd w:val="clear" w:color="auto" w:fill="FFFFFF" w:themeFill="background1"/>
            <w:hideMark/>
          </w:tcPr>
          <w:p w14:paraId="78D2DDD9" w14:textId="058EDF92" w:rsidR="00791A68" w:rsidRPr="002949B5" w:rsidRDefault="00847743" w:rsidP="00EC59F5">
            <w:pPr>
              <w:pStyle w:val="TableTextRight"/>
              <w:cnfStyle w:val="000000000000" w:firstRow="0" w:lastRow="0" w:firstColumn="0" w:lastColumn="0" w:oddVBand="0" w:evenVBand="0" w:oddHBand="0" w:evenHBand="0" w:firstRowFirstColumn="0" w:firstRowLastColumn="0" w:lastRowFirstColumn="0" w:lastRowLastColumn="0"/>
            </w:pPr>
            <w:r w:rsidRPr="002949B5">
              <w:t>176,000</w:t>
            </w:r>
          </w:p>
        </w:tc>
        <w:tc>
          <w:tcPr>
            <w:tcW w:w="1740" w:type="dxa"/>
            <w:tcBorders>
              <w:top w:val="single" w:sz="4" w:space="0" w:color="F2E3C7" w:themeColor="accent6"/>
              <w:bottom w:val="single" w:sz="12" w:space="0" w:color="F2E3C7" w:themeColor="background2"/>
            </w:tcBorders>
            <w:shd w:val="clear" w:color="auto" w:fill="FFFFFF" w:themeFill="background1"/>
            <w:hideMark/>
          </w:tcPr>
          <w:p w14:paraId="4C95CF75" w14:textId="50983EB6" w:rsidR="00791A68" w:rsidRPr="002949B5" w:rsidRDefault="00847743" w:rsidP="00EC59F5">
            <w:pPr>
              <w:pStyle w:val="TableTextRight"/>
              <w:cnfStyle w:val="000000000000" w:firstRow="0" w:lastRow="0" w:firstColumn="0" w:lastColumn="0" w:oddVBand="0" w:evenVBand="0" w:oddHBand="0" w:evenHBand="0" w:firstRowFirstColumn="0" w:firstRowLastColumn="0" w:lastRowFirstColumn="0" w:lastRowLastColumn="0"/>
            </w:pPr>
            <w:r w:rsidRPr="002949B5">
              <w:t>-3,000</w:t>
            </w:r>
          </w:p>
        </w:tc>
      </w:tr>
      <w:tr w:rsidR="00F33CA7" w:rsidRPr="005255D3" w14:paraId="5AA230FE" w14:textId="77777777" w:rsidTr="007B14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tcBorders>
              <w:top w:val="single" w:sz="12" w:space="0" w:color="F2E3C7" w:themeColor="background2"/>
              <w:bottom w:val="single" w:sz="4" w:space="0" w:color="F2E3C7" w:themeColor="accent6"/>
            </w:tcBorders>
            <w:shd w:val="clear" w:color="auto" w:fill="FFFFFF" w:themeFill="background1"/>
            <w:vAlign w:val="center"/>
            <w:hideMark/>
          </w:tcPr>
          <w:p w14:paraId="2586929B" w14:textId="37E85CC4" w:rsidR="00791A68" w:rsidRPr="00847743" w:rsidRDefault="00791A68" w:rsidP="00EC59F5">
            <w:pPr>
              <w:pStyle w:val="TableTextLeft"/>
            </w:pPr>
            <w:r w:rsidRPr="00847743">
              <w:t>Total during the Housing</w:t>
            </w:r>
            <w:r w:rsidR="00EC59F5" w:rsidRPr="00847743">
              <w:t> </w:t>
            </w:r>
            <w:r w:rsidRPr="00847743">
              <w:t>Accord period</w:t>
            </w:r>
          </w:p>
        </w:tc>
        <w:tc>
          <w:tcPr>
            <w:tcW w:w="1739" w:type="dxa"/>
            <w:tcBorders>
              <w:top w:val="single" w:sz="12" w:space="0" w:color="F2E3C7" w:themeColor="background2"/>
              <w:bottom w:val="single" w:sz="4" w:space="0" w:color="F2E3C7" w:themeColor="accent6"/>
            </w:tcBorders>
            <w:shd w:val="clear" w:color="auto" w:fill="FFFFFF" w:themeFill="background1"/>
            <w:hideMark/>
          </w:tcPr>
          <w:p w14:paraId="36B31169" w14:textId="7BAAB40A" w:rsidR="00791A68" w:rsidRPr="002949B5" w:rsidRDefault="00847743" w:rsidP="00EC59F5">
            <w:pPr>
              <w:pStyle w:val="TableTextRight"/>
              <w:cnfStyle w:val="000000100000" w:firstRow="0" w:lastRow="0" w:firstColumn="0" w:lastColumn="0" w:oddVBand="0" w:evenVBand="0" w:oddHBand="1" w:evenHBand="0" w:firstRowFirstColumn="0" w:firstRowLastColumn="0" w:lastRowFirstColumn="0" w:lastRowLastColumn="0"/>
            </w:pPr>
            <w:r w:rsidRPr="002949B5">
              <w:t>938,000</w:t>
            </w:r>
          </w:p>
        </w:tc>
        <w:tc>
          <w:tcPr>
            <w:tcW w:w="1740" w:type="dxa"/>
            <w:tcBorders>
              <w:top w:val="single" w:sz="12" w:space="0" w:color="F2E3C7" w:themeColor="background2"/>
              <w:bottom w:val="single" w:sz="4" w:space="0" w:color="F2E3C7" w:themeColor="accent6"/>
            </w:tcBorders>
            <w:shd w:val="clear" w:color="auto" w:fill="FFFFFF" w:themeFill="background1"/>
            <w:hideMark/>
          </w:tcPr>
          <w:p w14:paraId="0EAFBF77" w14:textId="5EC9E15C" w:rsidR="00791A68" w:rsidRPr="002949B5" w:rsidRDefault="00847743" w:rsidP="00EC59F5">
            <w:pPr>
              <w:pStyle w:val="TableTextRight"/>
              <w:cnfStyle w:val="000000100000" w:firstRow="0" w:lastRow="0" w:firstColumn="0" w:lastColumn="0" w:oddVBand="0" w:evenVBand="0" w:oddHBand="1" w:evenHBand="0" w:firstRowFirstColumn="0" w:firstRowLastColumn="0" w:lastRowFirstColumn="0" w:lastRowLastColumn="0"/>
            </w:pPr>
            <w:r w:rsidRPr="002949B5">
              <w:t>825,000</w:t>
            </w:r>
          </w:p>
        </w:tc>
        <w:tc>
          <w:tcPr>
            <w:tcW w:w="1739" w:type="dxa"/>
            <w:tcBorders>
              <w:top w:val="single" w:sz="12" w:space="0" w:color="F2E3C7" w:themeColor="background2"/>
              <w:bottom w:val="single" w:sz="4" w:space="0" w:color="F2E3C7" w:themeColor="accent6"/>
            </w:tcBorders>
            <w:shd w:val="clear" w:color="auto" w:fill="FFFFFF" w:themeFill="background1"/>
            <w:hideMark/>
          </w:tcPr>
          <w:p w14:paraId="0750F54D" w14:textId="01D77ED6" w:rsidR="00791A68" w:rsidRPr="002949B5" w:rsidRDefault="00847743" w:rsidP="00EC59F5">
            <w:pPr>
              <w:pStyle w:val="TableTextRight"/>
              <w:cnfStyle w:val="000000100000" w:firstRow="0" w:lastRow="0" w:firstColumn="0" w:lastColumn="0" w:oddVBand="0" w:evenVBand="0" w:oddHBand="1" w:evenHBand="0" w:firstRowFirstColumn="0" w:firstRowLastColumn="0" w:lastRowFirstColumn="0" w:lastRowLastColumn="0"/>
            </w:pPr>
            <w:r w:rsidRPr="002949B5">
              <w:t>904,000</w:t>
            </w:r>
          </w:p>
        </w:tc>
        <w:tc>
          <w:tcPr>
            <w:tcW w:w="1740" w:type="dxa"/>
            <w:tcBorders>
              <w:top w:val="single" w:sz="12" w:space="0" w:color="F2E3C7" w:themeColor="background2"/>
              <w:bottom w:val="single" w:sz="4" w:space="0" w:color="F2E3C7" w:themeColor="accent6"/>
            </w:tcBorders>
            <w:shd w:val="clear" w:color="auto" w:fill="FFFFFF" w:themeFill="background1"/>
            <w:hideMark/>
          </w:tcPr>
          <w:p w14:paraId="47DF3FDF" w14:textId="2B365BE0" w:rsidR="00791A68" w:rsidRPr="002949B5" w:rsidRDefault="00847743" w:rsidP="00EC59F5">
            <w:pPr>
              <w:pStyle w:val="TableTextRight"/>
              <w:cnfStyle w:val="000000100000" w:firstRow="0" w:lastRow="0" w:firstColumn="0" w:lastColumn="0" w:oddVBand="0" w:evenVBand="0" w:oddHBand="1" w:evenHBand="0" w:firstRowFirstColumn="0" w:firstRowLastColumn="0" w:lastRowFirstColumn="0" w:lastRowLastColumn="0"/>
            </w:pPr>
            <w:r w:rsidRPr="002949B5">
              <w:t>-79,000</w:t>
            </w:r>
          </w:p>
        </w:tc>
      </w:tr>
    </w:tbl>
    <w:p w14:paraId="3AEBFEFF" w14:textId="0BD463DE" w:rsidR="007B14C0" w:rsidRPr="002949B5" w:rsidRDefault="007B14C0" w:rsidP="007B14C0">
      <w:pPr>
        <w:pStyle w:val="ChartorTableNoteandSource"/>
        <w:rPr>
          <w:rFonts w:eastAsia="Calibri"/>
          <w:lang w:eastAsia="en-US"/>
        </w:rPr>
      </w:pPr>
      <w:r w:rsidRPr="002949B5">
        <w:rPr>
          <w:rFonts w:eastAsia="Calibri"/>
          <w:lang w:eastAsia="en-US"/>
        </w:rPr>
        <w:t>Notes:</w:t>
      </w:r>
      <w:r w:rsidRPr="002949B5">
        <w:rPr>
          <w:rFonts w:eastAsia="Calibri"/>
          <w:lang w:eastAsia="en-US"/>
        </w:rPr>
        <w:tab/>
      </w:r>
      <w:r w:rsidR="00AF5579" w:rsidRPr="002949B5">
        <w:rPr>
          <w:rFonts w:eastAsia="Calibri"/>
          <w:lang w:eastAsia="en-US"/>
        </w:rPr>
        <w:t xml:space="preserve">All figures are rounded </w:t>
      </w:r>
      <w:r w:rsidRPr="002949B5">
        <w:rPr>
          <w:rFonts w:eastAsia="Calibri"/>
          <w:lang w:eastAsia="en-US"/>
        </w:rPr>
        <w:t>to the closest thousand. Totals</w:t>
      </w:r>
      <w:r w:rsidR="009F31A0" w:rsidRPr="002949B5">
        <w:rPr>
          <w:rFonts w:eastAsia="Calibri"/>
          <w:lang w:eastAsia="en-US"/>
        </w:rPr>
        <w:t xml:space="preserve"> and differences</w:t>
      </w:r>
      <w:r w:rsidRPr="002949B5">
        <w:rPr>
          <w:rFonts w:eastAsia="Calibri"/>
          <w:lang w:eastAsia="en-US"/>
        </w:rPr>
        <w:t xml:space="preserve"> may not be consistent with component figures due to rounding.</w:t>
      </w:r>
    </w:p>
    <w:p w14:paraId="72AC8E11" w14:textId="3884EE33" w:rsidR="00EC59F5" w:rsidRDefault="00791A68" w:rsidP="002D209A">
      <w:pPr>
        <w:pStyle w:val="ChartorTableNoteandSource"/>
      </w:pPr>
      <w:r w:rsidRPr="002949B5">
        <w:t>Source:</w:t>
      </w:r>
      <w:r w:rsidR="001B4EAF" w:rsidRPr="002949B5">
        <w:tab/>
      </w:r>
      <w:r w:rsidR="00504248" w:rsidRPr="002949B5">
        <w:t xml:space="preserve">ABS Building Activity 2025; </w:t>
      </w:r>
      <w:r w:rsidRPr="002949B5">
        <w:t>NHSAC 2025</w:t>
      </w:r>
      <w:bookmarkStart w:id="141" w:name="_Toc195026609"/>
      <w:r w:rsidR="00EC59F5">
        <w:br w:type="page"/>
      </w:r>
    </w:p>
    <w:p w14:paraId="606789F9" w14:textId="74A4D5D7" w:rsidR="00791A68" w:rsidRDefault="00791A68" w:rsidP="00744F72">
      <w:pPr>
        <w:pStyle w:val="Heading2Numbered"/>
      </w:pPr>
      <w:bookmarkStart w:id="142" w:name="_Toc196395900"/>
      <w:r>
        <w:lastRenderedPageBreak/>
        <w:t>The supply shortfall will weigh on housing affordability</w:t>
      </w:r>
      <w:bookmarkEnd w:id="141"/>
      <w:bookmarkEnd w:id="142"/>
    </w:p>
    <w:p w14:paraId="34E46871" w14:textId="67AD9ECF" w:rsidR="00791A68" w:rsidRDefault="00791A68">
      <w:r w:rsidRPr="000163A7">
        <w:t xml:space="preserve">The excess of new demand relative to new supply over the Housing Accord period will worsen the existing undersupply of housing in the system </w:t>
      </w:r>
      <w:r>
        <w:t xml:space="preserve">and add to affordability </w:t>
      </w:r>
      <w:r w:rsidRPr="00F46EC3">
        <w:t>pressures.</w:t>
      </w:r>
      <w:r w:rsidR="003F0A6A" w:rsidRPr="00F46EC3">
        <w:t xml:space="preserve"> </w:t>
      </w:r>
      <w:r>
        <w:t xml:space="preserve">As discussed in </w:t>
      </w:r>
      <w:r w:rsidRPr="005B1520">
        <w:t>Chapter 4</w:t>
      </w:r>
      <w:r w:rsidR="003F0A6A" w:rsidRPr="005B1520">
        <w:t>,</w:t>
      </w:r>
      <w:r w:rsidRPr="009628A8">
        <w:rPr>
          <w:i/>
          <w:iCs/>
        </w:rPr>
        <w:t xml:space="preserve"> </w:t>
      </w:r>
      <w:r w:rsidRPr="001B4EAF">
        <w:rPr>
          <w:rStyle w:val="Emphasis"/>
        </w:rPr>
        <w:t>Housing affordability</w:t>
      </w:r>
      <w:r>
        <w:t>, rental affordability</w:t>
      </w:r>
      <w:r w:rsidDel="00C82912">
        <w:t xml:space="preserve"> </w:t>
      </w:r>
      <w:r>
        <w:t>deteriorated</w:t>
      </w:r>
      <w:r w:rsidDel="00FF29CD">
        <w:t xml:space="preserve"> </w:t>
      </w:r>
      <w:r>
        <w:t>in 2024. Rent growth has started to ease and throughout the Housing Accord period is expected to continue slowing but remain above the RBA</w:t>
      </w:r>
      <w:r w:rsidR="00A15C79">
        <w:t>’</w:t>
      </w:r>
      <w:r>
        <w:t>s inflation target band of 2</w:t>
      </w:r>
      <w:r w:rsidR="00305C0B">
        <w:t>–</w:t>
      </w:r>
      <w:r>
        <w:t>3</w:t>
      </w:r>
      <w:r w:rsidR="0099326B">
        <w:t> per cent</w:t>
      </w:r>
      <w:r>
        <w:t xml:space="preserve"> (</w:t>
      </w:r>
      <w:r w:rsidR="00305C0B">
        <w:t xml:space="preserve">see </w:t>
      </w:r>
      <w:r>
        <w:t>Chart 5.12), adding to the already significant degree of rental stress in the system. Rental housing will remain scarce for households across the income spectrum as the vacancy rate remains below its historic average (</w:t>
      </w:r>
      <w:r w:rsidR="00D84458">
        <w:t>see</w:t>
      </w:r>
      <w:r w:rsidR="001B4EAF">
        <w:t> </w:t>
      </w:r>
      <w:r>
        <w:t>Chart 5.13).</w:t>
      </w:r>
    </w:p>
    <w:tbl>
      <w:tblPr>
        <w:tblW w:w="5000" w:type="pct"/>
        <w:tblLayout w:type="fixed"/>
        <w:tblLook w:val="0000" w:firstRow="0" w:lastRow="0" w:firstColumn="0" w:lastColumn="0" w:noHBand="0" w:noVBand="0"/>
      </w:tblPr>
      <w:tblGrid>
        <w:gridCol w:w="4535"/>
        <w:gridCol w:w="4535"/>
      </w:tblGrid>
      <w:tr w:rsidR="00791A68" w:rsidRPr="00F90FBB" w14:paraId="74963B39" w14:textId="77777777">
        <w:trPr>
          <w:cantSplit/>
        </w:trPr>
        <w:tc>
          <w:tcPr>
            <w:tcW w:w="4535" w:type="dxa"/>
          </w:tcPr>
          <w:p w14:paraId="39877E29" w14:textId="77777777" w:rsidR="00791A68" w:rsidRPr="00FE766A" w:rsidRDefault="00791A68" w:rsidP="001B4EAF">
            <w:pPr>
              <w:pStyle w:val="ChartMainHeading"/>
            </w:pPr>
            <w:r w:rsidRPr="00FE766A">
              <w:t>Nominal rent growth</w:t>
            </w:r>
          </w:p>
        </w:tc>
        <w:tc>
          <w:tcPr>
            <w:tcW w:w="4535" w:type="dxa"/>
          </w:tcPr>
          <w:p w14:paraId="1DFFACD5" w14:textId="77777777" w:rsidR="00791A68" w:rsidRPr="00FE766A" w:rsidRDefault="00791A68" w:rsidP="001B4EAF">
            <w:pPr>
              <w:pStyle w:val="ChartMainHeading"/>
            </w:pPr>
            <w:r w:rsidRPr="00FE766A">
              <w:t>Vacancy rates, quarterly</w:t>
            </w:r>
          </w:p>
        </w:tc>
      </w:tr>
      <w:tr w:rsidR="00791A68" w:rsidRPr="00F90FBB" w14:paraId="5964F136" w14:textId="77777777">
        <w:trPr>
          <w:cantSplit/>
        </w:trPr>
        <w:tc>
          <w:tcPr>
            <w:tcW w:w="4535" w:type="dxa"/>
          </w:tcPr>
          <w:p w14:paraId="426ADD5D" w14:textId="0AB2505B" w:rsidR="00791A68" w:rsidRPr="0041126E" w:rsidRDefault="009A7A31" w:rsidP="0041126E">
            <w:pPr>
              <w:pStyle w:val="ChartGraphic"/>
              <w:jc w:val="left"/>
              <w:rPr>
                <w:highlight w:val="yellow"/>
              </w:rPr>
            </w:pPr>
            <w:r w:rsidRPr="0041126E">
              <w:rPr>
                <w:noProof/>
              </w:rPr>
              <w:drawing>
                <wp:inline distT="0" distB="0" distL="0" distR="0" wp14:anchorId="577AF451" wp14:editId="7CB8D771">
                  <wp:extent cx="2742565" cy="2734945"/>
                  <wp:effectExtent l="0" t="0" r="0" b="0"/>
                  <wp:docPr id="712180888" name="Picture 11" descr="This line chart shows through-the-year rent growth from June quarter 2011 to June quarter 2029, where the period between March quarter 2025 and June quarter 2029 is a forecast.&#10;&#10;In the historic period of the data, rent growth falls from around 4.5% to -1.4% between June 2011 and September 2020. Rent growth then sharply increases, reaching a peak of 7.8% in March 2024.&#10;&#10;In the forecast period, rent growth is forecast to fall to 3.6% in March 2028 and remain at this level to June 2029. The decline is consistent, aside from a small jump late 2025 that reflects base effects associated with the increases in Commonwealth Rent Assistance that came into effect in September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80888" name="Picture 11" descr="This line chart shows through-the-year rent growth from June quarter 2011 to June quarter 2029, where the period between March quarter 2025 and June quarter 2029 is a forecast.&#10;&#10;In the historic period of the data, rent growth falls from around 4.5% to -1.4% between June 2011 and September 2020. Rent growth then sharply increases, reaching a peak of 7.8% in March 2024.&#10;&#10;In the forecast period, rent growth is forecast to fall to 3.6% in March 2028 and remain at this level to June 2029. The decline is consistent, aside from a small jump late 2025 that reflects base effects associated with the increases in Commonwealth Rent Assistance that came into effect in September 2024.&#1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742565" cy="2734945"/>
                          </a:xfrm>
                          <a:prstGeom prst="rect">
                            <a:avLst/>
                          </a:prstGeom>
                          <a:noFill/>
                          <a:ln>
                            <a:noFill/>
                          </a:ln>
                        </pic:spPr>
                      </pic:pic>
                    </a:graphicData>
                  </a:graphic>
                </wp:inline>
              </w:drawing>
            </w:r>
          </w:p>
        </w:tc>
        <w:tc>
          <w:tcPr>
            <w:tcW w:w="4535" w:type="dxa"/>
          </w:tcPr>
          <w:p w14:paraId="18BB02BE" w14:textId="75C16EC6" w:rsidR="00791A68" w:rsidRPr="0041126E" w:rsidRDefault="00BA33DB" w:rsidP="0041126E">
            <w:pPr>
              <w:pStyle w:val="ChartGraphic"/>
              <w:jc w:val="left"/>
              <w:rPr>
                <w:highlight w:val="yellow"/>
              </w:rPr>
            </w:pPr>
            <w:r w:rsidRPr="0041126E">
              <w:rPr>
                <w:noProof/>
              </w:rPr>
              <w:drawing>
                <wp:inline distT="0" distB="0" distL="0" distR="0" wp14:anchorId="1C131D3F" wp14:editId="58FCDB30">
                  <wp:extent cx="2742565" cy="2734945"/>
                  <wp:effectExtent l="0" t="0" r="0" b="0"/>
                  <wp:docPr id="1047354973" name="Picture 12" descr="This line chart shows rental vacancy rates from June quarter 2011 to June quarter 2029, where the period from March quarter 2025 to June quarter 2029 is a forecast. &#10;&#10;In the historic period, vacancy rates grow from 2.2% in June 2012 to 3.1% in September 2016. They then decline and sit around 2.6% from December 2017 to March 2020, before rising to a peak of 3.3% in March 2021. Vacancy rates start to fall sharply in March quarter 2022, reaching a low of 1.4% March quarter 2023, before rising again to 1.8% in December 2024.&#10;&#10;Over the forecast period, vacancy rates are forecast to grow to around 2.3% in June 20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54973" name="Picture 12" descr="This line chart shows rental vacancy rates from June quarter 2011 to June quarter 2029, where the period from March quarter 2025 to June quarter 2029 is a forecast. &#10;&#10;In the historic period, vacancy rates grow from 2.2% in June 2012 to 3.1% in September 2016. They then decline and sit around 2.6% from December 2017 to March 2020, before rising to a peak of 3.3% in March 2021. Vacancy rates start to fall sharply in March quarter 2022, reaching a low of 1.4% March quarter 2023, before rising again to 1.8% in December 2024.&#10;&#10;Over the forecast period, vacancy rates are forecast to grow to around 2.3% in June 2029.&#1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742565" cy="2734945"/>
                          </a:xfrm>
                          <a:prstGeom prst="rect">
                            <a:avLst/>
                          </a:prstGeom>
                          <a:noFill/>
                          <a:ln>
                            <a:noFill/>
                          </a:ln>
                        </pic:spPr>
                      </pic:pic>
                    </a:graphicData>
                  </a:graphic>
                </wp:inline>
              </w:drawing>
            </w:r>
          </w:p>
        </w:tc>
      </w:tr>
      <w:tr w:rsidR="00791A68" w14:paraId="784A4AF6" w14:textId="77777777" w:rsidTr="00B46BA7">
        <w:trPr>
          <w:cantSplit/>
          <w:trHeight w:val="1140"/>
        </w:trPr>
        <w:tc>
          <w:tcPr>
            <w:tcW w:w="4535" w:type="dxa"/>
          </w:tcPr>
          <w:p w14:paraId="329ADD6D" w14:textId="2A073583" w:rsidR="00791A68" w:rsidRPr="0041126E" w:rsidRDefault="00791A68" w:rsidP="00DB6DE6">
            <w:pPr>
              <w:pStyle w:val="ChartorTableNoteandSource"/>
            </w:pPr>
            <w:r w:rsidRPr="00FE766A">
              <w:t>Note</w:t>
            </w:r>
            <w:r w:rsidRPr="002949B5">
              <w:t>:</w:t>
            </w:r>
            <w:r w:rsidR="001B4EAF" w:rsidRPr="002949B5">
              <w:tab/>
            </w:r>
            <w:r w:rsidR="00444824" w:rsidRPr="002949B5">
              <w:t>The numbers shown represent t</w:t>
            </w:r>
            <w:r w:rsidRPr="002949B5">
              <w:t>hrough</w:t>
            </w:r>
            <w:r w:rsidR="00A15C79" w:rsidRPr="002949B5">
              <w:noBreakHyphen/>
            </w:r>
            <w:r w:rsidRPr="002949B5">
              <w:t>the</w:t>
            </w:r>
            <w:r w:rsidR="00A15C79" w:rsidRPr="002949B5">
              <w:noBreakHyphen/>
            </w:r>
            <w:r w:rsidRPr="002949B5">
              <w:t>year growth</w:t>
            </w:r>
            <w:r w:rsidR="00444824" w:rsidRPr="002949B5">
              <w:t xml:space="preserve"> of rents.</w:t>
            </w:r>
            <w:r w:rsidRPr="002949B5">
              <w:t xml:space="preserve"> </w:t>
            </w:r>
            <w:r w:rsidR="00444824" w:rsidRPr="002949B5">
              <w:t>T</w:t>
            </w:r>
            <w:r w:rsidRPr="002949B5">
              <w:t>he forecast acceleration in rents in late 2025 reflects base effects associated with the increases in Commonwealth Rent Assistance that came into effect in September 2024.</w:t>
            </w:r>
          </w:p>
          <w:p w14:paraId="170F2DBE" w14:textId="53CDB377" w:rsidR="005565A3" w:rsidRPr="00FE766A" w:rsidRDefault="005565A3" w:rsidP="005565A3">
            <w:pPr>
              <w:pStyle w:val="ChartorTableNoteandSource"/>
            </w:pPr>
            <w:r w:rsidRPr="0041126E">
              <w:t>Source:</w:t>
            </w:r>
            <w:r w:rsidRPr="0041126E">
              <w:tab/>
              <w:t>ABS Consumer Price Index 202</w:t>
            </w:r>
            <w:r w:rsidR="00CB7376" w:rsidRPr="002949B5">
              <w:t>5</w:t>
            </w:r>
            <w:r w:rsidRPr="0041126E">
              <w:t>; NHSAC 2025</w:t>
            </w:r>
          </w:p>
        </w:tc>
        <w:tc>
          <w:tcPr>
            <w:tcW w:w="4535" w:type="dxa"/>
          </w:tcPr>
          <w:p w14:paraId="3C5A8919" w14:textId="07B6AFEB" w:rsidR="00791A68" w:rsidRPr="0099326B" w:rsidRDefault="00791A68" w:rsidP="00DB6DE6">
            <w:pPr>
              <w:pStyle w:val="ChartorTableNoteandSource"/>
            </w:pPr>
            <w:r w:rsidRPr="00FE766A">
              <w:t>Source:</w:t>
            </w:r>
            <w:r w:rsidR="001B4EAF" w:rsidRPr="00FE766A">
              <w:tab/>
            </w:r>
            <w:r w:rsidRPr="00FE766A">
              <w:t>REIA Quarterly Vacancy Rates 2024; NHSAC 2025</w:t>
            </w:r>
          </w:p>
        </w:tc>
      </w:tr>
    </w:tbl>
    <w:p w14:paraId="630CE0E8" w14:textId="0EDB4C7E" w:rsidR="00791A68" w:rsidRDefault="003A1B8B" w:rsidP="006F5BB5">
      <w:r>
        <w:t>As interest rates decline, a</w:t>
      </w:r>
      <w:r w:rsidR="00791A68">
        <w:t xml:space="preserve">ffordability could improve for existing </w:t>
      </w:r>
      <w:r w:rsidR="00233AEC">
        <w:t>home owner</w:t>
      </w:r>
      <w:r w:rsidR="00791A68">
        <w:t>s. However,</w:t>
      </w:r>
      <w:r w:rsidR="00791A68" w:rsidDel="006B2140">
        <w:t xml:space="preserve"> </w:t>
      </w:r>
      <w:r w:rsidR="00791A68">
        <w:t xml:space="preserve">lower interest rates are expected to </w:t>
      </w:r>
      <w:r w:rsidR="0034721F">
        <w:t>increase</w:t>
      </w:r>
      <w:r w:rsidR="00791A68">
        <w:t xml:space="preserve"> housing prices further, largely offsetting the benefit of lower interest rates for first</w:t>
      </w:r>
      <w:r w:rsidR="00326AFD">
        <w:t xml:space="preserve"> </w:t>
      </w:r>
      <w:r w:rsidR="00791A68">
        <w:t>home buyers. The dwelling</w:t>
      </w:r>
      <w:r>
        <w:t xml:space="preserve"> </w:t>
      </w:r>
      <w:r w:rsidR="00791A68">
        <w:t>price</w:t>
      </w:r>
      <w:r w:rsidR="00A15C79">
        <w:noBreakHyphen/>
      </w:r>
      <w:r w:rsidR="00791A68">
        <w:t>to</w:t>
      </w:r>
      <w:r w:rsidR="00A15C79">
        <w:noBreakHyphen/>
      </w:r>
      <w:r w:rsidR="00791A68">
        <w:t>income ratio is expected to remain elevated (</w:t>
      </w:r>
      <w:r w:rsidR="001E6F7A">
        <w:t xml:space="preserve">see </w:t>
      </w:r>
      <w:r w:rsidR="00791A68">
        <w:t>Chart 5.1</w:t>
      </w:r>
      <w:r w:rsidR="004663F3">
        <w:t>4</w:t>
      </w:r>
      <w:r w:rsidR="00791A68">
        <w:t xml:space="preserve">). </w:t>
      </w:r>
    </w:p>
    <w:p w14:paraId="5BDD3D95" w14:textId="57BFB484" w:rsidR="0099326B" w:rsidRDefault="0099326B" w:rsidP="006F5BB5">
      <w:pPr>
        <w:pStyle w:val="ChartMainHeading"/>
        <w:spacing w:after="0"/>
      </w:pPr>
      <w:r w:rsidRPr="001B4EAF">
        <w:lastRenderedPageBreak/>
        <w:t>Dwelling</w:t>
      </w:r>
      <w:r>
        <w:t xml:space="preserve"> price</w:t>
      </w:r>
      <w:r w:rsidR="00A15C79">
        <w:noBreakHyphen/>
      </w:r>
      <w:r>
        <w:t>to</w:t>
      </w:r>
      <w:r w:rsidR="00A15C79">
        <w:noBreakHyphen/>
      </w:r>
      <w:r>
        <w:t>income ratio</w:t>
      </w:r>
    </w:p>
    <w:p w14:paraId="209E576A" w14:textId="77D7030B" w:rsidR="0099326B" w:rsidRDefault="003B3E39" w:rsidP="004624B0">
      <w:pPr>
        <w:pStyle w:val="ChartGraphic"/>
        <w:jc w:val="left"/>
      </w:pPr>
      <w:r w:rsidRPr="003B3E39">
        <w:t xml:space="preserve"> </w:t>
      </w:r>
      <w:r w:rsidR="00F922A5" w:rsidRPr="000F13BB">
        <w:rPr>
          <w:noProof/>
        </w:rPr>
        <w:drawing>
          <wp:inline distT="0" distB="0" distL="0" distR="0" wp14:anchorId="59A7653C" wp14:editId="4629EC81">
            <wp:extent cx="2742565" cy="2729865"/>
            <wp:effectExtent l="0" t="0" r="0" b="0"/>
            <wp:docPr id="1321213965" name="Picture 2" descr="This line chart shows the dwelling price-to-income ratio from June quarter 2011 to June quarter 2029, where period from March quarter 2025 to June quarter 2029 is a forecast.&#10;&#10;The ratio increases from 6.5 in June quarter 2011 to a peak of 8.0 in March 2022. It dips to 7.4 in December 2022, before returning to 8.0 in December 2024. &#10;&#10;The ratio is forecast to drop from 7.9 to 7.7 over the period from March 2025 to June 20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13965" name="Picture 2" descr="This line chart shows the dwelling price-to-income ratio from June quarter 2011 to June quarter 2029, where period from March quarter 2025 to June quarter 2029 is a forecast.&#10;&#10;The ratio increases from 6.5 in June quarter 2011 to a peak of 8.0 in March 2022. It dips to 7.4 in December 2022, before returning to 8.0 in December 2024. &#10;&#10;The ratio is forecast to drop from 7.9 to 7.7 over the period from March 2025 to June 2029.&#1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742565" cy="2729865"/>
                    </a:xfrm>
                    <a:prstGeom prst="rect">
                      <a:avLst/>
                    </a:prstGeom>
                    <a:noFill/>
                    <a:ln>
                      <a:noFill/>
                    </a:ln>
                  </pic:spPr>
                </pic:pic>
              </a:graphicData>
            </a:graphic>
          </wp:inline>
        </w:drawing>
      </w:r>
    </w:p>
    <w:p w14:paraId="2E24CE81" w14:textId="75D317E9" w:rsidR="0099326B" w:rsidRPr="0099326B" w:rsidRDefault="0099326B" w:rsidP="006F5BB5">
      <w:pPr>
        <w:pStyle w:val="ChartorTableNoteandSource"/>
        <w:spacing w:before="0" w:after="0"/>
      </w:pPr>
      <w:r w:rsidRPr="00A168AA">
        <w:t>Source:</w:t>
      </w:r>
      <w:r w:rsidR="001B4EAF">
        <w:tab/>
      </w:r>
      <w:r w:rsidRPr="001E710F">
        <w:t xml:space="preserve">CoreLogic and ANU POLIS Centre for Social </w:t>
      </w:r>
      <w:r w:rsidR="00186C85">
        <w:br/>
      </w:r>
      <w:r w:rsidRPr="001E710F">
        <w:t>Policy Research 2025</w:t>
      </w:r>
      <w:r w:rsidRPr="00A168AA">
        <w:t>; NHSAC 2025</w:t>
      </w:r>
    </w:p>
    <w:p w14:paraId="72C2BEB2" w14:textId="5694857C" w:rsidR="00791A68" w:rsidRPr="006C1C84" w:rsidRDefault="00791A68" w:rsidP="006F5BB5">
      <w:r>
        <w:t xml:space="preserve">These forecast outcomes will have significant implications for many Australians. The cost of home ownership will remain high, contributing to continued high costs of living and increasing the risk of more households </w:t>
      </w:r>
      <w:r w:rsidR="00920505">
        <w:t>experiencing</w:t>
      </w:r>
      <w:r>
        <w:t xml:space="preserve"> housing stress. </w:t>
      </w:r>
      <w:r w:rsidRPr="00780C3B">
        <w:t>For tenants, rent</w:t>
      </w:r>
      <w:r w:rsidR="00C54096">
        <w:t xml:space="preserve"> </w:t>
      </w:r>
      <w:r w:rsidRPr="00780C3B">
        <w:t xml:space="preserve">will continue to rise faster than </w:t>
      </w:r>
      <w:r>
        <w:t xml:space="preserve">incomes over </w:t>
      </w:r>
      <w:r w:rsidRPr="00780C3B">
        <w:t xml:space="preserve">the </w:t>
      </w:r>
      <w:r>
        <w:t>Housing A</w:t>
      </w:r>
      <w:r w:rsidRPr="00780C3B">
        <w:t>ccord period</w:t>
      </w:r>
      <w:r w:rsidRPr="00A86B55">
        <w:t>.</w:t>
      </w:r>
      <w:r>
        <w:t xml:space="preserve"> Australia</w:t>
      </w:r>
      <w:r w:rsidR="00A15C79">
        <w:t>’</w:t>
      </w:r>
      <w:r>
        <w:t xml:space="preserve">s high costs of housing will continue to impact the wellbeing of </w:t>
      </w:r>
      <w:r w:rsidR="006158B4">
        <w:t>those</w:t>
      </w:r>
      <w:r>
        <w:t xml:space="preserve"> </w:t>
      </w:r>
      <w:r w:rsidR="006158B4">
        <w:t>who</w:t>
      </w:r>
      <w:r>
        <w:t xml:space="preserve"> are least able to manage elevated housing costs and access scarce rental accommodation. It will </w:t>
      </w:r>
      <w:r w:rsidR="00ED6C89">
        <w:t>increase</w:t>
      </w:r>
      <w:r>
        <w:t xml:space="preserve"> incidences of overcrowding and homelessness, limit</w:t>
      </w:r>
      <w:r w:rsidR="00ED6C89">
        <w:t>ing</w:t>
      </w:r>
      <w:r>
        <w:t xml:space="preserve"> economic and social inclusion. </w:t>
      </w:r>
    </w:p>
    <w:p w14:paraId="2CFCE537" w14:textId="5D1A6F50" w:rsidR="00791A68" w:rsidRDefault="00791A68" w:rsidP="006F5BB5">
      <w:pPr>
        <w:pStyle w:val="Heading2Numbered"/>
      </w:pPr>
      <w:bookmarkStart w:id="143" w:name="_Toc195026610"/>
      <w:bookmarkStart w:id="144" w:name="_Toc196395901"/>
      <w:r>
        <w:t xml:space="preserve">The outlook for housing supply </w:t>
      </w:r>
      <w:r w:rsidRPr="006F5BB5">
        <w:t>is</w:t>
      </w:r>
      <w:r>
        <w:t xml:space="preserve"> sensitive to macroeconomic and demographic factors</w:t>
      </w:r>
      <w:bookmarkEnd w:id="143"/>
      <w:bookmarkEnd w:id="144"/>
      <w:r>
        <w:t xml:space="preserve"> </w:t>
      </w:r>
    </w:p>
    <w:p w14:paraId="7CF24046" w14:textId="77777777" w:rsidR="00791A68" w:rsidRDefault="00791A68" w:rsidP="006F5BB5">
      <w:pPr>
        <w:pStyle w:val="Heading3Numbered"/>
        <w:spacing w:before="240"/>
      </w:pPr>
      <w:r>
        <w:t xml:space="preserve">Interest </w:t>
      </w:r>
      <w:r w:rsidRPr="0099326B">
        <w:t>rate</w:t>
      </w:r>
      <w:r>
        <w:t xml:space="preserve"> scenarios</w:t>
      </w:r>
    </w:p>
    <w:p w14:paraId="7498C0B3" w14:textId="63DED6AD" w:rsidR="00791A68" w:rsidRPr="002949B5" w:rsidRDefault="00791A68">
      <w:r>
        <w:t xml:space="preserve">The supply of new dwellings is sensitive to interest rates, which affect the cost of development and </w:t>
      </w:r>
      <w:r w:rsidR="00BE015B">
        <w:t xml:space="preserve">prospective </w:t>
      </w:r>
      <w:r w:rsidR="00233AEC">
        <w:t>home owner</w:t>
      </w:r>
      <w:r w:rsidR="00BE015B">
        <w:t>s</w:t>
      </w:r>
      <w:r w:rsidR="00A15C79">
        <w:t>’</w:t>
      </w:r>
      <w:r w:rsidR="00BE015B">
        <w:t xml:space="preserve"> </w:t>
      </w:r>
      <w:r>
        <w:t>borrowing capacity to purchase a dwelling. This</w:t>
      </w:r>
      <w:r w:rsidR="004121D8">
        <w:t>,</w:t>
      </w:r>
      <w:r>
        <w:t xml:space="preserve"> in turn</w:t>
      </w:r>
      <w:r w:rsidR="004121D8">
        <w:t>,</w:t>
      </w:r>
      <w:r>
        <w:t xml:space="preserve"> influences the commercial feasibility of development. The baseline forecasts already reflect the RBA</w:t>
      </w:r>
      <w:r w:rsidR="00A15C79">
        <w:t>’</w:t>
      </w:r>
      <w:r>
        <w:t xml:space="preserve">s recent cash rate reduction, as well as an </w:t>
      </w:r>
      <w:r w:rsidRPr="002949B5">
        <w:t xml:space="preserve">assumption for the future path of the cash rate drawn from </w:t>
      </w:r>
      <w:r w:rsidR="0033681D" w:rsidRPr="002949B5">
        <w:t xml:space="preserve">the </w:t>
      </w:r>
      <w:r w:rsidR="00213ECC" w:rsidRPr="002949B5">
        <w:t>Budget</w:t>
      </w:r>
      <w:r w:rsidR="001625D9" w:rsidRPr="002949B5">
        <w:t xml:space="preserve"> 2025</w:t>
      </w:r>
      <w:r w:rsidR="00EC1EC1">
        <w:t>–</w:t>
      </w:r>
      <w:r w:rsidR="00213ECC" w:rsidRPr="002949B5">
        <w:t>26</w:t>
      </w:r>
      <w:r w:rsidRPr="002949B5">
        <w:t>. In this section</w:t>
      </w:r>
      <w:r w:rsidR="003A5FAF" w:rsidRPr="002949B5">
        <w:t>,</w:t>
      </w:r>
      <w:r w:rsidRPr="002949B5">
        <w:t xml:space="preserve"> </w:t>
      </w:r>
      <w:r w:rsidR="0033681D" w:rsidRPr="002949B5">
        <w:t xml:space="preserve">the Council </w:t>
      </w:r>
      <w:r w:rsidRPr="002949B5">
        <w:t>present</w:t>
      </w:r>
      <w:r w:rsidR="0033681D" w:rsidRPr="002949B5">
        <w:t>s</w:t>
      </w:r>
      <w:r w:rsidRPr="002949B5">
        <w:t xml:space="preserve"> </w:t>
      </w:r>
      <w:r w:rsidR="00F95FA2" w:rsidRPr="002949B5">
        <w:t>two</w:t>
      </w:r>
      <w:r w:rsidRPr="002949B5">
        <w:t xml:space="preserve"> alternative scenarios to assess how the forecasts respond to a further parallel shift of +50 or </w:t>
      </w:r>
      <w:r w:rsidR="003A5FAF" w:rsidRPr="002949B5">
        <w:t>–</w:t>
      </w:r>
      <w:r w:rsidRPr="002949B5">
        <w:t>50 basis points in the assumed interest rate path from the June quarter of 2025 onwards (</w:t>
      </w:r>
      <w:r w:rsidR="003A5FAF" w:rsidRPr="002949B5">
        <w:t xml:space="preserve">see </w:t>
      </w:r>
      <w:r w:rsidRPr="002949B5">
        <w:t>Chart 5.15).</w:t>
      </w:r>
    </w:p>
    <w:p w14:paraId="23259C39" w14:textId="1A0AF759" w:rsidR="00791A68" w:rsidRDefault="00791A68">
      <w:r w:rsidRPr="002949B5">
        <w:t>The scenario analysis demonstrates the significant sensitivity of housing supply to interest rates. An unexpected increase in interest rates of 50 basis points would result in new supply remaining around its current 10</w:t>
      </w:r>
      <w:r w:rsidR="00A15C79" w:rsidRPr="002949B5">
        <w:noBreakHyphen/>
      </w:r>
      <w:r w:rsidRPr="002949B5">
        <w:t>year low for most of the Housing Accord period, with cumulative gross new supply totalling 9</w:t>
      </w:r>
      <w:r w:rsidR="00BC4524" w:rsidRPr="0041126E">
        <w:t>15</w:t>
      </w:r>
      <w:r w:rsidRPr="002949B5">
        <w:t xml:space="preserve">,000. Conversely, an unexpected decline in interest rates of 50 basis points would support an increase in dwelling supply and result in gross new supply </w:t>
      </w:r>
      <w:r w:rsidR="00EB13F4" w:rsidRPr="002949B5">
        <w:t>of 9</w:t>
      </w:r>
      <w:r w:rsidR="000F2392" w:rsidRPr="0041126E">
        <w:t>65</w:t>
      </w:r>
      <w:r w:rsidR="00EB13F4" w:rsidRPr="002949B5">
        <w:t xml:space="preserve">,000 dwellings </w:t>
      </w:r>
      <w:r w:rsidRPr="002949B5">
        <w:t>over the Housing Accord period.</w:t>
      </w:r>
    </w:p>
    <w:p w14:paraId="74E700A9" w14:textId="77777777" w:rsidR="00791A68" w:rsidRDefault="00791A68" w:rsidP="0099326B">
      <w:pPr>
        <w:pStyle w:val="Heading3Numbered"/>
      </w:pPr>
      <w:r w:rsidRPr="0099326B">
        <w:lastRenderedPageBreak/>
        <w:t>Construction</w:t>
      </w:r>
      <w:r>
        <w:t xml:space="preserve"> costs scenarios </w:t>
      </w:r>
    </w:p>
    <w:p w14:paraId="5D1137F2" w14:textId="7A3B7095" w:rsidR="00791A68" w:rsidRDefault="00791A68">
      <w:r w:rsidRPr="00BA5036">
        <w:t xml:space="preserve">Changes in construction costs influence housing supply, primarily by changing </w:t>
      </w:r>
      <w:r>
        <w:t>builders</w:t>
      </w:r>
      <w:r w:rsidR="00A15C79">
        <w:t>’</w:t>
      </w:r>
      <w:r>
        <w:t xml:space="preserve"> and </w:t>
      </w:r>
      <w:r w:rsidRPr="00BA5036">
        <w:t>developers</w:t>
      </w:r>
      <w:r w:rsidR="00A15C79">
        <w:t>’</w:t>
      </w:r>
      <w:r w:rsidRPr="00BA5036">
        <w:t xml:space="preserve"> </w:t>
      </w:r>
      <w:r>
        <w:t>commercial</w:t>
      </w:r>
      <w:r w:rsidRPr="00BA5036">
        <w:t xml:space="preserve"> feasibility. Two scenarios are used to assess the implications for supply of a +20</w:t>
      </w:r>
      <w:r w:rsidR="0099326B">
        <w:t> per cent</w:t>
      </w:r>
      <w:r w:rsidRPr="00BA5036">
        <w:t xml:space="preserve"> or </w:t>
      </w:r>
      <w:r w:rsidR="00516446">
        <w:t>–</w:t>
      </w:r>
      <w:r w:rsidRPr="00BA5036">
        <w:t>20</w:t>
      </w:r>
      <w:r w:rsidR="0099326B">
        <w:t> per cent</w:t>
      </w:r>
      <w:r w:rsidRPr="00BA5036">
        <w:t xml:space="preserve"> change in the cost of construction per dwelling from the June quarter of 2025 onwards relative to the baseline </w:t>
      </w:r>
      <w:r>
        <w:t>forecasts</w:t>
      </w:r>
      <w:r w:rsidRPr="00BA5036">
        <w:t xml:space="preserve"> (</w:t>
      </w:r>
      <w:r w:rsidR="00173F5A">
        <w:t xml:space="preserve">see </w:t>
      </w:r>
      <w:r w:rsidRPr="00BA5036">
        <w:t>Chart 5.1</w:t>
      </w:r>
      <w:r>
        <w:t>6</w:t>
      </w:r>
      <w:r w:rsidRPr="00BA5036">
        <w:t xml:space="preserve">). Such a change could arise from a change in material costs, labour costs and/or productivity. </w:t>
      </w:r>
      <w:r>
        <w:t xml:space="preserve">The magnitude of the change is consistent with </w:t>
      </w:r>
      <w:r w:rsidR="00173F5A">
        <w:t xml:space="preserve">the shock </w:t>
      </w:r>
      <w:r>
        <w:t xml:space="preserve">experienced during the </w:t>
      </w:r>
      <w:r w:rsidR="0036495B">
        <w:t>P</w:t>
      </w:r>
      <w:r>
        <w:t>andemic and associated supply chain disruptions.</w:t>
      </w:r>
    </w:p>
    <w:p w14:paraId="789C361F" w14:textId="2701D2F3" w:rsidR="00791A68" w:rsidRDefault="00791A68">
      <w:r w:rsidRPr="00BA5036">
        <w:t xml:space="preserve">The scenario demonstrates that a significant change in the cost of </w:t>
      </w:r>
      <w:r>
        <w:t xml:space="preserve">dwelling </w:t>
      </w:r>
      <w:r w:rsidRPr="00BA5036">
        <w:t xml:space="preserve">construction would have a significant effect on </w:t>
      </w:r>
      <w:r>
        <w:t xml:space="preserve">new dwelling </w:t>
      </w:r>
      <w:r w:rsidRPr="00BA5036">
        <w:t>supply. An unexpected</w:t>
      </w:r>
      <w:r>
        <w:t xml:space="preserve"> one</w:t>
      </w:r>
      <w:r w:rsidR="00A15C79">
        <w:noBreakHyphen/>
      </w:r>
      <w:r>
        <w:t>off</w:t>
      </w:r>
      <w:r w:rsidRPr="00BA5036">
        <w:t xml:space="preserve"> </w:t>
      </w:r>
      <w:r w:rsidRPr="002949B5">
        <w:t>20</w:t>
      </w:r>
      <w:r w:rsidR="0099326B" w:rsidRPr="002949B5">
        <w:t> per cent</w:t>
      </w:r>
      <w:r w:rsidRPr="002949B5">
        <w:t xml:space="preserve"> increase in the cost of construction would result in gross supply softening in the near</w:t>
      </w:r>
      <w:r w:rsidR="000A7E20" w:rsidRPr="002949B5">
        <w:t xml:space="preserve"> </w:t>
      </w:r>
      <w:r w:rsidRPr="002949B5">
        <w:t>term before returning to baseline expectations by the end of the forecast period. Total gross supply would decline to 8</w:t>
      </w:r>
      <w:r w:rsidR="000F2392" w:rsidRPr="0041126E">
        <w:t>8</w:t>
      </w:r>
      <w:r w:rsidRPr="002949B5">
        <w:t>7,000 over the Housing Accord period. Conversely, an unexpected 20</w:t>
      </w:r>
      <w:r w:rsidR="0099326B" w:rsidRPr="002949B5">
        <w:t> per cent</w:t>
      </w:r>
      <w:r w:rsidRPr="002949B5">
        <w:t xml:space="preserve"> decline in the cost of construction would support an increase in the gross new dwelling supply to 1,</w:t>
      </w:r>
      <w:r w:rsidR="000F2392" w:rsidRPr="0041126E">
        <w:t>010</w:t>
      </w:r>
      <w:r w:rsidRPr="002949B5">
        <w:t>,000 over the Housing Accord</w:t>
      </w:r>
      <w:r w:rsidRPr="00BA5036">
        <w:t xml:space="preserve"> period.</w:t>
      </w:r>
    </w:p>
    <w:tbl>
      <w:tblPr>
        <w:tblW w:w="5000" w:type="pct"/>
        <w:tblLayout w:type="fixed"/>
        <w:tblLook w:val="0000" w:firstRow="0" w:lastRow="0" w:firstColumn="0" w:lastColumn="0" w:noHBand="0" w:noVBand="0"/>
      </w:tblPr>
      <w:tblGrid>
        <w:gridCol w:w="4535"/>
        <w:gridCol w:w="4535"/>
      </w:tblGrid>
      <w:tr w:rsidR="00791A68" w:rsidRPr="0032132E" w14:paraId="24840E99" w14:textId="77777777">
        <w:trPr>
          <w:cantSplit/>
        </w:trPr>
        <w:tc>
          <w:tcPr>
            <w:tcW w:w="4535" w:type="dxa"/>
          </w:tcPr>
          <w:p w14:paraId="1BD54318" w14:textId="628D8D5B" w:rsidR="00791A68" w:rsidRPr="00FE766A" w:rsidRDefault="00791A68" w:rsidP="001B4EAF">
            <w:pPr>
              <w:pStyle w:val="ChartMainHeading"/>
            </w:pPr>
            <w:r w:rsidRPr="00FE766A">
              <w:t>Gross new housing supply: baseline and 50 basis point parallel upward and downward shifts in interest rate scenarios</w:t>
            </w:r>
          </w:p>
        </w:tc>
        <w:tc>
          <w:tcPr>
            <w:tcW w:w="4535" w:type="dxa"/>
          </w:tcPr>
          <w:p w14:paraId="5F7B9EB2" w14:textId="6A416D4B" w:rsidR="00791A68" w:rsidRPr="00FE766A" w:rsidRDefault="00791A68" w:rsidP="001B4EAF">
            <w:pPr>
              <w:pStyle w:val="ChartMainHeading"/>
            </w:pPr>
            <w:r w:rsidRPr="00FE766A">
              <w:t>Gross new housing supply: baseline and unexpected 20</w:t>
            </w:r>
            <w:r w:rsidR="0099326B" w:rsidRPr="00FE766A">
              <w:t> per cent</w:t>
            </w:r>
            <w:r w:rsidRPr="00FE766A">
              <w:t xml:space="preserve"> increase and decrease in construction costs scenarios</w:t>
            </w:r>
          </w:p>
        </w:tc>
      </w:tr>
      <w:tr w:rsidR="00791A68" w:rsidRPr="0032132E" w14:paraId="747B2E60" w14:textId="77777777">
        <w:trPr>
          <w:cantSplit/>
        </w:trPr>
        <w:tc>
          <w:tcPr>
            <w:tcW w:w="4535" w:type="dxa"/>
          </w:tcPr>
          <w:p w14:paraId="7930C7B0" w14:textId="6D70C127" w:rsidR="00791A68" w:rsidRPr="0041126E" w:rsidRDefault="00D3142B" w:rsidP="0099326B">
            <w:pPr>
              <w:pStyle w:val="ChartGraphic"/>
              <w:rPr>
                <w:highlight w:val="yellow"/>
              </w:rPr>
            </w:pPr>
            <w:r w:rsidRPr="0041126E">
              <w:rPr>
                <w:noProof/>
              </w:rPr>
              <w:drawing>
                <wp:inline distT="0" distB="0" distL="0" distR="0" wp14:anchorId="6C1058FB" wp14:editId="6BAB03B3">
                  <wp:extent cx="2742565" cy="2742565"/>
                  <wp:effectExtent l="0" t="0" r="635" b="0"/>
                  <wp:docPr id="963616678" name="Picture 22" descr="This line chart shows the rolling annual total of gross new housing supply under three scenarios with different cash rate assumptions: the baseline assumption, a 50 basis point parallel upward shift in the cash rate; and a 50 basis point parallel downward shift in the cash rate. The chart shows the period from June 2024 to June 2029, where the period from March quarter 2025 to June quarter 2029 displays forecasts.&#10;&#10;In each of the three scenarios, new housing supply is 180,000 dwellings per annum in March 2025. The baseline forecast has supply increasing to 197,000 dwelling per annum in June 2029. The high cash rate scenario has new dwelling supply remaining relatively stable, increasing only to 187,000 dwellings per annum in June 2029. The low cash rate scenario shows new dwelling supply increasing more quickly than the other scenarios, reaching 209,000 dwellings per annum in June 20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16678" name="Picture 22" descr="This line chart shows the rolling annual total of gross new housing supply under three scenarios with different cash rate assumptions: the baseline assumption, a 50 basis point parallel upward shift in the cash rate; and a 50 basis point parallel downward shift in the cash rate. The chart shows the period from June 2024 to June 2029, where the period from March quarter 2025 to June quarter 2029 displays forecasts.&#10;&#10;In each of the three scenarios, new housing supply is 180,000 dwellings per annum in March 2025. The baseline forecast has supply increasing to 197,000 dwelling per annum in June 2029. The high cash rate scenario has new dwelling supply remaining relatively stable, increasing only to 187,000 dwellings per annum in June 2029. The low cash rate scenario shows new dwelling supply increasing more quickly than the other scenarios, reaching 209,000 dwellings per annum in June 2029.&#1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742565" cy="2742565"/>
                          </a:xfrm>
                          <a:prstGeom prst="rect">
                            <a:avLst/>
                          </a:prstGeom>
                          <a:noFill/>
                          <a:ln>
                            <a:noFill/>
                          </a:ln>
                        </pic:spPr>
                      </pic:pic>
                    </a:graphicData>
                  </a:graphic>
                </wp:inline>
              </w:drawing>
            </w:r>
          </w:p>
        </w:tc>
        <w:tc>
          <w:tcPr>
            <w:tcW w:w="4535" w:type="dxa"/>
          </w:tcPr>
          <w:p w14:paraId="5F69AF69" w14:textId="19AEE7F6" w:rsidR="00791A68" w:rsidRPr="0041126E" w:rsidRDefault="00D846AC" w:rsidP="0041126E">
            <w:pPr>
              <w:pStyle w:val="ChartGraphic"/>
              <w:jc w:val="left"/>
              <w:rPr>
                <w:highlight w:val="yellow"/>
              </w:rPr>
            </w:pPr>
            <w:r w:rsidRPr="0041126E">
              <w:rPr>
                <w:noProof/>
              </w:rPr>
              <w:drawing>
                <wp:inline distT="0" distB="0" distL="0" distR="0" wp14:anchorId="7504F4C0" wp14:editId="6ECBA7E8">
                  <wp:extent cx="2742565" cy="2742565"/>
                  <wp:effectExtent l="0" t="0" r="635" b="0"/>
                  <wp:docPr id="1847320597" name="Picture 29" descr="This line chart shows rolling annual total of gross new housing supply under three scenarios with different construction cost assumptions: the baseline assumption, an unexpected 20% increase in construction costs; and an unexpected 20% decline in construction costs. The chart shows the period from June 2024 to June 2029, where the period from March quarter 2025 to June quarter 2029 displays forecasts.&#10;&#10;In each of the three scenarios, new housing supply is 180,000 dwellings per annum in March 2025. In the baseline scenario, new housing supply grow consistently to 197,000 in June 2029. In the high construction cost scenario, new dwelling supply falls to 164,000 dwellings per annum in December quarter 2026, before rising to 192,000 in June 2029. In the low construction cost scenario, new dwelling supply rises rapidly to 215,000 dwellings per annum in March quarter 2027, before falling to 204,000 in June 20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320597" name="Picture 29" descr="This line chart shows rolling annual total of gross new housing supply under three scenarios with different construction cost assumptions: the baseline assumption, an unexpected 20% increase in construction costs; and an unexpected 20% decline in construction costs. The chart shows the period from June 2024 to June 2029, where the period from March quarter 2025 to June quarter 2029 displays forecasts.&#10;&#10;In each of the three scenarios, new housing supply is 180,000 dwellings per annum in March 2025. In the baseline scenario, new housing supply grow consistently to 197,000 in June 2029. In the high construction cost scenario, new dwelling supply falls to 164,000 dwellings per annum in December quarter 2026, before rising to 192,000 in June 2029. In the low construction cost scenario, new dwelling supply rises rapidly to 215,000 dwellings per annum in March quarter 2027, before falling to 204,000 in June 2029.&#1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742565" cy="2742565"/>
                          </a:xfrm>
                          <a:prstGeom prst="rect">
                            <a:avLst/>
                          </a:prstGeom>
                          <a:noFill/>
                          <a:ln>
                            <a:noFill/>
                          </a:ln>
                        </pic:spPr>
                      </pic:pic>
                    </a:graphicData>
                  </a:graphic>
                </wp:inline>
              </w:drawing>
            </w:r>
          </w:p>
        </w:tc>
      </w:tr>
      <w:tr w:rsidR="00791A68" w14:paraId="601D67F8" w14:textId="77777777" w:rsidTr="0099326B">
        <w:trPr>
          <w:cantSplit/>
          <w:trHeight w:val="403"/>
        </w:trPr>
        <w:tc>
          <w:tcPr>
            <w:tcW w:w="4535" w:type="dxa"/>
          </w:tcPr>
          <w:p w14:paraId="1D95F52B" w14:textId="678E6D8C" w:rsidR="00791A68" w:rsidRPr="0041126E" w:rsidRDefault="00791A68" w:rsidP="00DB6DE6">
            <w:pPr>
              <w:pStyle w:val="ChartorTableNoteandSource"/>
            </w:pPr>
            <w:r w:rsidRPr="002949B5">
              <w:t>Note:</w:t>
            </w:r>
            <w:r w:rsidR="001B4EAF" w:rsidRPr="002949B5">
              <w:tab/>
            </w:r>
            <w:r w:rsidR="008B60EC" w:rsidRPr="002949B5">
              <w:t>The n</w:t>
            </w:r>
            <w:r w:rsidRPr="002949B5">
              <w:t>umbers shown are rolling annual totals</w:t>
            </w:r>
            <w:r w:rsidR="00444824" w:rsidRPr="002949B5">
              <w:t>.</w:t>
            </w:r>
            <w:r w:rsidR="00302D76" w:rsidRPr="002949B5">
              <w:t xml:space="preserve"> </w:t>
            </w:r>
            <w:r w:rsidR="00F17AAD" w:rsidRPr="002949B5">
              <w:t xml:space="preserve">The abbreviation </w:t>
            </w:r>
            <w:r w:rsidR="00A15C79" w:rsidRPr="002949B5">
              <w:t>‘</w:t>
            </w:r>
            <w:r w:rsidR="00302D76" w:rsidRPr="002949B5">
              <w:t>bps</w:t>
            </w:r>
            <w:r w:rsidR="00A15C79" w:rsidRPr="002949B5">
              <w:t>’</w:t>
            </w:r>
            <w:r w:rsidR="00302D76" w:rsidRPr="002949B5">
              <w:t xml:space="preserve"> stands for </w:t>
            </w:r>
            <w:r w:rsidR="00A15C79" w:rsidRPr="002949B5">
              <w:t>‘</w:t>
            </w:r>
            <w:r w:rsidR="00302D76" w:rsidRPr="002949B5">
              <w:t>basis points</w:t>
            </w:r>
            <w:r w:rsidR="00A15C79" w:rsidRPr="002949B5">
              <w:t>’</w:t>
            </w:r>
            <w:r w:rsidR="00302D76" w:rsidRPr="002949B5">
              <w:t xml:space="preserve">. </w:t>
            </w:r>
          </w:p>
          <w:p w14:paraId="3B9B8F03" w14:textId="5C4BF434" w:rsidR="00FB3982" w:rsidRPr="002949B5" w:rsidRDefault="00FB3982" w:rsidP="00FB3982">
            <w:pPr>
              <w:pStyle w:val="ChartorTableNoteandSource"/>
            </w:pPr>
            <w:r w:rsidRPr="0041126E">
              <w:t>Source:</w:t>
            </w:r>
            <w:r w:rsidRPr="0041126E">
              <w:tab/>
            </w:r>
            <w:r w:rsidR="00C53BE0" w:rsidRPr="002949B5">
              <w:t xml:space="preserve">ABS Building Activity 2025; </w:t>
            </w:r>
            <w:r w:rsidRPr="0041126E">
              <w:t>NHSAC 2025</w:t>
            </w:r>
          </w:p>
        </w:tc>
        <w:tc>
          <w:tcPr>
            <w:tcW w:w="4535" w:type="dxa"/>
          </w:tcPr>
          <w:p w14:paraId="7EBE1485" w14:textId="071D8001" w:rsidR="00791A68" w:rsidRPr="002949B5" w:rsidRDefault="00791A68" w:rsidP="00DB6DE6">
            <w:pPr>
              <w:pStyle w:val="ChartorTableNoteandSource"/>
            </w:pPr>
            <w:r w:rsidRPr="002949B5">
              <w:t>Note:</w:t>
            </w:r>
            <w:r w:rsidR="001B4EAF" w:rsidRPr="002949B5">
              <w:tab/>
            </w:r>
            <w:r w:rsidR="00BC43DC" w:rsidRPr="002949B5">
              <w:t>The n</w:t>
            </w:r>
            <w:r w:rsidRPr="002949B5">
              <w:t xml:space="preserve">umbers shown are rolling annual totals. </w:t>
            </w:r>
          </w:p>
          <w:p w14:paraId="3DA78EC8" w14:textId="7B31C84C" w:rsidR="00FB3982" w:rsidRPr="002949B5" w:rsidRDefault="00FB3982" w:rsidP="00FB3982">
            <w:pPr>
              <w:pStyle w:val="ChartorTableNoteandSource"/>
            </w:pPr>
            <w:r w:rsidRPr="0041126E">
              <w:t>Source:</w:t>
            </w:r>
            <w:r w:rsidRPr="0041126E">
              <w:tab/>
            </w:r>
            <w:r w:rsidR="00C53BE0" w:rsidRPr="002949B5">
              <w:t xml:space="preserve">ABS Building Activity 2025; </w:t>
            </w:r>
            <w:r w:rsidRPr="0041126E">
              <w:t>NHSAC 2025</w:t>
            </w:r>
          </w:p>
        </w:tc>
      </w:tr>
    </w:tbl>
    <w:p w14:paraId="68280264" w14:textId="77777777" w:rsidR="0099326B" w:rsidRDefault="0099326B" w:rsidP="0099326B">
      <w:r>
        <w:br w:type="page"/>
      </w:r>
    </w:p>
    <w:p w14:paraId="6F389CAC" w14:textId="147BB052" w:rsidR="00791A68" w:rsidRDefault="00791A68" w:rsidP="0099326B">
      <w:pPr>
        <w:pStyle w:val="Heading3Numbered"/>
      </w:pPr>
      <w:r>
        <w:lastRenderedPageBreak/>
        <w:t>Population scenarios</w:t>
      </w:r>
    </w:p>
    <w:p w14:paraId="69DF67BF" w14:textId="0073C92D" w:rsidR="00791A68" w:rsidRDefault="00791A68">
      <w:r w:rsidRPr="00FD2039">
        <w:t xml:space="preserve">Population growth can change due to variations in migration levels, fertility rates and life expectancy. Changes </w:t>
      </w:r>
      <w:r w:rsidR="00511189">
        <w:t>in</w:t>
      </w:r>
      <w:r w:rsidR="00511189" w:rsidRPr="00FD2039">
        <w:t xml:space="preserve"> </w:t>
      </w:r>
      <w:r w:rsidRPr="00FD2039">
        <w:t xml:space="preserve">population growth alter new demand for housing, which affects vacancy rates, rents and housing prices. In turn, changes </w:t>
      </w:r>
      <w:r w:rsidR="00511189">
        <w:t>in</w:t>
      </w:r>
      <w:r w:rsidR="00511189" w:rsidRPr="00FD2039">
        <w:t xml:space="preserve"> </w:t>
      </w:r>
      <w:r w:rsidRPr="00FD2039">
        <w:t xml:space="preserve">housing prices alter the </w:t>
      </w:r>
      <w:r>
        <w:t xml:space="preserve">commercial </w:t>
      </w:r>
      <w:r w:rsidRPr="00FD2039">
        <w:t>feasibility of new housing projects and</w:t>
      </w:r>
      <w:r w:rsidR="00FD12EA">
        <w:t>,</w:t>
      </w:r>
      <w:r w:rsidRPr="00FD2039">
        <w:t xml:space="preserve"> therefore</w:t>
      </w:r>
      <w:r w:rsidR="00FD12EA">
        <w:t>,</w:t>
      </w:r>
      <w:r w:rsidRPr="00FD2039">
        <w:t xml:space="preserve"> affect new housing supply. </w:t>
      </w:r>
      <w:r w:rsidR="00D10E5D">
        <w:t>The dotted lines in Chart 5.17 show a</w:t>
      </w:r>
      <w:r w:rsidRPr="00FD2039">
        <w:t xml:space="preserve">lternative </w:t>
      </w:r>
      <w:r>
        <w:t>forecasts</w:t>
      </w:r>
      <w:r w:rsidRPr="00FD2039">
        <w:t xml:space="preserve"> of housing supply and demand </w:t>
      </w:r>
      <w:r w:rsidR="00603413">
        <w:t>in</w:t>
      </w:r>
      <w:r w:rsidR="005D4F14" w:rsidRPr="00FD2039">
        <w:t xml:space="preserve"> </w:t>
      </w:r>
      <w:r w:rsidRPr="00FD2039">
        <w:t>high</w:t>
      </w:r>
      <w:r w:rsidR="00A15C79">
        <w:noBreakHyphen/>
      </w:r>
      <w:r w:rsidRPr="00FD2039">
        <w:t xml:space="preserve"> and low</w:t>
      </w:r>
      <w:r w:rsidR="00A15C79">
        <w:noBreakHyphen/>
      </w:r>
      <w:r w:rsidRPr="00FD2039">
        <w:t xml:space="preserve">population growth scenarios. These scenarios are constructed from the baseline </w:t>
      </w:r>
      <w:r>
        <w:t>forecasts</w:t>
      </w:r>
      <w:r w:rsidRPr="00FD2039">
        <w:t xml:space="preserve"> by raising or lowering year</w:t>
      </w:r>
      <w:r w:rsidR="00A15C79">
        <w:noBreakHyphen/>
      </w:r>
      <w:r w:rsidRPr="00FD2039">
        <w:t>on</w:t>
      </w:r>
      <w:r w:rsidR="00A15C79">
        <w:noBreakHyphen/>
      </w:r>
      <w:r w:rsidRPr="00FD2039">
        <w:t>year population increases by 15</w:t>
      </w:r>
      <w:r w:rsidR="0099326B">
        <w:t> per cent</w:t>
      </w:r>
      <w:r w:rsidRPr="00FD2039">
        <w:t>, starting from the 2024</w:t>
      </w:r>
      <w:r w:rsidR="00FD12EA">
        <w:t>–</w:t>
      </w:r>
      <w:r w:rsidRPr="00FD2039">
        <w:t>25 financial year. The low</w:t>
      </w:r>
      <w:r>
        <w:t>er</w:t>
      </w:r>
      <w:r w:rsidRPr="00FD2039">
        <w:t xml:space="preserve"> scenario is consistent with decreased fertility and net overseas migration, while the high</w:t>
      </w:r>
      <w:r>
        <w:t>er</w:t>
      </w:r>
      <w:r w:rsidRPr="00FD2039">
        <w:t xml:space="preserve"> scenario is consistent with increased fertility and net overseas migration. Both scenarios account for the age distribution of migrants, which is a significant determinant of their housing needs. </w:t>
      </w:r>
    </w:p>
    <w:tbl>
      <w:tblPr>
        <w:tblW w:w="5000" w:type="pct"/>
        <w:tblLayout w:type="fixed"/>
        <w:tblLook w:val="0000" w:firstRow="0" w:lastRow="0" w:firstColumn="0" w:lastColumn="0" w:noHBand="0" w:noVBand="0"/>
      </w:tblPr>
      <w:tblGrid>
        <w:gridCol w:w="4535"/>
        <w:gridCol w:w="4535"/>
      </w:tblGrid>
      <w:tr w:rsidR="00791A68" w:rsidRPr="00E84C31" w14:paraId="4CF4A553" w14:textId="77777777">
        <w:trPr>
          <w:cantSplit/>
        </w:trPr>
        <w:tc>
          <w:tcPr>
            <w:tcW w:w="4535" w:type="dxa"/>
          </w:tcPr>
          <w:p w14:paraId="3A9BEE91" w14:textId="645C7A55" w:rsidR="00791A68" w:rsidRPr="00FE766A" w:rsidRDefault="00791A68" w:rsidP="001B4EAF">
            <w:pPr>
              <w:pStyle w:val="ChartMainHeading"/>
            </w:pPr>
            <w:r w:rsidRPr="00FE766A">
              <w:t>New demand for housing: baseline and 15</w:t>
            </w:r>
            <w:r w:rsidR="0099326B" w:rsidRPr="00FE766A">
              <w:t> per cent</w:t>
            </w:r>
            <w:r w:rsidRPr="00FE766A">
              <w:t xml:space="preserve"> higher and lower population growth scenarios</w:t>
            </w:r>
          </w:p>
        </w:tc>
        <w:tc>
          <w:tcPr>
            <w:tcW w:w="4535" w:type="dxa"/>
          </w:tcPr>
          <w:p w14:paraId="0B1C04E6" w14:textId="266F2DD4" w:rsidR="00791A68" w:rsidRPr="00FE766A" w:rsidRDefault="00791A68" w:rsidP="001B4EAF">
            <w:pPr>
              <w:pStyle w:val="ChartMainHeading"/>
            </w:pPr>
            <w:r w:rsidRPr="00FE766A">
              <w:t>Cumulative net new supply minus new demand under population growth scenarios over the Housing Accord period</w:t>
            </w:r>
          </w:p>
        </w:tc>
      </w:tr>
      <w:tr w:rsidR="00791A68" w:rsidRPr="00E84C31" w14:paraId="7BD4E7C9" w14:textId="77777777">
        <w:trPr>
          <w:cantSplit/>
        </w:trPr>
        <w:tc>
          <w:tcPr>
            <w:tcW w:w="4535" w:type="dxa"/>
          </w:tcPr>
          <w:p w14:paraId="60773CB7" w14:textId="5E2ADBEF" w:rsidR="00791A68" w:rsidRPr="0041126E" w:rsidRDefault="00F9111B" w:rsidP="0041126E">
            <w:pPr>
              <w:pStyle w:val="ChartGraphic"/>
              <w:jc w:val="left"/>
              <w:rPr>
                <w:highlight w:val="yellow"/>
              </w:rPr>
            </w:pPr>
            <w:r w:rsidRPr="0041126E">
              <w:rPr>
                <w:noProof/>
              </w:rPr>
              <w:drawing>
                <wp:inline distT="0" distB="0" distL="0" distR="0" wp14:anchorId="71B8B1C8" wp14:editId="4A382BF2">
                  <wp:extent cx="2742565" cy="2742565"/>
                  <wp:effectExtent l="0" t="0" r="635" b="0"/>
                  <wp:docPr id="385289069" name="Picture 32" descr="This line chart shows annual new demand for housing in three scenarios with different population growth assumptions: the baseline assumption; 15% lower population growth; and 15% higher population growth. New demand for housing is shown for each financial year from 2023-24 to 2028-29, where the years from 2024-25 onward display forecasts.&#10;&#10;In each of the three scenarios, new demand for housing is 241,000 in 2023-24. In the baseline forecast, new housing demand falls before stabilising at around 175,000 dwellings from 2025-26 onward. In the low population growth scenario, demand falls before stabilising at around 150,000 dwellings from 2025-26 onward. In the high population growth scenario, demand falls before stabilising at around 200,000 dwellings per year from 2025-26 onwa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89069" name="Picture 32" descr="This line chart shows annual new demand for housing in three scenarios with different population growth assumptions: the baseline assumption; 15% lower population growth; and 15% higher population growth. New demand for housing is shown for each financial year from 2023-24 to 2028-29, where the years from 2024-25 onward display forecasts.&#10;&#10;In each of the three scenarios, new demand for housing is 241,000 in 2023-24. In the baseline forecast, new housing demand falls before stabilising at around 175,000 dwellings from 2025-26 onward. In the low population growth scenario, demand falls before stabilising at around 150,000 dwellings from 2025-26 onward. In the high population growth scenario, demand falls before stabilising at around 200,000 dwellings per year from 2025-26 onward.&#1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742565" cy="2742565"/>
                          </a:xfrm>
                          <a:prstGeom prst="rect">
                            <a:avLst/>
                          </a:prstGeom>
                          <a:noFill/>
                          <a:ln>
                            <a:noFill/>
                          </a:ln>
                        </pic:spPr>
                      </pic:pic>
                    </a:graphicData>
                  </a:graphic>
                </wp:inline>
              </w:drawing>
            </w:r>
          </w:p>
        </w:tc>
        <w:tc>
          <w:tcPr>
            <w:tcW w:w="4535" w:type="dxa"/>
          </w:tcPr>
          <w:p w14:paraId="596110F8" w14:textId="2D4436DB" w:rsidR="00791A68" w:rsidRPr="0041126E" w:rsidRDefault="00CF29D0" w:rsidP="0041126E">
            <w:pPr>
              <w:pStyle w:val="ChartGraphic"/>
              <w:jc w:val="left"/>
              <w:rPr>
                <w:highlight w:val="yellow"/>
              </w:rPr>
            </w:pPr>
            <w:r w:rsidRPr="0041126E">
              <w:rPr>
                <w:noProof/>
              </w:rPr>
              <w:drawing>
                <wp:inline distT="0" distB="0" distL="0" distR="0" wp14:anchorId="688FC32A" wp14:editId="4154EAB5">
                  <wp:extent cx="2742565" cy="2742565"/>
                  <wp:effectExtent l="0" t="0" r="0" b="0"/>
                  <wp:docPr id="1343767932" name="Picture 31" descr="This column chart shows cumulative net new supply minus new demand over the entire Housing Accord Period under the baseline, high and low population growth scenarios.&#10;&#10;In the baseline forecast, net new supply minus new demand is -79,000 dwellings.  In the high population growth scenario, it is -198,000 dwellings. In the low population growth scenario, it is 39,000 dwelli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7932" name="Picture 31" descr="This column chart shows cumulative net new supply minus new demand over the entire Housing Accord Period under the baseline, high and low population growth scenarios.&#10;&#10;In the baseline forecast, net new supply minus new demand is -79,000 dwellings.  In the high population growth scenario, it is -198,000 dwellings. In the low population growth scenario, it is 39,000 dwellings.&#1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742565" cy="2742565"/>
                          </a:xfrm>
                          <a:prstGeom prst="rect">
                            <a:avLst/>
                          </a:prstGeom>
                          <a:noFill/>
                          <a:ln>
                            <a:noFill/>
                          </a:ln>
                        </pic:spPr>
                      </pic:pic>
                    </a:graphicData>
                  </a:graphic>
                </wp:inline>
              </w:drawing>
            </w:r>
          </w:p>
        </w:tc>
      </w:tr>
      <w:tr w:rsidR="00791A68" w14:paraId="7DA13FAC" w14:textId="77777777" w:rsidTr="002D209A">
        <w:trPr>
          <w:cantSplit/>
          <w:trHeight w:val="80"/>
        </w:trPr>
        <w:tc>
          <w:tcPr>
            <w:tcW w:w="4535" w:type="dxa"/>
          </w:tcPr>
          <w:p w14:paraId="219B03A1" w14:textId="6DEC2D6D" w:rsidR="00791A68" w:rsidRPr="00FE766A" w:rsidRDefault="00C40A06" w:rsidP="002D209A">
            <w:pPr>
              <w:pStyle w:val="ChartorTableNoteandSource"/>
            </w:pPr>
            <w:r w:rsidRPr="00FE766A">
              <w:t>Source:</w:t>
            </w:r>
            <w:r w:rsidR="001B4EAF" w:rsidRPr="00FE766A">
              <w:tab/>
            </w:r>
            <w:r w:rsidRPr="00FE766A">
              <w:t>NHSAC 2025</w:t>
            </w:r>
          </w:p>
        </w:tc>
        <w:tc>
          <w:tcPr>
            <w:tcW w:w="4535" w:type="dxa"/>
          </w:tcPr>
          <w:p w14:paraId="027FD87F" w14:textId="76F9F300" w:rsidR="00791A68" w:rsidRPr="0099326B" w:rsidRDefault="00C40A06" w:rsidP="002D209A">
            <w:pPr>
              <w:pStyle w:val="ChartorTableNoteandSource"/>
            </w:pPr>
            <w:r w:rsidRPr="00FE766A">
              <w:t>Source:</w:t>
            </w:r>
            <w:r w:rsidR="001B4EAF" w:rsidRPr="00FE766A">
              <w:tab/>
            </w:r>
            <w:r w:rsidRPr="00FE766A">
              <w:t>NHSAC 2025</w:t>
            </w:r>
          </w:p>
        </w:tc>
      </w:tr>
    </w:tbl>
    <w:p w14:paraId="2E14AAE4" w14:textId="77777777" w:rsidR="00791A68" w:rsidRDefault="00791A68">
      <w:r>
        <w:rPr>
          <w:b/>
          <w:bCs/>
        </w:rPr>
        <w:br w:type="page"/>
      </w:r>
    </w:p>
    <w:tbl>
      <w:tblPr>
        <w:tblW w:w="5000" w:type="pct"/>
        <w:shd w:val="clear" w:color="auto" w:fill="F2E3C7" w:themeFill="background2"/>
        <w:tblLayout w:type="fixed"/>
        <w:tblCellMar>
          <w:top w:w="284" w:type="dxa"/>
          <w:left w:w="284" w:type="dxa"/>
          <w:bottom w:w="284" w:type="dxa"/>
          <w:right w:w="284" w:type="dxa"/>
        </w:tblCellMar>
        <w:tblLook w:val="0600" w:firstRow="0" w:lastRow="0" w:firstColumn="0" w:lastColumn="0" w:noHBand="1" w:noVBand="1"/>
      </w:tblPr>
      <w:tblGrid>
        <w:gridCol w:w="9070"/>
      </w:tblGrid>
      <w:tr w:rsidR="00791A68" w14:paraId="588370A6" w14:textId="77777777">
        <w:tc>
          <w:tcPr>
            <w:tcW w:w="9070" w:type="dxa"/>
            <w:shd w:val="clear" w:color="auto" w:fill="F2E3C7" w:themeFill="background2"/>
            <w:hideMark/>
          </w:tcPr>
          <w:p w14:paraId="69ECAB8A" w14:textId="59A13F61" w:rsidR="00791A68" w:rsidRPr="00BD6243" w:rsidRDefault="00791A68" w:rsidP="001B4EAF">
            <w:pPr>
              <w:pStyle w:val="BoxHeadingBox11"/>
            </w:pPr>
            <w:r w:rsidRPr="00BD6243">
              <w:lastRenderedPageBreak/>
              <w:t xml:space="preserve">The </w:t>
            </w:r>
            <w:r w:rsidRPr="0099326B">
              <w:t>NHSAC</w:t>
            </w:r>
            <w:r w:rsidRPr="00BD6243">
              <w:t xml:space="preserve"> </w:t>
            </w:r>
            <w:r w:rsidR="00BB2BD3">
              <w:t>m</w:t>
            </w:r>
            <w:r w:rsidRPr="00BD6243">
              <w:t xml:space="preserve">odel of </w:t>
            </w:r>
            <w:r w:rsidR="00BB2BD3">
              <w:t>h</w:t>
            </w:r>
            <w:r w:rsidRPr="00BD6243">
              <w:t xml:space="preserve">ousing </w:t>
            </w:r>
            <w:r w:rsidR="00BB2BD3">
              <w:t>s</w:t>
            </w:r>
            <w:r w:rsidRPr="00BD6243">
              <w:t xml:space="preserve">upply, </w:t>
            </w:r>
            <w:r w:rsidR="00BB2BD3">
              <w:t>d</w:t>
            </w:r>
            <w:r w:rsidRPr="00BD6243">
              <w:t xml:space="preserve">emand and </w:t>
            </w:r>
            <w:r w:rsidR="00BB2BD3">
              <w:t>a</w:t>
            </w:r>
            <w:r w:rsidRPr="00BD6243">
              <w:t>ffordability</w:t>
            </w:r>
          </w:p>
          <w:p w14:paraId="377DCE9C" w14:textId="3D29B105" w:rsidR="00791A68" w:rsidRDefault="00791A68" w:rsidP="0099326B">
            <w:pPr>
              <w:pStyle w:val="BoxText"/>
            </w:pPr>
            <w:r>
              <w:t>The housing system is complex. It comprises a diverse range of participants and interacts in a number of ways with other parts of the economy. The Council</w:t>
            </w:r>
            <w:r w:rsidR="00A15C79">
              <w:t>’</w:t>
            </w:r>
            <w:r>
              <w:t xml:space="preserve">s </w:t>
            </w:r>
            <w:proofErr w:type="spellStart"/>
            <w:r>
              <w:t>macroeconometric</w:t>
            </w:r>
            <w:proofErr w:type="spellEnd"/>
            <w:r>
              <w:t xml:space="preserve"> forecasting model identifies and extrapolates the key features of this system that drive the number of dwellings supplied and demanded by housing system participants. In particular, the model reflects the fact that most housing supply is commercially motivated. Around</w:t>
            </w:r>
            <w:r w:rsidDel="00DA7B9C">
              <w:t xml:space="preserve"> </w:t>
            </w:r>
            <w:r w:rsidR="00DA7B9C">
              <w:t>4</w:t>
            </w:r>
            <w:r>
              <w:t xml:space="preserve"> decades of Australian data has been used to calibrate the relationships between key variables in the model.</w:t>
            </w:r>
          </w:p>
          <w:p w14:paraId="706C0BB6" w14:textId="77777777" w:rsidR="00791A68" w:rsidRPr="00C744E2" w:rsidRDefault="00791A68" w:rsidP="00C744E2">
            <w:pPr>
              <w:pStyle w:val="BoxHeading2"/>
              <w:spacing w:before="160"/>
            </w:pPr>
            <w:r w:rsidRPr="00C744E2">
              <w:t>Forecasting housing supply</w:t>
            </w:r>
          </w:p>
          <w:p w14:paraId="7C0A4B89" w14:textId="516BFEBC" w:rsidR="00791A68" w:rsidRDefault="00791A68" w:rsidP="0099326B">
            <w:pPr>
              <w:pStyle w:val="BoxText"/>
            </w:pPr>
            <w:r>
              <w:t>The supply</w:t>
            </w:r>
            <w:r w:rsidR="00A15C79">
              <w:noBreakHyphen/>
            </w:r>
            <w:r>
              <w:t>side of the model largely replicates the Saunders</w:t>
            </w:r>
            <w:r w:rsidR="00A15C79">
              <w:noBreakHyphen/>
            </w:r>
            <w:r>
              <w:t xml:space="preserve">Tulip model (Saunders </w:t>
            </w:r>
            <w:r w:rsidR="00C1165C">
              <w:t>and</w:t>
            </w:r>
            <w:r w:rsidR="00BB39C5">
              <w:t xml:space="preserve"> </w:t>
            </w:r>
            <w:r>
              <w:t xml:space="preserve">Tulip 2019). This is summarised in Figure 5.1. The Council has made further extensions to this model, including by accounting for the </w:t>
            </w:r>
            <w:r w:rsidR="005F3C5D">
              <w:t>Pandemic</w:t>
            </w:r>
            <w:r>
              <w:t xml:space="preserve"> in estimates of historical relationships between variables</w:t>
            </w:r>
            <w:r w:rsidR="005F3C5D">
              <w:t>,</w:t>
            </w:r>
            <w:r>
              <w:t xml:space="preserve"> refining the treatment of construction costs</w:t>
            </w:r>
            <w:r w:rsidR="005F3C5D">
              <w:t>,</w:t>
            </w:r>
            <w:r>
              <w:t xml:space="preserve"> and incorporating (separately estimated) housing supply impacts of government support for new non</w:t>
            </w:r>
            <w:r w:rsidR="00A15C79">
              <w:noBreakHyphen/>
            </w:r>
            <w:r>
              <w:t>market housing.</w:t>
            </w:r>
          </w:p>
          <w:p w14:paraId="3200C1E1" w14:textId="60131F55" w:rsidR="00791A68" w:rsidRDefault="00791A68" w:rsidP="0099326B">
            <w:pPr>
              <w:pStyle w:val="BoxText"/>
            </w:pPr>
            <w:r>
              <w:t>Recent ABS data on dwelling approvals drive near</w:t>
            </w:r>
            <w:r w:rsidR="00A15C79">
              <w:noBreakHyphen/>
            </w:r>
            <w:r>
              <w:t xml:space="preserve">term forecasts for </w:t>
            </w:r>
            <w:r w:rsidR="00636B83">
              <w:t xml:space="preserve">dwelling </w:t>
            </w:r>
            <w:r>
              <w:t>commencements and housing supply. These supply forecasts are considered along</w:t>
            </w:r>
            <w:r w:rsidR="006C00DD">
              <w:t xml:space="preserve"> with</w:t>
            </w:r>
            <w:r>
              <w:t xml:space="preserve"> the expected growth in the number of households (</w:t>
            </w:r>
            <w:r w:rsidR="006C00DD">
              <w:t>that is,</w:t>
            </w:r>
            <w:r>
              <w:t xml:space="preserve"> new </w:t>
            </w:r>
            <w:r w:rsidR="00BB4A59">
              <w:t xml:space="preserve">underlying </w:t>
            </w:r>
            <w:r>
              <w:t>demand) and the size of the existing housing stock to</w:t>
            </w:r>
            <w:r w:rsidDel="00FE6F6C">
              <w:t xml:space="preserve"> </w:t>
            </w:r>
            <w:r>
              <w:t>forecast rental vacancies, rents and housing prices. Changes in these variables</w:t>
            </w:r>
            <w:r w:rsidR="006C00DD">
              <w:t>,</w:t>
            </w:r>
            <w:r>
              <w:t xml:space="preserve"> in turn</w:t>
            </w:r>
            <w:r w:rsidR="006C00DD">
              <w:t>,</w:t>
            </w:r>
            <w:r>
              <w:t xml:space="preserve"> incentivise developers to seek new dwelling approvals and initiate the development process. This repeating cycle is the basis of the Council</w:t>
            </w:r>
            <w:r w:rsidR="00A15C79">
              <w:t>’</w:t>
            </w:r>
            <w:r>
              <w:t>s supply forecasts over the forecast period, as represented by the wheel at the centre of Figure</w:t>
            </w:r>
            <w:r w:rsidR="00FF6C7D">
              <w:t> </w:t>
            </w:r>
            <w:r>
              <w:t xml:space="preserve">5.1. The model also incorporates the impact of external macroeconomic factors, such as interest rates, other </w:t>
            </w:r>
            <w:r w:rsidR="00636B83">
              <w:t xml:space="preserve">ownership </w:t>
            </w:r>
            <w:r>
              <w:t>costs (including repairs, rates and other running costs) and construction costs. Government support for new non</w:t>
            </w:r>
            <w:r w:rsidR="00A15C79">
              <w:noBreakHyphen/>
            </w:r>
            <w:r>
              <w:t>market housing adds to housing supply forecasts in each time period.</w:t>
            </w:r>
          </w:p>
          <w:p w14:paraId="621A98FF" w14:textId="77777777" w:rsidR="00791A68" w:rsidRPr="00C744E2" w:rsidRDefault="00791A68" w:rsidP="00C744E2">
            <w:pPr>
              <w:pStyle w:val="BoxHeading2"/>
              <w:spacing w:before="160"/>
            </w:pPr>
            <w:r w:rsidRPr="00C744E2">
              <w:t>Forecasting housing demand</w:t>
            </w:r>
          </w:p>
          <w:p w14:paraId="316C5AAF" w14:textId="55E236E8" w:rsidR="00791A68" w:rsidRDefault="00791A68" w:rsidP="0099326B">
            <w:pPr>
              <w:pStyle w:val="BoxText"/>
            </w:pPr>
            <w:r>
              <w:t>The demand side of the model is based on Wilson</w:t>
            </w:r>
            <w:r w:rsidR="00A15C79">
              <w:t>’</w:t>
            </w:r>
            <w:r>
              <w:t>s sequential propensity model of household formation (Wilson 2013). It is represented by the blue box in Figure 5.1. This module</w:t>
            </w:r>
            <w:r w:rsidR="00186520">
              <w:t>’s key inputs are</w:t>
            </w:r>
            <w:r>
              <w:t xml:space="preserve"> the </w:t>
            </w:r>
            <w:r w:rsidR="0099326B">
              <w:t>Australian Government</w:t>
            </w:r>
            <w:r>
              <w:t xml:space="preserve"> Centre for Population</w:t>
            </w:r>
            <w:r w:rsidR="00A15C79">
              <w:t>’</w:t>
            </w:r>
            <w:r>
              <w:t>s population projections of individuals in 5</w:t>
            </w:r>
            <w:r w:rsidR="00A15C79">
              <w:noBreakHyphen/>
            </w:r>
            <w:r>
              <w:t>year age brackets and broad geographical regions</w:t>
            </w:r>
            <w:r w:rsidR="006E60C8">
              <w:t>, and</w:t>
            </w:r>
            <w:r>
              <w:t xml:space="preserve"> the historical propensity of individuals with these characteristics to form households</w:t>
            </w:r>
            <w:r w:rsidR="00E547D6">
              <w:t>.</w:t>
            </w:r>
            <w:r>
              <w:t xml:space="preserve"> </w:t>
            </w:r>
            <w:r w:rsidR="00E547D6">
              <w:t>The module then converts</w:t>
            </w:r>
            <w:r w:rsidR="002F798F">
              <w:t xml:space="preserve"> these inputs</w:t>
            </w:r>
            <w:r>
              <w:t xml:space="preserve"> </w:t>
            </w:r>
            <w:r w:rsidR="002F798F">
              <w:t>into</w:t>
            </w:r>
            <w:r>
              <w:t xml:space="preserve"> </w:t>
            </w:r>
            <w:r w:rsidR="006F3EC6">
              <w:t>a</w:t>
            </w:r>
            <w:r>
              <w:t xml:space="preserve"> forecast </w:t>
            </w:r>
            <w:r w:rsidR="006F3EC6">
              <w:t>of</w:t>
            </w:r>
            <w:r>
              <w:t xml:space="preserve"> household formation that is consistent with Australia</w:t>
            </w:r>
            <w:r w:rsidR="00A15C79">
              <w:t>’</w:t>
            </w:r>
            <w:r>
              <w:t>s evolving age structure and urbanisation rate</w:t>
            </w:r>
            <w:r w:rsidR="00A3122C">
              <w:t xml:space="preserve"> i.e. </w:t>
            </w:r>
            <w:r w:rsidR="00B60D90">
              <w:t xml:space="preserve">a forecast of </w:t>
            </w:r>
            <w:r w:rsidR="00A3122C">
              <w:t>underlying demand for housing</w:t>
            </w:r>
            <w:r>
              <w:t>. The demand</w:t>
            </w:r>
            <w:r w:rsidR="00A15C79">
              <w:noBreakHyphen/>
            </w:r>
            <w:r>
              <w:t>side module does not forecast effective demand for housing, which would account for the impact of affordability pressures and other economic conditions on the outlook for household formation. Moreover, the demand</w:t>
            </w:r>
            <w:r w:rsidR="00A15C79">
              <w:noBreakHyphen/>
            </w:r>
            <w:r>
              <w:t>side module does not directly quantify households</w:t>
            </w:r>
            <w:r w:rsidR="00A15C79">
              <w:t>’</w:t>
            </w:r>
            <w:r>
              <w:t xml:space="preserve"> willingness or ability to rent or purchase housing. These are implicitly included in the model</w:t>
            </w:r>
            <w:r w:rsidR="00A15C79">
              <w:t>’</w:t>
            </w:r>
            <w:r>
              <w:t xml:space="preserve">s approach </w:t>
            </w:r>
            <w:r w:rsidR="00DD0F3F">
              <w:t>to</w:t>
            </w:r>
            <w:r>
              <w:t xml:space="preserve"> forecasting rents and housing prices.</w:t>
            </w:r>
          </w:p>
          <w:p w14:paraId="75C39C1D" w14:textId="77777777" w:rsidR="0099326B" w:rsidRPr="00C744E2" w:rsidRDefault="00791A68" w:rsidP="00C744E2">
            <w:pPr>
              <w:pStyle w:val="BoxHeading2"/>
              <w:spacing w:before="160"/>
            </w:pPr>
            <w:r w:rsidRPr="00C744E2">
              <w:t>Features and limitations of the model</w:t>
            </w:r>
          </w:p>
          <w:p w14:paraId="37380A18" w14:textId="6D1C67B6" w:rsidR="00791A68" w:rsidRPr="00971353" w:rsidRDefault="00791A68" w:rsidP="0099326B">
            <w:pPr>
              <w:pStyle w:val="BoxText"/>
              <w:rPr>
                <w:b/>
                <w:i/>
              </w:rPr>
            </w:pPr>
            <w:r>
              <w:t>A key feature of the model is that, after the current pipeline of new dwelling approvals has been completed, the outlook for housing price growth (and, by extension, the key factors that drive housing prices, such as interest rates, rents and population)</w:t>
            </w:r>
            <w:r w:rsidR="00AB543D">
              <w:t xml:space="preserve"> </w:t>
            </w:r>
            <w:r w:rsidR="003C25BD">
              <w:t xml:space="preserve">largely </w:t>
            </w:r>
            <w:r w:rsidR="009D772E">
              <w:t>drives forecasts of new housi</w:t>
            </w:r>
            <w:r w:rsidR="003C25BD">
              <w:t>n</w:t>
            </w:r>
            <w:r w:rsidR="009D772E">
              <w:t>g supply</w:t>
            </w:r>
            <w:r>
              <w:t>.</w:t>
            </w:r>
          </w:p>
          <w:p w14:paraId="041C9B6E" w14:textId="1786825E" w:rsidR="00791A68" w:rsidRDefault="00791A68" w:rsidP="0099326B">
            <w:pPr>
              <w:pStyle w:val="BoxText"/>
            </w:pPr>
            <w:r>
              <w:t>However, for housing supply to sustainably improve housing affordability, supply must also grow in response to non</w:t>
            </w:r>
            <w:r w:rsidR="00A15C79">
              <w:noBreakHyphen/>
            </w:r>
            <w:r>
              <w:t xml:space="preserve">price factors such as technological improvements that raise construction labour productivity, lower regulatory compliance costs, </w:t>
            </w:r>
            <w:r w:rsidR="00BB441B">
              <w:t>increase</w:t>
            </w:r>
            <w:r w:rsidR="008568B2">
              <w:t>d</w:t>
            </w:r>
            <w:r w:rsidR="00BB441B">
              <w:t xml:space="preserve"> </w:t>
            </w:r>
            <w:r>
              <w:t>competition between property developers</w:t>
            </w:r>
            <w:r w:rsidR="00C76C60">
              <w:t>,</w:t>
            </w:r>
            <w:r>
              <w:t xml:space="preserve"> and an expanded construction labour pool relative to the rest of the economy. In the model, policy reforms that address these factors would lower the </w:t>
            </w:r>
            <w:r w:rsidR="00961223">
              <w:t xml:space="preserve">forecasts </w:t>
            </w:r>
            <w:r>
              <w:t xml:space="preserve">for construction costs and </w:t>
            </w:r>
            <w:r w:rsidR="00961223">
              <w:t>raise</w:t>
            </w:r>
            <w:r>
              <w:t xml:space="preserve"> forecasts of housing supply. </w:t>
            </w:r>
          </w:p>
        </w:tc>
      </w:tr>
      <w:tr w:rsidR="0099326B" w14:paraId="71BC0C89" w14:textId="77777777">
        <w:tc>
          <w:tcPr>
            <w:tcW w:w="9070" w:type="dxa"/>
            <w:shd w:val="clear" w:color="auto" w:fill="F2E3C7" w:themeFill="background2"/>
          </w:tcPr>
          <w:p w14:paraId="60E952F3" w14:textId="77777777" w:rsidR="0099326B" w:rsidRDefault="0099326B" w:rsidP="00956862">
            <w:pPr>
              <w:pStyle w:val="BoxHeadingBox11"/>
              <w:numPr>
                <w:ilvl w:val="5"/>
                <w:numId w:val="29"/>
              </w:numPr>
            </w:pPr>
            <w:r w:rsidRPr="00BD6243">
              <w:lastRenderedPageBreak/>
              <w:t xml:space="preserve">The </w:t>
            </w:r>
            <w:r w:rsidRPr="001B4EAF">
              <w:t>NHSAC</w:t>
            </w:r>
            <w:r w:rsidRPr="00BD6243">
              <w:t xml:space="preserve"> </w:t>
            </w:r>
            <w:r>
              <w:t>m</w:t>
            </w:r>
            <w:r w:rsidRPr="00BD6243">
              <w:t xml:space="preserve">odel of </w:t>
            </w:r>
            <w:r>
              <w:t>h</w:t>
            </w:r>
            <w:r w:rsidRPr="00BD6243">
              <w:t xml:space="preserve">ousing </w:t>
            </w:r>
            <w:r>
              <w:t>s</w:t>
            </w:r>
            <w:r w:rsidRPr="00BD6243">
              <w:t xml:space="preserve">upply, </w:t>
            </w:r>
            <w:r>
              <w:t>d</w:t>
            </w:r>
            <w:r w:rsidRPr="00BD6243">
              <w:t xml:space="preserve">emand and </w:t>
            </w:r>
            <w:r>
              <w:t>a</w:t>
            </w:r>
            <w:r w:rsidRPr="00BD6243">
              <w:t>ffordability</w:t>
            </w:r>
            <w:r>
              <w:t xml:space="preserve"> (continued)</w:t>
            </w:r>
          </w:p>
          <w:p w14:paraId="67C4E1DB" w14:textId="48DBD0F5" w:rsidR="0099326B" w:rsidRDefault="0099326B" w:rsidP="0099326B">
            <w:pPr>
              <w:pStyle w:val="BoxText"/>
            </w:pPr>
            <w:r>
              <w:t>This highlights the first key limitation of the model. The model generates forecasts by extrapolating historical relationships between variables (such as the relationships between housing supply, housing prices and construction costs). Thus, its forecasts do not incorporate recent policy efforts to alter these historical relationships, such as reforms by state and territory governments to make their planning systems more responsive to housing demand. Reforms of this nature are particularly important in Australia, where there is evidence that the price responsiveness of housing supply is low relative to other comparable countries (</w:t>
            </w:r>
            <w:r w:rsidR="00BC5AB1">
              <w:t>Banerjee et al.</w:t>
            </w:r>
            <w:r>
              <w:t xml:space="preserve"> 2024).</w:t>
            </w:r>
          </w:p>
          <w:p w14:paraId="0719730B" w14:textId="3FA9B406" w:rsidR="0099326B" w:rsidRDefault="0099326B" w:rsidP="0099326B">
            <w:pPr>
              <w:pStyle w:val="BoxText"/>
            </w:pPr>
            <w:r>
              <w:t>The second key limitation is that the model</w:t>
            </w:r>
            <w:r w:rsidR="00A15C79">
              <w:t>’</w:t>
            </w:r>
            <w:r>
              <w:t>s forecasts do not explicitly account for all types of policy changes that could affect the housing market. In particular, the model does not directly consider the cost, availability or use of land. This means that forecasts are not directly affected by structural reforms to the residential land market, such as upzoning, accelerated land releases or increased funding for enabling infrastructure. More broadly, there are several other types of policy changes that the housing supply forecasts do not directly respond to, such as those relating to ownership transfer costs, taxes, lending regulations, housing market regulations and grants. Although these policy changes should help boost housing supply, they will only affect the model</w:t>
            </w:r>
            <w:r w:rsidR="00A15C79">
              <w:t>’</w:t>
            </w:r>
            <w:r>
              <w:t>s forecasts after their impacts are captured in the ABS</w:t>
            </w:r>
            <w:r w:rsidR="00A15C79">
              <w:t>’</w:t>
            </w:r>
            <w:r>
              <w:t>s dwelling approvals data; prior to this, they represented upside risks to the Council</w:t>
            </w:r>
            <w:r w:rsidR="00A15C79">
              <w:t>’</w:t>
            </w:r>
            <w:r>
              <w:t xml:space="preserve">s housing supply forecasts. The Council is undertaking work to address these limitations of its model. </w:t>
            </w:r>
          </w:p>
          <w:p w14:paraId="765F105C" w14:textId="77777777" w:rsidR="0099326B" w:rsidRDefault="0099326B" w:rsidP="0099326B">
            <w:pPr>
              <w:pStyle w:val="BoxText"/>
            </w:pPr>
            <w:r>
              <w:t>The Council has attempted to account for the effects of the Pandemic and the unprecedented housing market conditions it produced. However, there is still some uncertainty about the magnitude and persistence of certain effects that began during the Pandemic, such as the lengthening of dwelling construction times, the increase in material and labour costs, and preferences for working from home.</w:t>
            </w:r>
          </w:p>
          <w:p w14:paraId="0E66FB13" w14:textId="5A6E0875" w:rsidR="0099326B" w:rsidRPr="002949B5" w:rsidRDefault="0099326B" w:rsidP="001B4EAF">
            <w:pPr>
              <w:pStyle w:val="FigureMainheading"/>
            </w:pPr>
            <w:r w:rsidRPr="002949B5">
              <w:t>Simplified diagram of the NHSAC forecasting model</w:t>
            </w:r>
          </w:p>
          <w:p w14:paraId="03B92B3A" w14:textId="3A74E4F2" w:rsidR="0099326B" w:rsidRPr="0099326B" w:rsidRDefault="008E3BE1" w:rsidP="0099326B">
            <w:pPr>
              <w:pStyle w:val="ChartGraphic"/>
              <w:rPr>
                <w:sz w:val="26"/>
                <w:szCs w:val="26"/>
              </w:rPr>
            </w:pPr>
            <w:r w:rsidRPr="008E3BE1">
              <w:rPr>
                <w:noProof/>
                <w:sz w:val="26"/>
                <w:szCs w:val="26"/>
              </w:rPr>
              <w:drawing>
                <wp:inline distT="0" distB="0" distL="0" distR="0" wp14:anchorId="2C956394" wp14:editId="5A509D30">
                  <wp:extent cx="5391150" cy="3363595"/>
                  <wp:effectExtent l="0" t="0" r="0" b="8255"/>
                  <wp:docPr id="1492017589" name="Picture 1" descr="This figure is a simplified diagram of the NHSAC forecasting model. The centre of the diagram shows a circle with segments representing key variables in the model. Each of these variables is used to estimate the next, as one moves through the segments in a clockwise direction. Around the outside of the wheel, other variables that contribute to the estimates are listed with arrows linking them to the appropriate segment.&#10;&#10;In the model, recent ABS data on dwelling approvals drive near term forecasts for dwelling commencements and housing supply. These supply forecasts are considered along with the expected growth in the number of households (that is, new underlying demand) and the size of the existing housing stock to forecast the rental vacancy rate, rents and housing prices. Changes in these variables, in turn, incentivise developers to seek new dwelling approvals and initiate the next cycle of the development process. The model also incorporates the impact of external macroeconomic factors including interest rates, other ownership costs (including repairs, rates and other running costs) and construction costs. Government support for new non-market housing adds to housing supply forecasts in each time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17589" name="Picture 1" descr="This figure is a simplified diagram of the NHSAC forecasting model. The centre of the diagram shows a circle with segments representing key variables in the model. Each of these variables is used to estimate the next, as one moves through the segments in a clockwise direction. Around the outside of the wheel, other variables that contribute to the estimates are listed with arrows linking them to the appropriate segment.&#10;&#10;In the model, recent ABS data on dwelling approvals drive near term forecasts for dwelling commencements and housing supply. These supply forecasts are considered along with the expected growth in the number of households (that is, new underlying demand) and the size of the existing housing stock to forecast the rental vacancy rate, rents and housing prices. Changes in these variables, in turn, incentivise developers to seek new dwelling approvals and initiate the next cycle of the development process. The model also incorporates the impact of external macroeconomic factors including interest rates, other ownership costs (including repairs, rates and other running costs) and construction costs. Government support for new non-market housing adds to housing supply forecasts in each time period.&#1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391150" cy="3363595"/>
                          </a:xfrm>
                          <a:prstGeom prst="rect">
                            <a:avLst/>
                          </a:prstGeom>
                          <a:noFill/>
                          <a:ln>
                            <a:noFill/>
                          </a:ln>
                        </pic:spPr>
                      </pic:pic>
                    </a:graphicData>
                  </a:graphic>
                </wp:inline>
              </w:drawing>
            </w:r>
          </w:p>
        </w:tc>
      </w:tr>
    </w:tbl>
    <w:p w14:paraId="0185DE39" w14:textId="77777777" w:rsidR="0099326B" w:rsidRDefault="0099326B" w:rsidP="0099326B">
      <w:pPr>
        <w:pStyle w:val="SingleParagraph"/>
      </w:pPr>
    </w:p>
    <w:tbl>
      <w:tblPr>
        <w:tblW w:w="5000" w:type="pct"/>
        <w:shd w:val="clear" w:color="auto" w:fill="F2E3C7" w:themeFill="background2"/>
        <w:tblLayout w:type="fixed"/>
        <w:tblCellMar>
          <w:top w:w="284" w:type="dxa"/>
          <w:left w:w="284" w:type="dxa"/>
          <w:bottom w:w="284" w:type="dxa"/>
          <w:right w:w="284" w:type="dxa"/>
        </w:tblCellMar>
        <w:tblLook w:val="0600" w:firstRow="0" w:lastRow="0" w:firstColumn="0" w:lastColumn="0" w:noHBand="1" w:noVBand="1"/>
      </w:tblPr>
      <w:tblGrid>
        <w:gridCol w:w="9070"/>
      </w:tblGrid>
      <w:tr w:rsidR="0099326B" w14:paraId="326E243D" w14:textId="77777777">
        <w:tc>
          <w:tcPr>
            <w:tcW w:w="9070" w:type="dxa"/>
            <w:shd w:val="clear" w:color="auto" w:fill="F2E3C7" w:themeFill="background2"/>
          </w:tcPr>
          <w:p w14:paraId="148C6AE7" w14:textId="77777777" w:rsidR="0099326B" w:rsidRDefault="0099326B" w:rsidP="00956862">
            <w:pPr>
              <w:pStyle w:val="BoxHeadingBox11"/>
              <w:numPr>
                <w:ilvl w:val="5"/>
                <w:numId w:val="30"/>
              </w:numPr>
            </w:pPr>
            <w:r w:rsidRPr="00BD6243">
              <w:lastRenderedPageBreak/>
              <w:t xml:space="preserve">The </w:t>
            </w:r>
            <w:r w:rsidRPr="001B4EAF">
              <w:t>NHSAC</w:t>
            </w:r>
            <w:r w:rsidRPr="00BD6243">
              <w:t xml:space="preserve"> </w:t>
            </w:r>
            <w:r>
              <w:t>m</w:t>
            </w:r>
            <w:r w:rsidRPr="00BD6243">
              <w:t xml:space="preserve">odel of </w:t>
            </w:r>
            <w:r>
              <w:t>h</w:t>
            </w:r>
            <w:r w:rsidRPr="00BD6243">
              <w:t xml:space="preserve">ousing </w:t>
            </w:r>
            <w:r>
              <w:t>s</w:t>
            </w:r>
            <w:r w:rsidRPr="00BD6243">
              <w:t xml:space="preserve">upply, </w:t>
            </w:r>
            <w:r>
              <w:t>d</w:t>
            </w:r>
            <w:r w:rsidRPr="00BD6243">
              <w:t xml:space="preserve">emand and </w:t>
            </w:r>
            <w:r>
              <w:t>a</w:t>
            </w:r>
            <w:r w:rsidRPr="00BD6243">
              <w:t>ffordability</w:t>
            </w:r>
            <w:r>
              <w:t xml:space="preserve"> (continued)</w:t>
            </w:r>
          </w:p>
          <w:p w14:paraId="63C611A3" w14:textId="77777777" w:rsidR="0099326B" w:rsidRPr="00C744E2" w:rsidRDefault="0099326B" w:rsidP="00C744E2">
            <w:pPr>
              <w:pStyle w:val="BoxHeading2"/>
            </w:pPr>
            <w:r w:rsidRPr="00C744E2">
              <w:t>Assumptions and data sources</w:t>
            </w:r>
          </w:p>
          <w:p w14:paraId="409F7388" w14:textId="3A2381D2" w:rsidR="0099326B" w:rsidRDefault="0099326B" w:rsidP="0099326B">
            <w:pPr>
              <w:pStyle w:val="BoxText"/>
            </w:pPr>
            <w:r>
              <w:t>Where suitable, the forecasts use projections of macroeconomic variables from the Australian Government</w:t>
            </w:r>
            <w:r w:rsidR="00A15C79">
              <w:t>’</w:t>
            </w:r>
            <w:r>
              <w:t xml:space="preserve">s </w:t>
            </w:r>
            <w:r w:rsidR="006E7CB7">
              <w:t>2025-26 B</w:t>
            </w:r>
            <w:r>
              <w:t>udget</w:t>
            </w:r>
            <w:r w:rsidR="006E7CB7">
              <w:t xml:space="preserve"> released in March 2025</w:t>
            </w:r>
            <w:r>
              <w:t xml:space="preserve">. </w:t>
            </w:r>
            <w:r w:rsidR="006E7CB7">
              <w:t>This includes the model’s cash rate input.</w:t>
            </w:r>
            <w:r>
              <w:t xml:space="preserve"> </w:t>
            </w:r>
            <w:r w:rsidR="00E850D2">
              <w:t>Where v</w:t>
            </w:r>
            <w:r w:rsidR="00EE4DC7">
              <w:t>ariables</w:t>
            </w:r>
            <w:r>
              <w:t xml:space="preserve"> are </w:t>
            </w:r>
            <w:r w:rsidR="00E850D2">
              <w:t xml:space="preserve">only </w:t>
            </w:r>
            <w:r>
              <w:t>available as near</w:t>
            </w:r>
            <w:r w:rsidR="00A15C79">
              <w:noBreakHyphen/>
            </w:r>
            <w:r>
              <w:t>term forecasts</w:t>
            </w:r>
            <w:r w:rsidR="00E850D2">
              <w:t>, t</w:t>
            </w:r>
            <w:r>
              <w:t>he Council uses either linear extrapolation or the forecasting methods used in Saunders and Tulip (2019) to cover the full forecast period.</w:t>
            </w:r>
          </w:p>
          <w:p w14:paraId="5CA7F4FB" w14:textId="7D1A1726" w:rsidR="0099326B" w:rsidRPr="00BD6243" w:rsidRDefault="0099326B" w:rsidP="0099326B">
            <w:pPr>
              <w:pStyle w:val="BoxText"/>
            </w:pPr>
            <w:r>
              <w:t>Data sourced from the ABS includes dwelling approvals and activity, rents,</w:t>
            </w:r>
            <w:r w:rsidDel="00550B55">
              <w:t xml:space="preserve"> </w:t>
            </w:r>
            <w:r>
              <w:t>housing stock, living arrangements, construction costs, income, consumer prices and unemployment. Cash rate assumptions are sourced from the Budget 2025–26. Population forecasts are sourced from the Australian</w:t>
            </w:r>
            <w:r w:rsidR="00F22780">
              <w:t xml:space="preserve"> </w:t>
            </w:r>
            <w:r>
              <w:t>Government Centre for Population</w:t>
            </w:r>
            <w:r w:rsidR="00A15C79">
              <w:t>’</w:t>
            </w:r>
            <w:r>
              <w:t>s 2024 Population Statement. Data on vacancy rates was obtained from the Real Estate Institute of Australia. Data on dwelling prices is from the CoreLogic Hedonic Home Value Index. Financial data, including cash rates, bond rates, inflation expectations and variable mortgage rates is from the RBA</w:t>
            </w:r>
            <w:r w:rsidR="00A15C79">
              <w:t>’</w:t>
            </w:r>
            <w:r>
              <w:t>s statistical tables. Measures of the components of housing user costs (other than real variable mortgage rates) were taken directly from Saunders and Tulip (2019) and were assumed to be constant from the September quarter of 2017 onwards.</w:t>
            </w:r>
          </w:p>
        </w:tc>
      </w:tr>
    </w:tbl>
    <w:p w14:paraId="3D569ECE" w14:textId="77777777" w:rsidR="006F5BB5" w:rsidRDefault="006F5BB5">
      <w:pPr>
        <w:spacing w:before="0" w:after="160" w:line="259" w:lineRule="auto"/>
        <w:sectPr w:rsidR="006F5BB5" w:rsidSect="00BD2E5A">
          <w:headerReference w:type="even" r:id="rId154"/>
          <w:headerReference w:type="default" r:id="rId155"/>
          <w:footerReference w:type="even" r:id="rId156"/>
          <w:footerReference w:type="default" r:id="rId157"/>
          <w:type w:val="oddPage"/>
          <w:pgSz w:w="11906" w:h="16838" w:code="9"/>
          <w:pgMar w:top="1843" w:right="1418" w:bottom="1418" w:left="1418" w:header="709" w:footer="709" w:gutter="0"/>
          <w:cols w:space="708"/>
          <w:docGrid w:linePitch="360"/>
        </w:sectPr>
      </w:pPr>
    </w:p>
    <w:p w14:paraId="3D08EF65" w14:textId="0EBD954F" w:rsidR="00791A68" w:rsidRDefault="0099326B" w:rsidP="006F5BB5">
      <w:pPr>
        <w:pStyle w:val="Heading1Numbered"/>
        <w:spacing w:before="0"/>
      </w:pPr>
      <w:bookmarkStart w:id="155" w:name="_Toc196395902"/>
      <w:r>
        <w:lastRenderedPageBreak/>
        <w:t>First Nations</w:t>
      </w:r>
      <w:r w:rsidR="00791A68" w:rsidRPr="009628A8">
        <w:t xml:space="preserve"> housing</w:t>
      </w:r>
      <w:bookmarkEnd w:id="155"/>
      <w:r w:rsidR="00727CB1">
        <w:t xml:space="preserve"> </w:t>
      </w:r>
    </w:p>
    <w:tbl>
      <w:tblPr>
        <w:tblW w:w="5000" w:type="pct"/>
        <w:shd w:val="clear" w:color="auto" w:fill="F2E3C7" w:themeFill="background2"/>
        <w:tblCellMar>
          <w:top w:w="284" w:type="dxa"/>
          <w:left w:w="284" w:type="dxa"/>
          <w:bottom w:w="284" w:type="dxa"/>
          <w:right w:w="284" w:type="dxa"/>
        </w:tblCellMar>
        <w:tblLook w:val="0600" w:firstRow="0" w:lastRow="0" w:firstColumn="0" w:lastColumn="0" w:noHBand="1" w:noVBand="1"/>
      </w:tblPr>
      <w:tblGrid>
        <w:gridCol w:w="9070"/>
      </w:tblGrid>
      <w:tr w:rsidR="00791A68" w14:paraId="485FE8A2" w14:textId="77777777">
        <w:trPr>
          <w:trHeight w:val="3931"/>
        </w:trPr>
        <w:tc>
          <w:tcPr>
            <w:tcW w:w="5000" w:type="pct"/>
            <w:shd w:val="clear" w:color="auto" w:fill="F2E3C7" w:themeFill="accent6"/>
            <w:hideMark/>
          </w:tcPr>
          <w:p w14:paraId="6EE00075" w14:textId="2A0670A8" w:rsidR="00791A68" w:rsidRPr="004F316A" w:rsidRDefault="00143AF8">
            <w:pPr>
              <w:pStyle w:val="BoxHeading"/>
              <w:rPr>
                <w:color w:val="auto"/>
              </w:rPr>
            </w:pPr>
            <w:r>
              <w:rPr>
                <w:color w:val="auto"/>
              </w:rPr>
              <w:t>Overview</w:t>
            </w:r>
          </w:p>
          <w:p w14:paraId="227E84F6" w14:textId="7F381DE4" w:rsidR="00791A68" w:rsidRPr="009628A8" w:rsidRDefault="00791A68">
            <w:pPr>
              <w:pStyle w:val="BoxText"/>
              <w:rPr>
                <w:color w:val="auto"/>
              </w:rPr>
            </w:pPr>
            <w:r w:rsidRPr="002949B5">
              <w:rPr>
                <w:color w:val="auto"/>
              </w:rPr>
              <w:t xml:space="preserve">This chapter revisits the experiences of </w:t>
            </w:r>
            <w:r w:rsidR="0099326B" w:rsidRPr="002949B5">
              <w:rPr>
                <w:color w:val="auto"/>
              </w:rPr>
              <w:t>First Nations</w:t>
            </w:r>
            <w:r w:rsidRPr="002949B5">
              <w:rPr>
                <w:color w:val="auto"/>
              </w:rPr>
              <w:t xml:space="preserve"> people in Australia</w:t>
            </w:r>
            <w:r w:rsidR="00A15C79" w:rsidRPr="002949B5">
              <w:rPr>
                <w:color w:val="auto"/>
              </w:rPr>
              <w:t>’</w:t>
            </w:r>
            <w:r w:rsidRPr="002949B5">
              <w:rPr>
                <w:color w:val="auto"/>
              </w:rPr>
              <w:t xml:space="preserve">s housing system discussed in </w:t>
            </w:r>
            <w:r w:rsidRPr="002949B5">
              <w:rPr>
                <w:rStyle w:val="Emphasis"/>
              </w:rPr>
              <w:t>State of the Housing System 2024</w:t>
            </w:r>
            <w:r w:rsidRPr="002949B5">
              <w:rPr>
                <w:color w:val="auto"/>
              </w:rPr>
              <w:t xml:space="preserve">. The chapter </w:t>
            </w:r>
            <w:r w:rsidR="000E2F92" w:rsidRPr="002949B5">
              <w:rPr>
                <w:color w:val="auto"/>
              </w:rPr>
              <w:t>provides</w:t>
            </w:r>
            <w:r w:rsidRPr="002949B5">
              <w:rPr>
                <w:color w:val="auto"/>
              </w:rPr>
              <w:t xml:space="preserve"> updates where new data is available and highlights key concerns raised by Aboriginal and </w:t>
            </w:r>
            <w:r w:rsidR="0099326B" w:rsidRPr="002949B5">
              <w:rPr>
                <w:color w:val="auto"/>
              </w:rPr>
              <w:t>Torres Strait</w:t>
            </w:r>
            <w:r w:rsidRPr="002949B5">
              <w:rPr>
                <w:color w:val="auto"/>
              </w:rPr>
              <w:t xml:space="preserve"> Islander leaders during recent</w:t>
            </w:r>
            <w:r w:rsidRPr="00A373CA">
              <w:rPr>
                <w:color w:val="auto"/>
              </w:rPr>
              <w:t xml:space="preserve"> consultations.</w:t>
            </w:r>
          </w:p>
          <w:p w14:paraId="5468B553" w14:textId="77777777" w:rsidR="00791A68" w:rsidRPr="00C744E2" w:rsidRDefault="00791A68" w:rsidP="00C744E2">
            <w:pPr>
              <w:pStyle w:val="BoxHeading2"/>
            </w:pPr>
            <w:r w:rsidRPr="00C744E2">
              <w:t>Key points</w:t>
            </w:r>
          </w:p>
          <w:p w14:paraId="50010EE3" w14:textId="6BEEC489" w:rsidR="00791A68" w:rsidRPr="00BC7707" w:rsidRDefault="00791A68">
            <w:pPr>
              <w:pStyle w:val="Boxbullet"/>
              <w:rPr>
                <w:color w:val="auto"/>
              </w:rPr>
            </w:pPr>
            <w:r>
              <w:rPr>
                <w:color w:val="auto"/>
              </w:rPr>
              <w:t xml:space="preserve">There is a shortfall of housing that meets the needs of </w:t>
            </w:r>
            <w:r w:rsidR="0099326B">
              <w:rPr>
                <w:color w:val="auto"/>
              </w:rPr>
              <w:t>First Nations</w:t>
            </w:r>
            <w:r>
              <w:rPr>
                <w:color w:val="auto"/>
              </w:rPr>
              <w:t xml:space="preserve"> people</w:t>
            </w:r>
            <w:r w:rsidRPr="00BC7707">
              <w:rPr>
                <w:color w:val="auto"/>
              </w:rPr>
              <w:t>.</w:t>
            </w:r>
          </w:p>
          <w:p w14:paraId="53A4FD38" w14:textId="308D9D1A" w:rsidR="00791A68" w:rsidRDefault="0099326B">
            <w:pPr>
              <w:pStyle w:val="Boxbullet"/>
              <w:rPr>
                <w:color w:val="auto"/>
              </w:rPr>
            </w:pPr>
            <w:r>
              <w:rPr>
                <w:color w:val="auto"/>
              </w:rPr>
              <w:t>First Nations</w:t>
            </w:r>
            <w:r w:rsidR="00791A68" w:rsidRPr="00DB4E11">
              <w:rPr>
                <w:color w:val="auto"/>
              </w:rPr>
              <w:t xml:space="preserve"> households </w:t>
            </w:r>
            <w:r w:rsidR="00791A68" w:rsidRPr="009628A8">
              <w:rPr>
                <w:color w:val="auto"/>
              </w:rPr>
              <w:t>are disproportionately represented in more tenuous or marginal areas of the housing system.</w:t>
            </w:r>
          </w:p>
          <w:p w14:paraId="1C923C25" w14:textId="5B4B4B26" w:rsidR="0006028A" w:rsidRPr="00BC7707" w:rsidRDefault="0006028A" w:rsidP="0006028A">
            <w:pPr>
              <w:pStyle w:val="Boxbullet"/>
              <w:rPr>
                <w:color w:val="auto"/>
              </w:rPr>
            </w:pPr>
            <w:r w:rsidRPr="00BC7707">
              <w:rPr>
                <w:color w:val="auto"/>
              </w:rPr>
              <w:t xml:space="preserve">At the 2021 Census, around 25,000 Aboriginal and </w:t>
            </w:r>
            <w:r w:rsidR="0099326B">
              <w:rPr>
                <w:color w:val="auto"/>
              </w:rPr>
              <w:t>Torres Strait</w:t>
            </w:r>
            <w:r w:rsidRPr="00BC7707">
              <w:rPr>
                <w:color w:val="auto"/>
              </w:rPr>
              <w:t xml:space="preserve"> Islander people were estimated to be experiencing homelessness, up 6.4</w:t>
            </w:r>
            <w:r w:rsidR="0099326B">
              <w:rPr>
                <w:color w:val="auto"/>
              </w:rPr>
              <w:t> per cent</w:t>
            </w:r>
            <w:r w:rsidRPr="00BC7707">
              <w:rPr>
                <w:color w:val="auto"/>
              </w:rPr>
              <w:t xml:space="preserve"> from 2016</w:t>
            </w:r>
            <w:r>
              <w:rPr>
                <w:color w:val="auto"/>
              </w:rPr>
              <w:t>.</w:t>
            </w:r>
            <w:r w:rsidRPr="00BC7707">
              <w:rPr>
                <w:color w:val="auto"/>
              </w:rPr>
              <w:t xml:space="preserve"> </w:t>
            </w:r>
          </w:p>
          <w:p w14:paraId="22C65ACF" w14:textId="1EF1A281" w:rsidR="0006028A" w:rsidRPr="00BC7707" w:rsidRDefault="0006028A" w:rsidP="0006028A">
            <w:pPr>
              <w:pStyle w:val="Boxbullet"/>
              <w:rPr>
                <w:color w:val="auto"/>
              </w:rPr>
            </w:pPr>
            <w:r w:rsidRPr="00BC7707">
              <w:rPr>
                <w:color w:val="auto"/>
              </w:rPr>
              <w:t xml:space="preserve">Severe overcrowding is the most common form of homelessness for </w:t>
            </w:r>
            <w:r w:rsidR="0099326B">
              <w:rPr>
                <w:color w:val="auto"/>
              </w:rPr>
              <w:t>First Nations</w:t>
            </w:r>
            <w:r w:rsidRPr="00BC7707">
              <w:rPr>
                <w:color w:val="auto"/>
              </w:rPr>
              <w:t xml:space="preserve"> Australians, with nearly 15,000 </w:t>
            </w:r>
            <w:r w:rsidR="0099326B">
              <w:rPr>
                <w:color w:val="auto"/>
              </w:rPr>
              <w:t>First Nations</w:t>
            </w:r>
            <w:r w:rsidRPr="00BC7707">
              <w:rPr>
                <w:color w:val="auto"/>
              </w:rPr>
              <w:t xml:space="preserve"> people experiencing homelessness due to severely crowded dwellings. </w:t>
            </w:r>
          </w:p>
          <w:p w14:paraId="2E968174" w14:textId="16C4CD02" w:rsidR="0006028A" w:rsidRPr="00BC7707" w:rsidRDefault="0006028A" w:rsidP="0006028A">
            <w:pPr>
              <w:pStyle w:val="Boxbullet"/>
              <w:rPr>
                <w:color w:val="auto"/>
              </w:rPr>
            </w:pPr>
            <w:r>
              <w:rPr>
                <w:color w:val="auto"/>
              </w:rPr>
              <w:t xml:space="preserve">At the 2021 Census, </w:t>
            </w:r>
            <w:r w:rsidRPr="00BC7707">
              <w:rPr>
                <w:color w:val="auto"/>
              </w:rPr>
              <w:t>42</w:t>
            </w:r>
            <w:r w:rsidR="0099326B">
              <w:rPr>
                <w:color w:val="auto"/>
              </w:rPr>
              <w:t> per cent</w:t>
            </w:r>
            <w:r w:rsidRPr="00BC7707">
              <w:rPr>
                <w:color w:val="auto"/>
              </w:rPr>
              <w:t xml:space="preserve"> of </w:t>
            </w:r>
            <w:r w:rsidR="0099326B">
              <w:rPr>
                <w:color w:val="auto"/>
              </w:rPr>
              <w:t>First Nations</w:t>
            </w:r>
            <w:r w:rsidRPr="00BC7707">
              <w:rPr>
                <w:color w:val="auto"/>
              </w:rPr>
              <w:t xml:space="preserve"> people owned their own home, compared to a home ownership rate of 68</w:t>
            </w:r>
            <w:r w:rsidR="0099326B">
              <w:rPr>
                <w:color w:val="auto"/>
              </w:rPr>
              <w:t> per cent</w:t>
            </w:r>
            <w:r w:rsidRPr="00BC7707">
              <w:rPr>
                <w:color w:val="auto"/>
              </w:rPr>
              <w:t xml:space="preserve"> among non</w:t>
            </w:r>
            <w:r w:rsidR="00A15C79">
              <w:rPr>
                <w:color w:val="auto"/>
              </w:rPr>
              <w:noBreakHyphen/>
            </w:r>
            <w:r w:rsidRPr="00BC7707">
              <w:rPr>
                <w:color w:val="auto"/>
              </w:rPr>
              <w:t xml:space="preserve">Indigenous people. </w:t>
            </w:r>
          </w:p>
          <w:p w14:paraId="7B93369D" w14:textId="1D0D0929" w:rsidR="00791A68" w:rsidRPr="00BC7707" w:rsidRDefault="00791A68">
            <w:pPr>
              <w:pStyle w:val="Boxbullet"/>
              <w:rPr>
                <w:color w:val="auto"/>
              </w:rPr>
            </w:pPr>
            <w:r>
              <w:rPr>
                <w:color w:val="auto"/>
              </w:rPr>
              <w:t>C</w:t>
            </w:r>
            <w:r w:rsidRPr="00DB4E11">
              <w:rPr>
                <w:color w:val="auto"/>
              </w:rPr>
              <w:t>hallenges</w:t>
            </w:r>
            <w:r>
              <w:rPr>
                <w:color w:val="auto"/>
              </w:rPr>
              <w:t xml:space="preserve"> for </w:t>
            </w:r>
            <w:r w:rsidR="0099326B">
              <w:rPr>
                <w:color w:val="auto"/>
              </w:rPr>
              <w:t>First Nations</w:t>
            </w:r>
            <w:r>
              <w:rPr>
                <w:color w:val="auto"/>
              </w:rPr>
              <w:t xml:space="preserve"> housing are exacerbated by cultural and geographic factors unique to </w:t>
            </w:r>
            <w:r w:rsidR="0099326B">
              <w:rPr>
                <w:color w:val="auto"/>
              </w:rPr>
              <w:t>First Nations</w:t>
            </w:r>
            <w:r>
              <w:rPr>
                <w:color w:val="auto"/>
              </w:rPr>
              <w:t xml:space="preserve"> people.</w:t>
            </w:r>
          </w:p>
          <w:p w14:paraId="59A32D1B" w14:textId="26DFB468" w:rsidR="00791A68" w:rsidRPr="00BC7707" w:rsidRDefault="00D36202" w:rsidP="0041126E">
            <w:pPr>
              <w:pStyle w:val="Boxdash"/>
              <w:rPr>
                <w:color w:val="auto"/>
              </w:rPr>
            </w:pPr>
            <w:r>
              <w:t>Solving issues with</w:t>
            </w:r>
            <w:r w:rsidR="00791A68" w:rsidRPr="00BC7707">
              <w:rPr>
                <w:color w:val="auto"/>
              </w:rPr>
              <w:t xml:space="preserve"> </w:t>
            </w:r>
            <w:r w:rsidR="0099326B">
              <w:rPr>
                <w:color w:val="auto"/>
              </w:rPr>
              <w:t>First Nations</w:t>
            </w:r>
            <w:r w:rsidR="00791A68" w:rsidRPr="00BC7707">
              <w:rPr>
                <w:color w:val="auto"/>
              </w:rPr>
              <w:t xml:space="preserve"> housing requires </w:t>
            </w:r>
            <w:r w:rsidR="0099326B">
              <w:rPr>
                <w:color w:val="auto"/>
              </w:rPr>
              <w:t>First Nations</w:t>
            </w:r>
            <w:r w:rsidR="00A77E39">
              <w:rPr>
                <w:color w:val="auto"/>
              </w:rPr>
              <w:t>-</w:t>
            </w:r>
            <w:r w:rsidR="00791A68" w:rsidRPr="00BC7707">
              <w:rPr>
                <w:color w:val="auto"/>
              </w:rPr>
              <w:t>led solutions that are empowered by government.</w:t>
            </w:r>
          </w:p>
          <w:p w14:paraId="64063940" w14:textId="16461318" w:rsidR="00791A68" w:rsidRPr="00BC7707" w:rsidRDefault="00791A68" w:rsidP="0041126E">
            <w:pPr>
              <w:pStyle w:val="Boxdash"/>
              <w:rPr>
                <w:color w:val="auto"/>
              </w:rPr>
            </w:pPr>
            <w:r w:rsidRPr="00BC7707">
              <w:t xml:space="preserve">Funding for </w:t>
            </w:r>
            <w:r w:rsidR="0099326B">
              <w:rPr>
                <w:color w:val="auto"/>
              </w:rPr>
              <w:t>First Nations</w:t>
            </w:r>
            <w:r w:rsidRPr="00BC7707">
              <w:rPr>
                <w:color w:val="auto"/>
              </w:rPr>
              <w:t xml:space="preserve"> housing does not take into consideration the additional cost and complexity of delivering housing in the </w:t>
            </w:r>
            <w:r w:rsidR="0099326B">
              <w:rPr>
                <w:color w:val="auto"/>
              </w:rPr>
              <w:t>First Nations</w:t>
            </w:r>
            <w:r w:rsidRPr="00BC7707">
              <w:rPr>
                <w:color w:val="auto"/>
              </w:rPr>
              <w:t xml:space="preserve"> context.</w:t>
            </w:r>
          </w:p>
          <w:p w14:paraId="39BDFB56" w14:textId="6793F676" w:rsidR="00791A68" w:rsidRPr="0099326B" w:rsidRDefault="0099326B" w:rsidP="0041126E">
            <w:pPr>
              <w:pStyle w:val="Boxdash"/>
            </w:pPr>
            <w:r>
              <w:t>First Nations</w:t>
            </w:r>
            <w:r w:rsidR="00791A68" w:rsidRPr="00BC7707">
              <w:t xml:space="preserve"> people face non</w:t>
            </w:r>
            <w:r w:rsidR="00A15C79">
              <w:noBreakHyphen/>
            </w:r>
            <w:r w:rsidR="00791A68" w:rsidRPr="00BC7707">
              <w:t>income and non</w:t>
            </w:r>
            <w:r w:rsidR="00A15C79">
              <w:noBreakHyphen/>
            </w:r>
            <w:r w:rsidR="00791A68" w:rsidRPr="00BC7707">
              <w:t xml:space="preserve">demographic barriers to </w:t>
            </w:r>
            <w:r w:rsidR="00791A68" w:rsidRPr="5C9A730C">
              <w:t>home ownership</w:t>
            </w:r>
            <w:r w:rsidR="00791A68" w:rsidRPr="00BC7707">
              <w:t xml:space="preserve"> and renting in the private market, contributing to significantly higher rates of social housing </w:t>
            </w:r>
            <w:r w:rsidR="00493386">
              <w:t>use and</w:t>
            </w:r>
            <w:r w:rsidR="00791A68" w:rsidRPr="00BC7707">
              <w:t xml:space="preserve"> homeless</w:t>
            </w:r>
            <w:r w:rsidR="00493386">
              <w:t>ness</w:t>
            </w:r>
            <w:r w:rsidR="00791A68" w:rsidRPr="00BC7707">
              <w:t>.</w:t>
            </w:r>
          </w:p>
        </w:tc>
      </w:tr>
    </w:tbl>
    <w:p w14:paraId="226C7940" w14:textId="77777777" w:rsidR="00791A68" w:rsidRPr="004F316A" w:rsidRDefault="00791A68" w:rsidP="001B4EAF">
      <w:pPr>
        <w:pStyle w:val="SingleParagraph"/>
      </w:pPr>
    </w:p>
    <w:p w14:paraId="22D9CBDF" w14:textId="102F32E6" w:rsidR="00791A68" w:rsidRDefault="00791A68" w:rsidP="002D209A">
      <w:pPr>
        <w:pStyle w:val="ChartorTableNoteandSource"/>
        <w:ind w:left="1560" w:hanging="1560"/>
      </w:pPr>
      <w:r w:rsidRPr="00EB31F4">
        <w:t xml:space="preserve">Terminology </w:t>
      </w:r>
      <w:r w:rsidR="00493386">
        <w:t>n</w:t>
      </w:r>
      <w:r w:rsidRPr="00EB31F4">
        <w:t>ote</w:t>
      </w:r>
      <w:r w:rsidR="001B4EAF">
        <w:t>:</w:t>
      </w:r>
      <w:r w:rsidR="001B4EAF">
        <w:tab/>
      </w:r>
      <w:r w:rsidRPr="00EB31F4">
        <w:t xml:space="preserve">An official definition of </w:t>
      </w:r>
      <w:r w:rsidR="00A15C79">
        <w:t>‘</w:t>
      </w:r>
      <w:r w:rsidRPr="00EB31F4">
        <w:t>Indigenous</w:t>
      </w:r>
      <w:r w:rsidR="00A15C79">
        <w:t>’</w:t>
      </w:r>
      <w:r w:rsidRPr="00EB31F4">
        <w:t xml:space="preserve"> has not been adopted by any United Nations system or body. The</w:t>
      </w:r>
      <w:r w:rsidR="001B4EAF">
        <w:t> </w:t>
      </w:r>
      <w:r w:rsidRPr="00EB31F4">
        <w:t>most appropriate approach is to identify – rather than define – Indigenous people, which is based on the fundamental criterion of self</w:t>
      </w:r>
      <w:r w:rsidR="00A15C79">
        <w:noBreakHyphen/>
      </w:r>
      <w:r w:rsidRPr="00EB31F4">
        <w:t>identification as underlined in several human rights documents. Australia</w:t>
      </w:r>
      <w:r w:rsidR="00A15C79">
        <w:t>’</w:t>
      </w:r>
      <w:r w:rsidRPr="00EB31F4">
        <w:t>s Indigenous p</w:t>
      </w:r>
      <w:r w:rsidR="00FA7477">
        <w:t>opulation</w:t>
      </w:r>
      <w:r w:rsidRPr="00EB31F4">
        <w:t xml:space="preserve"> </w:t>
      </w:r>
      <w:r w:rsidR="001E6B32">
        <w:t>includes</w:t>
      </w:r>
      <w:r w:rsidRPr="00EB31F4" w:rsidDel="001E6B32">
        <w:t xml:space="preserve"> </w:t>
      </w:r>
      <w:r w:rsidR="00D55098">
        <w:t>2</w:t>
      </w:r>
      <w:r w:rsidR="00D55098" w:rsidRPr="00EB31F4">
        <w:t xml:space="preserve"> </w:t>
      </w:r>
      <w:r w:rsidRPr="00EB31F4">
        <w:t xml:space="preserve">distinct cultural groups made up of Aboriginal and </w:t>
      </w:r>
      <w:r w:rsidR="0099326B">
        <w:t>Torres Strait</w:t>
      </w:r>
      <w:r w:rsidRPr="00EB31F4">
        <w:t xml:space="preserve"> Islander people</w:t>
      </w:r>
      <w:r w:rsidR="001E6B32">
        <w:t>s</w:t>
      </w:r>
      <w:r w:rsidRPr="00EB31F4">
        <w:t xml:space="preserve">. Aboriginal and </w:t>
      </w:r>
      <w:r w:rsidR="0099326B">
        <w:t>Torres Strait</w:t>
      </w:r>
      <w:r w:rsidRPr="00EB31F4">
        <w:t xml:space="preserve"> Islander peoples have their own unique languages, beliefs, cultural </w:t>
      </w:r>
      <w:r w:rsidRPr="002949B5">
        <w:t>practices, traditions and diversity within each culture. The National Housing Supply and Affordability Council</w:t>
      </w:r>
      <w:r w:rsidR="00A15C79" w:rsidRPr="002949B5">
        <w:t>’</w:t>
      </w:r>
      <w:r w:rsidRPr="002949B5">
        <w:t xml:space="preserve">s </w:t>
      </w:r>
      <w:r w:rsidRPr="002949B5">
        <w:rPr>
          <w:i/>
        </w:rPr>
        <w:t>State of the Housing System 2025</w:t>
      </w:r>
      <w:r w:rsidRPr="00EB31F4">
        <w:t xml:space="preserve"> uses the collective term </w:t>
      </w:r>
      <w:r w:rsidR="00A15C79">
        <w:t>‘</w:t>
      </w:r>
      <w:r w:rsidR="0099326B">
        <w:t>First Nations</w:t>
      </w:r>
      <w:r w:rsidRPr="00EB31F4">
        <w:t xml:space="preserve"> people</w:t>
      </w:r>
      <w:r w:rsidR="00A15C79">
        <w:t>’</w:t>
      </w:r>
      <w:r w:rsidRPr="00EB31F4">
        <w:t xml:space="preserve"> to reference and reflect the unique identity of Aboriginal and </w:t>
      </w:r>
      <w:r w:rsidR="0099326B">
        <w:t>Torres Strait</w:t>
      </w:r>
      <w:r w:rsidRPr="00EB31F4">
        <w:t xml:space="preserve"> Islander peoples. We respectfully acknowledge that </w:t>
      </w:r>
      <w:r w:rsidR="0099326B">
        <w:t>Torres Strait</w:t>
      </w:r>
      <w:r w:rsidRPr="00EB31F4">
        <w:t xml:space="preserve"> Islander people are </w:t>
      </w:r>
      <w:r w:rsidR="0099326B">
        <w:t>First Nations</w:t>
      </w:r>
      <w:r w:rsidRPr="00EB31F4">
        <w:t xml:space="preserve"> people living in Australia and </w:t>
      </w:r>
      <w:r w:rsidR="00A15C79">
        <w:t>‘</w:t>
      </w:r>
      <w:r w:rsidRPr="00EB31F4">
        <w:t>Aboriginal</w:t>
      </w:r>
      <w:r w:rsidR="00A15C79">
        <w:t>’</w:t>
      </w:r>
      <w:r w:rsidRPr="00EB31F4">
        <w:t xml:space="preserve"> should be interpreted to include the diversity of all Aboriginal and </w:t>
      </w:r>
      <w:r w:rsidR="0099326B">
        <w:t>Torres Strait</w:t>
      </w:r>
      <w:r w:rsidRPr="00EB31F4">
        <w:t xml:space="preserve"> Islander Australians. This report </w:t>
      </w:r>
      <w:r w:rsidRPr="00EB31F4" w:rsidDel="003442DC">
        <w:t>uses</w:t>
      </w:r>
      <w:r w:rsidRPr="00EB31F4">
        <w:t xml:space="preserve"> the term </w:t>
      </w:r>
      <w:r w:rsidR="00A15C79">
        <w:t>‘</w:t>
      </w:r>
      <w:r w:rsidRPr="00EB31F4">
        <w:t xml:space="preserve">Aboriginal and </w:t>
      </w:r>
      <w:r w:rsidR="0099326B">
        <w:t>Torres Strait</w:t>
      </w:r>
      <w:r w:rsidRPr="00EB31F4">
        <w:t xml:space="preserve"> Islander</w:t>
      </w:r>
      <w:r w:rsidR="003A74DC">
        <w:t xml:space="preserve"> people</w:t>
      </w:r>
      <w:r w:rsidR="00A15C79">
        <w:t>’</w:t>
      </w:r>
      <w:r w:rsidR="00E444E3">
        <w:t xml:space="preserve"> </w:t>
      </w:r>
      <w:r w:rsidR="003442DC">
        <w:t>when referring to</w:t>
      </w:r>
      <w:r w:rsidRPr="00EB31F4">
        <w:t xml:space="preserve"> </w:t>
      </w:r>
      <w:r w:rsidR="00E444E3" w:rsidRPr="00E444E3">
        <w:t>particular datasets, reports or organisations that have referred specifically to these terms instead.</w:t>
      </w:r>
      <w:r>
        <w:br w:type="page"/>
      </w:r>
    </w:p>
    <w:p w14:paraId="72309F30" w14:textId="448F75D1" w:rsidR="00791A68" w:rsidRPr="002949B5" w:rsidRDefault="0099326B" w:rsidP="009628A8">
      <w:pPr>
        <w:spacing w:before="0" w:after="0"/>
        <w:rPr>
          <w:color w:val="auto"/>
          <w:szCs w:val="22"/>
        </w:rPr>
      </w:pPr>
      <w:r>
        <w:rPr>
          <w:rFonts w:cstheme="minorHAnsi"/>
          <w:color w:val="auto"/>
          <w:szCs w:val="22"/>
        </w:rPr>
        <w:lastRenderedPageBreak/>
        <w:t>First Nations</w:t>
      </w:r>
      <w:r w:rsidR="00791A68" w:rsidRPr="004F316A">
        <w:rPr>
          <w:rFonts w:cstheme="minorHAnsi"/>
          <w:color w:val="auto"/>
          <w:szCs w:val="22"/>
        </w:rPr>
        <w:t xml:space="preserve"> people want </w:t>
      </w:r>
      <w:r w:rsidR="00791A68" w:rsidRPr="002949B5">
        <w:rPr>
          <w:rFonts w:cstheme="minorHAnsi"/>
          <w:color w:val="auto"/>
          <w:szCs w:val="22"/>
        </w:rPr>
        <w:t xml:space="preserve">access to stable, quality, accessible, affordable and culturally appropriate housing (NHSAC 2024). As outlined in </w:t>
      </w:r>
      <w:r w:rsidR="00791A68" w:rsidRPr="002949B5">
        <w:rPr>
          <w:rStyle w:val="Emphasis"/>
        </w:rPr>
        <w:t>State of the Housing System 2024</w:t>
      </w:r>
      <w:r w:rsidR="00791A68" w:rsidRPr="002949B5">
        <w:rPr>
          <w:rFonts w:cstheme="minorHAnsi"/>
          <w:color w:val="auto"/>
          <w:szCs w:val="22"/>
        </w:rPr>
        <w:t xml:space="preserve">, access to housing is critical to empowering </w:t>
      </w:r>
      <w:r w:rsidRPr="002949B5">
        <w:rPr>
          <w:rFonts w:cstheme="minorHAnsi"/>
          <w:color w:val="auto"/>
          <w:szCs w:val="22"/>
        </w:rPr>
        <w:t>First Nations</w:t>
      </w:r>
      <w:r w:rsidR="00791A68" w:rsidRPr="002949B5">
        <w:rPr>
          <w:rFonts w:cstheme="minorHAnsi"/>
          <w:color w:val="auto"/>
          <w:szCs w:val="22"/>
        </w:rPr>
        <w:t xml:space="preserve"> individuals, families and communities to optimise </w:t>
      </w:r>
      <w:r w:rsidR="00990F79" w:rsidRPr="002949B5">
        <w:rPr>
          <w:rFonts w:cstheme="minorHAnsi"/>
          <w:color w:val="auto"/>
          <w:szCs w:val="22"/>
        </w:rPr>
        <w:t xml:space="preserve">their </w:t>
      </w:r>
      <w:r w:rsidR="00791A68" w:rsidRPr="002949B5">
        <w:rPr>
          <w:rFonts w:cstheme="minorHAnsi"/>
          <w:color w:val="auto"/>
          <w:szCs w:val="22"/>
        </w:rPr>
        <w:t xml:space="preserve">health and wellbeing; improve employment opportunities; gain education; and provide connection to community and a sense of home. </w:t>
      </w:r>
      <w:r w:rsidRPr="002949B5">
        <w:rPr>
          <w:color w:val="auto"/>
          <w:szCs w:val="22"/>
        </w:rPr>
        <w:t>First Nations</w:t>
      </w:r>
      <w:r w:rsidR="00791A68" w:rsidRPr="002949B5">
        <w:rPr>
          <w:color w:val="auto"/>
          <w:szCs w:val="22"/>
        </w:rPr>
        <w:t xml:space="preserve"> people experience the housing system in different ways to non</w:t>
      </w:r>
      <w:r w:rsidR="00A15C79" w:rsidRPr="002949B5">
        <w:rPr>
          <w:color w:val="auto"/>
          <w:szCs w:val="22"/>
        </w:rPr>
        <w:noBreakHyphen/>
      </w:r>
      <w:r w:rsidR="00791A68" w:rsidRPr="002949B5">
        <w:rPr>
          <w:color w:val="auto"/>
          <w:szCs w:val="22"/>
        </w:rPr>
        <w:t>Indigenous Australians. This includes</w:t>
      </w:r>
      <w:r w:rsidR="00D25D35" w:rsidRPr="002949B5">
        <w:rPr>
          <w:color w:val="auto"/>
          <w:szCs w:val="22"/>
        </w:rPr>
        <w:t xml:space="preserve"> having</w:t>
      </w:r>
      <w:r w:rsidR="00791A68" w:rsidRPr="002949B5">
        <w:rPr>
          <w:color w:val="auto"/>
          <w:szCs w:val="22"/>
        </w:rPr>
        <w:t xml:space="preserve"> lower home ownership rates and </w:t>
      </w:r>
      <w:r w:rsidR="00D25D35" w:rsidRPr="002949B5">
        <w:rPr>
          <w:color w:val="auto"/>
          <w:szCs w:val="22"/>
        </w:rPr>
        <w:t xml:space="preserve">being </w:t>
      </w:r>
      <w:r w:rsidR="00791A68" w:rsidRPr="002949B5">
        <w:rPr>
          <w:color w:val="auto"/>
          <w:szCs w:val="22"/>
        </w:rPr>
        <w:t>disproportionate</w:t>
      </w:r>
      <w:r w:rsidR="00D25D35" w:rsidRPr="002949B5">
        <w:rPr>
          <w:color w:val="auto"/>
          <w:szCs w:val="22"/>
        </w:rPr>
        <w:t>ly</w:t>
      </w:r>
      <w:r w:rsidR="00791A68" w:rsidRPr="002949B5">
        <w:rPr>
          <w:color w:val="auto"/>
          <w:szCs w:val="22"/>
        </w:rPr>
        <w:t xml:space="preserve"> represent</w:t>
      </w:r>
      <w:r w:rsidR="00D25D35" w:rsidRPr="002949B5">
        <w:rPr>
          <w:color w:val="auto"/>
          <w:szCs w:val="22"/>
        </w:rPr>
        <w:t>ed</w:t>
      </w:r>
      <w:r w:rsidR="00791A68" w:rsidRPr="002949B5">
        <w:rPr>
          <w:color w:val="auto"/>
          <w:szCs w:val="22"/>
        </w:rPr>
        <w:t xml:space="preserve"> among those experiencing homelessness or living in social housing (P</w:t>
      </w:r>
      <w:r w:rsidR="00581692" w:rsidRPr="002949B5">
        <w:rPr>
          <w:color w:val="auto"/>
          <w:szCs w:val="22"/>
        </w:rPr>
        <w:t>roduc</w:t>
      </w:r>
      <w:r w:rsidR="00213E63" w:rsidRPr="002949B5">
        <w:rPr>
          <w:color w:val="auto"/>
          <w:szCs w:val="22"/>
        </w:rPr>
        <w:t>tivity</w:t>
      </w:r>
      <w:r w:rsidR="00581692" w:rsidRPr="002949B5">
        <w:rPr>
          <w:color w:val="auto"/>
          <w:szCs w:val="22"/>
        </w:rPr>
        <w:t xml:space="preserve"> </w:t>
      </w:r>
      <w:r w:rsidR="00791A68" w:rsidRPr="002949B5">
        <w:rPr>
          <w:color w:val="auto"/>
          <w:szCs w:val="22"/>
        </w:rPr>
        <w:t>C</w:t>
      </w:r>
      <w:r w:rsidR="00213E63" w:rsidRPr="002949B5">
        <w:rPr>
          <w:color w:val="auto"/>
          <w:szCs w:val="22"/>
        </w:rPr>
        <w:t>ommission</w:t>
      </w:r>
      <w:r w:rsidR="00791A68" w:rsidRPr="002949B5">
        <w:rPr>
          <w:color w:val="auto"/>
          <w:szCs w:val="22"/>
        </w:rPr>
        <w:t xml:space="preserve"> 2022). </w:t>
      </w:r>
    </w:p>
    <w:p w14:paraId="694F14CD" w14:textId="6368796A" w:rsidR="00791A68" w:rsidRDefault="00791A68" w:rsidP="001B4EAF">
      <w:r w:rsidRPr="002949B5">
        <w:t>This chapter builds on</w:t>
      </w:r>
      <w:r w:rsidR="009A0914" w:rsidRPr="002949B5">
        <w:t xml:space="preserve"> </w:t>
      </w:r>
      <w:r w:rsidRPr="002949B5">
        <w:rPr>
          <w:rStyle w:val="Emphasis"/>
        </w:rPr>
        <w:t>State of the Housing System 2024</w:t>
      </w:r>
      <w:r w:rsidRPr="002949B5">
        <w:t xml:space="preserve"> by drawing on insights from consultation with </w:t>
      </w:r>
      <w:r w:rsidR="0099326B" w:rsidRPr="002949B5">
        <w:t>First Nations</w:t>
      </w:r>
      <w:r w:rsidRPr="002949B5">
        <w:t xml:space="preserve"> organisations</w:t>
      </w:r>
      <w:r w:rsidRPr="002949B5" w:rsidDel="00343F87">
        <w:t xml:space="preserve"> </w:t>
      </w:r>
      <w:r w:rsidRPr="002949B5">
        <w:t xml:space="preserve">and updating data where possible. It reiterates key differences </w:t>
      </w:r>
      <w:r w:rsidR="00E93670" w:rsidRPr="002949B5">
        <w:t>between</w:t>
      </w:r>
      <w:r w:rsidRPr="002949B5">
        <w:t xml:space="preserve"> the housing experience</w:t>
      </w:r>
      <w:r w:rsidR="00E170A6" w:rsidRPr="002949B5">
        <w:t xml:space="preserve"> of </w:t>
      </w:r>
      <w:r w:rsidR="0099326B" w:rsidRPr="002949B5">
        <w:t>First Nations</w:t>
      </w:r>
      <w:r w:rsidR="00E170A6" w:rsidRPr="002949B5">
        <w:t xml:space="preserve"> people and</w:t>
      </w:r>
      <w:r w:rsidR="00E170A6">
        <w:t xml:space="preserve"> that of non</w:t>
      </w:r>
      <w:r w:rsidR="00A15C79">
        <w:noBreakHyphen/>
      </w:r>
      <w:r w:rsidR="00E170A6">
        <w:t>Indigenous Australian</w:t>
      </w:r>
      <w:r w:rsidR="00BA6AF6">
        <w:t>s</w:t>
      </w:r>
      <w:r>
        <w:t xml:space="preserve">, </w:t>
      </w:r>
      <w:r w:rsidRPr="004F316A">
        <w:t>noting this is not an exhaustive summary</w:t>
      </w:r>
      <w:r>
        <w:t>.</w:t>
      </w:r>
    </w:p>
    <w:tbl>
      <w:tblPr>
        <w:tblW w:w="5000" w:type="pct"/>
        <w:shd w:val="clear" w:color="auto" w:fill="F2E3C7" w:themeFill="background2"/>
        <w:tblCellMar>
          <w:top w:w="284" w:type="dxa"/>
          <w:left w:w="284" w:type="dxa"/>
          <w:bottom w:w="284" w:type="dxa"/>
          <w:right w:w="284" w:type="dxa"/>
        </w:tblCellMar>
        <w:tblLook w:val="0600" w:firstRow="0" w:lastRow="0" w:firstColumn="0" w:lastColumn="0" w:noHBand="1" w:noVBand="1"/>
      </w:tblPr>
      <w:tblGrid>
        <w:gridCol w:w="9070"/>
      </w:tblGrid>
      <w:tr w:rsidR="002D209A" w14:paraId="02AA4B79" w14:textId="77777777" w:rsidTr="00ED61E1">
        <w:tc>
          <w:tcPr>
            <w:tcW w:w="5000" w:type="pct"/>
            <w:shd w:val="clear" w:color="auto" w:fill="F2E3C7" w:themeFill="background2"/>
            <w:hideMark/>
          </w:tcPr>
          <w:p w14:paraId="059F138C" w14:textId="77777777" w:rsidR="002D209A" w:rsidRPr="000D5374" w:rsidRDefault="002D209A" w:rsidP="002D209A">
            <w:pPr>
              <w:pStyle w:val="BoxHeadingBox11"/>
            </w:pPr>
            <w:r w:rsidRPr="000D5374">
              <w:t xml:space="preserve">Insights from </w:t>
            </w:r>
            <w:r>
              <w:t>First Nations</w:t>
            </w:r>
            <w:r w:rsidRPr="000D5374">
              <w:t xml:space="preserve"> </w:t>
            </w:r>
            <w:r>
              <w:t>c</w:t>
            </w:r>
            <w:r w:rsidRPr="000D5374">
              <w:t>onsultation</w:t>
            </w:r>
            <w:r>
              <w:t>s</w:t>
            </w:r>
          </w:p>
          <w:p w14:paraId="42BDA1C6" w14:textId="77777777" w:rsidR="002D209A" w:rsidRDefault="002D209A" w:rsidP="002D209A">
            <w:pPr>
              <w:pStyle w:val="BoxtextNumbered3111"/>
              <w:ind w:left="0" w:firstLine="0"/>
            </w:pPr>
            <w:r w:rsidRPr="00D869D4">
              <w:t xml:space="preserve">The Council consulted with a number of First Nations organisations in February 2025. The following </w:t>
            </w:r>
            <w:r>
              <w:t xml:space="preserve">key points </w:t>
            </w:r>
            <w:r w:rsidRPr="008C46C0">
              <w:t xml:space="preserve">were raised </w:t>
            </w:r>
            <w:r>
              <w:t>during</w:t>
            </w:r>
            <w:r w:rsidRPr="008C46C0">
              <w:t xml:space="preserve"> </w:t>
            </w:r>
            <w:r w:rsidRPr="00D869D4">
              <w:t>these consultations.</w:t>
            </w:r>
          </w:p>
          <w:p w14:paraId="7FF40071" w14:textId="77777777" w:rsidR="002D209A" w:rsidRDefault="002D209A" w:rsidP="002D209A">
            <w:pPr>
              <w:pStyle w:val="Boxbullet"/>
            </w:pPr>
            <w:r>
              <w:t>S</w:t>
            </w:r>
            <w:r w:rsidRPr="004F316A">
              <w:t xml:space="preserve">table housing is critical to </w:t>
            </w:r>
            <w:r>
              <w:t>improving</w:t>
            </w:r>
            <w:r w:rsidRPr="004F316A">
              <w:t xml:space="preserve"> health and education outcomes</w:t>
            </w:r>
            <w:r>
              <w:t xml:space="preserve"> for First Nations people</w:t>
            </w:r>
            <w:r w:rsidRPr="004F316A">
              <w:t xml:space="preserve">. </w:t>
            </w:r>
            <w:r>
              <w:t xml:space="preserve">These are foundations for </w:t>
            </w:r>
            <w:r w:rsidRPr="004F316A">
              <w:t>personal security, personal development and active participation in the community.</w:t>
            </w:r>
            <w:r>
              <w:t xml:space="preserve"> </w:t>
            </w:r>
          </w:p>
          <w:p w14:paraId="4EC1F53F" w14:textId="77777777" w:rsidR="002D209A" w:rsidRPr="004F316A" w:rsidRDefault="002D209A" w:rsidP="002D209A">
            <w:pPr>
              <w:pStyle w:val="Boxbullet"/>
            </w:pPr>
            <w:r>
              <w:rPr>
                <w:color w:val="auto"/>
              </w:rPr>
              <w:t>I</w:t>
            </w:r>
            <w:r w:rsidRPr="007B4257">
              <w:rPr>
                <w:color w:val="auto"/>
              </w:rPr>
              <w:t xml:space="preserve">nvestment in the construction and renovation of </w:t>
            </w:r>
            <w:r>
              <w:rPr>
                <w:color w:val="auto"/>
              </w:rPr>
              <w:t xml:space="preserve">dwellings in remote and regional communities would </w:t>
            </w:r>
            <w:r w:rsidRPr="007B4257">
              <w:rPr>
                <w:color w:val="auto"/>
              </w:rPr>
              <w:t>reduce overcrowding and improve living conditions</w:t>
            </w:r>
            <w:r>
              <w:rPr>
                <w:color w:val="auto"/>
              </w:rPr>
              <w:t>.</w:t>
            </w:r>
          </w:p>
          <w:p w14:paraId="01EA5805" w14:textId="77777777" w:rsidR="002D209A" w:rsidRDefault="002D209A" w:rsidP="002D209A">
            <w:pPr>
              <w:pStyle w:val="Boxbullet"/>
            </w:pPr>
            <w:r>
              <w:t xml:space="preserve">Current commitments to increase social and affordable housing are not well tailored to First Nations people. </w:t>
            </w:r>
          </w:p>
          <w:p w14:paraId="163F5B09" w14:textId="77777777" w:rsidR="002D209A" w:rsidRDefault="002D209A" w:rsidP="002D209A">
            <w:pPr>
              <w:pStyle w:val="Boxbullet"/>
            </w:pPr>
            <w:r>
              <w:t>A significant number of potential First Nations home owners face non</w:t>
            </w:r>
            <w:r>
              <w:noBreakHyphen/>
              <w:t>income and non</w:t>
            </w:r>
            <w:r>
              <w:noBreakHyphen/>
              <w:t>demographic barriers to home ownership.</w:t>
            </w:r>
          </w:p>
          <w:p w14:paraId="179429FD" w14:textId="77777777" w:rsidR="002D209A" w:rsidRDefault="002D209A" w:rsidP="002D209A">
            <w:pPr>
              <w:pStyle w:val="Boxbullet"/>
            </w:pPr>
            <w:r>
              <w:t>Funding should be targeted towards First Nations housing programs specifically designed to meet the needs of First Nations people, and this funding should be reviewed to ensure alignment between expenditure and actual housing outcomes.</w:t>
            </w:r>
          </w:p>
          <w:p w14:paraId="2A1B7E7E" w14:textId="77777777" w:rsidR="002D209A" w:rsidRDefault="002D209A" w:rsidP="002D209A">
            <w:pPr>
              <w:pStyle w:val="Boxbullet"/>
            </w:pPr>
            <w:r>
              <w:t>Better First Nations housing data is needed to inform policy decisions, and First Nations people should be the custodians of this data.</w:t>
            </w:r>
          </w:p>
          <w:p w14:paraId="7BD0685C" w14:textId="77777777" w:rsidR="002D209A" w:rsidRPr="00E904EF" w:rsidRDefault="002D209A" w:rsidP="002D209A">
            <w:pPr>
              <w:pStyle w:val="Boxbullet"/>
              <w:rPr>
                <w:color w:val="auto"/>
              </w:rPr>
            </w:pPr>
            <w:r w:rsidRPr="00E904EF">
              <w:rPr>
                <w:color w:val="auto"/>
              </w:rPr>
              <w:t>E</w:t>
            </w:r>
            <w:r w:rsidRPr="00552A95">
              <w:rPr>
                <w:color w:val="auto"/>
              </w:rPr>
              <w:t xml:space="preserve">xisting </w:t>
            </w:r>
            <w:r>
              <w:rPr>
                <w:color w:val="auto"/>
              </w:rPr>
              <w:t>First Nations</w:t>
            </w:r>
            <w:r w:rsidRPr="00F9729C">
              <w:rPr>
                <w:color w:val="auto"/>
              </w:rPr>
              <w:t xml:space="preserve"> </w:t>
            </w:r>
            <w:r w:rsidRPr="00552A95">
              <w:rPr>
                <w:color w:val="auto"/>
              </w:rPr>
              <w:t>housing commitments</w:t>
            </w:r>
            <w:r w:rsidRPr="00E904EF">
              <w:rPr>
                <w:color w:val="auto"/>
              </w:rPr>
              <w:t xml:space="preserve"> should be delivered</w:t>
            </w:r>
            <w:r>
              <w:rPr>
                <w:color w:val="auto"/>
              </w:rPr>
              <w:t xml:space="preserve"> </w:t>
            </w:r>
            <w:r w:rsidRPr="00E904EF">
              <w:rPr>
                <w:color w:val="auto"/>
              </w:rPr>
              <w:t>and complemented by ongoing monitoring and a long</w:t>
            </w:r>
            <w:r>
              <w:rPr>
                <w:color w:val="auto"/>
              </w:rPr>
              <w:noBreakHyphen/>
            </w:r>
            <w:r w:rsidRPr="00E904EF">
              <w:rPr>
                <w:color w:val="auto"/>
              </w:rPr>
              <w:t>term housing investment strategy.</w:t>
            </w:r>
          </w:p>
          <w:p w14:paraId="2600AAEF" w14:textId="0540814B" w:rsidR="002D209A" w:rsidRDefault="002D209A" w:rsidP="000B3417">
            <w:pPr>
              <w:pStyle w:val="Boxbullet"/>
            </w:pPr>
            <w:r>
              <w:t>The housing challenges facing First Nations</w:t>
            </w:r>
            <w:r w:rsidRPr="007B4257">
              <w:t xml:space="preserve"> </w:t>
            </w:r>
            <w:r>
              <w:t>communities require First Nations-</w:t>
            </w:r>
            <w:r w:rsidRPr="007B4257">
              <w:t>led solutions</w:t>
            </w:r>
            <w:r>
              <w:t>.</w:t>
            </w:r>
          </w:p>
        </w:tc>
      </w:tr>
    </w:tbl>
    <w:p w14:paraId="62F2D5A6" w14:textId="77777777" w:rsidR="00AF4C27" w:rsidRDefault="00AF4C27" w:rsidP="002D209A">
      <w:bookmarkStart w:id="156" w:name="_Toc195026612"/>
      <w:r>
        <w:br w:type="page"/>
      </w:r>
    </w:p>
    <w:p w14:paraId="48552D19" w14:textId="70009F79" w:rsidR="00791A68" w:rsidRPr="009628A8" w:rsidRDefault="00791A68" w:rsidP="0099326B">
      <w:pPr>
        <w:pStyle w:val="Heading2Numbered"/>
        <w:numPr>
          <w:ilvl w:val="1"/>
          <w:numId w:val="14"/>
        </w:numPr>
      </w:pPr>
      <w:bookmarkStart w:id="157" w:name="_Toc196395903"/>
      <w:r w:rsidRPr="009628A8">
        <w:lastRenderedPageBreak/>
        <w:t xml:space="preserve">A brief history of </w:t>
      </w:r>
      <w:r w:rsidR="0099326B">
        <w:t>First Nations</w:t>
      </w:r>
      <w:r w:rsidRPr="009628A8">
        <w:t xml:space="preserve"> housing</w:t>
      </w:r>
      <w:bookmarkEnd w:id="156"/>
      <w:bookmarkEnd w:id="157"/>
    </w:p>
    <w:p w14:paraId="06AFF393" w14:textId="300A7B45" w:rsidR="00791A68" w:rsidRPr="004F316A" w:rsidRDefault="00791A68">
      <w:r w:rsidRPr="004F316A">
        <w:t xml:space="preserve">The historical and cultural implications </w:t>
      </w:r>
      <w:r w:rsidR="00EA0A43">
        <w:t>of</w:t>
      </w:r>
      <w:r w:rsidRPr="004F316A">
        <w:t xml:space="preserve"> colonisation in 1788 and subsequent government policies and programs has profoundly impacted the current state of housing for </w:t>
      </w:r>
      <w:r w:rsidR="0099326B">
        <w:t>First Nations</w:t>
      </w:r>
      <w:r w:rsidRPr="004F316A">
        <w:t xml:space="preserve"> Australians (Pawson et al. 2020). Government policies, including no</w:t>
      </w:r>
      <w:r w:rsidR="00A15C79">
        <w:noBreakHyphen/>
      </w:r>
      <w:r w:rsidRPr="004F316A">
        <w:t xml:space="preserve">wage or subsistence employment, forced removal from Country and forced removal of children from families created intergenerational disadvantages for </w:t>
      </w:r>
      <w:r w:rsidR="0099326B">
        <w:t>First Nations</w:t>
      </w:r>
      <w:r w:rsidRPr="004F316A">
        <w:t xml:space="preserve"> people. </w:t>
      </w:r>
    </w:p>
    <w:p w14:paraId="271FF990" w14:textId="37715562" w:rsidR="00791A68" w:rsidRPr="003C0D9D" w:rsidRDefault="00791A68">
      <w:r w:rsidRPr="004F316A">
        <w:t xml:space="preserve">Government housing policies have often exacerbated </w:t>
      </w:r>
      <w:r w:rsidR="00A15C79">
        <w:t>‘</w:t>
      </w:r>
      <w:r w:rsidRPr="004F316A">
        <w:t>marginalisation, racism, disempowerment and disadvantage</w:t>
      </w:r>
      <w:r w:rsidR="00A15C79">
        <w:t>’</w:t>
      </w:r>
      <w:r w:rsidRPr="004F316A">
        <w:t xml:space="preserve"> </w:t>
      </w:r>
      <w:r>
        <w:t xml:space="preserve">for </w:t>
      </w:r>
      <w:r w:rsidR="0099326B">
        <w:t>First Nations</w:t>
      </w:r>
      <w:r>
        <w:t xml:space="preserve"> people </w:t>
      </w:r>
      <w:r w:rsidRPr="004F316A">
        <w:t>(Pawson</w:t>
      </w:r>
      <w:r w:rsidR="0063005C">
        <w:t xml:space="preserve"> </w:t>
      </w:r>
      <w:r w:rsidRPr="004F316A">
        <w:t xml:space="preserve">et al. 2020). Throughout the late 1800s </w:t>
      </w:r>
      <w:r w:rsidR="00420537">
        <w:t>to the</w:t>
      </w:r>
      <w:r w:rsidRPr="004F316A">
        <w:t xml:space="preserve"> </w:t>
      </w:r>
      <w:r w:rsidR="007C6FB4">
        <w:t>mid</w:t>
      </w:r>
      <w:r w:rsidR="00EC1EC1">
        <w:noBreakHyphen/>
      </w:r>
      <w:r w:rsidR="007C6FB4" w:rsidRPr="004F316A">
        <w:t>1900s</w:t>
      </w:r>
      <w:r w:rsidRPr="004F316A">
        <w:t xml:space="preserve">, policies involved the removal of </w:t>
      </w:r>
      <w:r w:rsidR="0099326B">
        <w:t>First Nations</w:t>
      </w:r>
      <w:r w:rsidRPr="004F316A">
        <w:t xml:space="preserve"> people </w:t>
      </w:r>
      <w:r w:rsidR="0063005C">
        <w:t>from their traditional</w:t>
      </w:r>
      <w:r w:rsidR="001560E3">
        <w:t xml:space="preserve"> lands </w:t>
      </w:r>
      <w:r w:rsidR="0063005C" w:rsidRPr="0063005C">
        <w:t xml:space="preserve">and segregation </w:t>
      </w:r>
      <w:r w:rsidRPr="004F316A">
        <w:t>on missions</w:t>
      </w:r>
      <w:r w:rsidR="001560E3">
        <w:t xml:space="preserve"> and</w:t>
      </w:r>
      <w:r w:rsidRPr="004F316A">
        <w:t xml:space="preserve"> reserves or </w:t>
      </w:r>
      <w:r w:rsidR="001560E3">
        <w:t xml:space="preserve">in </w:t>
      </w:r>
      <w:r w:rsidRPr="004F316A">
        <w:t>institutions</w:t>
      </w:r>
      <w:r w:rsidR="001560E3">
        <w:t>. These activities were</w:t>
      </w:r>
      <w:r w:rsidRPr="004F316A">
        <w:t xml:space="preserve"> underpinned by </w:t>
      </w:r>
      <w:r w:rsidR="00A15C79">
        <w:t>‘</w:t>
      </w:r>
      <w:r w:rsidRPr="004F316A">
        <w:t>protectionist</w:t>
      </w:r>
      <w:r w:rsidR="00A15C79">
        <w:t>’</w:t>
      </w:r>
      <w:r w:rsidRPr="004F316A">
        <w:t xml:space="preserve"> and assimilation legislation and excluding </w:t>
      </w:r>
      <w:r w:rsidR="0099326B">
        <w:t>First Nations</w:t>
      </w:r>
      <w:r w:rsidRPr="004F316A">
        <w:t xml:space="preserve"> people from mainstream housing options (Human Rights and Equal Opportunity Commission</w:t>
      </w:r>
      <w:r w:rsidR="007C6FB4">
        <w:t xml:space="preserve"> </w:t>
      </w:r>
      <w:r w:rsidRPr="004F316A">
        <w:t xml:space="preserve">1997). </w:t>
      </w:r>
      <w:r w:rsidR="005C0CF2">
        <w:t>Before</w:t>
      </w:r>
      <w:r w:rsidRPr="004F316A">
        <w:t xml:space="preserve"> the 1967 Referendum, </w:t>
      </w:r>
      <w:r w:rsidR="0099326B">
        <w:t>First Nations</w:t>
      </w:r>
      <w:r w:rsidRPr="004F316A">
        <w:t xml:space="preserve"> people could not freely own property across all states and territories (Reconciliation Australia 2020).</w:t>
      </w:r>
    </w:p>
    <w:p w14:paraId="10B5D4C5" w14:textId="6AAACBE3" w:rsidR="00791A68" w:rsidRPr="003C0D9D" w:rsidRDefault="00791A68">
      <w:pPr>
        <w:rPr>
          <w:rFonts w:cstheme="minorHAnsi"/>
          <w:color w:val="auto"/>
          <w:szCs w:val="22"/>
        </w:rPr>
      </w:pPr>
      <w:r w:rsidRPr="004F316A">
        <w:rPr>
          <w:rFonts w:cstheme="minorHAnsi"/>
          <w:color w:val="auto"/>
          <w:szCs w:val="22"/>
        </w:rPr>
        <w:t>From the 1970s to the 1980s</w:t>
      </w:r>
      <w:r w:rsidR="006B0DA9">
        <w:rPr>
          <w:rFonts w:cstheme="minorHAnsi"/>
          <w:color w:val="auto"/>
          <w:szCs w:val="22"/>
        </w:rPr>
        <w:t>,</w:t>
      </w:r>
      <w:r w:rsidRPr="004F316A">
        <w:rPr>
          <w:rFonts w:cstheme="minorHAnsi"/>
          <w:color w:val="auto"/>
          <w:szCs w:val="22"/>
        </w:rPr>
        <w:t xml:space="preserve"> Aboriginal and </w:t>
      </w:r>
      <w:r w:rsidR="0099326B">
        <w:rPr>
          <w:rFonts w:cstheme="minorHAnsi"/>
          <w:color w:val="auto"/>
          <w:szCs w:val="22"/>
        </w:rPr>
        <w:t>Torres Strait</w:t>
      </w:r>
      <w:r w:rsidRPr="004F316A">
        <w:rPr>
          <w:rFonts w:cstheme="minorHAnsi"/>
          <w:color w:val="auto"/>
          <w:szCs w:val="22"/>
        </w:rPr>
        <w:t xml:space="preserve"> Islander Community Controlled Housing Organisations were established across Australia</w:t>
      </w:r>
      <w:r w:rsidR="009A178D">
        <w:rPr>
          <w:rFonts w:cstheme="minorHAnsi"/>
          <w:color w:val="auto"/>
          <w:szCs w:val="22"/>
        </w:rPr>
        <w:t xml:space="preserve"> </w:t>
      </w:r>
      <w:r w:rsidRPr="004F316A">
        <w:rPr>
          <w:rFonts w:cstheme="minorHAnsi"/>
          <w:color w:val="auto"/>
          <w:szCs w:val="22"/>
        </w:rPr>
        <w:t xml:space="preserve">by community leaders and supported </w:t>
      </w:r>
      <w:r w:rsidR="00FC4AF3">
        <w:rPr>
          <w:rFonts w:cstheme="minorHAnsi"/>
          <w:color w:val="auto"/>
          <w:szCs w:val="22"/>
        </w:rPr>
        <w:t>by</w:t>
      </w:r>
      <w:r w:rsidRPr="004F316A">
        <w:rPr>
          <w:rFonts w:cstheme="minorHAnsi"/>
          <w:color w:val="auto"/>
          <w:szCs w:val="22"/>
        </w:rPr>
        <w:t xml:space="preserve"> dedicated </w:t>
      </w:r>
      <w:r w:rsidR="0099326B">
        <w:rPr>
          <w:rFonts w:cstheme="minorHAnsi"/>
          <w:color w:val="auto"/>
          <w:szCs w:val="22"/>
        </w:rPr>
        <w:t>Australian Government</w:t>
      </w:r>
      <w:r w:rsidRPr="004F316A">
        <w:rPr>
          <w:rFonts w:cstheme="minorHAnsi"/>
          <w:color w:val="auto"/>
          <w:szCs w:val="22"/>
        </w:rPr>
        <w:t xml:space="preserve"> funding </w:t>
      </w:r>
      <w:r w:rsidR="00FC4AF3">
        <w:rPr>
          <w:rFonts w:cstheme="minorHAnsi"/>
          <w:color w:val="auto"/>
          <w:szCs w:val="22"/>
        </w:rPr>
        <w:t>through</w:t>
      </w:r>
      <w:r w:rsidRPr="004F316A">
        <w:rPr>
          <w:rFonts w:cstheme="minorHAnsi"/>
          <w:color w:val="auto"/>
          <w:szCs w:val="22"/>
        </w:rPr>
        <w:t xml:space="preserve"> the </w:t>
      </w:r>
      <w:r w:rsidRPr="00D70359">
        <w:rPr>
          <w:rFonts w:cstheme="minorHAnsi"/>
          <w:color w:val="auto"/>
          <w:szCs w:val="22"/>
        </w:rPr>
        <w:t>Community Housing and Infrastructure Program</w:t>
      </w:r>
      <w:r w:rsidRPr="004F316A">
        <w:rPr>
          <w:rFonts w:cstheme="minorHAnsi"/>
          <w:color w:val="auto"/>
          <w:szCs w:val="22"/>
        </w:rPr>
        <w:t xml:space="preserve"> (CHIP). </w:t>
      </w:r>
      <w:r w:rsidR="00FC4AF3">
        <w:rPr>
          <w:rFonts w:cstheme="minorHAnsi"/>
          <w:color w:val="auto"/>
          <w:szCs w:val="22"/>
        </w:rPr>
        <w:t>The CHIP</w:t>
      </w:r>
      <w:r w:rsidRPr="004F316A">
        <w:rPr>
          <w:rFonts w:cstheme="minorHAnsi"/>
          <w:color w:val="auto"/>
          <w:szCs w:val="22"/>
        </w:rPr>
        <w:t xml:space="preserve"> funded housing and infrastructure, including </w:t>
      </w:r>
      <w:r w:rsidR="005A068C">
        <w:rPr>
          <w:rFonts w:cstheme="minorHAnsi"/>
          <w:color w:val="auto"/>
          <w:szCs w:val="22"/>
        </w:rPr>
        <w:t xml:space="preserve">for </w:t>
      </w:r>
      <w:r w:rsidRPr="004F316A">
        <w:rPr>
          <w:rFonts w:cstheme="minorHAnsi"/>
          <w:color w:val="auto"/>
          <w:szCs w:val="22"/>
        </w:rPr>
        <w:t>water, power and sewerage</w:t>
      </w:r>
      <w:r w:rsidR="005A068C">
        <w:rPr>
          <w:rFonts w:cstheme="minorHAnsi"/>
          <w:color w:val="auto"/>
          <w:szCs w:val="22"/>
        </w:rPr>
        <w:t xml:space="preserve"> services</w:t>
      </w:r>
      <w:r w:rsidR="007F7A54">
        <w:rPr>
          <w:rFonts w:cstheme="minorHAnsi"/>
          <w:color w:val="auto"/>
          <w:szCs w:val="22"/>
        </w:rPr>
        <w:t>,</w:t>
      </w:r>
      <w:r w:rsidRPr="004F316A">
        <w:rPr>
          <w:rFonts w:cstheme="minorHAnsi"/>
          <w:color w:val="auto"/>
          <w:szCs w:val="22"/>
        </w:rPr>
        <w:t xml:space="preserve"> until it was dismantled in 200</w:t>
      </w:r>
      <w:r>
        <w:rPr>
          <w:rFonts w:cstheme="minorHAnsi"/>
          <w:color w:val="auto"/>
          <w:szCs w:val="22"/>
        </w:rPr>
        <w:t>7.</w:t>
      </w:r>
    </w:p>
    <w:p w14:paraId="2AB039AC" w14:textId="374BC094" w:rsidR="00791A68" w:rsidRPr="009628A8" w:rsidRDefault="00121309">
      <w:pPr>
        <w:rPr>
          <w:iCs/>
          <w:color w:val="auto"/>
        </w:rPr>
      </w:pPr>
      <w:r>
        <w:rPr>
          <w:color w:val="auto"/>
        </w:rPr>
        <w:t>Since</w:t>
      </w:r>
      <w:r w:rsidR="00791A68" w:rsidRPr="009628A8">
        <w:rPr>
          <w:color w:val="auto"/>
        </w:rPr>
        <w:t xml:space="preserve"> the 1990s there have been a series of targeted housing programs for </w:t>
      </w:r>
      <w:r w:rsidR="0099326B">
        <w:rPr>
          <w:color w:val="auto"/>
        </w:rPr>
        <w:t>First Nations</w:t>
      </w:r>
      <w:r w:rsidR="00791A68" w:rsidRPr="009628A8">
        <w:rPr>
          <w:color w:val="auto"/>
        </w:rPr>
        <w:t xml:space="preserve"> people. In 2008 the Council of </w:t>
      </w:r>
      <w:r w:rsidR="0099326B">
        <w:rPr>
          <w:color w:val="auto"/>
        </w:rPr>
        <w:t>Australian Government</w:t>
      </w:r>
      <w:r w:rsidR="00791A68" w:rsidRPr="009628A8">
        <w:rPr>
          <w:color w:val="auto"/>
        </w:rPr>
        <w:t xml:space="preserve">s (COAG) </w:t>
      </w:r>
      <w:r w:rsidR="00301BB2">
        <w:rPr>
          <w:color w:val="auto"/>
        </w:rPr>
        <w:t>formulated</w:t>
      </w:r>
      <w:r w:rsidR="00791A68" w:rsidRPr="009628A8">
        <w:rPr>
          <w:color w:val="auto"/>
        </w:rPr>
        <w:t xml:space="preserve"> the </w:t>
      </w:r>
      <w:r w:rsidR="00791A68" w:rsidRPr="001B4EAF">
        <w:rPr>
          <w:rStyle w:val="Emphasis"/>
        </w:rPr>
        <w:t>National Indigenous Reform Agreement</w:t>
      </w:r>
      <w:r w:rsidR="00791A68" w:rsidRPr="00255C60">
        <w:rPr>
          <w:color w:val="auto"/>
        </w:rPr>
        <w:t xml:space="preserve">, which set out a national integrated strategy for meeting </w:t>
      </w:r>
      <w:r w:rsidR="00791A68" w:rsidRPr="00B37196">
        <w:rPr>
          <w:color w:val="auto"/>
        </w:rPr>
        <w:t>Closing the Gap</w:t>
      </w:r>
      <w:r w:rsidR="00791A68" w:rsidRPr="00255C60">
        <w:rPr>
          <w:color w:val="auto"/>
        </w:rPr>
        <w:t xml:space="preserve"> targets. Underpinning this policy response was the </w:t>
      </w:r>
      <w:r w:rsidR="00791A68" w:rsidRPr="001B4EAF">
        <w:rPr>
          <w:rStyle w:val="Emphasis"/>
        </w:rPr>
        <w:t>National Partnership Agreement on Remote Indigenous Housing</w:t>
      </w:r>
      <w:r w:rsidR="00791A68" w:rsidRPr="00B37196">
        <w:rPr>
          <w:color w:val="auto"/>
        </w:rPr>
        <w:t xml:space="preserve"> (NPARIH)</w:t>
      </w:r>
      <w:r w:rsidR="00791A68" w:rsidRPr="00255C60">
        <w:rPr>
          <w:iCs/>
          <w:color w:val="auto"/>
        </w:rPr>
        <w:t xml:space="preserve">. NPARIH aimed to facilitate reform in the provision of housing for </w:t>
      </w:r>
      <w:r w:rsidR="0099326B">
        <w:rPr>
          <w:iCs/>
          <w:color w:val="auto"/>
        </w:rPr>
        <w:t>First Nations</w:t>
      </w:r>
      <w:r w:rsidR="00791A68" w:rsidRPr="00255C60">
        <w:rPr>
          <w:iCs/>
          <w:color w:val="auto"/>
        </w:rPr>
        <w:t xml:space="preserve"> people in remote communities by addressing overcrowding, homelessness, poor housing conditions and severe housing shortages. The </w:t>
      </w:r>
      <w:r w:rsidR="00791A68" w:rsidRPr="001B4EAF">
        <w:rPr>
          <w:rStyle w:val="Emphasis"/>
        </w:rPr>
        <w:t>National Partnership for Remote Housing</w:t>
      </w:r>
      <w:r w:rsidR="00791A68">
        <w:rPr>
          <w:i/>
          <w:iCs/>
          <w:color w:val="auto"/>
        </w:rPr>
        <w:t xml:space="preserve">, </w:t>
      </w:r>
      <w:r w:rsidR="00791A68" w:rsidRPr="009628A8">
        <w:rPr>
          <w:color w:val="auto"/>
        </w:rPr>
        <w:t>which</w:t>
      </w:r>
      <w:r w:rsidR="00791A68">
        <w:rPr>
          <w:i/>
          <w:iCs/>
          <w:color w:val="auto"/>
        </w:rPr>
        <w:t xml:space="preserve"> </w:t>
      </w:r>
      <w:r w:rsidR="00791A68">
        <w:rPr>
          <w:color w:val="auto"/>
        </w:rPr>
        <w:t>superseded NPARIH</w:t>
      </w:r>
      <w:r w:rsidR="00791A68" w:rsidRPr="009628A8">
        <w:rPr>
          <w:color w:val="auto"/>
        </w:rPr>
        <w:t xml:space="preserve"> </w:t>
      </w:r>
      <w:r w:rsidR="00791A68">
        <w:rPr>
          <w:color w:val="auto"/>
        </w:rPr>
        <w:t>in</w:t>
      </w:r>
      <w:r w:rsidR="00791A68" w:rsidRPr="009628A8">
        <w:rPr>
          <w:color w:val="auto"/>
        </w:rPr>
        <w:t xml:space="preserve"> Queensland, Western Australia, South Australia and </w:t>
      </w:r>
      <w:r w:rsidR="00791A68">
        <w:rPr>
          <w:color w:val="auto"/>
        </w:rPr>
        <w:t xml:space="preserve">the </w:t>
      </w:r>
      <w:r w:rsidR="00791A68" w:rsidRPr="009628A8">
        <w:rPr>
          <w:color w:val="auto"/>
        </w:rPr>
        <w:t>Northern Territory</w:t>
      </w:r>
      <w:r w:rsidR="00791A68">
        <w:rPr>
          <w:color w:val="auto"/>
        </w:rPr>
        <w:t xml:space="preserve">, partnered state and territory </w:t>
      </w:r>
      <w:r w:rsidR="00791A68" w:rsidRPr="009628A8">
        <w:rPr>
          <w:color w:val="auto"/>
        </w:rPr>
        <w:t xml:space="preserve">governments </w:t>
      </w:r>
      <w:r w:rsidR="00791A68">
        <w:rPr>
          <w:color w:val="auto"/>
        </w:rPr>
        <w:t xml:space="preserve">with the </w:t>
      </w:r>
      <w:r w:rsidR="0099326B">
        <w:rPr>
          <w:color w:val="auto"/>
        </w:rPr>
        <w:t>Australian Government</w:t>
      </w:r>
      <w:r w:rsidR="00673589">
        <w:rPr>
          <w:color w:val="auto"/>
        </w:rPr>
        <w:t xml:space="preserve"> </w:t>
      </w:r>
      <w:r w:rsidR="00791A68" w:rsidRPr="009628A8">
        <w:rPr>
          <w:color w:val="auto"/>
        </w:rPr>
        <w:t xml:space="preserve">to deliver housing in remote </w:t>
      </w:r>
      <w:r w:rsidR="0099326B">
        <w:rPr>
          <w:color w:val="auto"/>
        </w:rPr>
        <w:t>First Nations</w:t>
      </w:r>
      <w:r w:rsidR="00791A68" w:rsidRPr="009628A8">
        <w:rPr>
          <w:color w:val="auto"/>
        </w:rPr>
        <w:t xml:space="preserve"> communities. </w:t>
      </w:r>
      <w:r w:rsidR="00791A68">
        <w:rPr>
          <w:color w:val="auto"/>
        </w:rPr>
        <w:t>These</w:t>
      </w:r>
      <w:r w:rsidR="00791A68" w:rsidRPr="009628A8">
        <w:rPr>
          <w:color w:val="auto"/>
        </w:rPr>
        <w:t xml:space="preserve"> programs have been criticised by the </w:t>
      </w:r>
      <w:r w:rsidR="0099326B">
        <w:rPr>
          <w:color w:val="auto"/>
        </w:rPr>
        <w:t>First Nations</w:t>
      </w:r>
      <w:r w:rsidR="00791A68" w:rsidRPr="009628A8">
        <w:rPr>
          <w:color w:val="auto"/>
        </w:rPr>
        <w:t xml:space="preserve"> housing sector for their lack of ongoing government commitment and investment. </w:t>
      </w:r>
    </w:p>
    <w:p w14:paraId="2D51C272" w14:textId="6863EA7D" w:rsidR="00AF4C27" w:rsidRDefault="00791A68" w:rsidP="00AF4C27">
      <w:pPr>
        <w:rPr>
          <w:rFonts w:asciiTheme="majorHAnsi" w:hAnsiTheme="majorHAnsi" w:cs="Arial"/>
          <w:color w:val="auto"/>
          <w:kern w:val="32"/>
          <w:sz w:val="26"/>
          <w:szCs w:val="26"/>
          <w:highlight w:val="lightGray"/>
        </w:rPr>
      </w:pPr>
      <w:r w:rsidRPr="004F316A">
        <w:t xml:space="preserve">In 2022, a new approach to coordinating and addressing </w:t>
      </w:r>
      <w:r w:rsidR="0099326B">
        <w:t>First Nations</w:t>
      </w:r>
      <w:r w:rsidRPr="004F316A">
        <w:t xml:space="preserve"> housing </w:t>
      </w:r>
      <w:r w:rsidR="00673589">
        <w:t xml:space="preserve">issues </w:t>
      </w:r>
      <w:r w:rsidRPr="004F316A">
        <w:t>was instigated. This approach embeds medium</w:t>
      </w:r>
      <w:r w:rsidR="00A15C79">
        <w:noBreakHyphen/>
      </w:r>
      <w:r w:rsidRPr="004F316A">
        <w:t xml:space="preserve">term housing targets in the </w:t>
      </w:r>
      <w:r w:rsidRPr="00574BEC">
        <w:t>National Agreement on Closing the Gap</w:t>
      </w:r>
      <w:r w:rsidRPr="004F316A">
        <w:t xml:space="preserve"> and the establishment of the </w:t>
      </w:r>
      <w:r w:rsidRPr="00574BEC">
        <w:t>Housing Policy Partnership</w:t>
      </w:r>
      <w:r w:rsidRPr="004F316A">
        <w:rPr>
          <w:i/>
        </w:rPr>
        <w:t xml:space="preserve"> </w:t>
      </w:r>
      <w:r w:rsidRPr="004F316A">
        <w:t>to lead and oversee several nationally agreed objectives</w:t>
      </w:r>
      <w:r w:rsidR="008E4210">
        <w:rPr>
          <w:i/>
        </w:rPr>
        <w:t xml:space="preserve">. </w:t>
      </w:r>
      <w:r w:rsidR="00AF4C27">
        <w:rPr>
          <w:highlight w:val="lightGray"/>
        </w:rPr>
        <w:br w:type="page"/>
      </w:r>
    </w:p>
    <w:p w14:paraId="5719FC6E" w14:textId="627B3FF7" w:rsidR="00791A68" w:rsidRPr="00615D25" w:rsidRDefault="00791A68" w:rsidP="00AF4C27">
      <w:pPr>
        <w:pStyle w:val="TableMainHeading"/>
      </w:pPr>
      <w:r w:rsidRPr="00AF4C27">
        <w:lastRenderedPageBreak/>
        <w:t>Commonwealth</w:t>
      </w:r>
      <w:r w:rsidRPr="00615D25">
        <w:t xml:space="preserve"> measures and programs for </w:t>
      </w:r>
      <w:r w:rsidR="0099326B">
        <w:t>First Nations</w:t>
      </w:r>
      <w:r w:rsidRPr="00615D25">
        <w:t xml:space="preserve"> housing </w:t>
      </w:r>
    </w:p>
    <w:tbl>
      <w:tblPr>
        <w:tblStyle w:val="SidebySideChartTable"/>
        <w:tblW w:w="0" w:type="auto"/>
        <w:tblBorders>
          <w:insideH w:val="single" w:sz="4" w:space="0" w:color="F2E3C7" w:themeColor="background2"/>
          <w:insideV w:val="single" w:sz="4" w:space="0" w:color="F2E3C7" w:themeColor="background2"/>
        </w:tblBorders>
        <w:tblCellMar>
          <w:top w:w="85" w:type="dxa"/>
          <w:left w:w="85" w:type="dxa"/>
          <w:bottom w:w="85" w:type="dxa"/>
          <w:right w:w="85" w:type="dxa"/>
        </w:tblCellMar>
        <w:tblLook w:val="04A0" w:firstRow="1" w:lastRow="0" w:firstColumn="1" w:lastColumn="0" w:noHBand="0" w:noVBand="1"/>
      </w:tblPr>
      <w:tblGrid>
        <w:gridCol w:w="2831"/>
        <w:gridCol w:w="3123"/>
        <w:gridCol w:w="1276"/>
        <w:gridCol w:w="1840"/>
      </w:tblGrid>
      <w:tr w:rsidR="00791A68" w:rsidRPr="00615D25" w14:paraId="53FA2EC5" w14:textId="77777777" w:rsidTr="00A72F38">
        <w:trPr>
          <w:trHeight w:val="25"/>
          <w:tblHeader/>
        </w:trPr>
        <w:tc>
          <w:tcPr>
            <w:tcW w:w="0" w:type="auto"/>
            <w:shd w:val="clear" w:color="auto" w:fill="F2E3C7" w:themeFill="background2"/>
            <w:tcMar>
              <w:left w:w="108" w:type="dxa"/>
              <w:right w:w="108" w:type="dxa"/>
            </w:tcMar>
            <w:hideMark/>
          </w:tcPr>
          <w:p w14:paraId="1AF5EBB1" w14:textId="77777777" w:rsidR="00791A68" w:rsidRPr="001B4EAF" w:rsidRDefault="00791A68" w:rsidP="001B4EAF">
            <w:pPr>
              <w:pStyle w:val="TableColumnHeadingLeft"/>
            </w:pPr>
            <w:r w:rsidRPr="001B4EAF">
              <w:t>Program</w:t>
            </w:r>
          </w:p>
        </w:tc>
        <w:tc>
          <w:tcPr>
            <w:tcW w:w="3123" w:type="dxa"/>
            <w:shd w:val="clear" w:color="auto" w:fill="F2E3C7" w:themeFill="background2"/>
            <w:tcMar>
              <w:left w:w="108" w:type="dxa"/>
              <w:right w:w="108" w:type="dxa"/>
            </w:tcMar>
            <w:hideMark/>
          </w:tcPr>
          <w:p w14:paraId="675FB612" w14:textId="77777777" w:rsidR="00791A68" w:rsidRPr="001B4EAF" w:rsidRDefault="00791A68" w:rsidP="001B4EAF">
            <w:pPr>
              <w:pStyle w:val="TableColumnHeadingLeft"/>
            </w:pPr>
            <w:r w:rsidRPr="001B4EAF">
              <w:t>Commonwealth delivery body</w:t>
            </w:r>
          </w:p>
        </w:tc>
        <w:tc>
          <w:tcPr>
            <w:tcW w:w="1276" w:type="dxa"/>
            <w:shd w:val="clear" w:color="auto" w:fill="F2E3C7" w:themeFill="background2"/>
            <w:tcMar>
              <w:left w:w="108" w:type="dxa"/>
              <w:right w:w="108" w:type="dxa"/>
            </w:tcMar>
            <w:hideMark/>
          </w:tcPr>
          <w:p w14:paraId="5DD8C966" w14:textId="2C13F710" w:rsidR="00791A68" w:rsidRPr="001B4EAF" w:rsidRDefault="00791A68" w:rsidP="001B4EAF">
            <w:pPr>
              <w:pStyle w:val="TableColumnHeadingLeft"/>
            </w:pPr>
            <w:r w:rsidRPr="001B4EAF">
              <w:t>Years</w:t>
            </w:r>
            <w:r w:rsidR="00E4369C" w:rsidRPr="001B4EAF">
              <w:t xml:space="preserve"> in operation</w:t>
            </w:r>
          </w:p>
        </w:tc>
        <w:tc>
          <w:tcPr>
            <w:tcW w:w="1840" w:type="dxa"/>
            <w:shd w:val="clear" w:color="auto" w:fill="F2E3C7" w:themeFill="background2"/>
            <w:tcMar>
              <w:left w:w="108" w:type="dxa"/>
              <w:right w:w="108" w:type="dxa"/>
            </w:tcMar>
            <w:hideMark/>
          </w:tcPr>
          <w:p w14:paraId="60B3275E" w14:textId="77777777" w:rsidR="00791A68" w:rsidRPr="001B4EAF" w:rsidRDefault="00791A68" w:rsidP="001B4EAF">
            <w:pPr>
              <w:pStyle w:val="TableColumnHeadingLeft"/>
            </w:pPr>
            <w:r w:rsidRPr="001B4EAF">
              <w:t>Funding</w:t>
            </w:r>
          </w:p>
        </w:tc>
      </w:tr>
      <w:tr w:rsidR="00791A68" w:rsidRPr="00615D25" w14:paraId="0623BC88" w14:textId="77777777" w:rsidTr="00A72F38">
        <w:tc>
          <w:tcPr>
            <w:tcW w:w="0" w:type="auto"/>
            <w:tcMar>
              <w:left w:w="108" w:type="dxa"/>
              <w:right w:w="108" w:type="dxa"/>
            </w:tcMar>
            <w:hideMark/>
          </w:tcPr>
          <w:p w14:paraId="3FE10B71" w14:textId="77777777" w:rsidR="00791A68" w:rsidRPr="001B4EAF" w:rsidRDefault="00791A68" w:rsidP="001B4EAF">
            <w:pPr>
              <w:pStyle w:val="TableTextLeft"/>
            </w:pPr>
            <w:r w:rsidRPr="001B4EAF">
              <w:t>Ad hoc investment</w:t>
            </w:r>
          </w:p>
        </w:tc>
        <w:tc>
          <w:tcPr>
            <w:tcW w:w="3123" w:type="dxa"/>
            <w:tcMar>
              <w:left w:w="108" w:type="dxa"/>
              <w:right w:w="108" w:type="dxa"/>
            </w:tcMar>
          </w:tcPr>
          <w:p w14:paraId="3780B9A7" w14:textId="77777777" w:rsidR="00791A68" w:rsidRPr="00615D25" w:rsidRDefault="00791A68">
            <w:pPr>
              <w:pStyle w:val="TableTextLeft"/>
              <w:rPr>
                <w:lang w:eastAsia="en-US"/>
              </w:rPr>
            </w:pPr>
            <w:r>
              <w:rPr>
                <w:lang w:eastAsia="en-US"/>
              </w:rPr>
              <w:t>Various bodies</w:t>
            </w:r>
          </w:p>
        </w:tc>
        <w:tc>
          <w:tcPr>
            <w:tcW w:w="1276" w:type="dxa"/>
            <w:tcMar>
              <w:left w:w="108" w:type="dxa"/>
              <w:right w:w="108" w:type="dxa"/>
            </w:tcMar>
            <w:hideMark/>
          </w:tcPr>
          <w:p w14:paraId="605F2012" w14:textId="751208BC" w:rsidR="00791A68" w:rsidRPr="00615D25" w:rsidRDefault="00791A68">
            <w:pPr>
              <w:pStyle w:val="TableTextLeft"/>
              <w:rPr>
                <w:lang w:eastAsia="en-US"/>
              </w:rPr>
            </w:pPr>
            <w:r w:rsidRPr="00615D25">
              <w:rPr>
                <w:lang w:eastAsia="en-US"/>
              </w:rPr>
              <w:t>1968–72</w:t>
            </w:r>
          </w:p>
        </w:tc>
        <w:tc>
          <w:tcPr>
            <w:tcW w:w="1840" w:type="dxa"/>
            <w:tcMar>
              <w:left w:w="108" w:type="dxa"/>
              <w:right w:w="108" w:type="dxa"/>
            </w:tcMar>
            <w:hideMark/>
          </w:tcPr>
          <w:p w14:paraId="3C5E3BAA" w14:textId="1BBBC257" w:rsidR="00791A68" w:rsidRPr="00615D25" w:rsidRDefault="00791A68">
            <w:pPr>
              <w:pStyle w:val="TableTextLeft"/>
              <w:rPr>
                <w:lang w:eastAsia="en-US"/>
              </w:rPr>
            </w:pPr>
            <w:r w:rsidRPr="00615D25">
              <w:rPr>
                <w:lang w:eastAsia="en-US"/>
              </w:rPr>
              <w:t>$10.4</w:t>
            </w:r>
            <w:r w:rsidR="0099326B">
              <w:rPr>
                <w:lang w:eastAsia="en-US"/>
              </w:rPr>
              <w:t> million</w:t>
            </w:r>
          </w:p>
        </w:tc>
      </w:tr>
      <w:tr w:rsidR="00791A68" w:rsidRPr="00615D25" w14:paraId="67598CAD" w14:textId="77777777" w:rsidTr="00A72F38">
        <w:tc>
          <w:tcPr>
            <w:tcW w:w="0" w:type="auto"/>
            <w:tcMar>
              <w:left w:w="108" w:type="dxa"/>
              <w:right w:w="108" w:type="dxa"/>
            </w:tcMar>
            <w:hideMark/>
          </w:tcPr>
          <w:p w14:paraId="240463BB" w14:textId="77777777" w:rsidR="00791A68" w:rsidRPr="001B4EAF" w:rsidRDefault="00791A68" w:rsidP="001B4EAF">
            <w:pPr>
              <w:pStyle w:val="TableTextLeft"/>
            </w:pPr>
            <w:r w:rsidRPr="001B4EAF">
              <w:t>Direct community grants</w:t>
            </w:r>
          </w:p>
        </w:tc>
        <w:tc>
          <w:tcPr>
            <w:tcW w:w="3123" w:type="dxa"/>
            <w:vMerge w:val="restart"/>
            <w:tcMar>
              <w:left w:w="108" w:type="dxa"/>
              <w:right w:w="108" w:type="dxa"/>
            </w:tcMar>
            <w:hideMark/>
          </w:tcPr>
          <w:p w14:paraId="69DD302A" w14:textId="0D5BE914" w:rsidR="00791A68" w:rsidRPr="00615D25" w:rsidRDefault="00791A68">
            <w:pPr>
              <w:pStyle w:val="TableTextLeft"/>
              <w:rPr>
                <w:lang w:eastAsia="en-US"/>
              </w:rPr>
            </w:pPr>
            <w:r w:rsidRPr="00615D25">
              <w:rPr>
                <w:lang w:eastAsia="en-US"/>
              </w:rPr>
              <w:t>Department of Aboriginal Affairs</w:t>
            </w:r>
          </w:p>
        </w:tc>
        <w:tc>
          <w:tcPr>
            <w:tcW w:w="1276" w:type="dxa"/>
            <w:tcMar>
              <w:left w:w="108" w:type="dxa"/>
              <w:right w:w="108" w:type="dxa"/>
            </w:tcMar>
            <w:hideMark/>
          </w:tcPr>
          <w:p w14:paraId="658D97B8" w14:textId="55D0B783" w:rsidR="00791A68" w:rsidRPr="00615D25" w:rsidRDefault="00791A68">
            <w:pPr>
              <w:pStyle w:val="TableTextLeft"/>
              <w:rPr>
                <w:lang w:eastAsia="en-US"/>
              </w:rPr>
            </w:pPr>
            <w:r w:rsidRPr="00615D25">
              <w:rPr>
                <w:lang w:eastAsia="en-US"/>
              </w:rPr>
              <w:t>1972–</w:t>
            </w:r>
            <w:r>
              <w:rPr>
                <w:lang w:eastAsia="en-US"/>
              </w:rPr>
              <w:t>8</w:t>
            </w:r>
            <w:r w:rsidRPr="00615D25">
              <w:rPr>
                <w:lang w:eastAsia="en-US"/>
              </w:rPr>
              <w:t>0</w:t>
            </w:r>
          </w:p>
        </w:tc>
        <w:tc>
          <w:tcPr>
            <w:tcW w:w="1840" w:type="dxa"/>
            <w:vMerge w:val="restart"/>
            <w:tcMar>
              <w:left w:w="108" w:type="dxa"/>
              <w:right w:w="108" w:type="dxa"/>
            </w:tcMar>
            <w:hideMark/>
          </w:tcPr>
          <w:p w14:paraId="04024D3B" w14:textId="68D4EA06" w:rsidR="00791A68" w:rsidRPr="00615D25" w:rsidRDefault="00791A68">
            <w:pPr>
              <w:pStyle w:val="TableTextLeft"/>
              <w:rPr>
                <w:lang w:eastAsia="en-US"/>
              </w:rPr>
            </w:pPr>
            <w:r w:rsidRPr="00615D25">
              <w:rPr>
                <w:lang w:eastAsia="en-US"/>
              </w:rPr>
              <w:t>$219.1</w:t>
            </w:r>
            <w:r w:rsidR="0099326B">
              <w:rPr>
                <w:lang w:eastAsia="en-US"/>
              </w:rPr>
              <w:t> million</w:t>
            </w:r>
            <w:r w:rsidRPr="00615D25">
              <w:rPr>
                <w:lang w:eastAsia="en-US"/>
              </w:rPr>
              <w:t xml:space="preserve"> </w:t>
            </w:r>
          </w:p>
        </w:tc>
      </w:tr>
      <w:tr w:rsidR="00791A68" w:rsidRPr="00615D25" w14:paraId="0CC4777F" w14:textId="77777777" w:rsidTr="00A72F38">
        <w:tc>
          <w:tcPr>
            <w:tcW w:w="0" w:type="auto"/>
            <w:tcMar>
              <w:left w:w="108" w:type="dxa"/>
              <w:right w:w="108" w:type="dxa"/>
            </w:tcMar>
          </w:tcPr>
          <w:p w14:paraId="7176A42F" w14:textId="77777777" w:rsidR="00791A68" w:rsidRPr="001B4EAF" w:rsidRDefault="00791A68" w:rsidP="001B4EAF">
            <w:pPr>
              <w:pStyle w:val="TableTextLeft"/>
            </w:pPr>
            <w:r w:rsidRPr="001B4EAF">
              <w:t>Jurisdiction grants</w:t>
            </w:r>
          </w:p>
        </w:tc>
        <w:tc>
          <w:tcPr>
            <w:tcW w:w="3123" w:type="dxa"/>
            <w:vMerge/>
            <w:tcMar>
              <w:left w:w="108" w:type="dxa"/>
              <w:right w:w="108" w:type="dxa"/>
            </w:tcMar>
          </w:tcPr>
          <w:p w14:paraId="6F858905" w14:textId="77777777" w:rsidR="00791A68" w:rsidRPr="00615D25" w:rsidRDefault="00791A68">
            <w:pPr>
              <w:pStyle w:val="TableTextLeft"/>
              <w:rPr>
                <w:lang w:eastAsia="en-US"/>
              </w:rPr>
            </w:pPr>
          </w:p>
        </w:tc>
        <w:tc>
          <w:tcPr>
            <w:tcW w:w="1276" w:type="dxa"/>
            <w:tcMar>
              <w:left w:w="108" w:type="dxa"/>
              <w:right w:w="108" w:type="dxa"/>
            </w:tcMar>
          </w:tcPr>
          <w:p w14:paraId="70E67F06" w14:textId="67E260DF" w:rsidR="00791A68" w:rsidRPr="00615D25" w:rsidRDefault="00791A68">
            <w:pPr>
              <w:pStyle w:val="TableTextLeft"/>
              <w:rPr>
                <w:lang w:eastAsia="en-US"/>
              </w:rPr>
            </w:pPr>
            <w:r>
              <w:rPr>
                <w:lang w:eastAsia="en-US"/>
              </w:rPr>
              <w:t>1980</w:t>
            </w:r>
            <w:r w:rsidRPr="00615D25">
              <w:rPr>
                <w:lang w:eastAsia="en-US"/>
              </w:rPr>
              <w:t>–</w:t>
            </w:r>
            <w:r>
              <w:rPr>
                <w:lang w:eastAsia="en-US"/>
              </w:rPr>
              <w:t>90</w:t>
            </w:r>
          </w:p>
        </w:tc>
        <w:tc>
          <w:tcPr>
            <w:tcW w:w="1840" w:type="dxa"/>
            <w:vMerge/>
            <w:tcMar>
              <w:left w:w="108" w:type="dxa"/>
              <w:right w:w="108" w:type="dxa"/>
            </w:tcMar>
          </w:tcPr>
          <w:p w14:paraId="55A3ECE9" w14:textId="77777777" w:rsidR="00791A68" w:rsidRPr="00615D25" w:rsidRDefault="00791A68">
            <w:pPr>
              <w:pStyle w:val="TableTextLeft"/>
              <w:rPr>
                <w:lang w:eastAsia="en-US"/>
              </w:rPr>
            </w:pPr>
          </w:p>
        </w:tc>
      </w:tr>
      <w:tr w:rsidR="00791A68" w:rsidRPr="00615D25" w14:paraId="5DFA9B07" w14:textId="77777777" w:rsidTr="00A72F38">
        <w:tc>
          <w:tcPr>
            <w:tcW w:w="0" w:type="auto"/>
            <w:tcMar>
              <w:left w:w="108" w:type="dxa"/>
              <w:right w:w="108" w:type="dxa"/>
            </w:tcMar>
            <w:hideMark/>
          </w:tcPr>
          <w:p w14:paraId="6828F63C" w14:textId="77777777" w:rsidR="00791A68" w:rsidRPr="00615D25" w:rsidRDefault="00791A68">
            <w:pPr>
              <w:pStyle w:val="TableTextLeft"/>
              <w:rPr>
                <w:b/>
                <w:lang w:eastAsia="en-US"/>
              </w:rPr>
            </w:pPr>
            <w:r w:rsidRPr="00615D25">
              <w:rPr>
                <w:lang w:eastAsia="en-US"/>
              </w:rPr>
              <w:t>Community Housing and Infrastructure Program/Rental Accommodation Program</w:t>
            </w:r>
          </w:p>
        </w:tc>
        <w:tc>
          <w:tcPr>
            <w:tcW w:w="3123" w:type="dxa"/>
            <w:tcMar>
              <w:left w:w="108" w:type="dxa"/>
              <w:right w:w="108" w:type="dxa"/>
            </w:tcMar>
            <w:hideMark/>
          </w:tcPr>
          <w:p w14:paraId="067B575C" w14:textId="77777777" w:rsidR="00791A68" w:rsidRPr="00615D25" w:rsidRDefault="00791A68">
            <w:pPr>
              <w:pStyle w:val="TableTextLeft"/>
              <w:rPr>
                <w:lang w:eastAsia="en-US"/>
              </w:rPr>
            </w:pPr>
            <w:r w:rsidRPr="00615D25">
              <w:rPr>
                <w:lang w:eastAsia="en-US"/>
              </w:rPr>
              <w:t>Aboriginal Development Commission</w:t>
            </w:r>
          </w:p>
        </w:tc>
        <w:tc>
          <w:tcPr>
            <w:tcW w:w="1276" w:type="dxa"/>
            <w:tcMar>
              <w:left w:w="108" w:type="dxa"/>
              <w:right w:w="108" w:type="dxa"/>
            </w:tcMar>
            <w:hideMark/>
          </w:tcPr>
          <w:p w14:paraId="44D305B1" w14:textId="1483CB72" w:rsidR="00791A68" w:rsidRPr="00615D25" w:rsidRDefault="00791A68">
            <w:pPr>
              <w:pStyle w:val="TableTextLeft"/>
              <w:rPr>
                <w:lang w:eastAsia="en-US"/>
              </w:rPr>
            </w:pPr>
            <w:r w:rsidRPr="00615D25">
              <w:rPr>
                <w:lang w:eastAsia="en-US"/>
              </w:rPr>
              <w:t>1980–90</w:t>
            </w:r>
          </w:p>
        </w:tc>
        <w:tc>
          <w:tcPr>
            <w:tcW w:w="1840" w:type="dxa"/>
            <w:tcMar>
              <w:left w:w="108" w:type="dxa"/>
              <w:right w:w="108" w:type="dxa"/>
            </w:tcMar>
            <w:hideMark/>
          </w:tcPr>
          <w:p w14:paraId="6E8E23A6" w14:textId="1020C3FE" w:rsidR="00791A68" w:rsidRPr="00615D25" w:rsidRDefault="00791A68">
            <w:pPr>
              <w:pStyle w:val="TableTextLeft"/>
              <w:rPr>
                <w:lang w:eastAsia="en-US"/>
              </w:rPr>
            </w:pPr>
            <w:r w:rsidRPr="00615D25">
              <w:rPr>
                <w:lang w:eastAsia="en-US"/>
              </w:rPr>
              <w:t>$350.9</w:t>
            </w:r>
            <w:r w:rsidR="0099326B">
              <w:rPr>
                <w:lang w:eastAsia="en-US"/>
              </w:rPr>
              <w:t> million</w:t>
            </w:r>
          </w:p>
        </w:tc>
      </w:tr>
      <w:tr w:rsidR="00791A68" w:rsidRPr="00615D25" w14:paraId="0946A4B6" w14:textId="77777777" w:rsidTr="00A72F38">
        <w:trPr>
          <w:trHeight w:val="290"/>
        </w:trPr>
        <w:tc>
          <w:tcPr>
            <w:tcW w:w="0" w:type="auto"/>
            <w:vMerge w:val="restart"/>
            <w:tcMar>
              <w:left w:w="108" w:type="dxa"/>
              <w:right w:w="108" w:type="dxa"/>
            </w:tcMar>
            <w:hideMark/>
          </w:tcPr>
          <w:p w14:paraId="721A41F8" w14:textId="1A0953C6" w:rsidR="00791A68" w:rsidRPr="00615D25" w:rsidRDefault="00791A68">
            <w:pPr>
              <w:pStyle w:val="TableTextLeft"/>
              <w:rPr>
                <w:b/>
                <w:lang w:eastAsia="en-US"/>
              </w:rPr>
            </w:pPr>
            <w:r w:rsidRPr="00615D25">
              <w:rPr>
                <w:lang w:eastAsia="en-US"/>
              </w:rPr>
              <w:t>Community Housing and Infrastructure Program/National Aboriginal Health Strategy</w:t>
            </w:r>
          </w:p>
        </w:tc>
        <w:tc>
          <w:tcPr>
            <w:tcW w:w="3123" w:type="dxa"/>
            <w:tcMar>
              <w:left w:w="108" w:type="dxa"/>
              <w:right w:w="108" w:type="dxa"/>
            </w:tcMar>
            <w:hideMark/>
          </w:tcPr>
          <w:p w14:paraId="62254E99" w14:textId="5BCD9162" w:rsidR="00791A68" w:rsidRPr="00615D25" w:rsidRDefault="00791A68">
            <w:pPr>
              <w:pStyle w:val="TableTextLeft"/>
              <w:rPr>
                <w:lang w:eastAsia="en-US"/>
              </w:rPr>
            </w:pPr>
            <w:r w:rsidRPr="00615D25">
              <w:rPr>
                <w:lang w:eastAsia="en-US"/>
              </w:rPr>
              <w:t xml:space="preserve">Aboriginal and </w:t>
            </w:r>
            <w:r w:rsidR="0099326B">
              <w:rPr>
                <w:lang w:eastAsia="en-US"/>
              </w:rPr>
              <w:t>Torres Strait</w:t>
            </w:r>
            <w:r w:rsidRPr="00615D25">
              <w:rPr>
                <w:lang w:eastAsia="en-US"/>
              </w:rPr>
              <w:t xml:space="preserve"> Islander Commission</w:t>
            </w:r>
          </w:p>
          <w:p w14:paraId="16915B5A" w14:textId="160C1986" w:rsidR="00791A68" w:rsidRPr="00615D25" w:rsidRDefault="00791A68">
            <w:pPr>
              <w:pStyle w:val="TableTextLeft"/>
              <w:rPr>
                <w:lang w:eastAsia="en-US"/>
              </w:rPr>
            </w:pPr>
          </w:p>
        </w:tc>
        <w:tc>
          <w:tcPr>
            <w:tcW w:w="1276" w:type="dxa"/>
            <w:tcMar>
              <w:left w:w="108" w:type="dxa"/>
              <w:right w:w="108" w:type="dxa"/>
            </w:tcMar>
            <w:hideMark/>
          </w:tcPr>
          <w:p w14:paraId="616A4B4F" w14:textId="693BF774" w:rsidR="00791A68" w:rsidRPr="00615D25" w:rsidRDefault="00791A68">
            <w:pPr>
              <w:pStyle w:val="TableTextLeft"/>
              <w:rPr>
                <w:lang w:eastAsia="en-US"/>
              </w:rPr>
            </w:pPr>
            <w:r w:rsidRPr="00615D25">
              <w:rPr>
                <w:lang w:eastAsia="en-US"/>
              </w:rPr>
              <w:t>1990–</w:t>
            </w:r>
            <w:r>
              <w:rPr>
                <w:lang w:eastAsia="en-US"/>
              </w:rPr>
              <w:t>20</w:t>
            </w:r>
            <w:r w:rsidRPr="00615D25">
              <w:rPr>
                <w:lang w:eastAsia="en-US"/>
              </w:rPr>
              <w:t>0</w:t>
            </w:r>
            <w:r>
              <w:rPr>
                <w:lang w:eastAsia="en-US"/>
              </w:rPr>
              <w:t>3</w:t>
            </w:r>
          </w:p>
        </w:tc>
        <w:tc>
          <w:tcPr>
            <w:tcW w:w="1840" w:type="dxa"/>
            <w:vMerge w:val="restart"/>
            <w:tcMar>
              <w:left w:w="108" w:type="dxa"/>
              <w:right w:w="108" w:type="dxa"/>
            </w:tcMar>
            <w:hideMark/>
          </w:tcPr>
          <w:p w14:paraId="45D7F7B5" w14:textId="726A3B4A" w:rsidR="00791A68" w:rsidRPr="00615D25" w:rsidRDefault="00791A68">
            <w:pPr>
              <w:pStyle w:val="TableTextLeft"/>
              <w:rPr>
                <w:lang w:eastAsia="en-US"/>
              </w:rPr>
            </w:pPr>
            <w:r w:rsidRPr="00615D25">
              <w:rPr>
                <w:lang w:eastAsia="en-US"/>
              </w:rPr>
              <w:t>$2.2</w:t>
            </w:r>
            <w:r w:rsidR="0099326B">
              <w:rPr>
                <w:lang w:eastAsia="en-US"/>
              </w:rPr>
              <w:t> billion</w:t>
            </w:r>
            <w:r w:rsidRPr="00615D25">
              <w:rPr>
                <w:lang w:eastAsia="en-US"/>
              </w:rPr>
              <w:t xml:space="preserve"> </w:t>
            </w:r>
          </w:p>
        </w:tc>
      </w:tr>
      <w:tr w:rsidR="00791A68" w:rsidRPr="00615D25" w14:paraId="3157C773" w14:textId="77777777" w:rsidTr="00A72F38">
        <w:trPr>
          <w:trHeight w:val="330"/>
        </w:trPr>
        <w:tc>
          <w:tcPr>
            <w:tcW w:w="0" w:type="auto"/>
            <w:vMerge/>
            <w:tcMar>
              <w:left w:w="108" w:type="dxa"/>
              <w:right w:w="108" w:type="dxa"/>
            </w:tcMar>
          </w:tcPr>
          <w:p w14:paraId="7629984E" w14:textId="77777777" w:rsidR="00791A68" w:rsidRPr="00615D25" w:rsidRDefault="00791A68">
            <w:pPr>
              <w:pStyle w:val="TableTextLeft"/>
              <w:rPr>
                <w:lang w:eastAsia="en-US"/>
              </w:rPr>
            </w:pPr>
          </w:p>
        </w:tc>
        <w:tc>
          <w:tcPr>
            <w:tcW w:w="3123" w:type="dxa"/>
            <w:tcMar>
              <w:left w:w="108" w:type="dxa"/>
              <w:right w:w="108" w:type="dxa"/>
            </w:tcMar>
          </w:tcPr>
          <w:p w14:paraId="34C4DF66" w14:textId="1460C246" w:rsidR="00791A68" w:rsidRPr="00615D25" w:rsidRDefault="00791A68">
            <w:pPr>
              <w:pStyle w:val="TableTextLeft"/>
              <w:rPr>
                <w:lang w:eastAsia="en-US"/>
              </w:rPr>
            </w:pPr>
            <w:r w:rsidRPr="00B87E49">
              <w:rPr>
                <w:lang w:eastAsia="en-US"/>
              </w:rPr>
              <w:t xml:space="preserve">Aboriginal and </w:t>
            </w:r>
            <w:r w:rsidR="0099326B">
              <w:rPr>
                <w:lang w:eastAsia="en-US"/>
              </w:rPr>
              <w:t>Torres Strait</w:t>
            </w:r>
            <w:r w:rsidRPr="00B87E49">
              <w:rPr>
                <w:lang w:eastAsia="en-US"/>
              </w:rPr>
              <w:t xml:space="preserve"> Islander Services </w:t>
            </w:r>
          </w:p>
        </w:tc>
        <w:tc>
          <w:tcPr>
            <w:tcW w:w="1276" w:type="dxa"/>
            <w:tcMar>
              <w:left w:w="108" w:type="dxa"/>
              <w:right w:w="108" w:type="dxa"/>
            </w:tcMar>
          </w:tcPr>
          <w:p w14:paraId="7FBB17A7" w14:textId="27B1FE4A" w:rsidR="00791A68" w:rsidRPr="00615D25" w:rsidRDefault="00791A68">
            <w:pPr>
              <w:pStyle w:val="TableTextLeft"/>
              <w:rPr>
                <w:lang w:eastAsia="en-US"/>
              </w:rPr>
            </w:pPr>
            <w:r>
              <w:rPr>
                <w:lang w:eastAsia="en-US"/>
              </w:rPr>
              <w:t>2003</w:t>
            </w:r>
            <w:r>
              <w:rPr>
                <w:lang w:eastAsia="en-US"/>
              </w:rPr>
              <w:softHyphen/>
              <w:t>–05</w:t>
            </w:r>
          </w:p>
        </w:tc>
        <w:tc>
          <w:tcPr>
            <w:tcW w:w="1840" w:type="dxa"/>
            <w:vMerge/>
            <w:tcMar>
              <w:left w:w="108" w:type="dxa"/>
              <w:right w:w="108" w:type="dxa"/>
            </w:tcMar>
          </w:tcPr>
          <w:p w14:paraId="47876C6F" w14:textId="77777777" w:rsidR="00791A68" w:rsidRPr="00615D25" w:rsidRDefault="00791A68">
            <w:pPr>
              <w:pStyle w:val="TableTextLeft"/>
              <w:rPr>
                <w:lang w:eastAsia="en-US"/>
              </w:rPr>
            </w:pPr>
          </w:p>
        </w:tc>
      </w:tr>
      <w:tr w:rsidR="00791A68" w:rsidRPr="00615D25" w14:paraId="7ED99CCC" w14:textId="77777777" w:rsidTr="00A72F38">
        <w:trPr>
          <w:trHeight w:val="640"/>
        </w:trPr>
        <w:tc>
          <w:tcPr>
            <w:tcW w:w="0" w:type="auto"/>
            <w:vMerge/>
            <w:tcMar>
              <w:left w:w="108" w:type="dxa"/>
              <w:right w:w="108" w:type="dxa"/>
            </w:tcMar>
          </w:tcPr>
          <w:p w14:paraId="0F8B5A8D" w14:textId="77777777" w:rsidR="00791A68" w:rsidRPr="00615D25" w:rsidRDefault="00791A68">
            <w:pPr>
              <w:pStyle w:val="TableTextLeft"/>
              <w:rPr>
                <w:lang w:eastAsia="en-US"/>
              </w:rPr>
            </w:pPr>
          </w:p>
        </w:tc>
        <w:tc>
          <w:tcPr>
            <w:tcW w:w="3123" w:type="dxa"/>
            <w:tcMar>
              <w:left w:w="108" w:type="dxa"/>
              <w:right w:w="108" w:type="dxa"/>
            </w:tcMar>
          </w:tcPr>
          <w:p w14:paraId="701D898B" w14:textId="77777777" w:rsidR="00791A68" w:rsidRPr="00615D25" w:rsidRDefault="00791A68">
            <w:pPr>
              <w:pStyle w:val="TableTextLeft"/>
              <w:rPr>
                <w:lang w:eastAsia="en-US"/>
              </w:rPr>
            </w:pPr>
            <w:r w:rsidRPr="00B87E49">
              <w:rPr>
                <w:lang w:eastAsia="en-US"/>
              </w:rPr>
              <w:t>Department of Families, Housing, Community Services and Indigenous Affairs (and predecessor departments)</w:t>
            </w:r>
          </w:p>
        </w:tc>
        <w:tc>
          <w:tcPr>
            <w:tcW w:w="1276" w:type="dxa"/>
            <w:tcMar>
              <w:left w:w="108" w:type="dxa"/>
              <w:right w:w="108" w:type="dxa"/>
            </w:tcMar>
          </w:tcPr>
          <w:p w14:paraId="38328DC9" w14:textId="4ACBD7C3" w:rsidR="00791A68" w:rsidRPr="00615D25" w:rsidRDefault="00791A68">
            <w:pPr>
              <w:pStyle w:val="TableTextLeft"/>
              <w:rPr>
                <w:lang w:eastAsia="en-US"/>
              </w:rPr>
            </w:pPr>
            <w:r>
              <w:rPr>
                <w:lang w:eastAsia="en-US"/>
              </w:rPr>
              <w:t>2005–07</w:t>
            </w:r>
          </w:p>
        </w:tc>
        <w:tc>
          <w:tcPr>
            <w:tcW w:w="1840" w:type="dxa"/>
            <w:vMerge/>
            <w:tcMar>
              <w:left w:w="108" w:type="dxa"/>
              <w:right w:w="108" w:type="dxa"/>
            </w:tcMar>
          </w:tcPr>
          <w:p w14:paraId="06762E44" w14:textId="77777777" w:rsidR="00791A68" w:rsidRPr="00615D25" w:rsidRDefault="00791A68">
            <w:pPr>
              <w:pStyle w:val="TableTextLeft"/>
              <w:rPr>
                <w:lang w:eastAsia="en-US"/>
              </w:rPr>
            </w:pPr>
          </w:p>
        </w:tc>
      </w:tr>
      <w:tr w:rsidR="00791A68" w:rsidRPr="00615D25" w14:paraId="6ADB5969" w14:textId="77777777" w:rsidTr="00A72F38">
        <w:tc>
          <w:tcPr>
            <w:tcW w:w="0" w:type="auto"/>
            <w:tcMar>
              <w:left w:w="108" w:type="dxa"/>
              <w:right w:w="108" w:type="dxa"/>
            </w:tcMar>
            <w:hideMark/>
          </w:tcPr>
          <w:p w14:paraId="7D6143DA" w14:textId="77777777" w:rsidR="00791A68" w:rsidRPr="00615D25" w:rsidRDefault="00791A68">
            <w:pPr>
              <w:pStyle w:val="TableTextLeft"/>
              <w:rPr>
                <w:b/>
                <w:lang w:eastAsia="en-US"/>
              </w:rPr>
            </w:pPr>
            <w:r w:rsidRPr="00615D25">
              <w:rPr>
                <w:lang w:eastAsia="en-US"/>
              </w:rPr>
              <w:t xml:space="preserve">Australian Remote Indigenous Accommodation Program/Strategic Indigenous Housing and Infrastructure Program </w:t>
            </w:r>
          </w:p>
        </w:tc>
        <w:tc>
          <w:tcPr>
            <w:tcW w:w="3123" w:type="dxa"/>
            <w:tcMar>
              <w:left w:w="108" w:type="dxa"/>
              <w:right w:w="108" w:type="dxa"/>
            </w:tcMar>
            <w:hideMark/>
          </w:tcPr>
          <w:p w14:paraId="17750B3E" w14:textId="77777777" w:rsidR="00791A68" w:rsidRPr="00615D25" w:rsidRDefault="00791A68">
            <w:pPr>
              <w:pStyle w:val="TableTextLeft"/>
              <w:rPr>
                <w:lang w:eastAsia="en-US"/>
              </w:rPr>
            </w:pPr>
            <w:r w:rsidRPr="008326A8">
              <w:rPr>
                <w:lang w:eastAsia="en-US"/>
              </w:rPr>
              <w:t>Department of Families, Housing, Community Services and Indigenous Affairs</w:t>
            </w:r>
          </w:p>
        </w:tc>
        <w:tc>
          <w:tcPr>
            <w:tcW w:w="1276" w:type="dxa"/>
            <w:tcMar>
              <w:left w:w="108" w:type="dxa"/>
              <w:right w:w="108" w:type="dxa"/>
            </w:tcMar>
            <w:hideMark/>
          </w:tcPr>
          <w:p w14:paraId="003D058C" w14:textId="7D3D29A1" w:rsidR="00791A68" w:rsidRPr="00615D25" w:rsidRDefault="00791A68">
            <w:pPr>
              <w:pStyle w:val="TableTextLeft"/>
              <w:rPr>
                <w:lang w:eastAsia="en-US"/>
              </w:rPr>
            </w:pPr>
            <w:r w:rsidRPr="00615D25">
              <w:rPr>
                <w:lang w:eastAsia="en-US"/>
              </w:rPr>
              <w:t>2007–09</w:t>
            </w:r>
          </w:p>
        </w:tc>
        <w:tc>
          <w:tcPr>
            <w:tcW w:w="1840" w:type="dxa"/>
            <w:tcMar>
              <w:left w:w="108" w:type="dxa"/>
              <w:right w:w="108" w:type="dxa"/>
            </w:tcMar>
            <w:hideMark/>
          </w:tcPr>
          <w:p w14:paraId="400A6BEE" w14:textId="5AD81975" w:rsidR="00791A68" w:rsidRPr="00615D25" w:rsidRDefault="00791A68">
            <w:pPr>
              <w:pStyle w:val="TableTextLeft"/>
              <w:rPr>
                <w:lang w:eastAsia="en-US"/>
              </w:rPr>
            </w:pPr>
            <w:r w:rsidRPr="00615D25">
              <w:rPr>
                <w:lang w:eastAsia="en-US"/>
              </w:rPr>
              <w:t>$780.1</w:t>
            </w:r>
            <w:r w:rsidR="0099326B">
              <w:rPr>
                <w:lang w:eastAsia="en-US"/>
              </w:rPr>
              <w:t> million</w:t>
            </w:r>
          </w:p>
        </w:tc>
      </w:tr>
      <w:tr w:rsidR="00791A68" w:rsidRPr="00615D25" w14:paraId="0B8260A8" w14:textId="77777777" w:rsidTr="00A72F38">
        <w:tc>
          <w:tcPr>
            <w:tcW w:w="0" w:type="auto"/>
            <w:tcMar>
              <w:left w:w="108" w:type="dxa"/>
              <w:right w:w="108" w:type="dxa"/>
            </w:tcMar>
          </w:tcPr>
          <w:p w14:paraId="7C01F219" w14:textId="237EE8E8" w:rsidR="00791A68" w:rsidRPr="009628A8" w:rsidRDefault="00791A68">
            <w:pPr>
              <w:pStyle w:val="TableTextLeft"/>
              <w:rPr>
                <w:b/>
                <w:lang w:eastAsia="en-US"/>
              </w:rPr>
            </w:pPr>
            <w:r w:rsidRPr="00615D25">
              <w:rPr>
                <w:lang w:eastAsia="en-US"/>
              </w:rPr>
              <w:t xml:space="preserve">National </w:t>
            </w:r>
            <w:r w:rsidRPr="00797A37">
              <w:rPr>
                <w:lang w:eastAsia="en-US"/>
              </w:rPr>
              <w:t xml:space="preserve">Partnership Agreement </w:t>
            </w:r>
            <w:r>
              <w:rPr>
                <w:lang w:eastAsia="en-US"/>
              </w:rPr>
              <w:t>on</w:t>
            </w:r>
            <w:r w:rsidRPr="00797A37">
              <w:rPr>
                <w:lang w:eastAsia="en-US"/>
              </w:rPr>
              <w:t xml:space="preserve"> Remote Indigenous Housing</w:t>
            </w:r>
          </w:p>
        </w:tc>
        <w:tc>
          <w:tcPr>
            <w:tcW w:w="3123" w:type="dxa"/>
            <w:tcMar>
              <w:left w:w="108" w:type="dxa"/>
              <w:right w:w="108" w:type="dxa"/>
            </w:tcMar>
          </w:tcPr>
          <w:p w14:paraId="71B1AB14" w14:textId="4191AD9E" w:rsidR="00791A68" w:rsidRPr="002F23B2" w:rsidRDefault="00791A68">
            <w:pPr>
              <w:pStyle w:val="TableTextLeft"/>
              <w:rPr>
                <w:lang w:eastAsia="en-US"/>
              </w:rPr>
            </w:pPr>
            <w:r w:rsidRPr="009628A8">
              <w:rPr>
                <w:lang w:eastAsia="en-US"/>
              </w:rPr>
              <w:t>Department of Families, Housing, Community Services and Indigenous Affairs</w:t>
            </w:r>
          </w:p>
        </w:tc>
        <w:tc>
          <w:tcPr>
            <w:tcW w:w="1276" w:type="dxa"/>
            <w:tcMar>
              <w:left w:w="108" w:type="dxa"/>
              <w:right w:w="108" w:type="dxa"/>
            </w:tcMar>
          </w:tcPr>
          <w:p w14:paraId="47FD242A" w14:textId="5E2F9A3B" w:rsidR="00791A68" w:rsidRPr="009628A8" w:rsidRDefault="00791A68">
            <w:pPr>
              <w:pStyle w:val="TableTextLeft"/>
              <w:rPr>
                <w:lang w:eastAsia="en-US"/>
              </w:rPr>
            </w:pPr>
            <w:r w:rsidRPr="009628A8">
              <w:rPr>
                <w:lang w:eastAsia="en-US"/>
              </w:rPr>
              <w:t>2008–1</w:t>
            </w:r>
            <w:r w:rsidR="005D6122">
              <w:rPr>
                <w:lang w:eastAsia="en-US"/>
              </w:rPr>
              <w:t>3</w:t>
            </w:r>
          </w:p>
        </w:tc>
        <w:tc>
          <w:tcPr>
            <w:tcW w:w="1840" w:type="dxa"/>
            <w:vMerge w:val="restart"/>
            <w:tcMar>
              <w:left w:w="108" w:type="dxa"/>
              <w:right w:w="108" w:type="dxa"/>
            </w:tcMar>
          </w:tcPr>
          <w:p w14:paraId="55612983" w14:textId="4BC4E7AC" w:rsidR="00791A68" w:rsidRPr="00615D25" w:rsidRDefault="00791A68">
            <w:pPr>
              <w:pStyle w:val="TableTextLeft"/>
              <w:rPr>
                <w:lang w:eastAsia="en-US"/>
              </w:rPr>
            </w:pPr>
            <w:r w:rsidRPr="00615D25">
              <w:rPr>
                <w:lang w:eastAsia="en-US"/>
              </w:rPr>
              <w:t>$5.</w:t>
            </w:r>
            <w:r w:rsidR="005D6122">
              <w:rPr>
                <w:lang w:eastAsia="en-US"/>
              </w:rPr>
              <w:t>5</w:t>
            </w:r>
            <w:r w:rsidR="0099326B">
              <w:rPr>
                <w:lang w:eastAsia="en-US"/>
              </w:rPr>
              <w:t> billion</w:t>
            </w:r>
            <w:r w:rsidRPr="00615D25">
              <w:rPr>
                <w:lang w:eastAsia="en-US"/>
              </w:rPr>
              <w:t xml:space="preserve"> </w:t>
            </w:r>
          </w:p>
        </w:tc>
      </w:tr>
      <w:tr w:rsidR="00791A68" w:rsidRPr="00615D25" w14:paraId="15D6E291" w14:textId="77777777" w:rsidTr="00A72F38">
        <w:tc>
          <w:tcPr>
            <w:tcW w:w="0" w:type="auto"/>
            <w:tcMar>
              <w:left w:w="108" w:type="dxa"/>
              <w:right w:w="108" w:type="dxa"/>
            </w:tcMar>
            <w:hideMark/>
          </w:tcPr>
          <w:p w14:paraId="23C2CD3F" w14:textId="718E0992" w:rsidR="00791A68" w:rsidRPr="00615D25" w:rsidRDefault="00791A68">
            <w:pPr>
              <w:pStyle w:val="TableTextLeft"/>
              <w:rPr>
                <w:b/>
                <w:lang w:eastAsia="en-US"/>
              </w:rPr>
            </w:pPr>
            <w:r w:rsidRPr="00797A37">
              <w:rPr>
                <w:lang w:eastAsia="en-US"/>
              </w:rPr>
              <w:t xml:space="preserve">National Partnership </w:t>
            </w:r>
            <w:r>
              <w:rPr>
                <w:lang w:eastAsia="en-US"/>
              </w:rPr>
              <w:t>on</w:t>
            </w:r>
            <w:r w:rsidRPr="00797A37">
              <w:rPr>
                <w:lang w:eastAsia="en-US"/>
              </w:rPr>
              <w:t xml:space="preserve"> </w:t>
            </w:r>
            <w:r w:rsidR="005D6122">
              <w:rPr>
                <w:lang w:eastAsia="en-US"/>
              </w:rPr>
              <w:t>Northern Territory Remote Aboriginal Investment</w:t>
            </w:r>
            <w:r w:rsidRPr="00797A37">
              <w:rPr>
                <w:lang w:eastAsia="en-US"/>
              </w:rPr>
              <w:t xml:space="preserve"> </w:t>
            </w:r>
          </w:p>
        </w:tc>
        <w:tc>
          <w:tcPr>
            <w:tcW w:w="3123" w:type="dxa"/>
            <w:tcMar>
              <w:left w:w="108" w:type="dxa"/>
              <w:right w:w="108" w:type="dxa"/>
            </w:tcMar>
            <w:hideMark/>
          </w:tcPr>
          <w:p w14:paraId="0348B6EB" w14:textId="77777777" w:rsidR="00791A68" w:rsidRPr="002F23B2" w:rsidRDefault="00791A68">
            <w:pPr>
              <w:pStyle w:val="TableTextLeft"/>
              <w:rPr>
                <w:lang w:eastAsia="en-US"/>
              </w:rPr>
            </w:pPr>
            <w:r w:rsidRPr="007D48B8">
              <w:rPr>
                <w:lang w:eastAsia="en-US"/>
              </w:rPr>
              <w:t>Department of the Prime Minister and Cabinet</w:t>
            </w:r>
          </w:p>
        </w:tc>
        <w:tc>
          <w:tcPr>
            <w:tcW w:w="1276" w:type="dxa"/>
            <w:tcMar>
              <w:left w:w="108" w:type="dxa"/>
              <w:right w:w="108" w:type="dxa"/>
            </w:tcMar>
            <w:hideMark/>
          </w:tcPr>
          <w:p w14:paraId="179DFE5C" w14:textId="1C1F4E96" w:rsidR="00791A68" w:rsidRPr="005878D3" w:rsidRDefault="00791A68">
            <w:pPr>
              <w:pStyle w:val="TableTextLeft"/>
              <w:rPr>
                <w:lang w:eastAsia="en-US"/>
              </w:rPr>
            </w:pPr>
            <w:r w:rsidRPr="005878D3">
              <w:rPr>
                <w:lang w:eastAsia="en-US"/>
              </w:rPr>
              <w:t>20</w:t>
            </w:r>
            <w:r w:rsidRPr="009628A8">
              <w:rPr>
                <w:lang w:eastAsia="en-US"/>
              </w:rPr>
              <w:t>1</w:t>
            </w:r>
            <w:r w:rsidR="005D6122">
              <w:rPr>
                <w:lang w:eastAsia="en-US"/>
              </w:rPr>
              <w:t>3</w:t>
            </w:r>
            <w:r w:rsidRPr="005878D3">
              <w:rPr>
                <w:lang w:eastAsia="en-US"/>
              </w:rPr>
              <w:t>–1</w:t>
            </w:r>
            <w:r w:rsidRPr="009628A8">
              <w:rPr>
                <w:lang w:eastAsia="en-US"/>
              </w:rPr>
              <w:t>8</w:t>
            </w:r>
          </w:p>
        </w:tc>
        <w:tc>
          <w:tcPr>
            <w:tcW w:w="1840" w:type="dxa"/>
            <w:vMerge/>
            <w:tcMar>
              <w:left w:w="108" w:type="dxa"/>
              <w:right w:w="108" w:type="dxa"/>
            </w:tcMar>
            <w:hideMark/>
          </w:tcPr>
          <w:p w14:paraId="2333D09D" w14:textId="77777777" w:rsidR="00791A68" w:rsidRPr="00615D25" w:rsidRDefault="00791A68">
            <w:pPr>
              <w:pStyle w:val="TableTextLeft"/>
              <w:rPr>
                <w:lang w:eastAsia="en-US"/>
              </w:rPr>
            </w:pPr>
          </w:p>
        </w:tc>
      </w:tr>
      <w:tr w:rsidR="00791A68" w:rsidRPr="00615D25" w14:paraId="14B33D52" w14:textId="77777777" w:rsidTr="00A72F38">
        <w:tc>
          <w:tcPr>
            <w:tcW w:w="0" w:type="auto"/>
            <w:tcMar>
              <w:left w:w="108" w:type="dxa"/>
              <w:right w:w="108" w:type="dxa"/>
            </w:tcMar>
            <w:hideMark/>
          </w:tcPr>
          <w:p w14:paraId="76EF34AE" w14:textId="77777777" w:rsidR="00791A68" w:rsidRPr="00981BC3" w:rsidRDefault="00791A68">
            <w:pPr>
              <w:pStyle w:val="TableTextLeft"/>
              <w:rPr>
                <w:b/>
                <w:lang w:eastAsia="en-US"/>
              </w:rPr>
            </w:pPr>
            <w:r w:rsidRPr="00981BC3">
              <w:rPr>
                <w:lang w:eastAsia="en-US"/>
              </w:rPr>
              <w:t xml:space="preserve">National Partnership for Remote Housing in the Northern Territory </w:t>
            </w:r>
          </w:p>
        </w:tc>
        <w:tc>
          <w:tcPr>
            <w:tcW w:w="3123" w:type="dxa"/>
            <w:tcMar>
              <w:left w:w="108" w:type="dxa"/>
              <w:right w:w="108" w:type="dxa"/>
            </w:tcMar>
            <w:hideMark/>
          </w:tcPr>
          <w:p w14:paraId="51C4E8F4" w14:textId="77777777" w:rsidR="00791A68" w:rsidRPr="00981BC3" w:rsidRDefault="00791A68">
            <w:pPr>
              <w:pStyle w:val="TableTextLeft"/>
              <w:rPr>
                <w:lang w:eastAsia="en-US"/>
              </w:rPr>
            </w:pPr>
            <w:r w:rsidRPr="00981BC3">
              <w:rPr>
                <w:lang w:eastAsia="en-US"/>
              </w:rPr>
              <w:t>National Indigenous Australians Agency</w:t>
            </w:r>
          </w:p>
        </w:tc>
        <w:tc>
          <w:tcPr>
            <w:tcW w:w="1276" w:type="dxa"/>
            <w:tcMar>
              <w:left w:w="108" w:type="dxa"/>
              <w:right w:w="108" w:type="dxa"/>
            </w:tcMar>
            <w:hideMark/>
          </w:tcPr>
          <w:p w14:paraId="0A29A84B" w14:textId="7D50B8CD" w:rsidR="00791A68" w:rsidRPr="00981BC3" w:rsidRDefault="00791A68">
            <w:pPr>
              <w:pStyle w:val="TableTextLeft"/>
              <w:rPr>
                <w:lang w:eastAsia="en-US"/>
              </w:rPr>
            </w:pPr>
            <w:r w:rsidRPr="00981BC3">
              <w:rPr>
                <w:lang w:eastAsia="en-US"/>
              </w:rPr>
              <w:t xml:space="preserve">2018–23 </w:t>
            </w:r>
          </w:p>
        </w:tc>
        <w:tc>
          <w:tcPr>
            <w:tcW w:w="1840" w:type="dxa"/>
            <w:tcMar>
              <w:left w:w="108" w:type="dxa"/>
              <w:right w:w="108" w:type="dxa"/>
            </w:tcMar>
            <w:hideMark/>
          </w:tcPr>
          <w:p w14:paraId="7B29FBF1" w14:textId="7E966834" w:rsidR="00791A68" w:rsidRPr="00981BC3" w:rsidRDefault="00791A68">
            <w:pPr>
              <w:pStyle w:val="TableTextLeft"/>
              <w:rPr>
                <w:lang w:eastAsia="en-US"/>
              </w:rPr>
            </w:pPr>
            <w:r w:rsidRPr="00981BC3">
              <w:rPr>
                <w:lang w:eastAsia="en-US"/>
              </w:rPr>
              <w:t>$550</w:t>
            </w:r>
            <w:r w:rsidR="0099326B">
              <w:rPr>
                <w:lang w:eastAsia="en-US"/>
              </w:rPr>
              <w:t> million</w:t>
            </w:r>
            <w:r w:rsidRPr="00981BC3">
              <w:rPr>
                <w:lang w:eastAsia="en-US"/>
              </w:rPr>
              <w:t xml:space="preserve"> </w:t>
            </w:r>
          </w:p>
        </w:tc>
      </w:tr>
      <w:tr w:rsidR="00791A68" w:rsidRPr="00615D25" w14:paraId="2E2B2649" w14:textId="77777777" w:rsidTr="00A72F38">
        <w:tc>
          <w:tcPr>
            <w:tcW w:w="0" w:type="auto"/>
            <w:tcMar>
              <w:left w:w="108" w:type="dxa"/>
              <w:right w:w="108" w:type="dxa"/>
            </w:tcMar>
            <w:hideMark/>
          </w:tcPr>
          <w:p w14:paraId="49AAFA2E" w14:textId="77777777" w:rsidR="00791A68" w:rsidRPr="00615D25" w:rsidRDefault="00791A68">
            <w:pPr>
              <w:pStyle w:val="TableTextLeft"/>
              <w:rPr>
                <w:b/>
                <w:lang w:eastAsia="en-US"/>
              </w:rPr>
            </w:pPr>
            <w:r w:rsidRPr="00615D25">
              <w:rPr>
                <w:lang w:eastAsia="en-US"/>
              </w:rPr>
              <w:t>Remote Housing in the Northern Territory</w:t>
            </w:r>
          </w:p>
        </w:tc>
        <w:tc>
          <w:tcPr>
            <w:tcW w:w="3123" w:type="dxa"/>
            <w:tcMar>
              <w:left w:w="108" w:type="dxa"/>
              <w:right w:w="108" w:type="dxa"/>
            </w:tcMar>
            <w:hideMark/>
          </w:tcPr>
          <w:p w14:paraId="3F4CA23C" w14:textId="0C844C03" w:rsidR="00791A68" w:rsidRPr="00615D25" w:rsidRDefault="000D18E6">
            <w:pPr>
              <w:pStyle w:val="TableTextLeft"/>
              <w:rPr>
                <w:lang w:eastAsia="en-US"/>
              </w:rPr>
            </w:pPr>
            <w:r w:rsidRPr="00981BC3">
              <w:rPr>
                <w:lang w:eastAsia="en-US"/>
              </w:rPr>
              <w:t>National Indigenous Australians Agency</w:t>
            </w:r>
          </w:p>
        </w:tc>
        <w:tc>
          <w:tcPr>
            <w:tcW w:w="1276" w:type="dxa"/>
            <w:tcMar>
              <w:left w:w="108" w:type="dxa"/>
              <w:right w:w="108" w:type="dxa"/>
            </w:tcMar>
            <w:hideMark/>
          </w:tcPr>
          <w:p w14:paraId="79F8A45F" w14:textId="5A5175F6" w:rsidR="00791A68" w:rsidRPr="00615D25" w:rsidRDefault="00791A68">
            <w:pPr>
              <w:pStyle w:val="TableTextLeft"/>
              <w:rPr>
                <w:lang w:eastAsia="en-US"/>
              </w:rPr>
            </w:pPr>
            <w:r w:rsidRPr="00615D25">
              <w:rPr>
                <w:lang w:eastAsia="en-US"/>
              </w:rPr>
              <w:t>2023–24</w:t>
            </w:r>
          </w:p>
        </w:tc>
        <w:tc>
          <w:tcPr>
            <w:tcW w:w="1840" w:type="dxa"/>
            <w:tcMar>
              <w:left w:w="108" w:type="dxa"/>
              <w:right w:w="108" w:type="dxa"/>
            </w:tcMar>
            <w:hideMark/>
          </w:tcPr>
          <w:p w14:paraId="52C6C2C7" w14:textId="0656A675" w:rsidR="00791A68" w:rsidRPr="00615D25" w:rsidRDefault="00791A68">
            <w:pPr>
              <w:pStyle w:val="TableTextLeft"/>
              <w:rPr>
                <w:lang w:eastAsia="en-US"/>
              </w:rPr>
            </w:pPr>
            <w:r w:rsidRPr="00615D25">
              <w:rPr>
                <w:lang w:eastAsia="en-US"/>
              </w:rPr>
              <w:t>$117.7</w:t>
            </w:r>
            <w:r w:rsidR="0099326B">
              <w:rPr>
                <w:lang w:eastAsia="en-US"/>
              </w:rPr>
              <w:t> million</w:t>
            </w:r>
            <w:r w:rsidRPr="00615D25">
              <w:rPr>
                <w:lang w:eastAsia="en-US"/>
              </w:rPr>
              <w:t xml:space="preserve"> </w:t>
            </w:r>
          </w:p>
        </w:tc>
      </w:tr>
      <w:tr w:rsidR="00482415" w:rsidRPr="00615D25" w14:paraId="1E338857" w14:textId="77777777" w:rsidTr="00A72F38">
        <w:tc>
          <w:tcPr>
            <w:tcW w:w="0" w:type="auto"/>
            <w:tcMar>
              <w:left w:w="108" w:type="dxa"/>
              <w:right w:w="108" w:type="dxa"/>
            </w:tcMar>
          </w:tcPr>
          <w:p w14:paraId="720AB7E3" w14:textId="70A8752F" w:rsidR="00482415" w:rsidRPr="00615D25" w:rsidRDefault="00482415" w:rsidP="00482415">
            <w:pPr>
              <w:pStyle w:val="TableTextLeft"/>
              <w:rPr>
                <w:lang w:eastAsia="en-US"/>
              </w:rPr>
            </w:pPr>
            <w:r w:rsidRPr="00615D25">
              <w:rPr>
                <w:lang w:eastAsia="en-US"/>
              </w:rPr>
              <w:t xml:space="preserve">Restoring Funding to Northern Territory Homelands </w:t>
            </w:r>
          </w:p>
        </w:tc>
        <w:tc>
          <w:tcPr>
            <w:tcW w:w="3123" w:type="dxa"/>
            <w:tcMar>
              <w:left w:w="108" w:type="dxa"/>
              <w:right w:w="108" w:type="dxa"/>
            </w:tcMar>
          </w:tcPr>
          <w:p w14:paraId="203D7627" w14:textId="09A474E7" w:rsidR="00482415" w:rsidRPr="00981BC3" w:rsidRDefault="00482415" w:rsidP="00482415">
            <w:pPr>
              <w:pStyle w:val="TableTextLeft"/>
              <w:rPr>
                <w:lang w:eastAsia="en-US"/>
              </w:rPr>
            </w:pPr>
            <w:r w:rsidRPr="00981BC3">
              <w:rPr>
                <w:lang w:eastAsia="en-US"/>
              </w:rPr>
              <w:t>National Indigenous Australians Agency</w:t>
            </w:r>
          </w:p>
        </w:tc>
        <w:tc>
          <w:tcPr>
            <w:tcW w:w="1276" w:type="dxa"/>
            <w:tcMar>
              <w:left w:w="108" w:type="dxa"/>
              <w:right w:w="108" w:type="dxa"/>
            </w:tcMar>
          </w:tcPr>
          <w:p w14:paraId="70EA8537" w14:textId="052579E5" w:rsidR="00482415" w:rsidRPr="002949B5" w:rsidRDefault="00482415" w:rsidP="00482415">
            <w:pPr>
              <w:pStyle w:val="TableTextLeft"/>
              <w:rPr>
                <w:lang w:eastAsia="en-US"/>
              </w:rPr>
            </w:pPr>
            <w:r w:rsidRPr="0041126E">
              <w:rPr>
                <w:lang w:eastAsia="en-US"/>
              </w:rPr>
              <w:t>2023–27</w:t>
            </w:r>
          </w:p>
        </w:tc>
        <w:tc>
          <w:tcPr>
            <w:tcW w:w="1840" w:type="dxa"/>
            <w:tcMar>
              <w:left w:w="108" w:type="dxa"/>
              <w:right w:w="108" w:type="dxa"/>
            </w:tcMar>
          </w:tcPr>
          <w:p w14:paraId="70058105" w14:textId="09C1ED9B" w:rsidR="00482415" w:rsidRPr="002949B5" w:rsidRDefault="00482415" w:rsidP="00482415">
            <w:pPr>
              <w:pStyle w:val="TableTextLeft"/>
              <w:rPr>
                <w:lang w:eastAsia="en-US"/>
              </w:rPr>
            </w:pPr>
            <w:r w:rsidRPr="002949B5">
              <w:rPr>
                <w:lang w:eastAsia="en-US"/>
              </w:rPr>
              <w:t>$</w:t>
            </w:r>
            <w:r w:rsidRPr="0041126E">
              <w:rPr>
                <w:lang w:eastAsia="en-US"/>
              </w:rPr>
              <w:t>220</w:t>
            </w:r>
            <w:r w:rsidRPr="002949B5">
              <w:rPr>
                <w:lang w:eastAsia="en-US"/>
              </w:rPr>
              <w:t xml:space="preserve"> million </w:t>
            </w:r>
          </w:p>
        </w:tc>
      </w:tr>
      <w:tr w:rsidR="00791A68" w:rsidRPr="00133C17" w14:paraId="77689586" w14:textId="77777777" w:rsidTr="00A72F38">
        <w:tc>
          <w:tcPr>
            <w:tcW w:w="0" w:type="auto"/>
            <w:tcBorders>
              <w:bottom w:val="single" w:sz="4" w:space="0" w:color="F2E3C7" w:themeColor="accent6"/>
            </w:tcBorders>
            <w:tcMar>
              <w:left w:w="108" w:type="dxa"/>
              <w:right w:w="108" w:type="dxa"/>
            </w:tcMar>
            <w:hideMark/>
          </w:tcPr>
          <w:p w14:paraId="486877C4" w14:textId="7EDE4BF9" w:rsidR="00791A68" w:rsidRPr="00615D25" w:rsidRDefault="000D18E6">
            <w:pPr>
              <w:pStyle w:val="TableTextLeft"/>
              <w:rPr>
                <w:b/>
                <w:lang w:eastAsia="en-US"/>
              </w:rPr>
            </w:pPr>
            <w:r w:rsidRPr="0001492A">
              <w:rPr>
                <w:lang w:eastAsia="en-US"/>
              </w:rPr>
              <w:t>Northern Territory Remote Housing Federation Funding Agreement</w:t>
            </w:r>
          </w:p>
        </w:tc>
        <w:tc>
          <w:tcPr>
            <w:tcW w:w="3123" w:type="dxa"/>
            <w:tcBorders>
              <w:bottom w:val="single" w:sz="4" w:space="0" w:color="F2E3C7" w:themeColor="accent6"/>
            </w:tcBorders>
            <w:tcMar>
              <w:left w:w="108" w:type="dxa"/>
              <w:right w:w="108" w:type="dxa"/>
            </w:tcMar>
            <w:hideMark/>
          </w:tcPr>
          <w:p w14:paraId="6AC76B59" w14:textId="4A64BC0D" w:rsidR="00791A68" w:rsidRPr="00615D25" w:rsidRDefault="000D18E6">
            <w:pPr>
              <w:pStyle w:val="TableTextLeft"/>
              <w:rPr>
                <w:lang w:eastAsia="en-US"/>
              </w:rPr>
            </w:pPr>
            <w:r w:rsidRPr="00981BC3">
              <w:rPr>
                <w:lang w:eastAsia="en-US"/>
              </w:rPr>
              <w:t>National Indigenous Australians Agency</w:t>
            </w:r>
          </w:p>
        </w:tc>
        <w:tc>
          <w:tcPr>
            <w:tcW w:w="1276" w:type="dxa"/>
            <w:tcBorders>
              <w:bottom w:val="single" w:sz="4" w:space="0" w:color="F2E3C7" w:themeColor="accent6"/>
            </w:tcBorders>
            <w:tcMar>
              <w:left w:w="108" w:type="dxa"/>
              <w:right w:w="108" w:type="dxa"/>
            </w:tcMar>
            <w:hideMark/>
          </w:tcPr>
          <w:p w14:paraId="7F6E2AAB" w14:textId="741753CC" w:rsidR="00791A68" w:rsidRPr="00615D25" w:rsidRDefault="00791A68">
            <w:pPr>
              <w:pStyle w:val="TableTextLeft"/>
              <w:rPr>
                <w:lang w:eastAsia="en-US"/>
              </w:rPr>
            </w:pPr>
            <w:r w:rsidRPr="00615D25">
              <w:rPr>
                <w:lang w:eastAsia="en-US"/>
              </w:rPr>
              <w:t>2024–34</w:t>
            </w:r>
          </w:p>
        </w:tc>
        <w:tc>
          <w:tcPr>
            <w:tcW w:w="1840" w:type="dxa"/>
            <w:tcBorders>
              <w:bottom w:val="single" w:sz="4" w:space="0" w:color="F2E3C7" w:themeColor="accent6"/>
            </w:tcBorders>
            <w:tcMar>
              <w:left w:w="108" w:type="dxa"/>
              <w:right w:w="108" w:type="dxa"/>
            </w:tcMar>
            <w:hideMark/>
          </w:tcPr>
          <w:p w14:paraId="4067CD58" w14:textId="6B2DA7FE" w:rsidR="00791A68" w:rsidRDefault="00791A68">
            <w:pPr>
              <w:pStyle w:val="TableTextLeft"/>
              <w:rPr>
                <w:lang w:eastAsia="en-US"/>
              </w:rPr>
            </w:pPr>
            <w:r w:rsidRPr="00615D25">
              <w:rPr>
                <w:lang w:eastAsia="en-US"/>
              </w:rPr>
              <w:t>$4</w:t>
            </w:r>
            <w:r w:rsidR="0099326B">
              <w:rPr>
                <w:lang w:eastAsia="en-US"/>
              </w:rPr>
              <w:t> billion</w:t>
            </w:r>
            <w:r w:rsidRPr="00615D25">
              <w:rPr>
                <w:lang w:eastAsia="en-US"/>
              </w:rPr>
              <w:t xml:space="preserve"> </w:t>
            </w:r>
          </w:p>
          <w:p w14:paraId="693D801C" w14:textId="77777777" w:rsidR="00791A68" w:rsidRPr="00615D25" w:rsidRDefault="00791A68">
            <w:pPr>
              <w:pStyle w:val="TableTextLeft"/>
              <w:rPr>
                <w:lang w:eastAsia="en-US"/>
              </w:rPr>
            </w:pPr>
            <w:r w:rsidRPr="00615D25">
              <w:rPr>
                <w:lang w:eastAsia="en-US"/>
              </w:rPr>
              <w:t xml:space="preserve">(joint investment with Northern Territory Government) </w:t>
            </w:r>
          </w:p>
        </w:tc>
      </w:tr>
    </w:tbl>
    <w:p w14:paraId="023D3057" w14:textId="7DA04229" w:rsidR="00791A68" w:rsidRDefault="00791A68" w:rsidP="00DB6DE6">
      <w:pPr>
        <w:pStyle w:val="ChartorTableNoteandSource"/>
      </w:pPr>
      <w:r w:rsidRPr="00AF4C27">
        <w:t>Note:</w:t>
      </w:r>
      <w:r w:rsidR="001B4EAF">
        <w:tab/>
      </w:r>
      <w:r w:rsidRPr="00AF4C27">
        <w:t xml:space="preserve">This list of measures and programs is not exhaustive. It does not include measures for </w:t>
      </w:r>
      <w:r w:rsidR="0088127E" w:rsidRPr="00AF4C27">
        <w:t xml:space="preserve">building </w:t>
      </w:r>
      <w:r w:rsidRPr="00AF4C27">
        <w:t>capacity or providing policy advice, including the Housing Policy Partnership.</w:t>
      </w:r>
    </w:p>
    <w:p w14:paraId="277C85A6" w14:textId="14837DFF" w:rsidR="00840FA7" w:rsidRPr="00840FA7" w:rsidRDefault="00840FA7" w:rsidP="00840FA7">
      <w:pPr>
        <w:pStyle w:val="ChartorTableNoteandSource"/>
      </w:pPr>
      <w:r w:rsidRPr="00AF4C27">
        <w:t>Source:</w:t>
      </w:r>
      <w:r>
        <w:tab/>
      </w:r>
      <w:r w:rsidR="0033350E">
        <w:t xml:space="preserve">The </w:t>
      </w:r>
      <w:r w:rsidR="00D3428A">
        <w:t>Commonwealth of Australia, Department of Prime Minister and Cabinet 2017</w:t>
      </w:r>
      <w:r w:rsidRPr="00AF4C27">
        <w:t xml:space="preserve">; The Commonwealth of Australia 2022; Northern Territory Remote Housing 2023; Albanese </w:t>
      </w:r>
      <w:r w:rsidR="00270FC6">
        <w:t xml:space="preserve">et al. </w:t>
      </w:r>
      <w:r w:rsidRPr="00AF4C27">
        <w:t>2024</w:t>
      </w:r>
    </w:p>
    <w:p w14:paraId="05F1F949" w14:textId="5DE23FD8" w:rsidR="00791A68" w:rsidRPr="009628A8" w:rsidRDefault="0099326B">
      <w:pPr>
        <w:pStyle w:val="Heading2Numbered"/>
      </w:pPr>
      <w:bookmarkStart w:id="158" w:name="_Toc195026613"/>
      <w:bookmarkStart w:id="159" w:name="_Toc196395904"/>
      <w:r>
        <w:lastRenderedPageBreak/>
        <w:t>First Nations</w:t>
      </w:r>
      <w:r w:rsidR="00791A68" w:rsidRPr="009628A8">
        <w:t xml:space="preserve"> homelessness and overcrowding</w:t>
      </w:r>
      <w:bookmarkEnd w:id="158"/>
      <w:bookmarkEnd w:id="159"/>
    </w:p>
    <w:p w14:paraId="2EF52AE6" w14:textId="7788F569" w:rsidR="00791A68" w:rsidRPr="004F316A" w:rsidRDefault="00791A68">
      <w:r w:rsidRPr="004F316A">
        <w:t xml:space="preserve">At the 2021 Census, </w:t>
      </w:r>
      <w:r>
        <w:t xml:space="preserve">around </w:t>
      </w:r>
      <w:r w:rsidRPr="004F316A">
        <w:t>2</w:t>
      </w:r>
      <w:r>
        <w:t>5</w:t>
      </w:r>
      <w:r w:rsidRPr="004F316A">
        <w:t>,</w:t>
      </w:r>
      <w:r>
        <w:t>00</w:t>
      </w:r>
      <w:r w:rsidRPr="004F316A">
        <w:t xml:space="preserve">0 Aboriginal and </w:t>
      </w:r>
      <w:r w:rsidR="0099326B">
        <w:t>Torres Strait</w:t>
      </w:r>
      <w:r w:rsidRPr="004F316A">
        <w:t xml:space="preserve"> Islander people were estimated to be experiencing homelessness</w:t>
      </w:r>
      <w:r w:rsidR="0088127E">
        <w:t>,</w:t>
      </w:r>
      <w:r>
        <w:rPr>
          <w:rStyle w:val="FootnoteReference"/>
        </w:rPr>
        <w:footnoteReference w:id="13"/>
      </w:r>
      <w:r w:rsidRPr="004F316A">
        <w:t xml:space="preserve"> </w:t>
      </w:r>
      <w:r>
        <w:t>an increase of</w:t>
      </w:r>
      <w:r w:rsidRPr="004F316A">
        <w:t xml:space="preserve"> 6.4</w:t>
      </w:r>
      <w:r w:rsidR="0099326B">
        <w:t> per cent</w:t>
      </w:r>
      <w:r w:rsidRPr="004F316A">
        <w:t xml:space="preserve"> from 2016</w:t>
      </w:r>
      <w:r>
        <w:t xml:space="preserve"> (ABS 2023</w:t>
      </w:r>
      <w:r w:rsidR="00DF2D18">
        <w:t>a</w:t>
      </w:r>
      <w:r>
        <w:t>)</w:t>
      </w:r>
      <w:r w:rsidRPr="004F316A">
        <w:t>. This represent</w:t>
      </w:r>
      <w:r>
        <w:t xml:space="preserve">s more than </w:t>
      </w:r>
      <w:r w:rsidRPr="004F316A">
        <w:t>one</w:t>
      </w:r>
      <w:r w:rsidR="00A15C79">
        <w:noBreakHyphen/>
      </w:r>
      <w:r w:rsidRPr="004F316A">
        <w:t>fifth (20.4</w:t>
      </w:r>
      <w:r w:rsidR="0099326B">
        <w:t> per cent</w:t>
      </w:r>
      <w:r w:rsidRPr="004F316A">
        <w:t>) of people experiencing homelessness in Australia</w:t>
      </w:r>
      <w:r>
        <w:t xml:space="preserve"> (ABS</w:t>
      </w:r>
      <w:r w:rsidR="00F06A47">
        <w:t xml:space="preserve"> </w:t>
      </w:r>
      <w:r>
        <w:t>2023</w:t>
      </w:r>
      <w:r w:rsidR="00DF2D18">
        <w:t>a</w:t>
      </w:r>
      <w:r>
        <w:t>)</w:t>
      </w:r>
      <w:r w:rsidRPr="004F316A">
        <w:t xml:space="preserve">. </w:t>
      </w:r>
      <w:r>
        <w:t xml:space="preserve">Aboriginal </w:t>
      </w:r>
      <w:r w:rsidRPr="004F316A">
        <w:t xml:space="preserve">and </w:t>
      </w:r>
      <w:r w:rsidR="0099326B">
        <w:t>Torres Strait</w:t>
      </w:r>
      <w:r>
        <w:t xml:space="preserve"> Islander people are 8.8 times more likely to be experiencing homelessness than non</w:t>
      </w:r>
      <w:r w:rsidR="00A15C79">
        <w:noBreakHyphen/>
      </w:r>
      <w:r>
        <w:t>Indigenous Australians (ABS 2023</w:t>
      </w:r>
      <w:r w:rsidR="00DF2D18">
        <w:t>a</w:t>
      </w:r>
      <w:r>
        <w:t>)</w:t>
      </w:r>
      <w:r w:rsidRPr="004F316A">
        <w:t>.</w:t>
      </w:r>
      <w:r>
        <w:t xml:space="preserve"> </w:t>
      </w:r>
    </w:p>
    <w:p w14:paraId="0E7B87EA" w14:textId="0E01A493" w:rsidR="00791A68" w:rsidRPr="004F316A" w:rsidRDefault="00791A68">
      <w:r w:rsidRPr="004F316A">
        <w:t xml:space="preserve">Of the Aboriginal and </w:t>
      </w:r>
      <w:r w:rsidR="0099326B">
        <w:t>Torres Strait</w:t>
      </w:r>
      <w:r w:rsidRPr="004F316A">
        <w:t xml:space="preserve"> Islander people experiencing homelessness at the time of the 2021 Census:</w:t>
      </w:r>
    </w:p>
    <w:p w14:paraId="3419D734" w14:textId="08988841" w:rsidR="00791A68" w:rsidRPr="001B4EAF" w:rsidRDefault="00791A68" w:rsidP="001B4EAF">
      <w:pPr>
        <w:pStyle w:val="Bullet"/>
      </w:pPr>
      <w:r w:rsidRPr="001B4EAF">
        <w:t>3 in 5 (60</w:t>
      </w:r>
      <w:r w:rsidR="0099326B" w:rsidRPr="001B4EAF">
        <w:t> per cent</w:t>
      </w:r>
      <w:r w:rsidRPr="001B4EAF">
        <w:t xml:space="preserve">) were living in </w:t>
      </w:r>
      <w:r w:rsidR="00A15C79">
        <w:t>‘</w:t>
      </w:r>
      <w:r w:rsidRPr="001B4EAF">
        <w:t>severely</w:t>
      </w:r>
      <w:r w:rsidR="00A15C79">
        <w:t>’</w:t>
      </w:r>
      <w:r w:rsidRPr="001B4EAF">
        <w:t xml:space="preserve"> crowded dwellings</w:t>
      </w:r>
    </w:p>
    <w:p w14:paraId="5E61AC66" w14:textId="5D74D7DC" w:rsidR="00791A68" w:rsidRPr="001B4EAF" w:rsidRDefault="00791A68" w:rsidP="001B4EAF">
      <w:pPr>
        <w:pStyle w:val="Bullet"/>
      </w:pPr>
      <w:r w:rsidRPr="001B4EAF">
        <w:t>almost one in 5 (19.1</w:t>
      </w:r>
      <w:r w:rsidR="0099326B" w:rsidRPr="001B4EAF">
        <w:t> per cent</w:t>
      </w:r>
      <w:r w:rsidRPr="001B4EAF">
        <w:t>) were in supported accommodation for the homeless</w:t>
      </w:r>
    </w:p>
    <w:p w14:paraId="641F9BF8" w14:textId="6DEF6C9D" w:rsidR="00791A68" w:rsidRPr="001B4EAF" w:rsidRDefault="00791A68" w:rsidP="001B4EAF">
      <w:pPr>
        <w:pStyle w:val="Bullet"/>
      </w:pPr>
      <w:r w:rsidRPr="001B4EAF">
        <w:t>nearly one in 10 (9.3</w:t>
      </w:r>
      <w:r w:rsidR="0099326B" w:rsidRPr="001B4EAF">
        <w:t> per cent</w:t>
      </w:r>
      <w:r w:rsidRPr="001B4EAF">
        <w:t>) were living in improvised dwellings</w:t>
      </w:r>
      <w:r w:rsidR="00EE1DBC" w:rsidRPr="001B4EAF">
        <w:t xml:space="preserve"> or</w:t>
      </w:r>
      <w:r w:rsidRPr="001B4EAF">
        <w:t xml:space="preserve"> tents, or sleeping out </w:t>
      </w:r>
      <w:bookmarkStart w:id="160" w:name="_Hlk196303689"/>
      <w:r w:rsidR="00EE1DBC" w:rsidRPr="001B4EAF">
        <w:t>(ABS 2023</w:t>
      </w:r>
      <w:r w:rsidR="00DF2D18">
        <w:t>a</w:t>
      </w:r>
      <w:r w:rsidR="00EE1DBC" w:rsidRPr="001B4EAF">
        <w:t>)</w:t>
      </w:r>
      <w:r w:rsidRPr="001B4EAF">
        <w:t xml:space="preserve">. </w:t>
      </w:r>
      <w:bookmarkEnd w:id="160"/>
    </w:p>
    <w:p w14:paraId="2BAF6DE9" w14:textId="7BB4015C" w:rsidR="00791A68" w:rsidRDefault="00791A68">
      <w:r w:rsidRPr="004F316A">
        <w:t xml:space="preserve">The </w:t>
      </w:r>
      <w:r>
        <w:t>share</w:t>
      </w:r>
      <w:r w:rsidRPr="004F316A">
        <w:t xml:space="preserve"> of </w:t>
      </w:r>
      <w:r w:rsidR="0099326B">
        <w:t>First Nations</w:t>
      </w:r>
      <w:r w:rsidRPr="004F316A">
        <w:t xml:space="preserve"> people experiencing homelessness, compared to non</w:t>
      </w:r>
      <w:r w:rsidR="00A15C79">
        <w:noBreakHyphen/>
      </w:r>
      <w:r w:rsidRPr="004F316A">
        <w:t>Indigenous Australians, is higher in every state and territory</w:t>
      </w:r>
      <w:r>
        <w:t xml:space="preserve">, </w:t>
      </w:r>
      <w:r w:rsidRPr="004F316A">
        <w:t xml:space="preserve">with the highest proportion in the Northern Territory </w:t>
      </w:r>
      <w:r w:rsidR="004B2060" w:rsidRPr="004F316A">
        <w:t>(NHSAC 2024)</w:t>
      </w:r>
      <w:r w:rsidRPr="004F316A">
        <w:t xml:space="preserve">. </w:t>
      </w:r>
      <w:r>
        <w:t>T</w:t>
      </w:r>
      <w:r w:rsidRPr="004F316A">
        <w:t xml:space="preserve">he most recent National Aboriginal and </w:t>
      </w:r>
      <w:r w:rsidR="0099326B">
        <w:t>Torres Strait</w:t>
      </w:r>
      <w:r w:rsidRPr="004F316A">
        <w:t xml:space="preserve"> Islander Social Survey </w:t>
      </w:r>
      <w:r>
        <w:t>reports</w:t>
      </w:r>
      <w:r w:rsidR="00103608">
        <w:t>,</w:t>
      </w:r>
      <w:r>
        <w:t xml:space="preserve"> </w:t>
      </w:r>
      <w:r w:rsidRPr="004F316A">
        <w:t>in 2014</w:t>
      </w:r>
      <w:r w:rsidR="00103608">
        <w:t>–</w:t>
      </w:r>
      <w:r w:rsidRPr="004F316A">
        <w:t xml:space="preserve">15, </w:t>
      </w:r>
      <w:r w:rsidR="00784057">
        <w:t xml:space="preserve">showed that </w:t>
      </w:r>
      <w:r w:rsidRPr="004F316A">
        <w:t>40.9</w:t>
      </w:r>
      <w:r w:rsidR="0099326B">
        <w:t> per cent</w:t>
      </w:r>
      <w:r w:rsidRPr="004F316A">
        <w:t xml:space="preserve"> of Aboriginal and </w:t>
      </w:r>
      <w:r w:rsidR="0099326B">
        <w:t>Torres Strait</w:t>
      </w:r>
      <w:r w:rsidRPr="004F316A">
        <w:t xml:space="preserve"> Islander</w:t>
      </w:r>
      <w:r w:rsidR="00784057">
        <w:t xml:space="preserve"> people aged</w:t>
      </w:r>
      <w:r w:rsidRPr="004F316A">
        <w:t xml:space="preserve"> between 35 and 44 had experienced homelessness in their lifetime </w:t>
      </w:r>
      <w:r w:rsidR="00784057" w:rsidRPr="004F316A">
        <w:t>(ABS 2016)</w:t>
      </w:r>
      <w:r w:rsidRPr="004F316A">
        <w:t>.</w:t>
      </w:r>
      <w:r>
        <w:t xml:space="preserve"> </w:t>
      </w:r>
      <w:r w:rsidR="008E1E4E">
        <w:t>However, t</w:t>
      </w:r>
      <w:r w:rsidRPr="004F316A">
        <w:t xml:space="preserve">he </w:t>
      </w:r>
      <w:r>
        <w:t>share of the</w:t>
      </w:r>
      <w:r w:rsidRPr="004F316A">
        <w:t xml:space="preserve"> </w:t>
      </w:r>
      <w:r w:rsidR="0099326B">
        <w:t>First Nations</w:t>
      </w:r>
      <w:r>
        <w:t xml:space="preserve"> population</w:t>
      </w:r>
      <w:r w:rsidRPr="004F316A">
        <w:t xml:space="preserve"> experiencing homelessness has decrease</w:t>
      </w:r>
      <w:r w:rsidR="00524FB7">
        <w:t>d</w:t>
      </w:r>
      <w:r w:rsidRPr="004F316A">
        <w:t xml:space="preserve"> </w:t>
      </w:r>
      <w:r w:rsidR="00524FB7">
        <w:t>since then</w:t>
      </w:r>
      <w:r w:rsidRPr="004F316A">
        <w:t xml:space="preserve"> </w:t>
      </w:r>
      <w:bookmarkStart w:id="161" w:name="_Hlk196303720"/>
      <w:r w:rsidRPr="004F316A">
        <w:t>(ABS 2023</w:t>
      </w:r>
      <w:r w:rsidR="00DF2D18">
        <w:t>a</w:t>
      </w:r>
      <w:r w:rsidRPr="004F316A">
        <w:t>)</w:t>
      </w:r>
      <w:r>
        <w:t>.</w:t>
      </w:r>
      <w:r w:rsidRPr="004F316A">
        <w:t xml:space="preserve"> </w:t>
      </w:r>
      <w:bookmarkEnd w:id="161"/>
    </w:p>
    <w:p w14:paraId="310D062B" w14:textId="77777777" w:rsidR="00791A68" w:rsidRPr="009628A8" w:rsidRDefault="00791A68">
      <w:pPr>
        <w:pStyle w:val="Heading3Numbered"/>
      </w:pPr>
      <w:r w:rsidRPr="009628A8">
        <w:t>Specialist Homelessness Services</w:t>
      </w:r>
    </w:p>
    <w:p w14:paraId="5BB25B43" w14:textId="7B74833E" w:rsidR="00E17686" w:rsidRDefault="00791A68">
      <w:r w:rsidRPr="004F316A">
        <w:t xml:space="preserve">Aboriginal and </w:t>
      </w:r>
      <w:r w:rsidR="0099326B">
        <w:t>Torres Strait</w:t>
      </w:r>
      <w:r w:rsidRPr="004F316A">
        <w:t xml:space="preserve"> Islander</w:t>
      </w:r>
      <w:r>
        <w:t xml:space="preserve"> people </w:t>
      </w:r>
      <w:r w:rsidRPr="004F316A">
        <w:t>represent</w:t>
      </w:r>
      <w:r>
        <w:t>ed</w:t>
      </w:r>
      <w:r w:rsidRPr="004F316A">
        <w:t xml:space="preserve"> 29</w:t>
      </w:r>
      <w:r w:rsidR="0099326B">
        <w:t> per cent</w:t>
      </w:r>
      <w:r>
        <w:rPr>
          <w:rStyle w:val="FootnoteReference"/>
        </w:rPr>
        <w:footnoteReference w:id="14"/>
      </w:r>
      <w:r w:rsidRPr="004F316A">
        <w:t xml:space="preserve"> of </w:t>
      </w:r>
      <w:r w:rsidR="004D0EA0">
        <w:t>those</w:t>
      </w:r>
      <w:r w:rsidRPr="004F316A">
        <w:t xml:space="preserve"> accessing </w:t>
      </w:r>
      <w:r w:rsidR="00130369">
        <w:t>specialist</w:t>
      </w:r>
      <w:r w:rsidRPr="004F316A">
        <w:t xml:space="preserve"> homelessness service</w:t>
      </w:r>
      <w:r>
        <w:t>s in 2023</w:t>
      </w:r>
      <w:r w:rsidR="00721957">
        <w:t>–</w:t>
      </w:r>
      <w:r>
        <w:t>24, a significant over</w:t>
      </w:r>
      <w:r w:rsidR="00A15C79">
        <w:noBreakHyphen/>
      </w:r>
      <w:r>
        <w:t xml:space="preserve">representation relative to their share of the population. </w:t>
      </w:r>
      <w:r w:rsidRPr="004F316A">
        <w:t xml:space="preserve">The number of Aboriginal and </w:t>
      </w:r>
      <w:r w:rsidR="0099326B">
        <w:t>Torres Strait</w:t>
      </w:r>
      <w:r w:rsidRPr="004F316A">
        <w:t xml:space="preserve"> Islander clients experiencing persistent homelessness has also risen by </w:t>
      </w:r>
      <w:r>
        <w:t>46</w:t>
      </w:r>
      <w:r w:rsidR="0099326B">
        <w:t> per cent</w:t>
      </w:r>
      <w:r w:rsidRPr="004F316A">
        <w:t xml:space="preserve"> since 2019</w:t>
      </w:r>
      <w:r w:rsidR="000A6A7B">
        <w:t>–</w:t>
      </w:r>
      <w:r w:rsidRPr="004F316A">
        <w:t xml:space="preserve">20, compared to </w:t>
      </w:r>
      <w:r>
        <w:t xml:space="preserve">a </w:t>
      </w:r>
      <w:r w:rsidRPr="004F316A">
        <w:t>2</w:t>
      </w:r>
      <w:r>
        <w:t>5</w:t>
      </w:r>
      <w:r w:rsidR="0099326B">
        <w:t> per cent</w:t>
      </w:r>
      <w:r w:rsidRPr="004F316A">
        <w:t xml:space="preserve"> </w:t>
      </w:r>
      <w:r>
        <w:t>rise</w:t>
      </w:r>
      <w:r w:rsidRPr="004F316A">
        <w:t xml:space="preserve"> for all clients (</w:t>
      </w:r>
      <w:r>
        <w:t xml:space="preserve">see </w:t>
      </w:r>
      <w:r w:rsidRPr="00130369">
        <w:t>Chapter 3,</w:t>
      </w:r>
      <w:r w:rsidR="00852E73">
        <w:t xml:space="preserve"> </w:t>
      </w:r>
      <w:r w:rsidR="00852E73" w:rsidRPr="001B4EAF">
        <w:rPr>
          <w:rStyle w:val="Emphasis"/>
        </w:rPr>
        <w:t>Conditions in non</w:t>
      </w:r>
      <w:r w:rsidR="00A15C79">
        <w:rPr>
          <w:rStyle w:val="Emphasis"/>
        </w:rPr>
        <w:noBreakHyphen/>
      </w:r>
      <w:r w:rsidR="00852E73" w:rsidRPr="001B4EAF">
        <w:rPr>
          <w:rStyle w:val="Emphasis"/>
        </w:rPr>
        <w:t>market ho</w:t>
      </w:r>
      <w:r w:rsidR="00E30338" w:rsidRPr="001B4EAF">
        <w:rPr>
          <w:rStyle w:val="Emphasis"/>
        </w:rPr>
        <w:t>using and housing assistance</w:t>
      </w:r>
      <w:r w:rsidR="00E30338">
        <w:t>, and</w:t>
      </w:r>
      <w:r w:rsidRPr="00E904EF">
        <w:rPr>
          <w:i/>
          <w:iCs/>
        </w:rPr>
        <w:t xml:space="preserve"> </w:t>
      </w:r>
      <w:r w:rsidRPr="00130369">
        <w:t>Chart 3.2</w:t>
      </w:r>
      <w:r w:rsidRPr="004F316A">
        <w:t>).</w:t>
      </w:r>
      <w:r w:rsidRPr="000A78F4">
        <w:t xml:space="preserve"> </w:t>
      </w:r>
      <w:r>
        <w:t xml:space="preserve">These increases may partly </w:t>
      </w:r>
      <w:r w:rsidRPr="000A78F4">
        <w:t>reflect improve</w:t>
      </w:r>
      <w:r w:rsidR="00D67AF1">
        <w:t>ments in</w:t>
      </w:r>
      <w:r w:rsidRPr="000A78F4">
        <w:t xml:space="preserve"> data </w:t>
      </w:r>
      <w:r w:rsidR="00A44324">
        <w:t xml:space="preserve">capture </w:t>
      </w:r>
      <w:r w:rsidR="008771BD">
        <w:t>on</w:t>
      </w:r>
      <w:r w:rsidRPr="000A78F4">
        <w:t xml:space="preserve"> Indigenous status</w:t>
      </w:r>
      <w:r>
        <w:t xml:space="preserve"> by service providers</w:t>
      </w:r>
      <w:r w:rsidRPr="000A78F4">
        <w:t>, with the proportion of client</w:t>
      </w:r>
      <w:r w:rsidR="00A44324">
        <w:t xml:space="preserve"> file</w:t>
      </w:r>
      <w:r w:rsidRPr="000A78F4">
        <w:t xml:space="preserve">s </w:t>
      </w:r>
      <w:r w:rsidR="004A14AF">
        <w:t>with Indigenous status</w:t>
      </w:r>
      <w:r w:rsidR="004A14AF" w:rsidRPr="000A78F4">
        <w:t xml:space="preserve"> </w:t>
      </w:r>
      <w:r w:rsidR="00A15C79">
        <w:t>‘</w:t>
      </w:r>
      <w:r w:rsidRPr="000A78F4">
        <w:t>not stated</w:t>
      </w:r>
      <w:r w:rsidR="00A15C79">
        <w:t>’</w:t>
      </w:r>
      <w:r w:rsidRPr="000A78F4">
        <w:t xml:space="preserve"> </w:t>
      </w:r>
      <w:r>
        <w:t xml:space="preserve">decreasing substantially between </w:t>
      </w:r>
      <w:r w:rsidRPr="000A78F4">
        <w:t>2011</w:t>
      </w:r>
      <w:r w:rsidR="004A14AF">
        <w:t>–</w:t>
      </w:r>
      <w:r w:rsidRPr="000A78F4">
        <w:t xml:space="preserve">12 </w:t>
      </w:r>
      <w:r>
        <w:t>and</w:t>
      </w:r>
      <w:r w:rsidRPr="000A78F4">
        <w:t xml:space="preserve"> 2023</w:t>
      </w:r>
      <w:r w:rsidR="004A14AF">
        <w:t>–</w:t>
      </w:r>
      <w:r w:rsidRPr="000A78F4">
        <w:t>24 (AIHW</w:t>
      </w:r>
      <w:r w:rsidR="004A14AF">
        <w:t xml:space="preserve"> </w:t>
      </w:r>
      <w:r w:rsidRPr="000A78F4">
        <w:t>2024</w:t>
      </w:r>
      <w:r w:rsidR="006E0869">
        <w:t>b</w:t>
      </w:r>
      <w:r w:rsidRPr="000A78F4">
        <w:t>)</w:t>
      </w:r>
      <w:r>
        <w:t>.</w:t>
      </w:r>
      <w:r w:rsidR="00E17686">
        <w:br w:type="page"/>
      </w:r>
    </w:p>
    <w:p w14:paraId="646409A8" w14:textId="77777777" w:rsidR="00791A68" w:rsidRPr="009628A8" w:rsidRDefault="00791A68">
      <w:pPr>
        <w:pStyle w:val="Heading3Numbered"/>
      </w:pPr>
      <w:r w:rsidRPr="009628A8">
        <w:lastRenderedPageBreak/>
        <w:t>Overcrowding</w:t>
      </w:r>
    </w:p>
    <w:p w14:paraId="6CD35695" w14:textId="6C919ACD" w:rsidR="00791A68" w:rsidRDefault="00791A68">
      <w:r w:rsidRPr="00A65D8F">
        <w:t>Severe overcrowding</w:t>
      </w:r>
      <w:r w:rsidR="00B332A3">
        <w:t xml:space="preserve"> – referring to dwellings that require 4 or more additional bedrooms to accommodate the people who usually live there –</w:t>
      </w:r>
      <w:r w:rsidRPr="00A65D8F">
        <w:t xml:space="preserve"> is the most common form of homelessness for </w:t>
      </w:r>
      <w:r w:rsidR="0099326B">
        <w:t>First Nations</w:t>
      </w:r>
      <w:r w:rsidRPr="00A65D8F">
        <w:t xml:space="preserve"> Australians, with nearly 15,000 </w:t>
      </w:r>
      <w:r w:rsidR="0099326B">
        <w:t>First Nations</w:t>
      </w:r>
      <w:r w:rsidRPr="00A65D8F">
        <w:t xml:space="preserve"> </w:t>
      </w:r>
      <w:r>
        <w:t>people</w:t>
      </w:r>
      <w:r w:rsidRPr="00A65D8F">
        <w:t xml:space="preserve"> experiencing homelessness due to severely crowded dwellings (ABS 2023</w:t>
      </w:r>
      <w:r w:rsidR="00DF2D18">
        <w:t>a</w:t>
      </w:r>
      <w:r w:rsidRPr="00A65D8F">
        <w:t xml:space="preserve">). </w:t>
      </w:r>
    </w:p>
    <w:p w14:paraId="02AD8932" w14:textId="62C2AE03" w:rsidR="00791A68" w:rsidRDefault="00791A68">
      <w:r>
        <w:t>S</w:t>
      </w:r>
      <w:r w:rsidRPr="00A65D8F">
        <w:t>evere overcrowdin</w:t>
      </w:r>
      <w:r>
        <w:t xml:space="preserve">g is more prevalent in </w:t>
      </w:r>
      <w:r w:rsidRPr="00A65D8F">
        <w:t>remote and very remote areas</w:t>
      </w:r>
      <w:r w:rsidR="00C074C1">
        <w:t>:</w:t>
      </w:r>
      <w:r>
        <w:t xml:space="preserve"> </w:t>
      </w:r>
      <w:r w:rsidRPr="00A65D8F">
        <w:t>1.5</w:t>
      </w:r>
      <w:r w:rsidR="0099326B">
        <w:t> per cent</w:t>
      </w:r>
      <w:r w:rsidRPr="00A65D8F">
        <w:t xml:space="preserve"> </w:t>
      </w:r>
      <w:r>
        <w:t>and 5.6</w:t>
      </w:r>
      <w:r w:rsidR="0099326B">
        <w:t> per cent</w:t>
      </w:r>
      <w:r>
        <w:t xml:space="preserve"> </w:t>
      </w:r>
      <w:r w:rsidRPr="00A65D8F">
        <w:t xml:space="preserve">of </w:t>
      </w:r>
      <w:r w:rsidR="0099326B">
        <w:t>First Nations</w:t>
      </w:r>
      <w:r w:rsidRPr="00A65D8F">
        <w:t xml:space="preserve"> households in remote and </w:t>
      </w:r>
      <w:r>
        <w:t xml:space="preserve">very </w:t>
      </w:r>
      <w:r w:rsidRPr="00A65D8F">
        <w:t>remote areas</w:t>
      </w:r>
      <w:r w:rsidR="00C074C1">
        <w:t xml:space="preserve">, </w:t>
      </w:r>
      <w:r>
        <w:t>respectively</w:t>
      </w:r>
      <w:r w:rsidR="00C074C1">
        <w:t>,</w:t>
      </w:r>
      <w:r w:rsidRPr="00A65D8F">
        <w:t xml:space="preserve"> </w:t>
      </w:r>
      <w:r>
        <w:t>live in severely overcrowded dwellings</w:t>
      </w:r>
      <w:r w:rsidRPr="00A65D8F">
        <w:t>. This compares to only 0.1</w:t>
      </w:r>
      <w:r w:rsidR="0099326B">
        <w:t> per cent</w:t>
      </w:r>
      <w:r w:rsidRPr="00A65D8F">
        <w:t xml:space="preserve"> </w:t>
      </w:r>
      <w:r>
        <w:t xml:space="preserve">of </w:t>
      </w:r>
      <w:r w:rsidR="0099326B">
        <w:t>First Nations</w:t>
      </w:r>
      <w:r>
        <w:t xml:space="preserve"> households </w:t>
      </w:r>
      <w:r w:rsidRPr="00A65D8F">
        <w:t>in non</w:t>
      </w:r>
      <w:r w:rsidR="00A15C79">
        <w:noBreakHyphen/>
      </w:r>
      <w:r w:rsidRPr="00A65D8F">
        <w:t>remote areas (ABS 2022</w:t>
      </w:r>
      <w:r w:rsidR="00E32C0F">
        <w:t>d</w:t>
      </w:r>
      <w:r w:rsidRPr="00A65D8F">
        <w:t xml:space="preserve">). </w:t>
      </w:r>
    </w:p>
    <w:p w14:paraId="5674E867" w14:textId="2CB6EDA8" w:rsidR="00791A68" w:rsidRPr="00A65D8F" w:rsidRDefault="00791A68">
      <w:r>
        <w:t>O</w:t>
      </w:r>
      <w:r w:rsidRPr="00A65D8F">
        <w:t xml:space="preserve">vercrowding in general </w:t>
      </w:r>
      <w:r>
        <w:t>– r</w:t>
      </w:r>
      <w:r w:rsidR="00967B0F">
        <w:t>eferring to dwellings that r</w:t>
      </w:r>
      <w:r>
        <w:t>equir</w:t>
      </w:r>
      <w:r w:rsidR="00967B0F">
        <w:t>e</w:t>
      </w:r>
      <w:r>
        <w:t xml:space="preserve"> </w:t>
      </w:r>
      <w:r w:rsidR="00C3002C">
        <w:t>1</w:t>
      </w:r>
      <w:r w:rsidDel="00C3002C">
        <w:t xml:space="preserve"> </w:t>
      </w:r>
      <w:r>
        <w:t xml:space="preserve">or more additional bedrooms – </w:t>
      </w:r>
      <w:r w:rsidRPr="00A65D8F">
        <w:t>i</w:t>
      </w:r>
      <w:r>
        <w:t>s</w:t>
      </w:r>
      <w:r w:rsidRPr="00A65D8F">
        <w:t xml:space="preserve"> </w:t>
      </w:r>
      <w:r>
        <w:t xml:space="preserve">more common </w:t>
      </w:r>
      <w:r w:rsidRPr="00A65D8F">
        <w:t xml:space="preserve">in </w:t>
      </w:r>
      <w:r w:rsidR="0099326B">
        <w:t>First Nations</w:t>
      </w:r>
      <w:r w:rsidRPr="00A65D8F">
        <w:t xml:space="preserve"> households, though this has improved with efforts to close the gap on this measure. In 2021, 81.4</w:t>
      </w:r>
      <w:r w:rsidR="0099326B">
        <w:t> per cent</w:t>
      </w:r>
      <w:r w:rsidRPr="00A65D8F">
        <w:t xml:space="preserve"> of </w:t>
      </w:r>
      <w:r w:rsidR="0099326B">
        <w:t>First Nations</w:t>
      </w:r>
      <w:r w:rsidRPr="00A65D8F">
        <w:t xml:space="preserve"> people lived in appropriately</w:t>
      </w:r>
      <w:r>
        <w:t xml:space="preserve"> </w:t>
      </w:r>
      <w:r w:rsidR="004C5096">
        <w:t>sized</w:t>
      </w:r>
      <w:r>
        <w:t xml:space="preserve"> (not overcrowded)</w:t>
      </w:r>
      <w:r w:rsidRPr="00A65D8F">
        <w:t xml:space="preserve"> housing, an increase from 74.6</w:t>
      </w:r>
      <w:r w:rsidR="0099326B">
        <w:t> per cent</w:t>
      </w:r>
      <w:r w:rsidRPr="00A65D8F">
        <w:t xml:space="preserve"> in 2011. This compares to 9</w:t>
      </w:r>
      <w:r w:rsidR="00C3002C">
        <w:t>3.5</w:t>
      </w:r>
      <w:r w:rsidR="0099326B">
        <w:t> per cent</w:t>
      </w:r>
      <w:r w:rsidRPr="00A65D8F">
        <w:t xml:space="preserve"> for non</w:t>
      </w:r>
      <w:r w:rsidR="00A15C79">
        <w:noBreakHyphen/>
      </w:r>
      <w:r w:rsidRPr="00A65D8F">
        <w:t xml:space="preserve">Indigenous Australians. </w:t>
      </w:r>
      <w:r w:rsidR="0099326B">
        <w:t>First Nations</w:t>
      </w:r>
      <w:r w:rsidRPr="00A65D8F">
        <w:t xml:space="preserve"> people are 2.9 times as likely to live in overcrowded dwellings, ranging from 1.5 times </w:t>
      </w:r>
      <w:r w:rsidR="00896233">
        <w:t>more likely</w:t>
      </w:r>
      <w:r w:rsidR="00896233" w:rsidRPr="00A65D8F">
        <w:t xml:space="preserve"> </w:t>
      </w:r>
      <w:r w:rsidRPr="00A65D8F">
        <w:t>in New South Wales to 6.1 times in the Northern Territory (AIHW 2024</w:t>
      </w:r>
      <w:r w:rsidR="00ED1439">
        <w:t>a</w:t>
      </w:r>
      <w:r w:rsidRPr="00A65D8F">
        <w:t>). The proportion of appropriate</w:t>
      </w:r>
      <w:r w:rsidR="002F0BF6">
        <w:t>ly sized</w:t>
      </w:r>
      <w:r>
        <w:t xml:space="preserve"> </w:t>
      </w:r>
      <w:r w:rsidRPr="00A65D8F">
        <w:t>dwellings sit</w:t>
      </w:r>
      <w:r w:rsidR="00896233">
        <w:t>s</w:t>
      </w:r>
      <w:r w:rsidRPr="00A65D8F">
        <w:t xml:space="preserve"> at 88</w:t>
      </w:r>
      <w:r w:rsidR="0099326B">
        <w:t> per cent</w:t>
      </w:r>
      <w:r w:rsidRPr="00A65D8F">
        <w:t xml:space="preserve"> in major cities, decreasing to 45</w:t>
      </w:r>
      <w:r w:rsidR="0099326B">
        <w:t> per cent</w:t>
      </w:r>
      <w:r w:rsidRPr="00A65D8F">
        <w:t xml:space="preserve"> in very remote areas (</w:t>
      </w:r>
      <w:r>
        <w:t>P</w:t>
      </w:r>
      <w:r w:rsidR="00575A17">
        <w:t xml:space="preserve">roductivity </w:t>
      </w:r>
      <w:r>
        <w:t>C</w:t>
      </w:r>
      <w:r w:rsidR="00575A17">
        <w:t>ommission</w:t>
      </w:r>
      <w:r w:rsidRPr="00A65D8F">
        <w:t xml:space="preserve"> 202</w:t>
      </w:r>
      <w:r w:rsidR="00851844">
        <w:t>5c</w:t>
      </w:r>
      <w:r w:rsidRPr="00A65D8F">
        <w:t>)</w:t>
      </w:r>
      <w:r w:rsidR="00A15C79">
        <w:t xml:space="preserve">. </w:t>
      </w:r>
    </w:p>
    <w:p w14:paraId="5E049BD3" w14:textId="6AB21478" w:rsidR="00791A68" w:rsidRPr="0041138D" w:rsidRDefault="00A93E44">
      <w:pPr>
        <w:rPr>
          <w:rFonts w:ascii="Calibri" w:hAnsi="Calibri" w:cs="Calibri"/>
          <w:szCs w:val="22"/>
        </w:rPr>
      </w:pPr>
      <w:r>
        <w:rPr>
          <w:rFonts w:ascii="Calibri" w:hAnsi="Calibri" w:cs="Calibri"/>
        </w:rPr>
        <w:t>The formation of comparatively larger households also contributes</w:t>
      </w:r>
      <w:r w:rsidR="00791A68">
        <w:rPr>
          <w:rFonts w:ascii="Calibri" w:hAnsi="Calibri" w:cs="Calibri"/>
        </w:rPr>
        <w:t xml:space="preserve"> to overcrowding</w:t>
      </w:r>
      <w:r w:rsidR="00791A68" w:rsidRPr="004F316A">
        <w:rPr>
          <w:rFonts w:ascii="Calibri" w:hAnsi="Calibri" w:cs="Calibri"/>
        </w:rPr>
        <w:t xml:space="preserve"> in </w:t>
      </w:r>
      <w:r w:rsidR="0099326B">
        <w:rPr>
          <w:rFonts w:ascii="Calibri" w:hAnsi="Calibri" w:cs="Calibri"/>
        </w:rPr>
        <w:t>First Nations</w:t>
      </w:r>
      <w:r w:rsidR="00791A68" w:rsidRPr="004F316A">
        <w:rPr>
          <w:rFonts w:ascii="Calibri" w:hAnsi="Calibri" w:cs="Calibri"/>
        </w:rPr>
        <w:t xml:space="preserve"> communities, </w:t>
      </w:r>
      <w:r w:rsidR="00791A68">
        <w:rPr>
          <w:rFonts w:ascii="Calibri" w:hAnsi="Calibri" w:cs="Calibri"/>
          <w:szCs w:val="22"/>
        </w:rPr>
        <w:t>and drivers of this are</w:t>
      </w:r>
      <w:r w:rsidR="00791A68" w:rsidRPr="004F316A">
        <w:rPr>
          <w:rFonts w:ascii="Calibri" w:hAnsi="Calibri" w:cs="Calibri"/>
          <w:szCs w:val="22"/>
        </w:rPr>
        <w:t xml:space="preserve"> both structural and cultural. Structural factors include the shortage of appropriate, affordable housing. Housing design also contributes to overcrowding, with most </w:t>
      </w:r>
      <w:r w:rsidR="0099326B">
        <w:rPr>
          <w:rFonts w:ascii="Calibri" w:hAnsi="Calibri" w:cs="Calibri"/>
          <w:szCs w:val="22"/>
        </w:rPr>
        <w:t>First Nations</w:t>
      </w:r>
      <w:r w:rsidR="00054558">
        <w:rPr>
          <w:rFonts w:ascii="Calibri" w:hAnsi="Calibri" w:cs="Calibri"/>
          <w:szCs w:val="22"/>
        </w:rPr>
        <w:t>–</w:t>
      </w:r>
      <w:r w:rsidR="00791A68" w:rsidRPr="004F316A">
        <w:rPr>
          <w:rFonts w:ascii="Calibri" w:hAnsi="Calibri" w:cs="Calibri"/>
          <w:szCs w:val="22"/>
        </w:rPr>
        <w:t xml:space="preserve">specific housing designed without cultural understanding of </w:t>
      </w:r>
      <w:r w:rsidR="0099326B">
        <w:rPr>
          <w:rFonts w:ascii="Calibri" w:hAnsi="Calibri" w:cs="Calibri"/>
          <w:szCs w:val="22"/>
        </w:rPr>
        <w:t>First Nations</w:t>
      </w:r>
      <w:r w:rsidR="00791A68" w:rsidRPr="004F316A">
        <w:rPr>
          <w:rFonts w:ascii="Calibri" w:hAnsi="Calibri" w:cs="Calibri"/>
          <w:szCs w:val="22"/>
        </w:rPr>
        <w:t xml:space="preserve"> housing requirements. In particular, temporary and semi</w:t>
      </w:r>
      <w:r w:rsidR="00A15C79">
        <w:rPr>
          <w:rFonts w:ascii="Calibri" w:hAnsi="Calibri" w:cs="Calibri"/>
          <w:szCs w:val="22"/>
        </w:rPr>
        <w:noBreakHyphen/>
      </w:r>
      <w:r w:rsidR="00791A68" w:rsidRPr="004F316A">
        <w:rPr>
          <w:rFonts w:ascii="Calibri" w:hAnsi="Calibri" w:cs="Calibri"/>
          <w:szCs w:val="22"/>
        </w:rPr>
        <w:t xml:space="preserve">permanent visitors are common in </w:t>
      </w:r>
      <w:r w:rsidR="0099326B">
        <w:rPr>
          <w:rFonts w:ascii="Calibri" w:hAnsi="Calibri" w:cs="Calibri"/>
          <w:szCs w:val="22"/>
        </w:rPr>
        <w:t>First Nations</w:t>
      </w:r>
      <w:r w:rsidR="00791A68" w:rsidRPr="004F316A">
        <w:rPr>
          <w:rFonts w:ascii="Calibri" w:hAnsi="Calibri" w:cs="Calibri"/>
          <w:szCs w:val="22"/>
        </w:rPr>
        <w:t xml:space="preserve"> communities, with people visiting relatives to maintain kinship ties, to be closer to Country, to access services or for sorry business</w:t>
      </w:r>
      <w:r w:rsidR="00791A68">
        <w:rPr>
          <w:rFonts w:ascii="Calibri" w:hAnsi="Calibri" w:cs="Calibri"/>
          <w:szCs w:val="22"/>
        </w:rPr>
        <w:t xml:space="preserve">. Stakeholders raised that investment in the construction and renovation of housing would reduce overcrowding and improve living conditions, especially in remote and very remote areas. </w:t>
      </w:r>
    </w:p>
    <w:p w14:paraId="71DAC76A" w14:textId="6FE75FC3" w:rsidR="00791A68" w:rsidRPr="009628A8" w:rsidRDefault="0099326B">
      <w:pPr>
        <w:pStyle w:val="Heading2Numbered"/>
      </w:pPr>
      <w:bookmarkStart w:id="162" w:name="_Toc195026614"/>
      <w:bookmarkStart w:id="163" w:name="_Toc196395905"/>
      <w:r>
        <w:t>First Nations</w:t>
      </w:r>
      <w:r w:rsidR="00791A68" w:rsidRPr="009628A8">
        <w:t xml:space="preserve"> rental housing</w:t>
      </w:r>
      <w:bookmarkEnd w:id="162"/>
      <w:bookmarkEnd w:id="163"/>
    </w:p>
    <w:p w14:paraId="71211E92" w14:textId="2C54AC2B" w:rsidR="00791A68" w:rsidRPr="009628A8" w:rsidRDefault="00791A68">
      <w:pPr>
        <w:pStyle w:val="Heading3Numbered"/>
      </w:pPr>
      <w:r w:rsidRPr="009628A8">
        <w:t>Private rental</w:t>
      </w:r>
    </w:p>
    <w:p w14:paraId="1E9ECAFD" w14:textId="2966A738" w:rsidR="00791A68" w:rsidRPr="00B83875" w:rsidRDefault="00791A68">
      <w:r w:rsidRPr="004F316A">
        <w:t>At the 2021 Census, 35.2</w:t>
      </w:r>
      <w:r w:rsidR="0099326B">
        <w:t> per cent</w:t>
      </w:r>
      <w:r w:rsidRPr="004F316A">
        <w:t xml:space="preserve"> of </w:t>
      </w:r>
      <w:r w:rsidR="0099326B">
        <w:t>First Nations</w:t>
      </w:r>
      <w:r w:rsidRPr="004F316A">
        <w:t xml:space="preserve"> people were private </w:t>
      </w:r>
      <w:r>
        <w:t>renters (ABS 2022</w:t>
      </w:r>
      <w:r w:rsidR="002231CF">
        <w:t>d</w:t>
      </w:r>
      <w:r>
        <w:t>).</w:t>
      </w:r>
      <w:r w:rsidRPr="004F316A">
        <w:t xml:space="preserve"> </w:t>
      </w:r>
      <w:r w:rsidR="00280D79">
        <w:t>The proportion of p</w:t>
      </w:r>
      <w:r w:rsidR="00FE5742">
        <w:t>rivat</w:t>
      </w:r>
      <w:r w:rsidR="00E614E0">
        <w:t>e</w:t>
      </w:r>
      <w:r w:rsidR="00FE5742">
        <w:t xml:space="preserve"> ren</w:t>
      </w:r>
      <w:r w:rsidR="00280D79">
        <w:t xml:space="preserve">ters among </w:t>
      </w:r>
      <w:r w:rsidR="0099326B">
        <w:t>First Nations</w:t>
      </w:r>
      <w:r w:rsidR="00280D79">
        <w:t xml:space="preserve"> people </w:t>
      </w:r>
      <w:r w:rsidRPr="004F316A">
        <w:t>has been steadily increasing over time, from 28</w:t>
      </w:r>
      <w:r w:rsidR="0099326B">
        <w:t> per cent</w:t>
      </w:r>
      <w:r w:rsidRPr="004F316A">
        <w:t xml:space="preserve"> in the 2001 Census</w:t>
      </w:r>
      <w:r>
        <w:t xml:space="preserve"> (ABS 2022</w:t>
      </w:r>
      <w:r w:rsidR="002231CF">
        <w:t>d</w:t>
      </w:r>
      <w:r>
        <w:t>)</w:t>
      </w:r>
      <w:r w:rsidRPr="004F316A">
        <w:t>. The proportion is much higher in major cities (42</w:t>
      </w:r>
      <w:r w:rsidR="0099326B">
        <w:t> per cent</w:t>
      </w:r>
      <w:r w:rsidRPr="004F316A">
        <w:t>)</w:t>
      </w:r>
      <w:r w:rsidR="00E614E0">
        <w:t>,</w:t>
      </w:r>
      <w:r w:rsidRPr="004F316A">
        <w:t xml:space="preserve"> and inner and outer regional areas (37</w:t>
      </w:r>
      <w:r w:rsidR="0099326B">
        <w:t> per cent</w:t>
      </w:r>
      <w:r w:rsidR="00E614E0">
        <w:t xml:space="preserve"> </w:t>
      </w:r>
      <w:r w:rsidRPr="004F316A">
        <w:t>and 36</w:t>
      </w:r>
      <w:r w:rsidR="0099326B">
        <w:t> per cent</w:t>
      </w:r>
      <w:r w:rsidR="00E614E0">
        <w:t>,</w:t>
      </w:r>
      <w:r w:rsidRPr="004F316A">
        <w:t xml:space="preserve"> respectively) </w:t>
      </w:r>
      <w:r>
        <w:t>than</w:t>
      </w:r>
      <w:r w:rsidRPr="004F316A">
        <w:t xml:space="preserve"> remote and very remote areas (28</w:t>
      </w:r>
      <w:r w:rsidR="0099326B">
        <w:t> per cent</w:t>
      </w:r>
      <w:r w:rsidR="00E614E0">
        <w:t xml:space="preserve"> </w:t>
      </w:r>
      <w:r w:rsidRPr="004F316A">
        <w:t>and 13</w:t>
      </w:r>
      <w:r w:rsidR="0099326B">
        <w:t> per cent</w:t>
      </w:r>
      <w:r w:rsidR="00E614E0">
        <w:t>,</w:t>
      </w:r>
      <w:r w:rsidRPr="004F316A">
        <w:t xml:space="preserve"> respectively)</w:t>
      </w:r>
      <w:r>
        <w:t xml:space="preserve"> (ABS 2022</w:t>
      </w:r>
      <w:r w:rsidR="0023488B">
        <w:t>d</w:t>
      </w:r>
      <w:r>
        <w:t xml:space="preserve">). This is because </w:t>
      </w:r>
      <w:r w:rsidRPr="004F316A">
        <w:t>rental properties are more commonly provided by state housing authorities</w:t>
      </w:r>
      <w:r>
        <w:t xml:space="preserve"> in </w:t>
      </w:r>
      <w:r w:rsidRPr="004F316A">
        <w:t>remote and very remote areas</w:t>
      </w:r>
      <w:r>
        <w:t>.</w:t>
      </w:r>
    </w:p>
    <w:p w14:paraId="4CDE20CE" w14:textId="059DE130" w:rsidR="00791A68" w:rsidRPr="00B83875" w:rsidRDefault="00791A68">
      <w:r w:rsidRPr="00EE171B">
        <w:t>Around 35</w:t>
      </w:r>
      <w:r w:rsidR="0099326B">
        <w:t> per cent</w:t>
      </w:r>
      <w:r w:rsidRPr="00EE171B">
        <w:t xml:space="preserve"> of </w:t>
      </w:r>
      <w:r w:rsidR="0099326B">
        <w:t>First Nations</w:t>
      </w:r>
      <w:r w:rsidRPr="00EE171B">
        <w:t xml:space="preserve"> </w:t>
      </w:r>
      <w:r>
        <w:t xml:space="preserve">private </w:t>
      </w:r>
      <w:r w:rsidRPr="00CE5540">
        <w:t>renter households spent more than 30</w:t>
      </w:r>
      <w:r w:rsidR="0099326B" w:rsidRPr="00CE5540">
        <w:t> per cent</w:t>
      </w:r>
      <w:r w:rsidRPr="00CE5540">
        <w:t xml:space="preserve"> of their gross household income on rent in 2021 (ABS 2022</w:t>
      </w:r>
      <w:r w:rsidR="002231CF" w:rsidRPr="00CE5540">
        <w:t>d</w:t>
      </w:r>
      <w:r w:rsidRPr="00CE5540">
        <w:t xml:space="preserve">). </w:t>
      </w:r>
      <w:r w:rsidR="00C95FB8" w:rsidRPr="00CE5540">
        <w:t xml:space="preserve">Around 38 per cent of these households were </w:t>
      </w:r>
      <w:r w:rsidRPr="00CE5540">
        <w:t>in major cities and inner regional areas</w:t>
      </w:r>
      <w:r w:rsidR="00C95FB8" w:rsidRPr="00CE5540">
        <w:t>, while 13 per cent</w:t>
      </w:r>
      <w:r w:rsidR="003350E3" w:rsidRPr="00CE5540">
        <w:t xml:space="preserve"> </w:t>
      </w:r>
      <w:r w:rsidR="00C64B92" w:rsidRPr="0041126E">
        <w:t xml:space="preserve">were </w:t>
      </w:r>
      <w:r w:rsidRPr="00CE5540">
        <w:t xml:space="preserve">in very remote areas </w:t>
      </w:r>
      <w:r w:rsidR="00C16541" w:rsidRPr="00CE5540">
        <w:t>(NHSAC 202</w:t>
      </w:r>
      <w:r w:rsidR="00C95FB8" w:rsidRPr="00CE5540">
        <w:t>4</w:t>
      </w:r>
      <w:r w:rsidR="00C16541" w:rsidRPr="00CE5540">
        <w:t>)</w:t>
      </w:r>
      <w:r w:rsidRPr="00CE5540">
        <w:t xml:space="preserve">. </w:t>
      </w:r>
      <w:r w:rsidR="00B57831" w:rsidRPr="00CE5540">
        <w:t xml:space="preserve">It is likely that these </w:t>
      </w:r>
      <w:r w:rsidRPr="00CE5540">
        <w:t>rental affordability pressures have worsened since 2021</w:t>
      </w:r>
      <w:r w:rsidR="00DC1E79" w:rsidRPr="00CE5540">
        <w:t>,</w:t>
      </w:r>
      <w:r w:rsidRPr="00CE5540">
        <w:t xml:space="preserve"> in line with </w:t>
      </w:r>
      <w:r w:rsidR="00C83E0C" w:rsidRPr="00CE5540">
        <w:t xml:space="preserve">greater </w:t>
      </w:r>
      <w:r w:rsidRPr="00CE5540">
        <w:t>increases in rent costs relative to household incomes</w:t>
      </w:r>
      <w:r w:rsidR="00DC1E79" w:rsidRPr="00CE5540">
        <w:t xml:space="preserve"> more broadly</w:t>
      </w:r>
      <w:r w:rsidRPr="00CE5540">
        <w:t>.</w:t>
      </w:r>
      <w:r w:rsidRPr="00EE171B">
        <w:t xml:space="preserve"> </w:t>
      </w:r>
    </w:p>
    <w:p w14:paraId="009D50F6" w14:textId="00C17A53" w:rsidR="00791A68" w:rsidRPr="007F4723" w:rsidRDefault="00791A68">
      <w:pPr>
        <w:pStyle w:val="Heading3Numbered"/>
      </w:pPr>
      <w:r w:rsidRPr="007F4723">
        <w:lastRenderedPageBreak/>
        <w:t>Commonwealth Rent Assistance</w:t>
      </w:r>
    </w:p>
    <w:p w14:paraId="2E37A3D7" w14:textId="2F5FC4F0" w:rsidR="00791A68" w:rsidRPr="004F316A" w:rsidRDefault="00791A68">
      <w:r w:rsidRPr="004F316A">
        <w:t xml:space="preserve">Commonwealth Rent Assistance </w:t>
      </w:r>
      <w:r>
        <w:t xml:space="preserve">(CRA) </w:t>
      </w:r>
      <w:r w:rsidRPr="004F316A">
        <w:t xml:space="preserve">helps to reduce </w:t>
      </w:r>
      <w:r>
        <w:t>levels</w:t>
      </w:r>
      <w:r w:rsidRPr="004F316A">
        <w:t xml:space="preserve"> of rental stress</w:t>
      </w:r>
      <w:r>
        <w:t>, and a</w:t>
      </w:r>
      <w:r w:rsidRPr="004F316A">
        <w:t xml:space="preserve"> significant number of </w:t>
      </w:r>
      <w:r w:rsidR="0099326B">
        <w:t>First Nations</w:t>
      </w:r>
      <w:r w:rsidRPr="004F316A">
        <w:t xml:space="preserve"> households </w:t>
      </w:r>
      <w:r>
        <w:t>receive this payment</w:t>
      </w:r>
      <w:r w:rsidRPr="004F316A">
        <w:t>. The</w:t>
      </w:r>
      <w:r>
        <w:t xml:space="preserve">re were </w:t>
      </w:r>
      <w:r w:rsidRPr="004F316A">
        <w:t xml:space="preserve">96,665 </w:t>
      </w:r>
      <w:r w:rsidR="0099326B">
        <w:t>First Nations</w:t>
      </w:r>
      <w:r>
        <w:t xml:space="preserve"> CRA recipient households in 2023</w:t>
      </w:r>
      <w:r w:rsidR="00851C44">
        <w:t>–</w:t>
      </w:r>
      <w:r>
        <w:t>24,</w:t>
      </w:r>
      <w:r w:rsidRPr="004F316A">
        <w:t xml:space="preserve"> represent</w:t>
      </w:r>
      <w:r>
        <w:t>ing</w:t>
      </w:r>
      <w:r w:rsidRPr="004F316A">
        <w:t xml:space="preserve"> 7.4</w:t>
      </w:r>
      <w:r w:rsidR="0099326B">
        <w:t> per cent</w:t>
      </w:r>
      <w:r w:rsidRPr="004F316A">
        <w:t xml:space="preserve"> of all recipients </w:t>
      </w:r>
      <w:r>
        <w:t>(AIHW 2024</w:t>
      </w:r>
      <w:r w:rsidR="00BF1E65">
        <w:t>a</w:t>
      </w:r>
      <w:r>
        <w:t xml:space="preserve">) and </w:t>
      </w:r>
      <w:r w:rsidRPr="004F316A">
        <w:t>a 10.7</w:t>
      </w:r>
      <w:r w:rsidR="0099326B">
        <w:t> per cent</w:t>
      </w:r>
      <w:r w:rsidRPr="004F316A">
        <w:t xml:space="preserve"> increase from </w:t>
      </w:r>
      <w:r>
        <w:t>2022</w:t>
      </w:r>
      <w:r w:rsidR="00851C44">
        <w:t>–</w:t>
      </w:r>
      <w:r>
        <w:t>23 (Chart 6.1)</w:t>
      </w:r>
      <w:r w:rsidRPr="004F316A">
        <w:t xml:space="preserve">. </w:t>
      </w:r>
    </w:p>
    <w:p w14:paraId="27954AF8" w14:textId="3DD2AE7B" w:rsidR="00791A68" w:rsidRDefault="00851C44">
      <w:r>
        <w:t xml:space="preserve">As at June 2024, </w:t>
      </w:r>
      <w:r w:rsidR="00791A68" w:rsidRPr="004F316A">
        <w:t>36</w:t>
      </w:r>
      <w:r w:rsidR="0099326B">
        <w:t> per cent</w:t>
      </w:r>
      <w:r w:rsidR="00791A68" w:rsidRPr="004F316A">
        <w:t xml:space="preserve"> of </w:t>
      </w:r>
      <w:r w:rsidR="0099326B">
        <w:t>First Nations</w:t>
      </w:r>
      <w:r w:rsidR="00791A68" w:rsidRPr="004F316A">
        <w:t xml:space="preserve"> </w:t>
      </w:r>
      <w:r w:rsidR="00791A68">
        <w:t>CRA</w:t>
      </w:r>
      <w:r w:rsidR="00791A68" w:rsidRPr="004F316A">
        <w:t xml:space="preserve"> recipients were in rental stress</w:t>
      </w:r>
      <w:r w:rsidR="00791A68">
        <w:t>. Without CRA,</w:t>
      </w:r>
      <w:r w:rsidR="00791A68" w:rsidRPr="004F316A">
        <w:t xml:space="preserve"> 71</w:t>
      </w:r>
      <w:r w:rsidR="0099326B">
        <w:t> per cent</w:t>
      </w:r>
      <w:r w:rsidR="00791A68" w:rsidRPr="004F316A">
        <w:t xml:space="preserve"> </w:t>
      </w:r>
      <w:r w:rsidR="00791A68">
        <w:t xml:space="preserve">of </w:t>
      </w:r>
      <w:r w:rsidR="0099326B">
        <w:t>First Nations</w:t>
      </w:r>
      <w:r w:rsidR="00847389">
        <w:t xml:space="preserve"> CRA </w:t>
      </w:r>
      <w:r w:rsidR="00791A68">
        <w:t xml:space="preserve">recipients </w:t>
      </w:r>
      <w:r w:rsidR="00791A68" w:rsidRPr="004F316A">
        <w:t>would have been in rental stress</w:t>
      </w:r>
      <w:r w:rsidR="00791A68">
        <w:t>.</w:t>
      </w:r>
      <w:r w:rsidR="00791A68" w:rsidRPr="004F316A">
        <w:t xml:space="preserve"> </w:t>
      </w:r>
      <w:r w:rsidR="00791A68">
        <w:t>Accordingly</w:t>
      </w:r>
      <w:r w:rsidR="00791A68" w:rsidRPr="000A78F4">
        <w:t xml:space="preserve">, </w:t>
      </w:r>
      <w:r w:rsidR="00847389">
        <w:t>CRA</w:t>
      </w:r>
      <w:r w:rsidR="0007405F">
        <w:t xml:space="preserve"> accounts for</w:t>
      </w:r>
      <w:r w:rsidR="00791A68" w:rsidRPr="000A78F4">
        <w:t xml:space="preserve"> a greater reduction in rental stress </w:t>
      </w:r>
      <w:r w:rsidR="0007405F">
        <w:t>among</w:t>
      </w:r>
      <w:r w:rsidR="00791A68" w:rsidRPr="000A78F4">
        <w:t xml:space="preserve"> </w:t>
      </w:r>
      <w:r w:rsidR="0099326B">
        <w:t>First Nations</w:t>
      </w:r>
      <w:r w:rsidR="00791A68" w:rsidRPr="000A78F4">
        <w:t xml:space="preserve"> recipients </w:t>
      </w:r>
      <w:r w:rsidR="00E55005">
        <w:t xml:space="preserve">than </w:t>
      </w:r>
      <w:r w:rsidR="00791A68" w:rsidRPr="000A78F4">
        <w:t xml:space="preserve">compared to </w:t>
      </w:r>
      <w:r w:rsidR="00A922A2">
        <w:t>the broader population receiving CRA</w:t>
      </w:r>
      <w:r w:rsidR="00791A68" w:rsidRPr="000A78F4">
        <w:t xml:space="preserve"> (</w:t>
      </w:r>
      <w:r w:rsidR="00791A68">
        <w:t xml:space="preserve">see </w:t>
      </w:r>
      <w:r w:rsidR="00791A68" w:rsidRPr="00310A5D">
        <w:t>Chapter 3</w:t>
      </w:r>
      <w:r w:rsidR="007644B4" w:rsidRPr="00310A5D">
        <w:t>,</w:t>
      </w:r>
      <w:r w:rsidR="00791A68">
        <w:rPr>
          <w:i/>
          <w:iCs/>
        </w:rPr>
        <w:t xml:space="preserve"> </w:t>
      </w:r>
      <w:r w:rsidR="00791A68" w:rsidRPr="001B4EAF">
        <w:rPr>
          <w:rStyle w:val="Emphasis"/>
        </w:rPr>
        <w:t>Conditions in non</w:t>
      </w:r>
      <w:r w:rsidR="00A15C79">
        <w:rPr>
          <w:rStyle w:val="Emphasis"/>
        </w:rPr>
        <w:noBreakHyphen/>
      </w:r>
      <w:r w:rsidR="00791A68" w:rsidRPr="001B4EAF">
        <w:rPr>
          <w:rStyle w:val="Emphasis"/>
        </w:rPr>
        <w:t>market housing and housing assistance</w:t>
      </w:r>
      <w:r w:rsidR="00791A68" w:rsidRPr="000A78F4">
        <w:t>).</w:t>
      </w:r>
      <w:r w:rsidR="00791A68">
        <w:t xml:space="preserve"> Further, the proportionate fall in rental stress </w:t>
      </w:r>
      <w:r w:rsidR="00120CAC">
        <w:t>in 2023</w:t>
      </w:r>
      <w:r w:rsidR="00A15C79">
        <w:noBreakHyphen/>
      </w:r>
      <w:r w:rsidR="00120CAC">
        <w:t>24</w:t>
      </w:r>
      <w:r w:rsidR="00791A68">
        <w:t xml:space="preserve"> attributable to CRA is the </w:t>
      </w:r>
      <w:r w:rsidR="005C2412">
        <w:t>largest in at least</w:t>
      </w:r>
      <w:r w:rsidR="00791A68" w:rsidDel="00B40FC0">
        <w:t xml:space="preserve"> </w:t>
      </w:r>
      <w:r w:rsidR="00B40FC0">
        <w:t xml:space="preserve">4 </w:t>
      </w:r>
      <w:r w:rsidR="00791A68">
        <w:t>years</w:t>
      </w:r>
      <w:r w:rsidR="005C2412">
        <w:t>, reflecting</w:t>
      </w:r>
      <w:r w:rsidR="00791A68">
        <w:t xml:space="preserve"> the increase</w:t>
      </w:r>
      <w:r w:rsidR="00CA02F3">
        <w:t xml:space="preserve"> in the </w:t>
      </w:r>
      <w:r w:rsidR="00791A68">
        <w:t>CRA payment in 2023</w:t>
      </w:r>
      <w:r w:rsidR="001F694F">
        <w:t>–</w:t>
      </w:r>
      <w:r w:rsidR="00791A68">
        <w:t>24.</w:t>
      </w:r>
      <w:r w:rsidR="00791A68" w:rsidRPr="000A78F4">
        <w:t xml:space="preserve"> Despite this, </w:t>
      </w:r>
      <w:r w:rsidR="0099326B">
        <w:t>First Nations</w:t>
      </w:r>
      <w:r w:rsidR="00791A68" w:rsidRPr="000A78F4">
        <w:t xml:space="preserve"> </w:t>
      </w:r>
      <w:r w:rsidR="00860FF2">
        <w:t xml:space="preserve">renter </w:t>
      </w:r>
      <w:r w:rsidR="00791A68" w:rsidRPr="000A78F4">
        <w:t>households are likely to have benefited less from CRA increases compared to the general population</w:t>
      </w:r>
      <w:r w:rsidR="00074EEC">
        <w:t>. This is because</w:t>
      </w:r>
      <w:r w:rsidR="00791A68" w:rsidRPr="000A78F4">
        <w:t xml:space="preserve"> </w:t>
      </w:r>
      <w:r w:rsidR="0099326B">
        <w:t>First Nations</w:t>
      </w:r>
      <w:r w:rsidR="00791A68" w:rsidRPr="000A78F4">
        <w:t xml:space="preserve"> renters are more likely to live in social housing</w:t>
      </w:r>
      <w:r w:rsidR="00791A68">
        <w:t>, while</w:t>
      </w:r>
      <w:r w:rsidR="00791A68" w:rsidRPr="000A78F4">
        <w:t xml:space="preserve"> only those in community housing are eligible for CRA</w:t>
      </w:r>
      <w:r w:rsidR="00791A68">
        <w:t xml:space="preserve"> </w:t>
      </w:r>
      <w:r w:rsidR="00791A68" w:rsidRPr="000A78F4">
        <w:t>(Economic Inclusion Advisory Committee 2024)</w:t>
      </w:r>
      <w:r w:rsidR="00791A68">
        <w:t>.</w:t>
      </w:r>
    </w:p>
    <w:tbl>
      <w:tblPr>
        <w:tblW w:w="5044" w:type="pct"/>
        <w:tblLayout w:type="fixed"/>
        <w:tblLook w:val="0000" w:firstRow="0" w:lastRow="0" w:firstColumn="0" w:lastColumn="0" w:noHBand="0" w:noVBand="0"/>
      </w:tblPr>
      <w:tblGrid>
        <w:gridCol w:w="4575"/>
        <w:gridCol w:w="4575"/>
      </w:tblGrid>
      <w:tr w:rsidR="00791A68" w:rsidRPr="00CE1402" w14:paraId="2E0A5F22" w14:textId="77777777">
        <w:trPr>
          <w:cantSplit/>
          <w:trHeight w:val="702"/>
        </w:trPr>
        <w:tc>
          <w:tcPr>
            <w:tcW w:w="4575" w:type="dxa"/>
          </w:tcPr>
          <w:p w14:paraId="2CCFAC05" w14:textId="3549AA60" w:rsidR="00791A68" w:rsidRPr="007A7838" w:rsidRDefault="0099326B" w:rsidP="001B4EAF">
            <w:pPr>
              <w:pStyle w:val="ChartMainHeading"/>
            </w:pPr>
            <w:r>
              <w:t>First Nations</w:t>
            </w:r>
            <w:r w:rsidR="00791A68" w:rsidRPr="00A06B86">
              <w:t xml:space="preserve"> CRA recipient households, Australia</w:t>
            </w:r>
            <w:r w:rsidR="00A15C79">
              <w:noBreakHyphen/>
            </w:r>
            <w:r w:rsidR="00A945AF">
              <w:t>wide</w:t>
            </w:r>
          </w:p>
        </w:tc>
        <w:tc>
          <w:tcPr>
            <w:tcW w:w="4575" w:type="dxa"/>
          </w:tcPr>
          <w:p w14:paraId="46D9D698" w14:textId="0E89E171" w:rsidR="00791A68" w:rsidRPr="00A81852" w:rsidRDefault="0099326B" w:rsidP="001B4EAF">
            <w:pPr>
              <w:pStyle w:val="ChartMainHeading"/>
            </w:pPr>
            <w:r>
              <w:t>First Nations</w:t>
            </w:r>
            <w:r w:rsidR="00791A68" w:rsidRPr="00A81852">
              <w:t xml:space="preserve"> households in</w:t>
            </w:r>
            <w:r w:rsidR="00791A68">
              <w:t xml:space="preserve"> </w:t>
            </w:r>
            <w:r w:rsidR="00791A68" w:rsidRPr="00A81852">
              <w:t xml:space="preserve">rental stress with </w:t>
            </w:r>
            <w:r w:rsidR="005925FE">
              <w:t xml:space="preserve">and without </w:t>
            </w:r>
            <w:r w:rsidR="00791A68" w:rsidRPr="00A81852">
              <w:t>CRA, Australia</w:t>
            </w:r>
            <w:r w:rsidR="00A15C79">
              <w:noBreakHyphen/>
            </w:r>
            <w:r w:rsidR="00A945AF">
              <w:t>wide</w:t>
            </w:r>
          </w:p>
        </w:tc>
      </w:tr>
      <w:tr w:rsidR="00AF4C27" w:rsidRPr="00CE1402" w14:paraId="65FBDF0D" w14:textId="77777777">
        <w:trPr>
          <w:cantSplit/>
          <w:trHeight w:val="702"/>
        </w:trPr>
        <w:tc>
          <w:tcPr>
            <w:tcW w:w="4575" w:type="dxa"/>
          </w:tcPr>
          <w:p w14:paraId="726876F7" w14:textId="567C730F" w:rsidR="00AF4C27" w:rsidRDefault="007E40C1" w:rsidP="0041126E">
            <w:pPr>
              <w:pStyle w:val="ChartGraphic"/>
              <w:jc w:val="left"/>
            </w:pPr>
            <w:r w:rsidRPr="007E40C1">
              <w:rPr>
                <w:noProof/>
              </w:rPr>
              <w:drawing>
                <wp:inline distT="0" distB="0" distL="0" distR="0" wp14:anchorId="1AD358A3" wp14:editId="21072DA8">
                  <wp:extent cx="2696724" cy="2846439"/>
                  <wp:effectExtent l="0" t="0" r="0" b="0"/>
                  <wp:docPr id="1699798380" name="Picture 25" descr="This line chart shows the number of First Nation households receiving Commonwealth Rent Assistance (CRA) from the 2018-19 financial year to the 2023-24 financial year. There were 96,665 First Nations households receiving CRA in 2023-24, representing a 11 per cent increase since 2022-23. This follows a decline over the past two years, from a peak of 101,646 in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798380" name="Picture 25" descr="This line chart shows the number of First Nation households receiving Commonwealth Rent Assistance (CRA) from the 2018-19 financial year to the 2023-24 financial year. There were 96,665 First Nations households receiving CRA in 2023-24, representing a 11 per cent increase since 2022-23. This follows a decline over the past two years, from a peak of 101,646 in 2020-2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715688" cy="2866455"/>
                          </a:xfrm>
                          <a:prstGeom prst="rect">
                            <a:avLst/>
                          </a:prstGeom>
                          <a:noFill/>
                          <a:ln>
                            <a:noFill/>
                          </a:ln>
                        </pic:spPr>
                      </pic:pic>
                    </a:graphicData>
                  </a:graphic>
                </wp:inline>
              </w:drawing>
            </w:r>
          </w:p>
        </w:tc>
        <w:tc>
          <w:tcPr>
            <w:tcW w:w="4575" w:type="dxa"/>
          </w:tcPr>
          <w:p w14:paraId="2CA8E23C" w14:textId="4512BA4A" w:rsidR="00AF4C27" w:rsidRDefault="004217E6" w:rsidP="0041126E">
            <w:pPr>
              <w:pStyle w:val="ChartGraphic"/>
              <w:jc w:val="left"/>
            </w:pPr>
            <w:r>
              <w:rPr>
                <w:noProof/>
              </w:rPr>
              <w:t xml:space="preserve">alt </w:t>
            </w:r>
            <w:r w:rsidR="00B96B10" w:rsidRPr="00B96B10">
              <w:rPr>
                <w:noProof/>
              </w:rPr>
              <w:drawing>
                <wp:inline distT="0" distB="0" distL="0" distR="0" wp14:anchorId="6A1508C4" wp14:editId="72A65E0F">
                  <wp:extent cx="2839065" cy="2839065"/>
                  <wp:effectExtent l="0" t="0" r="0" b="0"/>
                  <wp:docPr id="688433220" name="Picture 26" descr="This column chart shows the proportion of First Nations households in rental stress before and after Commonwealth Rent Assistance (CRA) from the 2018-19 financial year to the 2023-24 financial year. First Nations households consistently reported lower rates of stress after receiving CRA throughout this period. In 2023-24, 36 per cent of First Nations CRA recipients remained in rental stress, up from 33 per cent in 2018-19. Without CRA, 71 per cent of these recipients would have been in rental stress in 2023-24, up from 66 per cent in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433220" name="Picture 26" descr="This column chart shows the proportion of First Nations households in rental stress before and after Commonwealth Rent Assistance (CRA) from the 2018-19 financial year to the 2023-24 financial year. First Nations households consistently reported lower rates of stress after receiving CRA throughout this period. In 2023-24, 36 per cent of First Nations CRA recipients remained in rental stress, up from 33 per cent in 2018-19. Without CRA, 71 per cent of these recipients would have been in rental stress in 2023-24, up from 66 per cent in 2018-1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846038" cy="2846038"/>
                          </a:xfrm>
                          <a:prstGeom prst="rect">
                            <a:avLst/>
                          </a:prstGeom>
                          <a:noFill/>
                          <a:ln>
                            <a:noFill/>
                          </a:ln>
                        </pic:spPr>
                      </pic:pic>
                    </a:graphicData>
                  </a:graphic>
                </wp:inline>
              </w:drawing>
            </w:r>
          </w:p>
        </w:tc>
      </w:tr>
    </w:tbl>
    <w:p w14:paraId="336D4D83" w14:textId="77777777" w:rsidR="00E17686" w:rsidRDefault="00E17686" w:rsidP="00E17686">
      <w:pPr>
        <w:pStyle w:val="ChartorTableNoteandSource"/>
      </w:pPr>
      <w:r w:rsidRPr="00CE1402">
        <w:t>Note:</w:t>
      </w:r>
      <w:r>
        <w:tab/>
      </w:r>
      <w:r w:rsidRPr="00031B8B">
        <w:t xml:space="preserve">In 2020, the Coronavirus Supplement was included as income for certain types of income support payment and is included in the calculation of rental stress. </w:t>
      </w:r>
    </w:p>
    <w:p w14:paraId="53F47F66" w14:textId="77777777" w:rsidR="00E17686" w:rsidRDefault="00E17686" w:rsidP="00E17686">
      <w:pPr>
        <w:pStyle w:val="ChartorTableNoteandSource"/>
      </w:pPr>
      <w:r w:rsidRPr="00031B8B">
        <w:t>Source:</w:t>
      </w:r>
      <w:r>
        <w:tab/>
      </w:r>
      <w:r w:rsidRPr="00031B8B">
        <w:t>Productivity Commission 2025</w:t>
      </w:r>
    </w:p>
    <w:p w14:paraId="46990E7C" w14:textId="3B695BD3" w:rsidR="00AF4C27" w:rsidRDefault="00AF4C27" w:rsidP="00E17686">
      <w:pPr>
        <w:pStyle w:val="ChartorTableNoteandSource"/>
        <w:ind w:left="0" w:firstLine="0"/>
        <w:rPr>
          <w:rFonts w:asciiTheme="majorHAnsi" w:hAnsiTheme="majorHAnsi" w:cs="Arial"/>
          <w:color w:val="3B455C" w:themeColor="accent1"/>
          <w:kern w:val="32"/>
          <w:sz w:val="36"/>
          <w:szCs w:val="26"/>
        </w:rPr>
      </w:pPr>
      <w:r>
        <w:br w:type="page"/>
      </w:r>
    </w:p>
    <w:p w14:paraId="2D60737A" w14:textId="1F2AC374" w:rsidR="00791A68" w:rsidRPr="009628A8" w:rsidRDefault="00791A68">
      <w:pPr>
        <w:pStyle w:val="Heading3Numbered"/>
      </w:pPr>
      <w:r w:rsidRPr="009628A8">
        <w:lastRenderedPageBreak/>
        <w:t>Social housing</w:t>
      </w:r>
    </w:p>
    <w:p w14:paraId="795F414E" w14:textId="2F266585" w:rsidR="00791A68" w:rsidRDefault="0099326B" w:rsidP="00AF4C27">
      <w:r>
        <w:t>First Nations</w:t>
      </w:r>
      <w:r w:rsidR="00791A68">
        <w:t xml:space="preserve"> households can access mainstream social housing and </w:t>
      </w:r>
      <w:r w:rsidR="00E374CA">
        <w:t xml:space="preserve">2 </w:t>
      </w:r>
      <w:r w:rsidR="00791A68">
        <w:t xml:space="preserve">programs specifically </w:t>
      </w:r>
      <w:r w:rsidR="00CB0001">
        <w:t>designed for</w:t>
      </w:r>
      <w:r w:rsidR="00791A68">
        <w:t xml:space="preserve"> </w:t>
      </w:r>
      <w:r>
        <w:t>First Nations</w:t>
      </w:r>
      <w:r w:rsidR="00791A68">
        <w:t xml:space="preserve"> households (</w:t>
      </w:r>
      <w:r w:rsidR="00E374CA">
        <w:t xml:space="preserve">see </w:t>
      </w:r>
      <w:r w:rsidR="00791A68">
        <w:t xml:space="preserve">Box 6.2). The share of </w:t>
      </w:r>
      <w:r>
        <w:t>First Nations</w:t>
      </w:r>
      <w:r w:rsidR="00791A68" w:rsidRPr="004F316A">
        <w:t xml:space="preserve"> households liv</w:t>
      </w:r>
      <w:r w:rsidR="00791A68">
        <w:t>ing</w:t>
      </w:r>
      <w:r w:rsidR="00791A68" w:rsidRPr="004F316A">
        <w:t xml:space="preserve"> in social housing</w:t>
      </w:r>
      <w:r w:rsidR="00791A68">
        <w:t xml:space="preserve"> declined to 18</w:t>
      </w:r>
      <w:r>
        <w:t> per cent</w:t>
      </w:r>
      <w:r w:rsidR="00791A68">
        <w:t xml:space="preserve"> in 2021, </w:t>
      </w:r>
      <w:r w:rsidR="00791A68" w:rsidRPr="00E04DAF">
        <w:t>down from 32</w:t>
      </w:r>
      <w:r>
        <w:t> per cent</w:t>
      </w:r>
      <w:r w:rsidR="00791A68" w:rsidRPr="00E04DAF">
        <w:t xml:space="preserve"> in 2001 (ABS 2022</w:t>
      </w:r>
      <w:r w:rsidR="002231CF">
        <w:t>d</w:t>
      </w:r>
      <w:r w:rsidR="00791A68" w:rsidRPr="00E04DAF">
        <w:t xml:space="preserve">). However, the number of </w:t>
      </w:r>
      <w:r>
        <w:t>First Nations</w:t>
      </w:r>
      <w:r w:rsidR="00791A68" w:rsidRPr="00E04DAF">
        <w:t xml:space="preserve"> households on </w:t>
      </w:r>
      <w:r w:rsidR="00C62009">
        <w:t>S</w:t>
      </w:r>
      <w:r w:rsidR="00791A68" w:rsidRPr="00E04DAF">
        <w:t>tate owned and managed Indigenous housing (SOMIH) waitlists increased between 2023 and 2024.</w:t>
      </w:r>
      <w:r w:rsidR="00791A68" w:rsidRPr="00E04DAF">
        <w:rPr>
          <w:rStyle w:val="FootnoteReference"/>
        </w:rPr>
        <w:footnoteReference w:id="15"/>
      </w:r>
    </w:p>
    <w:tbl>
      <w:tblPr>
        <w:tblpPr w:leftFromText="180" w:rightFromText="180" w:vertAnchor="text" w:horzAnchor="margin" w:tblpY="24"/>
        <w:tblW w:w="5000" w:type="pct"/>
        <w:shd w:val="clear" w:color="auto" w:fill="F2E3C7" w:themeFill="background2"/>
        <w:tblCellMar>
          <w:top w:w="284" w:type="dxa"/>
          <w:left w:w="284" w:type="dxa"/>
          <w:bottom w:w="284" w:type="dxa"/>
          <w:right w:w="284" w:type="dxa"/>
        </w:tblCellMar>
        <w:tblLook w:val="0600" w:firstRow="0" w:lastRow="0" w:firstColumn="0" w:lastColumn="0" w:noHBand="1" w:noVBand="1"/>
      </w:tblPr>
      <w:tblGrid>
        <w:gridCol w:w="9070"/>
      </w:tblGrid>
      <w:tr w:rsidR="00791A68" w:rsidRPr="000D5374" w14:paraId="623E463C" w14:textId="77777777" w:rsidTr="775E7E5D">
        <w:trPr>
          <w:trHeight w:val="709"/>
        </w:trPr>
        <w:tc>
          <w:tcPr>
            <w:tcW w:w="5000" w:type="pct"/>
            <w:shd w:val="clear" w:color="auto" w:fill="F2E3C7" w:themeFill="accent6"/>
            <w:hideMark/>
          </w:tcPr>
          <w:p w14:paraId="35634ED6" w14:textId="50D9D6C1" w:rsidR="00791A68" w:rsidRPr="000D5374" w:rsidRDefault="0099326B" w:rsidP="00E17686">
            <w:pPr>
              <w:pStyle w:val="BoxHeadingBox11"/>
              <w:spacing w:before="60" w:after="200"/>
            </w:pPr>
            <w:r>
              <w:t>First Nations</w:t>
            </w:r>
            <w:r w:rsidR="00791A68">
              <w:t xml:space="preserve"> social housing</w:t>
            </w:r>
          </w:p>
          <w:p w14:paraId="3DD4415B" w14:textId="1303E544" w:rsidR="00791A68" w:rsidRDefault="0099326B" w:rsidP="00E17686">
            <w:pPr>
              <w:pStyle w:val="BoxText"/>
              <w:spacing w:before="0"/>
            </w:pPr>
            <w:r>
              <w:t>First Nations</w:t>
            </w:r>
            <w:r w:rsidR="00791A68">
              <w:t xml:space="preserve"> households can access mainstream public housing and community housing through state and territory social housing portals. In addition to these</w:t>
            </w:r>
            <w:r w:rsidR="000D0F45">
              <w:t xml:space="preserve"> types of housing</w:t>
            </w:r>
            <w:r w:rsidR="00791A68">
              <w:t xml:space="preserve">, </w:t>
            </w:r>
            <w:r>
              <w:t>First Nations</w:t>
            </w:r>
            <w:r w:rsidR="00791A68">
              <w:t xml:space="preserve"> households can access </w:t>
            </w:r>
            <w:r w:rsidR="00CA5C0A">
              <w:t xml:space="preserve">2 </w:t>
            </w:r>
            <w:r w:rsidR="00791A68">
              <w:t xml:space="preserve">social housing programs specifically targeted to </w:t>
            </w:r>
            <w:r>
              <w:t>First Nations</w:t>
            </w:r>
            <w:r w:rsidR="00791A68">
              <w:t xml:space="preserve"> people:</w:t>
            </w:r>
          </w:p>
          <w:p w14:paraId="12DC2331" w14:textId="52E10AAA" w:rsidR="00791A68" w:rsidRPr="00AF4C27" w:rsidRDefault="00791A68" w:rsidP="00AF4C27">
            <w:pPr>
              <w:pStyle w:val="Boxbullet"/>
            </w:pPr>
            <w:r>
              <w:t xml:space="preserve">SOMIH accessed by </w:t>
            </w:r>
            <w:r w:rsidRPr="00AF4C27">
              <w:t>those on low incomes and/or with special needs</w:t>
            </w:r>
          </w:p>
          <w:p w14:paraId="223ECE31" w14:textId="51243248" w:rsidR="00791A68" w:rsidRDefault="00791A68" w:rsidP="00AF4C27">
            <w:pPr>
              <w:pStyle w:val="Boxbullet"/>
            </w:pPr>
            <w:r w:rsidRPr="00AF4C27">
              <w:t xml:space="preserve">Indigenous community housing (ICH), owned and managed by Aboriginal and </w:t>
            </w:r>
            <w:r w:rsidR="0099326B" w:rsidRPr="00AF4C27">
              <w:t>Torres Strait</w:t>
            </w:r>
            <w:r w:rsidRPr="00AF4C27">
              <w:t xml:space="preserve"> Islander Community Controlled</w:t>
            </w:r>
            <w:r>
              <w:t xml:space="preserve"> Housing Organisations (</w:t>
            </w:r>
            <w:r w:rsidR="0069647F">
              <w:t>ATSICCHOs</w:t>
            </w:r>
            <w:r>
              <w:t>) (AIHW 2023</w:t>
            </w:r>
            <w:r w:rsidR="009C78EB">
              <w:t>b</w:t>
            </w:r>
            <w:r>
              <w:t xml:space="preserve">). </w:t>
            </w:r>
          </w:p>
          <w:p w14:paraId="5E78FAE7" w14:textId="77777777" w:rsidR="00791A68" w:rsidRPr="004F316A" w:rsidRDefault="00791A68" w:rsidP="00E17686">
            <w:pPr>
              <w:pStyle w:val="BoxText"/>
              <w:spacing w:after="60"/>
            </w:pPr>
            <w:r>
              <w:t xml:space="preserve">Social </w:t>
            </w:r>
            <w:r w:rsidRPr="00AF4C27">
              <w:t>housing</w:t>
            </w:r>
            <w:r>
              <w:t xml:space="preserve"> can also be owned by state housing authorities but managed by an ATSICCHO. </w:t>
            </w:r>
          </w:p>
        </w:tc>
      </w:tr>
    </w:tbl>
    <w:p w14:paraId="0A194F3B" w14:textId="0CCC206C" w:rsidR="00791A68" w:rsidRPr="00E904EF" w:rsidRDefault="00791A68" w:rsidP="00E17686">
      <w:pPr>
        <w:spacing w:after="200"/>
      </w:pPr>
      <w:r w:rsidRPr="00B80D45">
        <w:t>In most states and territories, between 10</w:t>
      </w:r>
      <w:r w:rsidR="0099326B">
        <w:t> per cent</w:t>
      </w:r>
      <w:r w:rsidR="00C56245">
        <w:t xml:space="preserve"> </w:t>
      </w:r>
      <w:r w:rsidRPr="00B80D45">
        <w:t>and 20</w:t>
      </w:r>
      <w:r w:rsidR="0099326B">
        <w:t> per cent</w:t>
      </w:r>
      <w:r w:rsidRPr="00B80D45">
        <w:t xml:space="preserve"> of </w:t>
      </w:r>
      <w:r w:rsidR="0099326B">
        <w:t>First Nations</w:t>
      </w:r>
      <w:r w:rsidRPr="00B80D45">
        <w:t xml:space="preserve"> households rented </w:t>
      </w:r>
      <w:r w:rsidRPr="000E3893">
        <w:t>from public housing or SOMIH</w:t>
      </w:r>
      <w:r w:rsidRPr="00B80D45">
        <w:t xml:space="preserve"> in 2021 (ABS 2022</w:t>
      </w:r>
      <w:r w:rsidR="002231CF">
        <w:t>d</w:t>
      </w:r>
      <w:r w:rsidRPr="00B80D45">
        <w:t>). The Northern Territory is an outlier, with 36.5</w:t>
      </w:r>
      <w:r w:rsidR="0099326B">
        <w:t> per cent</w:t>
      </w:r>
      <w:r w:rsidRPr="00B80D45">
        <w:t xml:space="preserve"> of </w:t>
      </w:r>
      <w:r w:rsidR="0099326B">
        <w:t>First Nations</w:t>
      </w:r>
      <w:r w:rsidRPr="00B80D45">
        <w:t xml:space="preserve"> households renting from </w:t>
      </w:r>
      <w:r w:rsidRPr="000E3893">
        <w:t>public housing or SOMIH</w:t>
      </w:r>
      <w:r w:rsidRPr="00B80D45">
        <w:t>. In the remote and very remote Northern Territory, 73.2</w:t>
      </w:r>
      <w:r w:rsidR="0099326B">
        <w:t> per cent</w:t>
      </w:r>
      <w:r w:rsidRPr="00B80D45">
        <w:t xml:space="preserve"> of </w:t>
      </w:r>
      <w:r w:rsidR="0099326B">
        <w:t>First Nations</w:t>
      </w:r>
      <w:r w:rsidRPr="00B80D45">
        <w:t xml:space="preserve"> people are social housing residents.</w:t>
      </w:r>
    </w:p>
    <w:p w14:paraId="08013F56" w14:textId="31DCDAE6" w:rsidR="00791A68" w:rsidRPr="002949B5" w:rsidRDefault="00791A68" w:rsidP="00E17686">
      <w:pPr>
        <w:spacing w:before="120" w:after="0"/>
      </w:pPr>
      <w:r w:rsidRPr="004F316A">
        <w:t xml:space="preserve">The higher representation of </w:t>
      </w:r>
      <w:r w:rsidR="0099326B">
        <w:t>First </w:t>
      </w:r>
      <w:r w:rsidR="0099326B" w:rsidRPr="002949B5">
        <w:t>Nations</w:t>
      </w:r>
      <w:r w:rsidRPr="002949B5">
        <w:t xml:space="preserve"> people in social housing has been attributed to difficulties in accessing private rental accommodation (</w:t>
      </w:r>
      <w:proofErr w:type="spellStart"/>
      <w:r w:rsidR="000F341C" w:rsidRPr="0041126E">
        <w:rPr>
          <w:rFonts w:cstheme="minorHAnsi"/>
          <w:color w:val="auto"/>
          <w:szCs w:val="22"/>
        </w:rPr>
        <w:t>Moskos</w:t>
      </w:r>
      <w:proofErr w:type="spellEnd"/>
      <w:r w:rsidR="000F341C" w:rsidRPr="0041126E">
        <w:rPr>
          <w:rFonts w:cstheme="minorHAnsi"/>
          <w:color w:val="auto"/>
          <w:szCs w:val="22"/>
        </w:rPr>
        <w:t xml:space="preserve"> et al. 2022</w:t>
      </w:r>
      <w:r w:rsidRPr="002949B5">
        <w:t xml:space="preserve">) due to factors that include: </w:t>
      </w:r>
    </w:p>
    <w:p w14:paraId="32E782DC" w14:textId="77777777" w:rsidR="00791A68" w:rsidRPr="002949B5" w:rsidRDefault="00791A68" w:rsidP="00E17686">
      <w:pPr>
        <w:pStyle w:val="Bullet"/>
        <w:spacing w:after="0"/>
      </w:pPr>
      <w:r w:rsidRPr="002949B5">
        <w:t xml:space="preserve">racial discrimination in the private rental market </w:t>
      </w:r>
    </w:p>
    <w:p w14:paraId="769409BC" w14:textId="77777777" w:rsidR="00791A68" w:rsidRPr="002949B5" w:rsidRDefault="00791A68" w:rsidP="00E17686">
      <w:pPr>
        <w:pStyle w:val="Bullet"/>
        <w:spacing w:after="0"/>
      </w:pPr>
      <w:r w:rsidRPr="002949B5">
        <w:t>challenges meeting criteria for properties</w:t>
      </w:r>
    </w:p>
    <w:p w14:paraId="28466D01" w14:textId="5BAA5F09" w:rsidR="00791A68" w:rsidRPr="002949B5" w:rsidRDefault="00791A68" w:rsidP="00E17686">
      <w:pPr>
        <w:pStyle w:val="Bullet"/>
        <w:spacing w:after="0"/>
      </w:pPr>
      <w:r w:rsidRPr="002949B5">
        <w:t xml:space="preserve">lack of appropriate and good quality housing in areas with high </w:t>
      </w:r>
      <w:r w:rsidR="0099326B" w:rsidRPr="002949B5">
        <w:t>First Nations</w:t>
      </w:r>
      <w:r w:rsidRPr="002949B5">
        <w:t xml:space="preserve"> populations (Cooper</w:t>
      </w:r>
      <w:r w:rsidR="001B4EAF" w:rsidRPr="002949B5">
        <w:t> </w:t>
      </w:r>
      <w:r w:rsidR="00C1165C" w:rsidRPr="002949B5">
        <w:t>and</w:t>
      </w:r>
      <w:r w:rsidR="007E7E77" w:rsidRPr="002949B5">
        <w:t xml:space="preserve"> </w:t>
      </w:r>
      <w:r w:rsidRPr="002949B5">
        <w:t xml:space="preserve">Morris 2005; </w:t>
      </w:r>
      <w:proofErr w:type="spellStart"/>
      <w:r w:rsidR="00CD6751" w:rsidRPr="0041126E">
        <w:rPr>
          <w:rFonts w:cstheme="minorHAnsi"/>
          <w:color w:val="auto"/>
          <w:szCs w:val="22"/>
        </w:rPr>
        <w:t>Moskos</w:t>
      </w:r>
      <w:proofErr w:type="spellEnd"/>
      <w:r w:rsidR="00CD6751" w:rsidRPr="0041126E">
        <w:rPr>
          <w:rFonts w:cstheme="minorHAnsi"/>
          <w:color w:val="auto"/>
          <w:szCs w:val="22"/>
        </w:rPr>
        <w:t xml:space="preserve"> et al. 2022</w:t>
      </w:r>
      <w:r w:rsidRPr="002949B5">
        <w:t>).</w:t>
      </w:r>
    </w:p>
    <w:p w14:paraId="70BBC24F" w14:textId="6DC5C16E" w:rsidR="000750CF" w:rsidRDefault="00791A68" w:rsidP="00E17686">
      <w:pPr>
        <w:spacing w:before="200" w:after="200"/>
      </w:pPr>
      <w:bookmarkStart w:id="164" w:name="_Hlk193794420"/>
      <w:r w:rsidRPr="009628A8">
        <w:t xml:space="preserve">Stakeholders noted that recent policy measures to boost the supply of social and affordable housing have not been well tailored to </w:t>
      </w:r>
      <w:r w:rsidR="0099326B">
        <w:t>First Nations</w:t>
      </w:r>
      <w:r w:rsidRPr="009628A8">
        <w:t xml:space="preserve"> communities. In particular, concerns were raised that only </w:t>
      </w:r>
      <w:r w:rsidRPr="00F83751">
        <w:t>a small number of</w:t>
      </w:r>
      <w:r w:rsidRPr="009628A8">
        <w:t xml:space="preserve"> </w:t>
      </w:r>
      <w:r w:rsidR="0099326B">
        <w:t>First Nations</w:t>
      </w:r>
      <w:r w:rsidRPr="009628A8">
        <w:t xml:space="preserve"> organisation</w:t>
      </w:r>
      <w:r w:rsidRPr="00F83751">
        <w:t>s</w:t>
      </w:r>
      <w:r w:rsidRPr="009628A8">
        <w:t xml:space="preserve"> </w:t>
      </w:r>
      <w:r w:rsidRPr="00F83751">
        <w:t xml:space="preserve">were recommended to receive </w:t>
      </w:r>
      <w:r w:rsidRPr="009628A8">
        <w:t xml:space="preserve">funding in the first round of the </w:t>
      </w:r>
      <w:r w:rsidR="007D6D7A" w:rsidRPr="007D6D7A">
        <w:t xml:space="preserve">Housing Australia Future Fund </w:t>
      </w:r>
      <w:r w:rsidR="007D6D7A" w:rsidRPr="000A229D">
        <w:t>Facility (</w:t>
      </w:r>
      <w:r w:rsidRPr="000A229D">
        <w:t>HAFF</w:t>
      </w:r>
      <w:r w:rsidR="004B158C" w:rsidRPr="000A229D">
        <w:t>F</w:t>
      </w:r>
      <w:r w:rsidR="007D6D7A">
        <w:t>)</w:t>
      </w:r>
      <w:r w:rsidRPr="009628A8">
        <w:t>. Stakeholders highlighted the complexity of the application process</w:t>
      </w:r>
      <w:r w:rsidR="00EF4D1F">
        <w:t>, as well as</w:t>
      </w:r>
      <w:r w:rsidRPr="009628A8" w:rsidDel="00EF4D1F">
        <w:t xml:space="preserve"> </w:t>
      </w:r>
      <w:r w:rsidRPr="009628A8">
        <w:t xml:space="preserve">their limited organisational capacity compared to larger mainstream </w:t>
      </w:r>
      <w:r w:rsidR="00C30F68">
        <w:t>c</w:t>
      </w:r>
      <w:r w:rsidRPr="009628A8">
        <w:t xml:space="preserve">ommunity </w:t>
      </w:r>
      <w:r w:rsidR="00C30F68">
        <w:t>h</w:t>
      </w:r>
      <w:r w:rsidRPr="009628A8">
        <w:t xml:space="preserve">ousing </w:t>
      </w:r>
      <w:r w:rsidR="00EC274D">
        <w:t>p</w:t>
      </w:r>
      <w:r w:rsidRPr="009628A8">
        <w:t>roviders</w:t>
      </w:r>
      <w:r w:rsidR="00EF4D1F">
        <w:t>,</w:t>
      </w:r>
      <w:r w:rsidRPr="009628A8">
        <w:t xml:space="preserve"> as</w:t>
      </w:r>
      <w:r w:rsidRPr="009628A8" w:rsidDel="00EF4D1F">
        <w:t xml:space="preserve"> </w:t>
      </w:r>
      <w:r w:rsidRPr="009628A8">
        <w:t>barrier</w:t>
      </w:r>
      <w:r w:rsidR="00EF4D1F">
        <w:t>s</w:t>
      </w:r>
      <w:r w:rsidRPr="009628A8">
        <w:t xml:space="preserve"> to securing HAFF</w:t>
      </w:r>
      <w:r w:rsidR="004B158C">
        <w:t>F</w:t>
      </w:r>
      <w:r w:rsidRPr="009628A8">
        <w:t xml:space="preserve"> funding. </w:t>
      </w:r>
      <w:r w:rsidR="00E00EBF">
        <w:t>It was also felt that p</w:t>
      </w:r>
      <w:r w:rsidRPr="009628A8">
        <w:t xml:space="preserve">rogram timelines and project budgets </w:t>
      </w:r>
      <w:r w:rsidR="00E00EBF">
        <w:t xml:space="preserve">did not </w:t>
      </w:r>
      <w:r w:rsidRPr="009628A8">
        <w:t xml:space="preserve">adequately consider the additional costs and complexities of delivering housing in the </w:t>
      </w:r>
      <w:r w:rsidR="0099326B">
        <w:t>First Nations</w:t>
      </w:r>
      <w:r w:rsidRPr="009628A8">
        <w:t xml:space="preserve"> context, particularly </w:t>
      </w:r>
      <w:r w:rsidR="00217419">
        <w:t>for</w:t>
      </w:r>
      <w:r w:rsidRPr="009628A8">
        <w:t xml:space="preserve"> projects located in remote and very remote locations. The higher </w:t>
      </w:r>
      <w:r w:rsidRPr="00F83751">
        <w:t>costs</w:t>
      </w:r>
      <w:r w:rsidRPr="009628A8">
        <w:t xml:space="preserve"> associated with </w:t>
      </w:r>
      <w:r w:rsidR="00456F50">
        <w:t xml:space="preserve">projects in </w:t>
      </w:r>
      <w:r w:rsidRPr="009628A8">
        <w:t>these locations also made securing institutional capital more expensive relative to non</w:t>
      </w:r>
      <w:r w:rsidR="00A15C79">
        <w:noBreakHyphen/>
      </w:r>
      <w:r w:rsidRPr="009628A8">
        <w:t xml:space="preserve">remote locations. </w:t>
      </w:r>
    </w:p>
    <w:p w14:paraId="30D09502" w14:textId="37647CB5" w:rsidR="00791A68" w:rsidRPr="009628A8" w:rsidRDefault="00791A68" w:rsidP="00807E3E">
      <w:pPr>
        <w:rPr>
          <w:color w:val="auto"/>
        </w:rPr>
      </w:pPr>
      <w:r w:rsidRPr="009628A8">
        <w:rPr>
          <w:color w:val="auto"/>
        </w:rPr>
        <w:lastRenderedPageBreak/>
        <w:t>ATSICCHOs stated there has been limited collaboration to</w:t>
      </w:r>
      <w:r w:rsidRPr="009628A8" w:rsidDel="00B34A72">
        <w:rPr>
          <w:color w:val="auto"/>
        </w:rPr>
        <w:t xml:space="preserve"> </w:t>
      </w:r>
      <w:r w:rsidRPr="009628A8">
        <w:rPr>
          <w:color w:val="auto"/>
        </w:rPr>
        <w:t xml:space="preserve">achieve housing outcomes that are culturally appropriate and responsive to the needs of </w:t>
      </w:r>
      <w:r w:rsidR="0099326B">
        <w:rPr>
          <w:color w:val="auto"/>
        </w:rPr>
        <w:t>First Nations</w:t>
      </w:r>
      <w:r w:rsidRPr="009628A8">
        <w:rPr>
          <w:color w:val="auto"/>
        </w:rPr>
        <w:t xml:space="preserve"> people, and that programs do not provide funding</w:t>
      </w:r>
      <w:r w:rsidR="00B34A72">
        <w:rPr>
          <w:color w:val="auto"/>
        </w:rPr>
        <w:t xml:space="preserve"> to enable </w:t>
      </w:r>
      <w:r w:rsidR="0099326B">
        <w:rPr>
          <w:color w:val="auto"/>
        </w:rPr>
        <w:t>First Nations</w:t>
      </w:r>
      <w:r w:rsidR="00B34A72">
        <w:rPr>
          <w:color w:val="auto"/>
        </w:rPr>
        <w:t xml:space="preserve"> </w:t>
      </w:r>
      <w:r w:rsidRPr="009628A8">
        <w:rPr>
          <w:color w:val="auto"/>
        </w:rPr>
        <w:t xml:space="preserve">housing organisations to </w:t>
      </w:r>
      <w:r w:rsidR="00EB74AF">
        <w:rPr>
          <w:color w:val="auto"/>
        </w:rPr>
        <w:t>lodge</w:t>
      </w:r>
      <w:r w:rsidRPr="009628A8">
        <w:rPr>
          <w:color w:val="auto"/>
        </w:rPr>
        <w:t xml:space="preserve"> competitive housing proposals. The Council recognises the need for enhanced national coordination to improve </w:t>
      </w:r>
      <w:r w:rsidR="0099326B">
        <w:rPr>
          <w:color w:val="auto"/>
        </w:rPr>
        <w:t>First Nations</w:t>
      </w:r>
      <w:r w:rsidRPr="009628A8">
        <w:rPr>
          <w:color w:val="auto"/>
        </w:rPr>
        <w:t xml:space="preserve"> access to social and affordable housing (see section </w:t>
      </w:r>
      <w:r w:rsidRPr="00E03990">
        <w:rPr>
          <w:color w:val="auto"/>
        </w:rPr>
        <w:t>6.6</w:t>
      </w:r>
      <w:r w:rsidR="00617E88" w:rsidRPr="00E03990">
        <w:rPr>
          <w:color w:val="auto"/>
        </w:rPr>
        <w:t>,</w:t>
      </w:r>
      <w:r w:rsidRPr="009628A8">
        <w:rPr>
          <w:i/>
          <w:iCs/>
          <w:color w:val="auto"/>
        </w:rPr>
        <w:t xml:space="preserve"> </w:t>
      </w:r>
      <w:r w:rsidR="0099326B" w:rsidRPr="001B4EAF">
        <w:rPr>
          <w:rStyle w:val="Emphasis"/>
        </w:rPr>
        <w:t>First Nations</w:t>
      </w:r>
      <w:r w:rsidRPr="001B4EAF">
        <w:rPr>
          <w:rStyle w:val="Emphasis"/>
        </w:rPr>
        <w:t xml:space="preserve"> </w:t>
      </w:r>
      <w:r w:rsidR="00F94E35" w:rsidRPr="001B4EAF">
        <w:rPr>
          <w:rStyle w:val="Emphasis"/>
        </w:rPr>
        <w:t>h</w:t>
      </w:r>
      <w:r w:rsidRPr="001B4EAF">
        <w:rPr>
          <w:rStyle w:val="Emphasis"/>
        </w:rPr>
        <w:t xml:space="preserve">ousing </w:t>
      </w:r>
      <w:r w:rsidR="00F94E35" w:rsidRPr="001B4EAF">
        <w:rPr>
          <w:rStyle w:val="Emphasis"/>
        </w:rPr>
        <w:t>c</w:t>
      </w:r>
      <w:r w:rsidRPr="001B4EAF">
        <w:rPr>
          <w:rStyle w:val="Emphasis"/>
        </w:rPr>
        <w:t>oordination</w:t>
      </w:r>
      <w:r w:rsidRPr="009628A8">
        <w:rPr>
          <w:color w:val="auto"/>
        </w:rPr>
        <w:t>).</w:t>
      </w:r>
    </w:p>
    <w:p w14:paraId="3F1B4E43" w14:textId="153F15DD" w:rsidR="00791A68" w:rsidRPr="009628A8" w:rsidRDefault="0099326B" w:rsidP="00AF4C27">
      <w:pPr>
        <w:pStyle w:val="Heading2Numbered"/>
      </w:pPr>
      <w:bookmarkStart w:id="165" w:name="_Toc195026615"/>
      <w:bookmarkStart w:id="166" w:name="_Toc196395906"/>
      <w:bookmarkEnd w:id="164"/>
      <w:r w:rsidRPr="00AF4C27">
        <w:t>First</w:t>
      </w:r>
      <w:r>
        <w:t> Nations</w:t>
      </w:r>
      <w:r w:rsidR="00791A68" w:rsidRPr="009628A8">
        <w:t xml:space="preserve"> home ownership</w:t>
      </w:r>
      <w:bookmarkEnd w:id="165"/>
      <w:bookmarkEnd w:id="166"/>
    </w:p>
    <w:p w14:paraId="1596317D" w14:textId="786CB6BF" w:rsidR="00791A68" w:rsidRDefault="00791A68" w:rsidP="009628A8">
      <w:pPr>
        <w:rPr>
          <w:color w:val="auto"/>
        </w:rPr>
      </w:pPr>
      <w:r w:rsidRPr="004F316A">
        <w:t>Home ownership is an essential part of economic independence and the building of intergenerational wealth</w:t>
      </w:r>
      <w:r>
        <w:t xml:space="preserve"> in Australia</w:t>
      </w:r>
      <w:r w:rsidRPr="004F316A">
        <w:t xml:space="preserve">. </w:t>
      </w:r>
      <w:r>
        <w:t>However</w:t>
      </w:r>
      <w:r w:rsidRPr="004F316A">
        <w:t xml:space="preserve">, </w:t>
      </w:r>
      <w:r w:rsidR="0099326B">
        <w:t>First Nations</w:t>
      </w:r>
      <w:r w:rsidRPr="004F316A">
        <w:t xml:space="preserve"> people are half as likely to own their own home (with or without a mortgage) than non</w:t>
      </w:r>
      <w:r w:rsidR="00A15C79">
        <w:noBreakHyphen/>
      </w:r>
      <w:r w:rsidRPr="004F316A">
        <w:t xml:space="preserve">Indigenous </w:t>
      </w:r>
      <w:r>
        <w:t>Australians (P</w:t>
      </w:r>
      <w:r w:rsidR="00937E6F">
        <w:t xml:space="preserve">roductivity </w:t>
      </w:r>
      <w:r>
        <w:t>C</w:t>
      </w:r>
      <w:r w:rsidR="00937E6F">
        <w:t>ommission</w:t>
      </w:r>
      <w:r>
        <w:t xml:space="preserve"> 2022). </w:t>
      </w:r>
      <w:r w:rsidRPr="004F316A">
        <w:rPr>
          <w:color w:val="auto"/>
        </w:rPr>
        <w:t>42</w:t>
      </w:r>
      <w:r w:rsidR="0099326B">
        <w:rPr>
          <w:color w:val="auto"/>
        </w:rPr>
        <w:t> per cent</w:t>
      </w:r>
      <w:r w:rsidRPr="004F316A">
        <w:rPr>
          <w:color w:val="auto"/>
        </w:rPr>
        <w:t xml:space="preserve"> of </w:t>
      </w:r>
      <w:r w:rsidR="0099326B">
        <w:rPr>
          <w:color w:val="auto"/>
        </w:rPr>
        <w:t>First Nations</w:t>
      </w:r>
      <w:r w:rsidRPr="004F316A">
        <w:rPr>
          <w:color w:val="auto"/>
        </w:rPr>
        <w:t xml:space="preserve"> people own</w:t>
      </w:r>
      <w:r>
        <w:rPr>
          <w:color w:val="auto"/>
        </w:rPr>
        <w:t xml:space="preserve">ed </w:t>
      </w:r>
      <w:r w:rsidRPr="004F316A">
        <w:rPr>
          <w:color w:val="auto"/>
        </w:rPr>
        <w:t>their own home at the 2021 Census</w:t>
      </w:r>
      <w:r>
        <w:rPr>
          <w:color w:val="auto"/>
        </w:rPr>
        <w:t xml:space="preserve">, compared to </w:t>
      </w:r>
      <w:r w:rsidRPr="004F316A">
        <w:rPr>
          <w:color w:val="auto"/>
        </w:rPr>
        <w:t>a home ownership rate of 68</w:t>
      </w:r>
      <w:r w:rsidR="0099326B">
        <w:rPr>
          <w:color w:val="auto"/>
        </w:rPr>
        <w:t> per cent</w:t>
      </w:r>
      <w:r w:rsidRPr="004F316A">
        <w:rPr>
          <w:color w:val="auto"/>
        </w:rPr>
        <w:t xml:space="preserve"> </w:t>
      </w:r>
      <w:r>
        <w:rPr>
          <w:color w:val="auto"/>
        </w:rPr>
        <w:t>among</w:t>
      </w:r>
      <w:r w:rsidRPr="004F316A">
        <w:rPr>
          <w:color w:val="auto"/>
        </w:rPr>
        <w:t xml:space="preserve"> non</w:t>
      </w:r>
      <w:r w:rsidR="00A15C79">
        <w:rPr>
          <w:color w:val="auto"/>
        </w:rPr>
        <w:noBreakHyphen/>
      </w:r>
      <w:r w:rsidRPr="004F316A">
        <w:rPr>
          <w:color w:val="auto"/>
        </w:rPr>
        <w:t>Indigenous people</w:t>
      </w:r>
      <w:r>
        <w:rPr>
          <w:color w:val="auto"/>
        </w:rPr>
        <w:t>.</w:t>
      </w:r>
      <w:r>
        <w:t xml:space="preserve"> </w:t>
      </w:r>
      <w:r w:rsidRPr="004F316A">
        <w:rPr>
          <w:color w:val="auto"/>
        </w:rPr>
        <w:t xml:space="preserve">The proportion of </w:t>
      </w:r>
      <w:r w:rsidR="0099326B">
        <w:rPr>
          <w:color w:val="auto"/>
        </w:rPr>
        <w:t>First Nations</w:t>
      </w:r>
      <w:r w:rsidRPr="004F316A">
        <w:rPr>
          <w:color w:val="auto"/>
        </w:rPr>
        <w:t xml:space="preserve"> people who own their </w:t>
      </w:r>
      <w:r>
        <w:rPr>
          <w:color w:val="auto"/>
        </w:rPr>
        <w:t xml:space="preserve">own </w:t>
      </w:r>
      <w:r w:rsidRPr="004F316A">
        <w:rPr>
          <w:color w:val="auto"/>
        </w:rPr>
        <w:t xml:space="preserve">home has </w:t>
      </w:r>
      <w:r>
        <w:rPr>
          <w:color w:val="auto"/>
        </w:rPr>
        <w:t xml:space="preserve">risen </w:t>
      </w:r>
      <w:r w:rsidRPr="004F316A">
        <w:rPr>
          <w:color w:val="auto"/>
        </w:rPr>
        <w:t>at every Census</w:t>
      </w:r>
      <w:r>
        <w:rPr>
          <w:color w:val="auto"/>
        </w:rPr>
        <w:t>, but the gap to the general population remains significant</w:t>
      </w:r>
      <w:r w:rsidRPr="004F316A">
        <w:rPr>
          <w:color w:val="auto"/>
        </w:rPr>
        <w:t xml:space="preserve">. </w:t>
      </w:r>
    </w:p>
    <w:p w14:paraId="42FFDD29" w14:textId="544A3E05" w:rsidR="00D81373" w:rsidRDefault="0099326B">
      <w:r>
        <w:t>First Nations</w:t>
      </w:r>
      <w:r w:rsidR="00791A68">
        <w:t xml:space="preserve"> home ownership rates were highest in inner regional areas (48.3</w:t>
      </w:r>
      <w:r>
        <w:t> per cent</w:t>
      </w:r>
      <w:r w:rsidR="00791A68">
        <w:t>), and above 40</w:t>
      </w:r>
      <w:r>
        <w:t> per cent</w:t>
      </w:r>
      <w:r w:rsidR="00791A68">
        <w:t xml:space="preserve"> in outer regional and major cities. Only 21</w:t>
      </w:r>
      <w:r>
        <w:t> per cent</w:t>
      </w:r>
      <w:r w:rsidR="00791A68">
        <w:t xml:space="preserve"> of </w:t>
      </w:r>
      <w:r>
        <w:t>First Nations</w:t>
      </w:r>
      <w:r w:rsidR="00791A68">
        <w:t xml:space="preserve"> households in remote and very remote areas were </w:t>
      </w:r>
      <w:r w:rsidR="00233AEC">
        <w:t xml:space="preserve">home </w:t>
      </w:r>
      <w:r w:rsidR="00233AEC" w:rsidRPr="00DF001A">
        <w:t>owner</w:t>
      </w:r>
      <w:r w:rsidR="00791A68" w:rsidRPr="00DF001A">
        <w:t>s (ABS 2022</w:t>
      </w:r>
      <w:r w:rsidR="002231CF">
        <w:t>d</w:t>
      </w:r>
      <w:r w:rsidR="00791A68" w:rsidRPr="00DF001A">
        <w:t>). Recent</w:t>
      </w:r>
      <w:r w:rsidR="00791A68">
        <w:t xml:space="preserve"> modelling by ACIL Allen, conducted for Indigenous Business Australia, found there may be around 92,000 more </w:t>
      </w:r>
      <w:r>
        <w:t>First Nations</w:t>
      </w:r>
      <w:r w:rsidR="00791A68">
        <w:t xml:space="preserve"> families that could be </w:t>
      </w:r>
      <w:r w:rsidR="00233AEC">
        <w:t>home owner</w:t>
      </w:r>
      <w:r w:rsidR="00791A68">
        <w:t>s. However, these households face non</w:t>
      </w:r>
      <w:r w:rsidR="00A15C79">
        <w:noBreakHyphen/>
      </w:r>
      <w:r w:rsidR="00791A68">
        <w:t>income and non</w:t>
      </w:r>
      <w:r w:rsidR="00A15C79">
        <w:noBreakHyphen/>
      </w:r>
      <w:r w:rsidR="00791A68">
        <w:t xml:space="preserve">demographic barriers to home ownership, including historical </w:t>
      </w:r>
      <w:r w:rsidR="00791A68" w:rsidRPr="00CF19B0">
        <w:t>discrimination, lack of awareness of opportunities for home ownership and other priorities that limit the ability to save sufficiently for a deposit (I</w:t>
      </w:r>
      <w:r w:rsidR="0053609E">
        <w:t>ndigenous Business Australia</w:t>
      </w:r>
      <w:r w:rsidR="00791A68" w:rsidRPr="00CF19B0">
        <w:t xml:space="preserve"> 2024). </w:t>
      </w:r>
    </w:p>
    <w:p w14:paraId="3DF55763" w14:textId="1C658E8F" w:rsidR="00791A68" w:rsidRPr="00CF19B0" w:rsidRDefault="00791A68">
      <w:r w:rsidRPr="009628A8">
        <w:rPr>
          <w:color w:val="auto"/>
        </w:rPr>
        <w:t xml:space="preserve">There are also economic and legal barriers to home ownership in remote and very remote communities, such as high dwelling construction costs and legislative barriers on </w:t>
      </w:r>
      <w:r w:rsidR="0099326B">
        <w:rPr>
          <w:color w:val="auto"/>
        </w:rPr>
        <w:t>First Nations</w:t>
      </w:r>
      <w:r w:rsidR="00AD6AEE">
        <w:rPr>
          <w:color w:val="auto"/>
        </w:rPr>
        <w:t>–</w:t>
      </w:r>
      <w:r w:rsidRPr="009628A8">
        <w:rPr>
          <w:color w:val="auto"/>
        </w:rPr>
        <w:t xml:space="preserve">controlled land. Further, the higher proportion of social housing in these remote and very remote areas presents fewer avenues for private acquisition of dwellings for prospective </w:t>
      </w:r>
      <w:r w:rsidR="00233AEC">
        <w:rPr>
          <w:color w:val="auto"/>
        </w:rPr>
        <w:t>home owner</w:t>
      </w:r>
      <w:r w:rsidRPr="009628A8">
        <w:rPr>
          <w:color w:val="auto"/>
        </w:rPr>
        <w:t xml:space="preserve">s. </w:t>
      </w:r>
    </w:p>
    <w:p w14:paraId="082635AE" w14:textId="1151A2BC" w:rsidR="00791A68" w:rsidRPr="00CF19B0" w:rsidRDefault="00791A68">
      <w:pPr>
        <w:rPr>
          <w:color w:val="auto"/>
        </w:rPr>
      </w:pPr>
      <w:r w:rsidRPr="009628A8">
        <w:rPr>
          <w:color w:val="auto"/>
        </w:rPr>
        <w:t xml:space="preserve">There are a number of </w:t>
      </w:r>
      <w:r w:rsidR="0099326B">
        <w:rPr>
          <w:color w:val="auto"/>
        </w:rPr>
        <w:t>First Nations</w:t>
      </w:r>
      <w:r w:rsidRPr="009628A8">
        <w:rPr>
          <w:color w:val="auto"/>
        </w:rPr>
        <w:t xml:space="preserve"> concessional home ownership schemes currently in place across various state and territory jurisdictions. Western Australia</w:t>
      </w:r>
      <w:r w:rsidR="00A15C79">
        <w:rPr>
          <w:color w:val="auto"/>
        </w:rPr>
        <w:t>’</w:t>
      </w:r>
      <w:r w:rsidRPr="009628A8">
        <w:rPr>
          <w:color w:val="auto"/>
        </w:rPr>
        <w:t xml:space="preserve">s </w:t>
      </w:r>
      <w:proofErr w:type="spellStart"/>
      <w:r w:rsidRPr="00E03990">
        <w:rPr>
          <w:color w:val="auto"/>
        </w:rPr>
        <w:t>Keystart</w:t>
      </w:r>
      <w:proofErr w:type="spellEnd"/>
      <w:r w:rsidRPr="00E03990">
        <w:rPr>
          <w:color w:val="auto"/>
        </w:rPr>
        <w:t xml:space="preserve"> Aboriginal Home Ownership Program</w:t>
      </w:r>
      <w:r w:rsidRPr="00723901">
        <w:rPr>
          <w:color w:val="auto"/>
        </w:rPr>
        <w:t xml:space="preserve"> </w:t>
      </w:r>
      <w:r w:rsidR="008C245B">
        <w:rPr>
          <w:color w:val="auto"/>
        </w:rPr>
        <w:t>(</w:t>
      </w:r>
      <w:r w:rsidR="00223134">
        <w:rPr>
          <w:color w:val="auto"/>
        </w:rPr>
        <w:t>WA</w:t>
      </w:r>
      <w:r w:rsidR="0099326B">
        <w:rPr>
          <w:color w:val="auto"/>
        </w:rPr>
        <w:t> Government</w:t>
      </w:r>
      <w:r w:rsidR="00D81373">
        <w:rPr>
          <w:color w:val="auto"/>
        </w:rPr>
        <w:t xml:space="preserve"> </w:t>
      </w:r>
      <w:r w:rsidR="008C245B">
        <w:rPr>
          <w:color w:val="auto"/>
        </w:rPr>
        <w:t xml:space="preserve">2025) </w:t>
      </w:r>
      <w:r w:rsidRPr="009628A8">
        <w:rPr>
          <w:color w:val="auto"/>
        </w:rPr>
        <w:t xml:space="preserve">aims to support </w:t>
      </w:r>
      <w:r w:rsidR="0099326B">
        <w:rPr>
          <w:color w:val="auto"/>
        </w:rPr>
        <w:t>First Nations</w:t>
      </w:r>
      <w:r w:rsidRPr="009628A8">
        <w:rPr>
          <w:color w:val="auto"/>
        </w:rPr>
        <w:t xml:space="preserve"> people through shared equity home loan options</w:t>
      </w:r>
      <w:r w:rsidRPr="00CF19B0">
        <w:rPr>
          <w:color w:val="auto"/>
        </w:rPr>
        <w:t xml:space="preserve"> and reduced deposit requirements. </w:t>
      </w:r>
      <w:r w:rsidRPr="009628A8">
        <w:rPr>
          <w:color w:val="auto"/>
        </w:rPr>
        <w:t xml:space="preserve">The </w:t>
      </w:r>
      <w:r w:rsidRPr="00E03990">
        <w:rPr>
          <w:color w:val="auto"/>
        </w:rPr>
        <w:t>North</w:t>
      </w:r>
      <w:r w:rsidR="00A15C79">
        <w:rPr>
          <w:color w:val="auto"/>
        </w:rPr>
        <w:noBreakHyphen/>
      </w:r>
      <w:r w:rsidRPr="00E03990">
        <w:rPr>
          <w:color w:val="auto"/>
        </w:rPr>
        <w:t>West Aboriginal Housing Fund</w:t>
      </w:r>
      <w:r w:rsidRPr="009628A8">
        <w:rPr>
          <w:color w:val="auto"/>
        </w:rPr>
        <w:t xml:space="preserve"> </w:t>
      </w:r>
      <w:r w:rsidR="008C245B">
        <w:rPr>
          <w:color w:val="auto"/>
        </w:rPr>
        <w:t>(</w:t>
      </w:r>
      <w:r w:rsidR="00223134">
        <w:rPr>
          <w:color w:val="auto"/>
        </w:rPr>
        <w:t xml:space="preserve">WA </w:t>
      </w:r>
      <w:r w:rsidR="0099326B">
        <w:rPr>
          <w:color w:val="auto"/>
        </w:rPr>
        <w:t>Government</w:t>
      </w:r>
      <w:r w:rsidR="00D81373">
        <w:rPr>
          <w:color w:val="auto"/>
        </w:rPr>
        <w:t xml:space="preserve"> </w:t>
      </w:r>
      <w:r w:rsidR="008C245B">
        <w:rPr>
          <w:color w:val="auto"/>
        </w:rPr>
        <w:t xml:space="preserve">2025) </w:t>
      </w:r>
      <w:r w:rsidRPr="009628A8">
        <w:rPr>
          <w:color w:val="auto"/>
        </w:rPr>
        <w:t xml:space="preserve">aims to create pathways towards social and economic independence for </w:t>
      </w:r>
      <w:r w:rsidR="0099326B">
        <w:rPr>
          <w:color w:val="auto"/>
        </w:rPr>
        <w:t>First Nations</w:t>
      </w:r>
      <w:r w:rsidRPr="009628A8">
        <w:rPr>
          <w:color w:val="auto"/>
        </w:rPr>
        <w:t xml:space="preserve"> people in the Pilbara and Kimberley regions by providing grants and discounts to eligible home buyers.</w:t>
      </w:r>
      <w:r w:rsidRPr="00CF19B0">
        <w:rPr>
          <w:color w:val="auto"/>
        </w:rPr>
        <w:t xml:space="preserve"> </w:t>
      </w:r>
      <w:r w:rsidRPr="009628A8">
        <w:rPr>
          <w:color w:val="auto"/>
        </w:rPr>
        <w:t>Queensland</w:t>
      </w:r>
      <w:r w:rsidR="00A15C79">
        <w:rPr>
          <w:color w:val="auto"/>
        </w:rPr>
        <w:t>’</w:t>
      </w:r>
      <w:r w:rsidRPr="009628A8">
        <w:rPr>
          <w:color w:val="auto"/>
        </w:rPr>
        <w:t xml:space="preserve">s </w:t>
      </w:r>
      <w:r w:rsidRPr="00E03990">
        <w:rPr>
          <w:color w:val="auto"/>
        </w:rPr>
        <w:t xml:space="preserve">Our Place: A </w:t>
      </w:r>
      <w:r w:rsidR="0099326B">
        <w:rPr>
          <w:color w:val="auto"/>
        </w:rPr>
        <w:t>First Nations</w:t>
      </w:r>
      <w:r w:rsidRPr="00E03990">
        <w:rPr>
          <w:color w:val="auto"/>
        </w:rPr>
        <w:t xml:space="preserve"> Housing and Homelessness Action Plan 2024</w:t>
      </w:r>
      <w:r w:rsidR="00EC1EC1">
        <w:rPr>
          <w:color w:val="auto"/>
        </w:rPr>
        <w:t>–‍</w:t>
      </w:r>
      <w:r w:rsidRPr="00E03990">
        <w:rPr>
          <w:color w:val="auto"/>
        </w:rPr>
        <w:t>2027</w:t>
      </w:r>
      <w:r w:rsidRPr="009628A8">
        <w:rPr>
          <w:color w:val="auto"/>
        </w:rPr>
        <w:t xml:space="preserve"> </w:t>
      </w:r>
      <w:r w:rsidR="00D81373">
        <w:rPr>
          <w:color w:val="auto"/>
        </w:rPr>
        <w:t xml:space="preserve">(Queensland Government 2024) </w:t>
      </w:r>
      <w:r w:rsidRPr="009628A8">
        <w:rPr>
          <w:color w:val="auto"/>
        </w:rPr>
        <w:t xml:space="preserve">aims to increase access for </w:t>
      </w:r>
      <w:r w:rsidR="0099326B">
        <w:rPr>
          <w:color w:val="auto"/>
        </w:rPr>
        <w:t>First Nations</w:t>
      </w:r>
      <w:r w:rsidRPr="009628A8">
        <w:rPr>
          <w:color w:val="auto"/>
        </w:rPr>
        <w:t xml:space="preserve"> people to home ownership opportunities, and the state</w:t>
      </w:r>
      <w:r w:rsidR="00A15C79">
        <w:rPr>
          <w:color w:val="auto"/>
        </w:rPr>
        <w:t>’</w:t>
      </w:r>
      <w:r w:rsidRPr="009628A8">
        <w:rPr>
          <w:color w:val="auto"/>
        </w:rPr>
        <w:t xml:space="preserve">s recently announced </w:t>
      </w:r>
      <w:r w:rsidRPr="001B4EAF">
        <w:rPr>
          <w:rStyle w:val="Emphasis"/>
        </w:rPr>
        <w:t xml:space="preserve">Palm Island Home Ownership Scheme </w:t>
      </w:r>
      <w:r w:rsidR="00D81373">
        <w:rPr>
          <w:color w:val="auto"/>
        </w:rPr>
        <w:t xml:space="preserve">(Queensland Government 2025) </w:t>
      </w:r>
      <w:r w:rsidRPr="00CF19B0">
        <w:rPr>
          <w:color w:val="auto"/>
        </w:rPr>
        <w:t>allows residents to purchase their social housing residence through rent</w:t>
      </w:r>
      <w:r w:rsidR="00A15C79">
        <w:rPr>
          <w:color w:val="auto"/>
        </w:rPr>
        <w:noBreakHyphen/>
      </w:r>
      <w:r w:rsidRPr="00CF19B0">
        <w:rPr>
          <w:color w:val="auto"/>
        </w:rPr>
        <w:t>to</w:t>
      </w:r>
      <w:r w:rsidR="00A15C79">
        <w:rPr>
          <w:color w:val="auto"/>
        </w:rPr>
        <w:noBreakHyphen/>
      </w:r>
      <w:r w:rsidRPr="00CF19B0">
        <w:rPr>
          <w:color w:val="auto"/>
        </w:rPr>
        <w:t>buy agreements.</w:t>
      </w:r>
    </w:p>
    <w:p w14:paraId="3CE5F6FA" w14:textId="04C99C1E" w:rsidR="00791A68" w:rsidRDefault="00C32552" w:rsidP="009628A8">
      <w:r>
        <w:t>However, s</w:t>
      </w:r>
      <w:r w:rsidR="00791A68" w:rsidRPr="00CF19B0">
        <w:t>takeholders have</w:t>
      </w:r>
      <w:r w:rsidR="00791A68" w:rsidRPr="00CF19B0" w:rsidDel="00C32552">
        <w:t xml:space="preserve"> </w:t>
      </w:r>
      <w:r w:rsidR="00791A68" w:rsidRPr="00CF19B0">
        <w:t>raised the need for further Commonwealth</w:t>
      </w:r>
      <w:r w:rsidR="00791A68" w:rsidRPr="009628A8">
        <w:t xml:space="preserve"> funding and</w:t>
      </w:r>
      <w:r w:rsidR="00791A68" w:rsidRPr="00CF19B0">
        <w:t xml:space="preserve"> coordination of government initiatives to support </w:t>
      </w:r>
      <w:r w:rsidR="0099326B">
        <w:t>First Nations</w:t>
      </w:r>
      <w:r w:rsidR="00791A68" w:rsidRPr="00CF19B0">
        <w:t xml:space="preserve"> individuals and families in accessing home ownership, such as </w:t>
      </w:r>
      <w:r w:rsidR="0099326B">
        <w:t>First Nations</w:t>
      </w:r>
      <w:r w:rsidR="00E15861">
        <w:t>-</w:t>
      </w:r>
      <w:r w:rsidR="00791A68" w:rsidRPr="00CF19B0">
        <w:t>specific home loans, equity schemes and financial literacy programs.</w:t>
      </w:r>
      <w:r w:rsidR="00791A68">
        <w:t xml:space="preserve"> </w:t>
      </w:r>
    </w:p>
    <w:p w14:paraId="17174872" w14:textId="6904B388" w:rsidR="00791A68" w:rsidRDefault="0099326B">
      <w:pPr>
        <w:pStyle w:val="Heading2Numbered"/>
      </w:pPr>
      <w:bookmarkStart w:id="167" w:name="_Toc195026616"/>
      <w:bookmarkStart w:id="168" w:name="_Toc196395907"/>
      <w:r>
        <w:lastRenderedPageBreak/>
        <w:t>First Nations</w:t>
      </w:r>
      <w:r w:rsidR="00791A68">
        <w:t xml:space="preserve"> </w:t>
      </w:r>
      <w:r w:rsidR="00714ABC">
        <w:t>h</w:t>
      </w:r>
      <w:r w:rsidR="00791A68">
        <w:t xml:space="preserve">ousing </w:t>
      </w:r>
      <w:r w:rsidR="00714ABC">
        <w:t>c</w:t>
      </w:r>
      <w:r w:rsidR="00791A68">
        <w:t>hallenges</w:t>
      </w:r>
      <w:bookmarkEnd w:id="167"/>
      <w:bookmarkEnd w:id="168"/>
    </w:p>
    <w:p w14:paraId="734304D1" w14:textId="5D31208B" w:rsidR="00791A68" w:rsidRPr="006C3076" w:rsidRDefault="00791A68" w:rsidP="009628A8">
      <w:r w:rsidRPr="006C3076">
        <w:t xml:space="preserve">Various factors contribute to how </w:t>
      </w:r>
      <w:r w:rsidR="0099326B">
        <w:t>First Nations</w:t>
      </w:r>
      <w:r w:rsidRPr="006C3076">
        <w:t xml:space="preserve"> people experience the housing system. This includes factors </w:t>
      </w:r>
      <w:r>
        <w:t xml:space="preserve">impacting </w:t>
      </w:r>
      <w:r w:rsidRPr="006C3076">
        <w:t xml:space="preserve">the </w:t>
      </w:r>
      <w:r>
        <w:t xml:space="preserve">wider </w:t>
      </w:r>
      <w:r w:rsidRPr="006C3076">
        <w:t xml:space="preserve">housing system, including supply constraints and affordability challenges. However, </w:t>
      </w:r>
      <w:r w:rsidR="0099326B">
        <w:t>First Nations</w:t>
      </w:r>
      <w:r w:rsidRPr="006C3076">
        <w:t xml:space="preserve"> people also have unique housing challenges</w:t>
      </w:r>
      <w:r w:rsidR="00C32552">
        <w:t>,</w:t>
      </w:r>
      <w:r w:rsidRPr="006C3076">
        <w:t xml:space="preserve"> reflecting the historical and cultural implications from colonialism, and the significant number of </w:t>
      </w:r>
      <w:r w:rsidR="0099326B">
        <w:t>First Nations</w:t>
      </w:r>
      <w:r w:rsidRPr="006C3076">
        <w:t xml:space="preserve"> households </w:t>
      </w:r>
      <w:r w:rsidR="00C32552">
        <w:t>that</w:t>
      </w:r>
      <w:r w:rsidR="00C32552" w:rsidRPr="006C3076">
        <w:t xml:space="preserve"> </w:t>
      </w:r>
      <w:r w:rsidRPr="006C3076">
        <w:t>live outside of Australia</w:t>
      </w:r>
      <w:r w:rsidR="00A15C79">
        <w:t>’</w:t>
      </w:r>
      <w:r w:rsidRPr="006C3076">
        <w:t xml:space="preserve">s major cities. </w:t>
      </w:r>
    </w:p>
    <w:p w14:paraId="04820ACF" w14:textId="6CC8F458" w:rsidR="00791A68" w:rsidRDefault="00791A68" w:rsidP="009628A8">
      <w:r w:rsidRPr="008362B2">
        <w:t xml:space="preserve">Consultation </w:t>
      </w:r>
      <w:r>
        <w:t>with</w:t>
      </w:r>
      <w:r w:rsidRPr="008362B2">
        <w:t xml:space="preserve"> </w:t>
      </w:r>
      <w:r w:rsidR="0099326B">
        <w:t>First Nations</w:t>
      </w:r>
      <w:r w:rsidRPr="008362B2">
        <w:t xml:space="preserve"> leaders </w:t>
      </w:r>
      <w:r>
        <w:t xml:space="preserve">also indicates that </w:t>
      </w:r>
      <w:r w:rsidR="0099326B">
        <w:t>First Nations</w:t>
      </w:r>
      <w:r w:rsidRPr="008362B2">
        <w:t xml:space="preserve"> </w:t>
      </w:r>
      <w:r>
        <w:t>people</w:t>
      </w:r>
      <w:r w:rsidRPr="008362B2">
        <w:t xml:space="preserve"> </w:t>
      </w:r>
      <w:r>
        <w:t xml:space="preserve">are </w:t>
      </w:r>
      <w:r w:rsidRPr="008362B2">
        <w:t>seeking greater involvement in</w:t>
      </w:r>
      <w:r>
        <w:t xml:space="preserve"> the delivery of</w:t>
      </w:r>
      <w:r w:rsidRPr="008362B2">
        <w:t xml:space="preserve"> housing </w:t>
      </w:r>
      <w:r>
        <w:t>in their</w:t>
      </w:r>
      <w:r w:rsidRPr="008362B2">
        <w:t xml:space="preserve"> communities, emphasising that solutions should be developed in partnership with </w:t>
      </w:r>
      <w:r w:rsidR="0099326B">
        <w:t>First Nations</w:t>
      </w:r>
      <w:r w:rsidRPr="008362B2">
        <w:t xml:space="preserve"> representatives to ensure culturally appropriate housing that achieves desired outcomes.</w:t>
      </w:r>
    </w:p>
    <w:p w14:paraId="7A895CDC" w14:textId="77777777" w:rsidR="00791A68" w:rsidRDefault="00791A68">
      <w:pPr>
        <w:pStyle w:val="Heading3Numbered"/>
      </w:pPr>
      <w:r>
        <w:t>Housing supply and affordability</w:t>
      </w:r>
    </w:p>
    <w:p w14:paraId="02BC5717" w14:textId="79D3D659" w:rsidR="00791A68" w:rsidRDefault="00791A68">
      <w:r>
        <w:t xml:space="preserve">There were around 45,700 </w:t>
      </w:r>
      <w:r w:rsidR="0099326B">
        <w:t>First Nations</w:t>
      </w:r>
      <w:r>
        <w:t xml:space="preserve"> households estimated to have unmet housing need arising from supply and affordability constraints in 2021 (</w:t>
      </w:r>
      <w:proofErr w:type="spellStart"/>
      <w:r>
        <w:t>Moskos</w:t>
      </w:r>
      <w:proofErr w:type="spellEnd"/>
      <w:r>
        <w:t xml:space="preserve"> et al</w:t>
      </w:r>
      <w:r w:rsidR="00714ABC">
        <w:t>.</w:t>
      </w:r>
      <w:r>
        <w:t xml:space="preserve"> 2025). This represents 13</w:t>
      </w:r>
      <w:r w:rsidR="0099326B">
        <w:t> per cent</w:t>
      </w:r>
      <w:r>
        <w:t xml:space="preserve"> of total </w:t>
      </w:r>
      <w:r w:rsidR="0099326B">
        <w:t>First Nations</w:t>
      </w:r>
      <w:r>
        <w:t xml:space="preserve"> households</w:t>
      </w:r>
      <w:r w:rsidR="002435A9">
        <w:t xml:space="preserve"> – </w:t>
      </w:r>
      <w:r>
        <w:t>almost double the estimated rate amongst all Australian households (6.6</w:t>
      </w:r>
      <w:r w:rsidR="0099326B">
        <w:t> per cent</w:t>
      </w:r>
      <w:r>
        <w:t>). Most of these households (</w:t>
      </w:r>
      <w:r w:rsidR="00F31098">
        <w:t xml:space="preserve">over </w:t>
      </w:r>
      <w:r>
        <w:t>81</w:t>
      </w:r>
      <w:r w:rsidR="0099326B">
        <w:t> per cent</w:t>
      </w:r>
      <w:r>
        <w:t>) were in rental stress, with the remaining share (</w:t>
      </w:r>
      <w:r w:rsidR="00F31098">
        <w:t xml:space="preserve">around </w:t>
      </w:r>
      <w:r>
        <w:t>1</w:t>
      </w:r>
      <w:r w:rsidR="00F31098">
        <w:t>8</w:t>
      </w:r>
      <w:r w:rsidR="0099326B">
        <w:t> per cent</w:t>
      </w:r>
      <w:r>
        <w:t xml:space="preserve">) </w:t>
      </w:r>
      <w:r w:rsidRPr="00E203F8">
        <w:t>exhibit</w:t>
      </w:r>
      <w:r w:rsidR="002435A9">
        <w:t>ing</w:t>
      </w:r>
      <w:r w:rsidRPr="00E203F8">
        <w:t xml:space="preserve"> unmet housing needs due to living either in severely overcrowded dwellings or inadequate housing</w:t>
      </w:r>
      <w:r>
        <w:t xml:space="preserve"> </w:t>
      </w:r>
      <w:r w:rsidRPr="00E203F8">
        <w:t>(</w:t>
      </w:r>
      <w:proofErr w:type="spellStart"/>
      <w:r>
        <w:t>Moskos</w:t>
      </w:r>
      <w:proofErr w:type="spellEnd"/>
      <w:r>
        <w:t xml:space="preserve"> et al</w:t>
      </w:r>
      <w:r w:rsidR="002435A9">
        <w:t>.</w:t>
      </w:r>
      <w:r>
        <w:t xml:space="preserve"> </w:t>
      </w:r>
      <w:r w:rsidRPr="00E203F8">
        <w:t>2025).</w:t>
      </w:r>
    </w:p>
    <w:p w14:paraId="0E65C7E1" w14:textId="14C95A7C" w:rsidR="00791A68" w:rsidRDefault="0099326B">
      <w:r>
        <w:t>First Nations</w:t>
      </w:r>
      <w:r w:rsidR="00791A68">
        <w:t xml:space="preserve"> housing need is geographically distinct. In areas where </w:t>
      </w:r>
      <w:r>
        <w:t>First Nations</w:t>
      </w:r>
      <w:r w:rsidR="00791A68">
        <w:t xml:space="preserve"> households rely more on the private rental market, such as urban areas, affordability is the main contributing factor to unmet housing need (</w:t>
      </w:r>
      <w:proofErr w:type="spellStart"/>
      <w:r w:rsidR="00791A68">
        <w:t>Moskos</w:t>
      </w:r>
      <w:proofErr w:type="spellEnd"/>
      <w:r w:rsidR="00791A68">
        <w:t xml:space="preserve"> et al</w:t>
      </w:r>
      <w:r w:rsidR="00A707DF">
        <w:t>.</w:t>
      </w:r>
      <w:r w:rsidR="00791A68">
        <w:t xml:space="preserve"> 2025). In remote and very remote locations, where 15.</w:t>
      </w:r>
      <w:r w:rsidR="00F31098">
        <w:t>4</w:t>
      </w:r>
      <w:r>
        <w:t> per cent</w:t>
      </w:r>
      <w:r w:rsidR="00791A68">
        <w:t xml:space="preserve"> of the Aboriginal and </w:t>
      </w:r>
      <w:r>
        <w:t>Torres Strait</w:t>
      </w:r>
      <w:r w:rsidR="00791A68">
        <w:t xml:space="preserve"> Islander population live (ABS 202</w:t>
      </w:r>
      <w:r w:rsidR="006E7A35">
        <w:t>2d</w:t>
      </w:r>
      <w:r w:rsidR="00791A68">
        <w:t>), inadequate and severely overcrowded housing is often a greater problem (</w:t>
      </w:r>
      <w:proofErr w:type="spellStart"/>
      <w:r w:rsidR="00791A68">
        <w:t>Moskos</w:t>
      </w:r>
      <w:proofErr w:type="spellEnd"/>
      <w:r w:rsidR="00791A68">
        <w:t xml:space="preserve"> et al</w:t>
      </w:r>
      <w:r w:rsidR="00A707DF">
        <w:t>.</w:t>
      </w:r>
      <w:r w:rsidR="00791A68">
        <w:t xml:space="preserve"> 2025). Partly, this reflects the difficulty in building new housing in remote areas, where construction is more costly given limited availability of labour and material inputs (see</w:t>
      </w:r>
      <w:r w:rsidR="00791A68" w:rsidDel="00A37582">
        <w:t xml:space="preserve"> </w:t>
      </w:r>
      <w:r w:rsidR="00A37582" w:rsidRPr="00815A21">
        <w:t>Chapter 2</w:t>
      </w:r>
      <w:r w:rsidR="00A37582">
        <w:rPr>
          <w:i/>
          <w:iCs/>
        </w:rPr>
        <w:t xml:space="preserve">, </w:t>
      </w:r>
      <w:r w:rsidR="00A37582" w:rsidRPr="001B4EAF">
        <w:rPr>
          <w:rStyle w:val="Emphasis"/>
        </w:rPr>
        <w:t xml:space="preserve">Housing market </w:t>
      </w:r>
      <w:r w:rsidR="00791A68" w:rsidRPr="001B4EAF" w:rsidDel="00A37582">
        <w:rPr>
          <w:rStyle w:val="Emphasis"/>
        </w:rPr>
        <w:t>conditions</w:t>
      </w:r>
      <w:r w:rsidR="00791A68">
        <w:t xml:space="preserve">). </w:t>
      </w:r>
    </w:p>
    <w:p w14:paraId="71B1B0E5" w14:textId="3927FED2" w:rsidR="00791A68" w:rsidRPr="00F338E0" w:rsidRDefault="00791A68">
      <w:r>
        <w:t>In the near term, Australia</w:t>
      </w:r>
      <w:r w:rsidR="00A15C79">
        <w:t>’</w:t>
      </w:r>
      <w:r>
        <w:t xml:space="preserve">s </w:t>
      </w:r>
      <w:r w:rsidR="0099326B">
        <w:t>First Nations</w:t>
      </w:r>
      <w:r>
        <w:t xml:space="preserve"> population is projected to grow at a substantially higher rate than the non</w:t>
      </w:r>
      <w:r w:rsidR="00A15C79">
        <w:noBreakHyphen/>
      </w:r>
      <w:r>
        <w:t>Indigenous population (ABS 2024</w:t>
      </w:r>
      <w:r w:rsidR="006E7A35">
        <w:t>b</w:t>
      </w:r>
      <w:r>
        <w:t xml:space="preserve">). </w:t>
      </w:r>
      <w:r w:rsidR="00590DC6">
        <w:t xml:space="preserve">This growth </w:t>
      </w:r>
      <w:r>
        <w:t xml:space="preserve">is also projected </w:t>
      </w:r>
      <w:r w:rsidR="00590DC6">
        <w:t>to</w:t>
      </w:r>
      <w:r w:rsidDel="00590DC6">
        <w:t xml:space="preserve"> </w:t>
      </w:r>
      <w:r>
        <w:t xml:space="preserve">be geographically concentrated in urban areas. This means a greater proportion of </w:t>
      </w:r>
      <w:r w:rsidR="0099326B">
        <w:t>First Nations</w:t>
      </w:r>
      <w:r>
        <w:t xml:space="preserve"> people will be required to grapple with the more acute affordability challenges in urban areas, as well as reflecting a growing need to deliver housing tailored towards </w:t>
      </w:r>
      <w:r w:rsidR="0099326B">
        <w:t>First Nations</w:t>
      </w:r>
      <w:r>
        <w:t xml:space="preserve"> people in urban areas. </w:t>
      </w:r>
    </w:p>
    <w:p w14:paraId="48DC2DD6" w14:textId="77777777" w:rsidR="00791A68" w:rsidRPr="00B6738C" w:rsidRDefault="00791A68">
      <w:pPr>
        <w:pStyle w:val="Heading3Numbered"/>
      </w:pPr>
      <w:r w:rsidRPr="00B6738C">
        <w:t>Housing quality and climate resilience</w:t>
      </w:r>
    </w:p>
    <w:p w14:paraId="72342D85" w14:textId="25A65E31" w:rsidR="00E17686" w:rsidRDefault="00791A68" w:rsidP="009628A8">
      <w:pPr>
        <w:rPr>
          <w:rFonts w:ascii="Calibri" w:hAnsi="Calibri" w:cs="Calibri"/>
          <w:szCs w:val="22"/>
        </w:rPr>
      </w:pPr>
      <w:r w:rsidRPr="003E7D17">
        <w:t xml:space="preserve">The quality of housing experienced by </w:t>
      </w:r>
      <w:r w:rsidR="0099326B">
        <w:t>First Nations</w:t>
      </w:r>
      <w:r w:rsidRPr="003E7D17">
        <w:t xml:space="preserve"> people differs significantly from non</w:t>
      </w:r>
      <w:r w:rsidR="00A15C79">
        <w:noBreakHyphen/>
      </w:r>
      <w:r w:rsidRPr="003E7D17">
        <w:t>Indigenous Australians</w:t>
      </w:r>
      <w:r>
        <w:rPr>
          <w:rFonts w:ascii="Calibri" w:hAnsi="Calibri" w:cs="Calibri"/>
          <w:szCs w:val="22"/>
        </w:rPr>
        <w:t xml:space="preserve">. This partly reflects the higher concentration of </w:t>
      </w:r>
      <w:r w:rsidR="0099326B">
        <w:rPr>
          <w:rFonts w:ascii="Calibri" w:hAnsi="Calibri" w:cs="Calibri"/>
          <w:szCs w:val="22"/>
        </w:rPr>
        <w:t>First Nations</w:t>
      </w:r>
      <w:r>
        <w:rPr>
          <w:rFonts w:ascii="Calibri" w:hAnsi="Calibri" w:cs="Calibri"/>
          <w:szCs w:val="22"/>
        </w:rPr>
        <w:t xml:space="preserve"> people in regional and remote Australia</w:t>
      </w:r>
      <w:r w:rsidRPr="004F316A">
        <w:rPr>
          <w:rFonts w:ascii="Calibri" w:hAnsi="Calibri" w:cs="Calibri"/>
          <w:szCs w:val="22"/>
        </w:rPr>
        <w:t xml:space="preserve">. </w:t>
      </w:r>
      <w:r w:rsidR="00815A21">
        <w:rPr>
          <w:rFonts w:ascii="Calibri" w:hAnsi="Calibri" w:cs="Calibri"/>
          <w:szCs w:val="22"/>
        </w:rPr>
        <w:t>Eighteen</w:t>
      </w:r>
      <w:r w:rsidR="0099326B">
        <w:rPr>
          <w:rFonts w:ascii="Calibri" w:hAnsi="Calibri" w:cs="Calibri"/>
          <w:szCs w:val="22"/>
        </w:rPr>
        <w:t> per cent</w:t>
      </w:r>
      <w:r w:rsidR="00C954C9">
        <w:rPr>
          <w:rFonts w:ascii="Calibri" w:hAnsi="Calibri" w:cs="Calibri"/>
          <w:szCs w:val="22"/>
        </w:rPr>
        <w:t xml:space="preserve"> of</w:t>
      </w:r>
      <w:r w:rsidRPr="004F316A">
        <w:rPr>
          <w:rFonts w:ascii="Calibri" w:hAnsi="Calibri" w:cs="Calibri"/>
          <w:szCs w:val="22"/>
        </w:rPr>
        <w:t xml:space="preserve"> </w:t>
      </w:r>
      <w:r w:rsidR="0099326B">
        <w:rPr>
          <w:rFonts w:ascii="Calibri" w:hAnsi="Calibri" w:cs="Calibri"/>
          <w:szCs w:val="22"/>
        </w:rPr>
        <w:t>First Nations</w:t>
      </w:r>
      <w:r w:rsidRPr="004F316A">
        <w:rPr>
          <w:rFonts w:ascii="Calibri" w:hAnsi="Calibri" w:cs="Calibri"/>
          <w:szCs w:val="22"/>
        </w:rPr>
        <w:t xml:space="preserve"> households lived in dwellings that did not meet an acceptable standard, defined in the </w:t>
      </w:r>
      <w:r>
        <w:rPr>
          <w:rFonts w:ascii="Calibri" w:hAnsi="Calibri" w:cs="Calibri"/>
          <w:szCs w:val="22"/>
        </w:rPr>
        <w:t xml:space="preserve">National Aboriginal and </w:t>
      </w:r>
      <w:r w:rsidR="0099326B">
        <w:rPr>
          <w:rFonts w:ascii="Calibri" w:hAnsi="Calibri" w:cs="Calibri"/>
          <w:szCs w:val="22"/>
        </w:rPr>
        <w:t>Torres Strait</w:t>
      </w:r>
      <w:r>
        <w:rPr>
          <w:rFonts w:ascii="Calibri" w:hAnsi="Calibri" w:cs="Calibri"/>
          <w:szCs w:val="22"/>
        </w:rPr>
        <w:t xml:space="preserve"> Islander Health Survey (NATSIHS)</w:t>
      </w:r>
      <w:r w:rsidRPr="004F316A">
        <w:rPr>
          <w:rFonts w:ascii="Calibri" w:hAnsi="Calibri" w:cs="Calibri"/>
          <w:szCs w:val="22"/>
        </w:rPr>
        <w:t xml:space="preserve"> as having at least </w:t>
      </w:r>
      <w:r w:rsidR="007338A2">
        <w:rPr>
          <w:rFonts w:ascii="Calibri" w:hAnsi="Calibri" w:cs="Calibri"/>
          <w:szCs w:val="22"/>
        </w:rPr>
        <w:t>one</w:t>
      </w:r>
      <w:r w:rsidR="007338A2" w:rsidRPr="004F316A">
        <w:rPr>
          <w:rFonts w:ascii="Calibri" w:hAnsi="Calibri" w:cs="Calibri"/>
          <w:szCs w:val="22"/>
        </w:rPr>
        <w:t xml:space="preserve"> </w:t>
      </w:r>
      <w:r w:rsidRPr="004F316A">
        <w:rPr>
          <w:rFonts w:ascii="Calibri" w:hAnsi="Calibri" w:cs="Calibri"/>
          <w:szCs w:val="22"/>
        </w:rPr>
        <w:t>basic household facility that was unavailable or having more than 2</w:t>
      </w:r>
      <w:r w:rsidR="00BC16AE">
        <w:rPr>
          <w:rFonts w:ascii="Calibri" w:hAnsi="Calibri" w:cs="Calibri"/>
          <w:szCs w:val="22"/>
        </w:rPr>
        <w:t> </w:t>
      </w:r>
      <w:r w:rsidRPr="004F316A">
        <w:rPr>
          <w:rFonts w:ascii="Calibri" w:hAnsi="Calibri" w:cs="Calibri"/>
          <w:szCs w:val="22"/>
        </w:rPr>
        <w:t xml:space="preserve">major structural problems. This </w:t>
      </w:r>
      <w:r w:rsidR="00C954C9">
        <w:rPr>
          <w:rFonts w:ascii="Calibri" w:hAnsi="Calibri" w:cs="Calibri"/>
          <w:szCs w:val="22"/>
        </w:rPr>
        <w:t xml:space="preserve">proportion </w:t>
      </w:r>
      <w:r w:rsidRPr="004F316A">
        <w:rPr>
          <w:rFonts w:ascii="Calibri" w:hAnsi="Calibri" w:cs="Calibri"/>
          <w:szCs w:val="22"/>
        </w:rPr>
        <w:t xml:space="preserve">rises to </w:t>
      </w:r>
      <w:r w:rsidR="00C954C9">
        <w:rPr>
          <w:rFonts w:ascii="Calibri" w:hAnsi="Calibri" w:cs="Calibri"/>
          <w:szCs w:val="22"/>
        </w:rPr>
        <w:t xml:space="preserve">around </w:t>
      </w:r>
      <w:r w:rsidR="00884C6A">
        <w:rPr>
          <w:rFonts w:ascii="Calibri" w:hAnsi="Calibri" w:cs="Calibri"/>
          <w:szCs w:val="22"/>
        </w:rPr>
        <w:t>36</w:t>
      </w:r>
      <w:r w:rsidR="0099326B">
        <w:rPr>
          <w:rFonts w:ascii="Calibri" w:hAnsi="Calibri" w:cs="Calibri"/>
          <w:szCs w:val="22"/>
        </w:rPr>
        <w:t> per cent</w:t>
      </w:r>
      <w:r w:rsidRPr="004F316A">
        <w:rPr>
          <w:rFonts w:ascii="Calibri" w:hAnsi="Calibri" w:cs="Calibri"/>
          <w:szCs w:val="22"/>
        </w:rPr>
        <w:t xml:space="preserve"> in remote areas. This compares to 89</w:t>
      </w:r>
      <w:r w:rsidR="0099326B">
        <w:rPr>
          <w:rFonts w:ascii="Calibri" w:hAnsi="Calibri" w:cs="Calibri"/>
          <w:szCs w:val="22"/>
        </w:rPr>
        <w:t> per cent</w:t>
      </w:r>
      <w:r w:rsidRPr="004F316A">
        <w:rPr>
          <w:rFonts w:ascii="Calibri" w:hAnsi="Calibri" w:cs="Calibri"/>
          <w:szCs w:val="22"/>
        </w:rPr>
        <w:t xml:space="preserve"> of all Australian households reporting no major structural problems in 2019–20 (ABS</w:t>
      </w:r>
      <w:r w:rsidR="00472D27">
        <w:rPr>
          <w:rFonts w:ascii="Calibri" w:hAnsi="Calibri" w:cs="Calibri"/>
          <w:szCs w:val="22"/>
        </w:rPr>
        <w:t xml:space="preserve"> </w:t>
      </w:r>
      <w:r w:rsidRPr="004F316A">
        <w:rPr>
          <w:rFonts w:ascii="Calibri" w:hAnsi="Calibri" w:cs="Calibri"/>
          <w:szCs w:val="22"/>
        </w:rPr>
        <w:t>2022</w:t>
      </w:r>
      <w:r w:rsidR="006E7A35">
        <w:rPr>
          <w:rFonts w:ascii="Calibri" w:hAnsi="Calibri" w:cs="Calibri"/>
          <w:szCs w:val="22"/>
        </w:rPr>
        <w:t>d</w:t>
      </w:r>
      <w:r w:rsidRPr="004F316A">
        <w:rPr>
          <w:rFonts w:ascii="Calibri" w:hAnsi="Calibri" w:cs="Calibri"/>
          <w:szCs w:val="22"/>
        </w:rPr>
        <w:t xml:space="preserve">). </w:t>
      </w:r>
      <w:r w:rsidR="00E17686">
        <w:rPr>
          <w:rFonts w:ascii="Calibri" w:hAnsi="Calibri" w:cs="Calibri"/>
          <w:szCs w:val="22"/>
        </w:rPr>
        <w:br w:type="page"/>
      </w:r>
    </w:p>
    <w:p w14:paraId="7CA24073" w14:textId="5C8EED58" w:rsidR="00791A68" w:rsidRPr="00815A21" w:rsidRDefault="00791A68" w:rsidP="009628A8">
      <w:pPr>
        <w:rPr>
          <w:rFonts w:ascii="Calibri" w:hAnsi="Calibri" w:cs="Calibri"/>
          <w:szCs w:val="22"/>
        </w:rPr>
      </w:pPr>
      <w:r w:rsidRPr="004F316A">
        <w:rPr>
          <w:rFonts w:ascii="Calibri" w:hAnsi="Calibri" w:cs="Calibri"/>
          <w:szCs w:val="22"/>
        </w:rPr>
        <w:lastRenderedPageBreak/>
        <w:t>Th</w:t>
      </w:r>
      <w:r>
        <w:rPr>
          <w:rFonts w:ascii="Calibri" w:hAnsi="Calibri" w:cs="Calibri"/>
          <w:szCs w:val="22"/>
        </w:rPr>
        <w:t xml:space="preserve">ese problems are </w:t>
      </w:r>
      <w:r w:rsidRPr="004F316A">
        <w:rPr>
          <w:rFonts w:cstheme="minorHAnsi"/>
          <w:szCs w:val="22"/>
        </w:rPr>
        <w:t>especially stark for renters, with 40</w:t>
      </w:r>
      <w:r w:rsidR="0099326B">
        <w:rPr>
          <w:rFonts w:cstheme="minorHAnsi"/>
          <w:szCs w:val="22"/>
        </w:rPr>
        <w:t> per cent</w:t>
      </w:r>
      <w:r w:rsidRPr="004F316A">
        <w:rPr>
          <w:rFonts w:cstheme="minorHAnsi"/>
          <w:szCs w:val="22"/>
        </w:rPr>
        <w:t xml:space="preserve"> of </w:t>
      </w:r>
      <w:r w:rsidR="0099326B">
        <w:rPr>
          <w:rFonts w:cstheme="minorHAnsi"/>
          <w:szCs w:val="22"/>
        </w:rPr>
        <w:t>First Nations</w:t>
      </w:r>
      <w:r w:rsidRPr="004F316A">
        <w:rPr>
          <w:rFonts w:cstheme="minorHAnsi"/>
          <w:szCs w:val="22"/>
        </w:rPr>
        <w:t xml:space="preserve"> households reporting at least one major structural problem, compared to around 27</w:t>
      </w:r>
      <w:r w:rsidR="0099326B">
        <w:rPr>
          <w:rFonts w:cstheme="minorHAnsi"/>
          <w:szCs w:val="22"/>
        </w:rPr>
        <w:t> per cent</w:t>
      </w:r>
      <w:r w:rsidRPr="004F316A">
        <w:rPr>
          <w:rFonts w:cstheme="minorHAnsi"/>
          <w:szCs w:val="22"/>
        </w:rPr>
        <w:t xml:space="preserve"> for </w:t>
      </w:r>
      <w:r w:rsidR="0099326B">
        <w:rPr>
          <w:rFonts w:cstheme="minorHAnsi"/>
          <w:szCs w:val="22"/>
        </w:rPr>
        <w:t>First Nations</w:t>
      </w:r>
      <w:r w:rsidRPr="004F316A">
        <w:rPr>
          <w:rFonts w:cstheme="minorHAnsi"/>
          <w:szCs w:val="22"/>
        </w:rPr>
        <w:t xml:space="preserve"> </w:t>
      </w:r>
      <w:r w:rsidR="00233AEC">
        <w:rPr>
          <w:rFonts w:cstheme="minorHAnsi"/>
          <w:szCs w:val="22"/>
        </w:rPr>
        <w:t>home owner</w:t>
      </w:r>
      <w:r w:rsidRPr="004F316A">
        <w:rPr>
          <w:rFonts w:cstheme="minorHAnsi"/>
          <w:szCs w:val="22"/>
        </w:rPr>
        <w:t>s (ABS 20</w:t>
      </w:r>
      <w:r w:rsidR="00EC3BC0">
        <w:rPr>
          <w:rFonts w:cstheme="minorHAnsi"/>
          <w:szCs w:val="22"/>
        </w:rPr>
        <w:t>22b</w:t>
      </w:r>
      <w:r w:rsidRPr="004F316A">
        <w:rPr>
          <w:rFonts w:cstheme="minorHAnsi"/>
          <w:szCs w:val="22"/>
        </w:rPr>
        <w:t xml:space="preserve">). </w:t>
      </w:r>
      <w:r>
        <w:rPr>
          <w:rFonts w:cstheme="minorHAnsi"/>
          <w:szCs w:val="22"/>
        </w:rPr>
        <w:t xml:space="preserve">Quality </w:t>
      </w:r>
      <w:r w:rsidRPr="004F316A">
        <w:rPr>
          <w:rFonts w:cstheme="minorHAnsi"/>
          <w:szCs w:val="22"/>
        </w:rPr>
        <w:t>sewage removal</w:t>
      </w:r>
      <w:r w:rsidR="00652470">
        <w:rPr>
          <w:rFonts w:cstheme="minorHAnsi"/>
          <w:szCs w:val="22"/>
        </w:rPr>
        <w:t xml:space="preserve"> and</w:t>
      </w:r>
      <w:r w:rsidRPr="004F316A">
        <w:rPr>
          <w:rFonts w:cstheme="minorHAnsi"/>
          <w:szCs w:val="22"/>
        </w:rPr>
        <w:t xml:space="preserve"> water security and</w:t>
      </w:r>
      <w:r w:rsidRPr="004F316A" w:rsidDel="00652470">
        <w:rPr>
          <w:rFonts w:cstheme="minorHAnsi"/>
          <w:szCs w:val="22"/>
        </w:rPr>
        <w:t xml:space="preserve"> </w:t>
      </w:r>
      <w:r w:rsidRPr="004F316A">
        <w:rPr>
          <w:rFonts w:cstheme="minorHAnsi"/>
          <w:szCs w:val="22"/>
        </w:rPr>
        <w:t xml:space="preserve">quality are critical to housing for </w:t>
      </w:r>
      <w:r w:rsidR="0099326B">
        <w:rPr>
          <w:rFonts w:cstheme="minorHAnsi"/>
          <w:szCs w:val="22"/>
        </w:rPr>
        <w:t>First Nations</w:t>
      </w:r>
      <w:r w:rsidRPr="004F316A">
        <w:rPr>
          <w:rFonts w:cstheme="minorHAnsi"/>
          <w:szCs w:val="22"/>
        </w:rPr>
        <w:t xml:space="preserve"> communities, as poor access can have severe impacts on </w:t>
      </w:r>
      <w:r w:rsidR="0096489B">
        <w:rPr>
          <w:rFonts w:cstheme="minorHAnsi"/>
          <w:szCs w:val="22"/>
        </w:rPr>
        <w:t>community</w:t>
      </w:r>
      <w:r w:rsidR="0096489B" w:rsidRPr="004F316A">
        <w:rPr>
          <w:rFonts w:cstheme="minorHAnsi"/>
          <w:szCs w:val="22"/>
        </w:rPr>
        <w:t xml:space="preserve"> </w:t>
      </w:r>
      <w:r w:rsidRPr="004F316A">
        <w:rPr>
          <w:rFonts w:cstheme="minorHAnsi"/>
          <w:szCs w:val="22"/>
        </w:rPr>
        <w:t>health. Stakeholders raised that renovation of housing should focus on addressing major structural problems, providing essential facilities, and ensuring safe and healthy living environments</w:t>
      </w:r>
      <w:r>
        <w:rPr>
          <w:rFonts w:cstheme="minorHAnsi"/>
          <w:szCs w:val="22"/>
        </w:rPr>
        <w:t>.</w:t>
      </w:r>
    </w:p>
    <w:p w14:paraId="56326254" w14:textId="42B779FA" w:rsidR="00791A68" w:rsidRPr="007A7000" w:rsidRDefault="00791A68" w:rsidP="009628A8">
      <w:pPr>
        <w:rPr>
          <w:rFonts w:ascii="Calibri" w:hAnsi="Calibri" w:cs="Calibri"/>
          <w:szCs w:val="22"/>
        </w:rPr>
      </w:pPr>
      <w:r>
        <w:t>In</w:t>
      </w:r>
      <w:r w:rsidRPr="004F316A">
        <w:t xml:space="preserve"> remote and regional </w:t>
      </w:r>
      <w:r w:rsidR="0099326B">
        <w:t>First Nations</w:t>
      </w:r>
      <w:r w:rsidRPr="004F316A">
        <w:t xml:space="preserve"> communities, housing is not built to withstand extreme temperatures and is likely to be unsuitable for future living as climate change worsens already difficult conditions in many parts of </w:t>
      </w:r>
      <w:r>
        <w:rPr>
          <w:rFonts w:ascii="Calibri" w:hAnsi="Calibri" w:cs="Calibri"/>
          <w:szCs w:val="22"/>
        </w:rPr>
        <w:t>remote</w:t>
      </w:r>
      <w:r w:rsidRPr="004F316A">
        <w:rPr>
          <w:rFonts w:ascii="Calibri" w:hAnsi="Calibri" w:cs="Calibri"/>
          <w:szCs w:val="22"/>
        </w:rPr>
        <w:t xml:space="preserve"> Australia (Allam 2021). In some remote </w:t>
      </w:r>
      <w:r w:rsidR="0099326B">
        <w:rPr>
          <w:rFonts w:ascii="Calibri" w:hAnsi="Calibri" w:cs="Calibri"/>
          <w:szCs w:val="22"/>
        </w:rPr>
        <w:t>First Nations</w:t>
      </w:r>
      <w:r w:rsidRPr="004F316A">
        <w:rPr>
          <w:rFonts w:ascii="Calibri" w:hAnsi="Calibri" w:cs="Calibri"/>
          <w:szCs w:val="22"/>
        </w:rPr>
        <w:t xml:space="preserve"> communities, none of the properties currently have fit</w:t>
      </w:r>
      <w:r w:rsidR="00A15C79">
        <w:rPr>
          <w:rFonts w:ascii="Calibri" w:hAnsi="Calibri" w:cs="Calibri"/>
          <w:szCs w:val="22"/>
        </w:rPr>
        <w:noBreakHyphen/>
      </w:r>
      <w:r w:rsidRPr="004F316A">
        <w:rPr>
          <w:rFonts w:ascii="Calibri" w:hAnsi="Calibri" w:cs="Calibri"/>
          <w:szCs w:val="22"/>
        </w:rPr>
        <w:t>for</w:t>
      </w:r>
      <w:r w:rsidR="00A15C79">
        <w:rPr>
          <w:rFonts w:ascii="Calibri" w:hAnsi="Calibri" w:cs="Calibri"/>
          <w:szCs w:val="22"/>
        </w:rPr>
        <w:noBreakHyphen/>
      </w:r>
      <w:r w:rsidRPr="004F316A">
        <w:rPr>
          <w:rFonts w:ascii="Calibri" w:hAnsi="Calibri" w:cs="Calibri"/>
          <w:szCs w:val="22"/>
        </w:rPr>
        <w:t xml:space="preserve">purpose thermal performance under current conditions, and these conditions will only worsen as temperatures rise (Lea et al. 2021). </w:t>
      </w:r>
      <w:r w:rsidR="0099326B">
        <w:rPr>
          <w:rFonts w:ascii="Calibri" w:hAnsi="Calibri" w:cs="Calibri"/>
          <w:szCs w:val="22"/>
        </w:rPr>
        <w:t>First Nations</w:t>
      </w:r>
      <w:r w:rsidRPr="004F316A">
        <w:rPr>
          <w:rFonts w:ascii="Calibri" w:hAnsi="Calibri" w:cs="Calibri"/>
          <w:szCs w:val="22"/>
        </w:rPr>
        <w:t xml:space="preserve"> communities are also over</w:t>
      </w:r>
      <w:r w:rsidR="00A15C79">
        <w:rPr>
          <w:rFonts w:ascii="Calibri" w:hAnsi="Calibri" w:cs="Calibri"/>
          <w:szCs w:val="22"/>
        </w:rPr>
        <w:noBreakHyphen/>
      </w:r>
      <w:r w:rsidRPr="004F316A">
        <w:rPr>
          <w:rFonts w:ascii="Calibri" w:hAnsi="Calibri" w:cs="Calibri"/>
          <w:szCs w:val="22"/>
        </w:rPr>
        <w:t>represented in a number of cohorts vulnerable to the impacts of climate change (</w:t>
      </w:r>
      <w:proofErr w:type="spellStart"/>
      <w:r w:rsidRPr="004F316A">
        <w:rPr>
          <w:rFonts w:ascii="Calibri" w:hAnsi="Calibri" w:cs="Calibri"/>
          <w:szCs w:val="22"/>
        </w:rPr>
        <w:t>Standen</w:t>
      </w:r>
      <w:proofErr w:type="spellEnd"/>
      <w:r w:rsidRPr="004F316A">
        <w:rPr>
          <w:rFonts w:ascii="Calibri" w:hAnsi="Calibri" w:cs="Calibri"/>
          <w:szCs w:val="22"/>
        </w:rPr>
        <w:t xml:space="preserve"> et al. 2022). People in lower socio</w:t>
      </w:r>
      <w:r w:rsidR="00A15C79">
        <w:rPr>
          <w:rFonts w:ascii="Calibri" w:hAnsi="Calibri" w:cs="Calibri"/>
          <w:szCs w:val="22"/>
        </w:rPr>
        <w:noBreakHyphen/>
      </w:r>
      <w:r w:rsidRPr="004F316A">
        <w:rPr>
          <w:rFonts w:ascii="Calibri" w:hAnsi="Calibri" w:cs="Calibri"/>
          <w:szCs w:val="22"/>
        </w:rPr>
        <w:t xml:space="preserve">economic cohorts, renters, public housing tenants and those in remote areas are often in areas at greater risk </w:t>
      </w:r>
      <w:r w:rsidR="008A726E">
        <w:rPr>
          <w:rFonts w:ascii="Calibri" w:hAnsi="Calibri" w:cs="Calibri"/>
          <w:szCs w:val="22"/>
        </w:rPr>
        <w:t>of</w:t>
      </w:r>
      <w:r w:rsidR="008A726E" w:rsidRPr="004F316A">
        <w:rPr>
          <w:rFonts w:ascii="Calibri" w:hAnsi="Calibri" w:cs="Calibri"/>
          <w:szCs w:val="22"/>
        </w:rPr>
        <w:t xml:space="preserve"> </w:t>
      </w:r>
      <w:r w:rsidRPr="004F316A">
        <w:rPr>
          <w:rFonts w:ascii="Calibri" w:hAnsi="Calibri" w:cs="Calibri"/>
          <w:szCs w:val="22"/>
        </w:rPr>
        <w:t>natural hazards and are less able to afford insurance to protect their homes (</w:t>
      </w:r>
      <w:proofErr w:type="spellStart"/>
      <w:r w:rsidRPr="004F316A">
        <w:rPr>
          <w:rFonts w:ascii="Calibri" w:hAnsi="Calibri" w:cs="Calibri"/>
          <w:szCs w:val="22"/>
        </w:rPr>
        <w:t>Standen</w:t>
      </w:r>
      <w:proofErr w:type="spellEnd"/>
      <w:r w:rsidRPr="004F316A">
        <w:rPr>
          <w:rFonts w:ascii="Calibri" w:hAnsi="Calibri" w:cs="Calibri"/>
          <w:szCs w:val="22"/>
        </w:rPr>
        <w:t xml:space="preserve"> et al</w:t>
      </w:r>
      <w:r w:rsidR="00A75F8E">
        <w:rPr>
          <w:rFonts w:ascii="Calibri" w:hAnsi="Calibri" w:cs="Calibri"/>
          <w:szCs w:val="22"/>
        </w:rPr>
        <w:t>.</w:t>
      </w:r>
      <w:r w:rsidR="00825677">
        <w:rPr>
          <w:rFonts w:ascii="Calibri" w:hAnsi="Calibri" w:cs="Calibri"/>
          <w:szCs w:val="22"/>
        </w:rPr>
        <w:t xml:space="preserve"> </w:t>
      </w:r>
      <w:r w:rsidRPr="004F316A">
        <w:rPr>
          <w:rFonts w:ascii="Calibri" w:hAnsi="Calibri" w:cs="Calibri"/>
          <w:szCs w:val="22"/>
        </w:rPr>
        <w:t xml:space="preserve">2022). Some communities, such as those in the </w:t>
      </w:r>
      <w:r w:rsidR="0099326B">
        <w:rPr>
          <w:rFonts w:ascii="Calibri" w:hAnsi="Calibri" w:cs="Calibri"/>
          <w:szCs w:val="22"/>
        </w:rPr>
        <w:t>Torres Strait</w:t>
      </w:r>
      <w:r w:rsidRPr="004F316A">
        <w:rPr>
          <w:rFonts w:ascii="Calibri" w:hAnsi="Calibri" w:cs="Calibri"/>
          <w:szCs w:val="22"/>
        </w:rPr>
        <w:t xml:space="preserve">, are already experiencing the impacts of </w:t>
      </w:r>
      <w:r w:rsidR="00765FF6">
        <w:rPr>
          <w:rFonts w:ascii="Calibri" w:hAnsi="Calibri" w:cs="Calibri"/>
          <w:szCs w:val="22"/>
        </w:rPr>
        <w:t xml:space="preserve">a rise in </w:t>
      </w:r>
      <w:r w:rsidRPr="004F316A">
        <w:rPr>
          <w:rFonts w:ascii="Calibri" w:hAnsi="Calibri" w:cs="Calibri"/>
          <w:szCs w:val="22"/>
        </w:rPr>
        <w:t>sea level and increased frequency of flooding events as a result of storm surges. The low</w:t>
      </w:r>
      <w:r w:rsidR="00A15C79">
        <w:rPr>
          <w:rFonts w:ascii="Calibri" w:hAnsi="Calibri" w:cs="Calibri"/>
          <w:szCs w:val="22"/>
        </w:rPr>
        <w:noBreakHyphen/>
      </w:r>
      <w:r w:rsidRPr="004F316A">
        <w:rPr>
          <w:rFonts w:ascii="Calibri" w:hAnsi="Calibri" w:cs="Calibri"/>
          <w:szCs w:val="22"/>
        </w:rPr>
        <w:t xml:space="preserve">lying nature of several islands means that many of these communities will become increasingly uninhabitable as these </w:t>
      </w:r>
      <w:r w:rsidR="00406B52">
        <w:rPr>
          <w:rFonts w:ascii="Calibri" w:hAnsi="Calibri" w:cs="Calibri"/>
          <w:szCs w:val="22"/>
        </w:rPr>
        <w:t>conditions</w:t>
      </w:r>
      <w:r w:rsidR="00406B52" w:rsidRPr="004F316A">
        <w:rPr>
          <w:rFonts w:ascii="Calibri" w:hAnsi="Calibri" w:cs="Calibri"/>
          <w:szCs w:val="22"/>
        </w:rPr>
        <w:t xml:space="preserve"> </w:t>
      </w:r>
      <w:r w:rsidRPr="004F316A">
        <w:rPr>
          <w:rFonts w:ascii="Calibri" w:hAnsi="Calibri" w:cs="Calibri"/>
          <w:szCs w:val="22"/>
        </w:rPr>
        <w:t xml:space="preserve">worsen (Doherty </w:t>
      </w:r>
      <w:r w:rsidR="008219E1">
        <w:rPr>
          <w:rFonts w:ascii="Calibri" w:hAnsi="Calibri" w:cs="Calibri"/>
          <w:szCs w:val="22"/>
        </w:rPr>
        <w:t>and</w:t>
      </w:r>
      <w:r w:rsidR="000A540A" w:rsidRPr="004F316A">
        <w:rPr>
          <w:rFonts w:ascii="Calibri" w:hAnsi="Calibri" w:cs="Calibri"/>
          <w:szCs w:val="22"/>
        </w:rPr>
        <w:t xml:space="preserve"> </w:t>
      </w:r>
      <w:r w:rsidRPr="004F316A">
        <w:rPr>
          <w:rFonts w:ascii="Calibri" w:hAnsi="Calibri" w:cs="Calibri"/>
          <w:szCs w:val="22"/>
        </w:rPr>
        <w:t xml:space="preserve">Slezak 2017). </w:t>
      </w:r>
    </w:p>
    <w:p w14:paraId="65F3039C" w14:textId="77777777" w:rsidR="00791A68" w:rsidRPr="009628A8" w:rsidRDefault="00791A68">
      <w:pPr>
        <w:pStyle w:val="Heading3Numbered"/>
      </w:pPr>
      <w:r>
        <w:t xml:space="preserve">Fragmented </w:t>
      </w:r>
      <w:r w:rsidRPr="009628A8">
        <w:t>housing policy, funding and data</w:t>
      </w:r>
    </w:p>
    <w:p w14:paraId="36DE625F" w14:textId="310A1BFA" w:rsidR="00791A68" w:rsidRDefault="00791A68">
      <w:r w:rsidRPr="004F316A">
        <w:t xml:space="preserve">All levels of government have roles and responsibilities for housing for </w:t>
      </w:r>
      <w:r w:rsidR="0099326B">
        <w:t>First Nations</w:t>
      </w:r>
      <w:r w:rsidRPr="004F316A">
        <w:t xml:space="preserve"> people, and all governments are signatories to the </w:t>
      </w:r>
      <w:r w:rsidRPr="005C3E3F">
        <w:t>National Agreement on Closing the Gap</w:t>
      </w:r>
      <w:r>
        <w:rPr>
          <w:i/>
          <w:iCs/>
        </w:rPr>
        <w:t xml:space="preserve">. </w:t>
      </w:r>
      <w:r>
        <w:t>The</w:t>
      </w:r>
      <w:r w:rsidR="00523620">
        <w:t xml:space="preserve"> </w:t>
      </w:r>
      <w:r w:rsidR="0099326B">
        <w:t>Australian</w:t>
      </w:r>
      <w:r w:rsidR="00523620">
        <w:t xml:space="preserve"> </w:t>
      </w:r>
      <w:r w:rsidR="0099326B">
        <w:t>Government</w:t>
      </w:r>
      <w:r w:rsidR="00D554B2" w:rsidRPr="004F316A">
        <w:t xml:space="preserve"> </w:t>
      </w:r>
      <w:r w:rsidRPr="004F316A">
        <w:t xml:space="preserve">provides funding to state and territory governments and directly to portfolio agencies, as well as overarching leadership in policy matters. State and territory governments have primary responsibility for delivering housing and homelessness services, including to </w:t>
      </w:r>
      <w:r w:rsidR="0099326B">
        <w:t>First Nations</w:t>
      </w:r>
      <w:r w:rsidRPr="004F316A">
        <w:t xml:space="preserve"> people. Some states and territories have specific plans or strategies for </w:t>
      </w:r>
      <w:r w:rsidR="0099326B">
        <w:t>First Nations</w:t>
      </w:r>
      <w:r w:rsidRPr="004F316A">
        <w:t xml:space="preserve"> housing and/or homelessness; however, there is no specific funding from any level of government for </w:t>
      </w:r>
      <w:r w:rsidR="0099326B">
        <w:t>First Nations</w:t>
      </w:r>
      <w:r w:rsidRPr="004F316A">
        <w:t xml:space="preserve"> homelessness programs.</w:t>
      </w:r>
    </w:p>
    <w:p w14:paraId="0C70A32B" w14:textId="2FD07374" w:rsidR="00791A68" w:rsidRPr="007A7000" w:rsidRDefault="00791A68">
      <w:r>
        <w:t xml:space="preserve">Stakeholders raised the need for governments to prioritise funding for targeted housing programs that have been specifically designed to meet the needs of </w:t>
      </w:r>
      <w:r w:rsidR="0099326B">
        <w:t>First Nations</w:t>
      </w:r>
      <w:r>
        <w:t xml:space="preserve"> communities, especially in remote and very remote areas where overcrowding rates are high. ATSICCHOs have frequently advocated for the reestablishment of the </w:t>
      </w:r>
      <w:r w:rsidR="0099326B">
        <w:t>Australian Government</w:t>
      </w:r>
      <w:r>
        <w:t xml:space="preserve"> CHIP to increase their housing supply and meet their repairs and maintenance challenges. Stakeholders also expressed concerns </w:t>
      </w:r>
      <w:r w:rsidR="001F78B6">
        <w:t>about</w:t>
      </w:r>
      <w:r>
        <w:t xml:space="preserve"> the misalignment between housing expenditure and actual housing outcomes, as a significant portion of specific expenditure can be taken up by administration costs and overheads. There is a long</w:t>
      </w:r>
      <w:r w:rsidR="00A15C79">
        <w:noBreakHyphen/>
      </w:r>
      <w:r>
        <w:t xml:space="preserve">held perception by the </w:t>
      </w:r>
      <w:r w:rsidR="0099326B">
        <w:t>First Nations</w:t>
      </w:r>
      <w:r>
        <w:t xml:space="preserve"> community that there is a serious lack of oversight on this specific expenditure, and that only a third is actually used in housing construction. </w:t>
      </w:r>
    </w:p>
    <w:p w14:paraId="2A7C7EB2" w14:textId="0F4BF19E" w:rsidR="00BF74FF" w:rsidRDefault="00791A68">
      <w:r w:rsidRPr="004F316A">
        <w:t>Access to appropriate data and information underpins the ability to address issues across the housing system</w:t>
      </w:r>
      <w:r>
        <w:t xml:space="preserve"> </w:t>
      </w:r>
      <w:r w:rsidRPr="004F316A">
        <w:t>(</w:t>
      </w:r>
      <w:proofErr w:type="spellStart"/>
      <w:r w:rsidRPr="004F316A">
        <w:t>Maiam</w:t>
      </w:r>
      <w:proofErr w:type="spellEnd"/>
      <w:r w:rsidRPr="004F316A">
        <w:t xml:space="preserve"> </w:t>
      </w:r>
      <w:proofErr w:type="spellStart"/>
      <w:r w:rsidRPr="004F316A">
        <w:t>nayri</w:t>
      </w:r>
      <w:proofErr w:type="spellEnd"/>
      <w:r w:rsidRPr="004F316A">
        <w:t xml:space="preserve"> </w:t>
      </w:r>
      <w:proofErr w:type="spellStart"/>
      <w:r w:rsidRPr="004F316A">
        <w:t>Wingara</w:t>
      </w:r>
      <w:proofErr w:type="spellEnd"/>
      <w:r w:rsidRPr="004F316A">
        <w:t xml:space="preserve"> 2018). The isolation and exclusion of </w:t>
      </w:r>
      <w:r w:rsidR="0099326B">
        <w:t>First Nations</w:t>
      </w:r>
      <w:r w:rsidRPr="004F316A">
        <w:t xml:space="preserve"> people from the language, control and production of data at community, state and national levels has resulted in data that is overly focused on </w:t>
      </w:r>
      <w:r w:rsidR="0099326B">
        <w:t>First Nations</w:t>
      </w:r>
      <w:r w:rsidRPr="004F316A">
        <w:t xml:space="preserve"> peoples as the problem (</w:t>
      </w:r>
      <w:proofErr w:type="spellStart"/>
      <w:r w:rsidRPr="004F316A">
        <w:t>Maiam</w:t>
      </w:r>
      <w:proofErr w:type="spellEnd"/>
      <w:r w:rsidRPr="004F316A">
        <w:t xml:space="preserve"> </w:t>
      </w:r>
      <w:proofErr w:type="spellStart"/>
      <w:r w:rsidRPr="004F316A">
        <w:t>nayri</w:t>
      </w:r>
      <w:proofErr w:type="spellEnd"/>
      <w:r w:rsidRPr="004F316A">
        <w:t xml:space="preserve"> </w:t>
      </w:r>
      <w:proofErr w:type="spellStart"/>
      <w:r w:rsidRPr="004F316A">
        <w:t>Wingara</w:t>
      </w:r>
      <w:proofErr w:type="spellEnd"/>
      <w:r w:rsidRPr="004F316A">
        <w:t xml:space="preserve"> 2018). Data collection for housing is fragmented, with varying information available on </w:t>
      </w:r>
      <w:r w:rsidR="0099326B">
        <w:t>First Nations</w:t>
      </w:r>
      <w:r w:rsidRPr="004F316A">
        <w:t xml:space="preserve"> housing tenure at national and state levels, and different data collection and management practices. Many of the data assets collected are not specific to </w:t>
      </w:r>
      <w:r w:rsidR="0099326B">
        <w:t>First Nations</w:t>
      </w:r>
      <w:r w:rsidRPr="004F316A">
        <w:t xml:space="preserve"> people, so they are not comprehensive indicators </w:t>
      </w:r>
      <w:r>
        <w:t>of</w:t>
      </w:r>
      <w:r w:rsidRPr="004F316A">
        <w:t xml:space="preserve"> First Nation households. </w:t>
      </w:r>
    </w:p>
    <w:p w14:paraId="58305521" w14:textId="2C959EF9" w:rsidR="00791A68" w:rsidRDefault="00791A68">
      <w:r w:rsidRPr="004F316A">
        <w:lastRenderedPageBreak/>
        <w:t xml:space="preserve">There are </w:t>
      </w:r>
      <w:r w:rsidR="00E511D6">
        <w:t xml:space="preserve">also </w:t>
      </w:r>
      <w:r w:rsidRPr="004F316A">
        <w:t>issues with data collection, availability and access, particularly at jurisdictional or regional levels</w:t>
      </w:r>
      <w:r>
        <w:t xml:space="preserve">. Stakeholders described how better housing data would enable </w:t>
      </w:r>
      <w:r w:rsidR="00433C09">
        <w:t xml:space="preserve">a </w:t>
      </w:r>
      <w:r>
        <w:t xml:space="preserve">better understanding of </w:t>
      </w:r>
      <w:r w:rsidR="00755752">
        <w:t xml:space="preserve">the </w:t>
      </w:r>
      <w:r>
        <w:t xml:space="preserve">housing needs and challenges </w:t>
      </w:r>
      <w:r w:rsidR="0099326B">
        <w:t>First Nations</w:t>
      </w:r>
      <w:r>
        <w:t xml:space="preserve"> people</w:t>
      </w:r>
      <w:r w:rsidR="00755752">
        <w:t xml:space="preserve"> face</w:t>
      </w:r>
      <w:r>
        <w:t>. This data is critical to evidence</w:t>
      </w:r>
      <w:r w:rsidR="00A15C79">
        <w:noBreakHyphen/>
      </w:r>
      <w:r>
        <w:t xml:space="preserve">informed policy decisions and to measure progress towards housing targets. There was a strong consensus among stakeholders that data collection should be led by </w:t>
      </w:r>
      <w:r w:rsidR="0099326B">
        <w:t>First Nations</w:t>
      </w:r>
      <w:r>
        <w:t xml:space="preserve"> </w:t>
      </w:r>
      <w:r w:rsidR="009012F4">
        <w:t>organisations and people</w:t>
      </w:r>
      <w:r>
        <w:t xml:space="preserve">, who should also be the custodians of </w:t>
      </w:r>
      <w:r w:rsidR="00433C09">
        <w:t xml:space="preserve">that </w:t>
      </w:r>
      <w:r>
        <w:t>data once collected.</w:t>
      </w:r>
      <w:r>
        <w:rPr>
          <w:rStyle w:val="FootnoteReference"/>
        </w:rPr>
        <w:footnoteReference w:id="16"/>
      </w:r>
    </w:p>
    <w:p w14:paraId="6BDDD9AB" w14:textId="77777777" w:rsidR="00791A68" w:rsidRPr="009628A8" w:rsidRDefault="00791A68">
      <w:pPr>
        <w:pStyle w:val="Heading3Numbered"/>
      </w:pPr>
      <w:r w:rsidRPr="009628A8">
        <w:t>Housing access</w:t>
      </w:r>
    </w:p>
    <w:p w14:paraId="38F46D3B" w14:textId="0F0D0955" w:rsidR="00791A68" w:rsidRPr="004F316A" w:rsidRDefault="00791A68">
      <w:r w:rsidRPr="004F316A">
        <w:t>Lack of access to quality, accessible, affordable and culturally appropriate housing has been a long</w:t>
      </w:r>
      <w:r w:rsidR="00A15C79">
        <w:noBreakHyphen/>
      </w:r>
      <w:r w:rsidRPr="004F316A">
        <w:t xml:space="preserve">term problem </w:t>
      </w:r>
      <w:r>
        <w:t xml:space="preserve">for </w:t>
      </w:r>
      <w:r w:rsidR="0099326B">
        <w:t>First Nations</w:t>
      </w:r>
      <w:r>
        <w:t xml:space="preserve"> people</w:t>
      </w:r>
      <w:r w:rsidRPr="004F316A">
        <w:t>. Issues around access include those related to racism</w:t>
      </w:r>
      <w:r w:rsidR="00174189">
        <w:t>;</w:t>
      </w:r>
      <w:r w:rsidRPr="004F316A">
        <w:t xml:space="preserve"> allocation and tenancy management bias</w:t>
      </w:r>
      <w:r w:rsidR="00174189">
        <w:t>;</w:t>
      </w:r>
      <w:r w:rsidRPr="004F316A">
        <w:t xml:space="preserve"> affordability</w:t>
      </w:r>
      <w:r w:rsidR="00174189">
        <w:t>;</w:t>
      </w:r>
      <w:r w:rsidRPr="004F316A">
        <w:t xml:space="preserve"> and geographical considerations</w:t>
      </w:r>
      <w:r>
        <w:t>.</w:t>
      </w:r>
    </w:p>
    <w:p w14:paraId="140F50DF" w14:textId="15439F8C" w:rsidR="00791A68" w:rsidRPr="004F316A" w:rsidRDefault="00791A68">
      <w:r w:rsidRPr="004F316A">
        <w:t xml:space="preserve">Systemic racism continues to shape the lived experience of </w:t>
      </w:r>
      <w:r w:rsidR="0099326B">
        <w:t>First Nations</w:t>
      </w:r>
      <w:r w:rsidRPr="004F316A">
        <w:t xml:space="preserve"> people in all areas, including housing. Higher rates of homelessness in the </w:t>
      </w:r>
      <w:r w:rsidR="0099326B">
        <w:t>First Nations</w:t>
      </w:r>
      <w:r w:rsidRPr="004F316A">
        <w:t xml:space="preserve"> population in countries like Australia and Canada can be traced backed to the historic and ongoing impacts of colonisation that have </w:t>
      </w:r>
      <w:r w:rsidR="00A15C79">
        <w:t>‘</w:t>
      </w:r>
      <w:r w:rsidRPr="004F316A">
        <w:t>displaced and dispossessed these populations from their traditional governance systems and laws, territories, histories, worldviews, ancestors and stories</w:t>
      </w:r>
      <w:r w:rsidR="00A15C79">
        <w:t>’</w:t>
      </w:r>
      <w:r w:rsidRPr="004F316A">
        <w:t xml:space="preserve"> (Thistle 2017). Further, discrimination in the private rental market pushes </w:t>
      </w:r>
      <w:r w:rsidR="0099326B">
        <w:t>First Nations</w:t>
      </w:r>
      <w:r w:rsidRPr="004F316A">
        <w:t xml:space="preserve"> people into </w:t>
      </w:r>
      <w:r w:rsidR="009F70E6">
        <w:t>non-market</w:t>
      </w:r>
      <w:r w:rsidRPr="004F316A">
        <w:t xml:space="preserve"> housing tenures, such as social housing, increasing demand in </w:t>
      </w:r>
      <w:r w:rsidR="00D1319B">
        <w:t xml:space="preserve">a </w:t>
      </w:r>
      <w:r w:rsidRPr="004F316A">
        <w:t xml:space="preserve">part of the system that is already at capacity. </w:t>
      </w:r>
    </w:p>
    <w:p w14:paraId="2A9E25B9" w14:textId="2DE1FD9B" w:rsidR="00791A68" w:rsidRDefault="00791A68">
      <w:r w:rsidRPr="004F316A">
        <w:t xml:space="preserve">Despite some improvements around the allocation of public housing for </w:t>
      </w:r>
      <w:r w:rsidR="0099326B">
        <w:t>First Nations</w:t>
      </w:r>
      <w:r w:rsidRPr="004F316A">
        <w:t xml:space="preserve"> people by state and territory housing departments, a knowledge gap persists </w:t>
      </w:r>
      <w:r w:rsidR="00706484">
        <w:t>regarding</w:t>
      </w:r>
      <w:r w:rsidRPr="004F316A">
        <w:t xml:space="preserve"> the housing circumstances and needs of </w:t>
      </w:r>
      <w:r w:rsidR="0099326B">
        <w:t>First Nations</w:t>
      </w:r>
      <w:r w:rsidRPr="004F316A">
        <w:t xml:space="preserve"> people (Moran et al. 2016; Pawson et al. 2020). A 2022 study of the </w:t>
      </w:r>
      <w:r w:rsidR="001C0DCB">
        <w:br/>
      </w:r>
      <w:r w:rsidRPr="004F316A">
        <w:t xml:space="preserve">2014–15 </w:t>
      </w:r>
      <w:r w:rsidR="00103608" w:rsidRPr="00103608">
        <w:t xml:space="preserve">National Aboriginal and </w:t>
      </w:r>
      <w:r w:rsidR="0099326B">
        <w:t>Torres Strait</w:t>
      </w:r>
      <w:r w:rsidR="00103608" w:rsidRPr="00103608">
        <w:t xml:space="preserve"> Islander Social Survey</w:t>
      </w:r>
      <w:r w:rsidRPr="004F316A">
        <w:t xml:space="preserve"> dataset found that there are concerns related to the inappropriate allocation of housing (</w:t>
      </w:r>
      <w:proofErr w:type="spellStart"/>
      <w:r w:rsidRPr="004F316A">
        <w:t>Moskos</w:t>
      </w:r>
      <w:proofErr w:type="spellEnd"/>
      <w:r w:rsidRPr="004F316A">
        <w:t xml:space="preserve"> et al. 2022). In particular, respondents felt they were being allocated public housing in locations with high incidence</w:t>
      </w:r>
      <w:r w:rsidR="00484763">
        <w:t>s</w:t>
      </w:r>
      <w:r w:rsidRPr="004F316A">
        <w:t xml:space="preserve"> of social dysfunction, including antisocial behaviour and drug misuse.</w:t>
      </w:r>
      <w:r>
        <w:t xml:space="preserve"> </w:t>
      </w:r>
      <w:r w:rsidRPr="004F316A">
        <w:t xml:space="preserve">Due to the increased pressure on </w:t>
      </w:r>
      <w:r w:rsidR="009A4E68">
        <w:t xml:space="preserve">the </w:t>
      </w:r>
      <w:r w:rsidRPr="004F316A">
        <w:t xml:space="preserve">already limited housing supply, tenants </w:t>
      </w:r>
      <w:r>
        <w:t xml:space="preserve">also </w:t>
      </w:r>
      <w:r w:rsidRPr="004F316A">
        <w:t>stated they were being allocated public housing properties that were too small to meet their family and cultural needs (</w:t>
      </w:r>
      <w:proofErr w:type="spellStart"/>
      <w:r w:rsidRPr="004F316A">
        <w:t>Moskos</w:t>
      </w:r>
      <w:proofErr w:type="spellEnd"/>
      <w:r w:rsidRPr="004F316A">
        <w:t xml:space="preserve"> et al</w:t>
      </w:r>
      <w:r w:rsidR="00822324">
        <w:t xml:space="preserve">. </w:t>
      </w:r>
      <w:r w:rsidRPr="004F316A">
        <w:t>2022)</w:t>
      </w:r>
      <w:r w:rsidR="008E4210">
        <w:t xml:space="preserve">. </w:t>
      </w:r>
    </w:p>
    <w:p w14:paraId="1019F237" w14:textId="60DD4B67" w:rsidR="00791A68" w:rsidRPr="007A7000" w:rsidRDefault="00791A68">
      <w:r>
        <w:t xml:space="preserve">Stakeholders also raised the lack of emphasis on </w:t>
      </w:r>
      <w:r w:rsidRPr="004F316A">
        <w:t xml:space="preserve">housing access for </w:t>
      </w:r>
      <w:r w:rsidR="005D36AA">
        <w:t>older people</w:t>
      </w:r>
      <w:r w:rsidRPr="004F316A">
        <w:t>, people fleeing family and domestic violence</w:t>
      </w:r>
      <w:r>
        <w:t>,</w:t>
      </w:r>
      <w:r w:rsidRPr="004F316A">
        <w:t xml:space="preserve"> and people living with disability</w:t>
      </w:r>
      <w:r>
        <w:t xml:space="preserve">, in discussions of </w:t>
      </w:r>
      <w:r w:rsidR="0099326B">
        <w:t>First Nations</w:t>
      </w:r>
      <w:r>
        <w:t xml:space="preserve"> housing access.</w:t>
      </w:r>
    </w:p>
    <w:p w14:paraId="4E6DF0CF" w14:textId="77777777" w:rsidR="00791A68" w:rsidRPr="009628A8" w:rsidRDefault="00791A68">
      <w:pPr>
        <w:pStyle w:val="Heading3Numbered"/>
      </w:pPr>
      <w:r w:rsidRPr="009628A8">
        <w:t>Land tenure</w:t>
      </w:r>
    </w:p>
    <w:p w14:paraId="6ABC2451" w14:textId="767B3020" w:rsidR="00791A68" w:rsidRDefault="00791A68">
      <w:r w:rsidRPr="007D71BF">
        <w:t xml:space="preserve">Land </w:t>
      </w:r>
      <w:r w:rsidR="009A4E68">
        <w:t>t</w:t>
      </w:r>
      <w:r w:rsidRPr="007D71BF">
        <w:t xml:space="preserve">enure, including the Mabo Native Title decision in 1992 and the subsequent </w:t>
      </w:r>
      <w:r w:rsidRPr="001D0CA7">
        <w:rPr>
          <w:rStyle w:val="Emphasis"/>
        </w:rPr>
        <w:t>Native Title Act 1993</w:t>
      </w:r>
      <w:r w:rsidR="00C86B11">
        <w:rPr>
          <w:i/>
          <w:iCs/>
        </w:rPr>
        <w:t xml:space="preserve"> </w:t>
      </w:r>
      <w:r w:rsidR="00C86B11" w:rsidRPr="005C3E3F">
        <w:t>(</w:t>
      </w:r>
      <w:proofErr w:type="spellStart"/>
      <w:r w:rsidR="00C86B11" w:rsidRPr="005C3E3F">
        <w:t>Cth</w:t>
      </w:r>
      <w:proofErr w:type="spellEnd"/>
      <w:r w:rsidR="00C86B11" w:rsidRPr="005C3E3F">
        <w:t>)</w:t>
      </w:r>
      <w:r w:rsidRPr="00C86B11">
        <w:t>,</w:t>
      </w:r>
      <w:r w:rsidRPr="007D71BF">
        <w:t xml:space="preserve"> underpins significant parts of housing policy for </w:t>
      </w:r>
      <w:r w:rsidR="0099326B">
        <w:t>First Nations</w:t>
      </w:r>
      <w:r w:rsidRPr="007D71BF">
        <w:t xml:space="preserve"> people</w:t>
      </w:r>
      <w:r>
        <w:t xml:space="preserve"> </w:t>
      </w:r>
      <w:r w:rsidRPr="007D71BF">
        <w:t>(</w:t>
      </w:r>
      <w:proofErr w:type="spellStart"/>
      <w:r w:rsidRPr="007D71BF">
        <w:t>Arabena</w:t>
      </w:r>
      <w:proofErr w:type="spellEnd"/>
      <w:r w:rsidRPr="007D71BF">
        <w:t xml:space="preserve"> et al. 2020). </w:t>
      </w:r>
      <w:r w:rsidR="0099326B">
        <w:t>First Nations</w:t>
      </w:r>
      <w:r w:rsidRPr="007D71BF">
        <w:t xml:space="preserve"> </w:t>
      </w:r>
      <w:r>
        <w:t>land tenure arrangements are important in</w:t>
      </w:r>
      <w:r w:rsidRPr="007D71BF">
        <w:t xml:space="preserve"> remote and very remote Australia where many communities maintain strong connections to Country. Native title is a necessary step towards recognising </w:t>
      </w:r>
      <w:r w:rsidR="0099326B">
        <w:t>First Nations</w:t>
      </w:r>
      <w:r w:rsidRPr="007D71BF">
        <w:t xml:space="preserve"> people</w:t>
      </w:r>
      <w:r w:rsidR="00A15C79">
        <w:t>’</w:t>
      </w:r>
      <w:r w:rsidRPr="007D71BF">
        <w:t xml:space="preserve">s rights and interests over the land they have inhabited for thousands of years. </w:t>
      </w:r>
    </w:p>
    <w:p w14:paraId="4ECA1F93" w14:textId="1AC8C195" w:rsidR="00791A68" w:rsidRPr="003C0D9D" w:rsidRDefault="00791A68">
      <w:r w:rsidRPr="007D71BF">
        <w:lastRenderedPageBreak/>
        <w:t xml:space="preserve">However, </w:t>
      </w:r>
      <w:r w:rsidR="0099326B">
        <w:t>First Nations</w:t>
      </w:r>
      <w:r w:rsidRPr="007D71BF">
        <w:t xml:space="preserve"> land is yet to be fully harnessed as an economic asset, as well as a cultural and spiritual asset. Stakeholder consultations highlighted that these asset</w:t>
      </w:r>
      <w:r w:rsidR="00A15C79">
        <w:noBreakHyphen/>
      </w:r>
      <w:r w:rsidRPr="007D71BF">
        <w:t>rich communities are also often cash poor, with limited capacity to develop land to provide housing for the community.</w:t>
      </w:r>
      <w:r>
        <w:t xml:space="preserve"> They described how land tenure issues could be resolved through </w:t>
      </w:r>
      <w:r w:rsidRPr="003B0FC9">
        <w:t xml:space="preserve">Indigenous Land Use </w:t>
      </w:r>
      <w:r w:rsidR="00320ADD">
        <w:t xml:space="preserve">Agreements </w:t>
      </w:r>
      <w:r>
        <w:t xml:space="preserve">and cultural mapping. These approaches have been implemented across various </w:t>
      </w:r>
      <w:r w:rsidR="00C21AEE">
        <w:t>s</w:t>
      </w:r>
      <w:r>
        <w:t xml:space="preserve">tates and </w:t>
      </w:r>
      <w:r w:rsidR="00C21AEE">
        <w:t>t</w:t>
      </w:r>
      <w:r>
        <w:t xml:space="preserve">erritories and could maximise the </w:t>
      </w:r>
      <w:r w:rsidR="00C21AEE">
        <w:t xml:space="preserve">use </w:t>
      </w:r>
      <w:r>
        <w:t xml:space="preserve">of land held by </w:t>
      </w:r>
      <w:r w:rsidR="0099326B">
        <w:t>First Nations</w:t>
      </w:r>
      <w:r>
        <w:t xml:space="preserve"> organisations. </w:t>
      </w:r>
    </w:p>
    <w:p w14:paraId="3B2A36AD" w14:textId="64975186" w:rsidR="00791A68" w:rsidRPr="009628A8" w:rsidRDefault="0099326B">
      <w:pPr>
        <w:pStyle w:val="Heading2Numbered"/>
      </w:pPr>
      <w:bookmarkStart w:id="169" w:name="_Toc195026617"/>
      <w:bookmarkStart w:id="170" w:name="_Toc196395908"/>
      <w:r>
        <w:t>First Nations</w:t>
      </w:r>
      <w:r w:rsidR="00791A68" w:rsidRPr="009628A8">
        <w:t xml:space="preserve"> </w:t>
      </w:r>
      <w:r w:rsidR="00511AA1">
        <w:t>h</w:t>
      </w:r>
      <w:r w:rsidR="00791A68" w:rsidRPr="009628A8">
        <w:t xml:space="preserve">ousing </w:t>
      </w:r>
      <w:r w:rsidR="00511AA1">
        <w:t>c</w:t>
      </w:r>
      <w:r w:rsidR="00791A68" w:rsidRPr="009628A8">
        <w:t>oordination</w:t>
      </w:r>
      <w:bookmarkEnd w:id="169"/>
      <w:bookmarkEnd w:id="170"/>
    </w:p>
    <w:p w14:paraId="5D805061" w14:textId="69EF7E5A" w:rsidR="00791A68" w:rsidRDefault="0099326B">
      <w:r>
        <w:t>First Nations</w:t>
      </w:r>
      <w:r w:rsidR="00791A68">
        <w:t xml:space="preserve"> organisations </w:t>
      </w:r>
      <w:r w:rsidR="002B5189">
        <w:t xml:space="preserve">have </w:t>
      </w:r>
      <w:r w:rsidR="00791A68">
        <w:t xml:space="preserve">raised the need for national coordination to improve </w:t>
      </w:r>
      <w:r>
        <w:t>First Nations</w:t>
      </w:r>
      <w:r w:rsidR="00791A68">
        <w:t xml:space="preserve"> housing outcomes. This includes a commitment to </w:t>
      </w:r>
      <w:r>
        <w:t>First Nations</w:t>
      </w:r>
      <w:r w:rsidR="000932DF">
        <w:t>–</w:t>
      </w:r>
      <w:r w:rsidR="00791A68">
        <w:t>led solutions, a 20</w:t>
      </w:r>
      <w:r w:rsidR="00A15C79">
        <w:noBreakHyphen/>
      </w:r>
      <w:r w:rsidR="00791A68">
        <w:t xml:space="preserve">year investment strategy, stronger monitoring of </w:t>
      </w:r>
      <w:r>
        <w:t>First Nations</w:t>
      </w:r>
      <w:r w:rsidR="00791A68">
        <w:t xml:space="preserve"> housing outcomes, and the delivery of existing housing commitments. </w:t>
      </w:r>
    </w:p>
    <w:p w14:paraId="5CBF72B1" w14:textId="75A35900" w:rsidR="00791A68" w:rsidRDefault="008823CD">
      <w:r>
        <w:t>Governments have made some</w:t>
      </w:r>
      <w:r w:rsidR="00791A68">
        <w:t xml:space="preserve"> progress towards </w:t>
      </w:r>
      <w:r w:rsidR="00791A68" w:rsidRPr="00FC75B3">
        <w:t xml:space="preserve">improving </w:t>
      </w:r>
      <w:r w:rsidR="0099326B">
        <w:t>First Nations</w:t>
      </w:r>
      <w:r w:rsidR="00791A68" w:rsidRPr="00FC75B3">
        <w:t xml:space="preserve"> housing outcomes</w:t>
      </w:r>
      <w:r w:rsidR="00791A68" w:rsidRPr="00FC75B3" w:rsidDel="00FC75B3">
        <w:t xml:space="preserve"> </w:t>
      </w:r>
      <w:r w:rsidR="00791A68">
        <w:t xml:space="preserve">through the recently established </w:t>
      </w:r>
      <w:r w:rsidR="00791A68" w:rsidRPr="005C3E3F">
        <w:t>Housing Policy Partnership</w:t>
      </w:r>
      <w:r w:rsidR="00791A68">
        <w:t xml:space="preserve"> and the </w:t>
      </w:r>
      <w:r w:rsidR="00791A68" w:rsidRPr="002302BF">
        <w:rPr>
          <w:rStyle w:val="Emphasis"/>
          <w:i w:val="0"/>
          <w:iCs w:val="0"/>
        </w:rPr>
        <w:t>National Agreement on Closing the Gap</w:t>
      </w:r>
      <w:r w:rsidR="00791A68" w:rsidRPr="002302BF">
        <w:rPr>
          <w:i/>
          <w:iCs/>
        </w:rPr>
        <w:t>.</w:t>
      </w:r>
      <w:r w:rsidR="00791A68">
        <w:t xml:space="preserve"> However, as the Productivity Commission</w:t>
      </w:r>
      <w:r w:rsidR="00A15C79">
        <w:t>’</w:t>
      </w:r>
      <w:r w:rsidR="00791A68">
        <w:t xml:space="preserve">s review of the </w:t>
      </w:r>
      <w:r w:rsidR="00791A68" w:rsidRPr="005C3E3F">
        <w:t>National Agreement on Closing the Gap</w:t>
      </w:r>
      <w:r w:rsidR="00791A68">
        <w:t xml:space="preserve"> indicated, governments do not simply need to do more, </w:t>
      </w:r>
      <w:r w:rsidR="005A52F0">
        <w:t xml:space="preserve">they need </w:t>
      </w:r>
      <w:r w:rsidR="00791A68">
        <w:t xml:space="preserve">to work radically differently </w:t>
      </w:r>
      <w:r w:rsidR="00791A68">
        <w:br/>
        <w:t>(P</w:t>
      </w:r>
      <w:r w:rsidR="005A52F0">
        <w:t xml:space="preserve">roductivity </w:t>
      </w:r>
      <w:r w:rsidR="00791A68">
        <w:t>C</w:t>
      </w:r>
      <w:r w:rsidR="005A52F0">
        <w:t>ommission</w:t>
      </w:r>
      <w:r w:rsidR="00714BEC">
        <w:t xml:space="preserve"> </w:t>
      </w:r>
      <w:r w:rsidR="00791A68">
        <w:t>2024</w:t>
      </w:r>
      <w:r w:rsidR="002873E8">
        <w:t>c</w:t>
      </w:r>
      <w:r w:rsidR="00791A68">
        <w:t xml:space="preserve">). </w:t>
      </w:r>
    </w:p>
    <w:p w14:paraId="08655564" w14:textId="04F16021" w:rsidR="00791A68" w:rsidRDefault="00791A68">
      <w:r w:rsidRPr="00FC35ED">
        <w:t>The Council believes there is a significant role for governments to help improve housing and homelessness outcomes</w:t>
      </w:r>
      <w:r w:rsidRPr="009628A8">
        <w:t xml:space="preserve"> </w:t>
      </w:r>
      <w:r w:rsidRPr="00FC35ED">
        <w:t xml:space="preserve">for </w:t>
      </w:r>
      <w:r w:rsidR="0099326B">
        <w:t>First Nations</w:t>
      </w:r>
      <w:r w:rsidRPr="00FC35ED">
        <w:t xml:space="preserve"> households in need. As a priority, the Council would like to see government</w:t>
      </w:r>
      <w:r w:rsidR="001A69C2">
        <w:t>s</w:t>
      </w:r>
      <w:r w:rsidRPr="00FC35ED">
        <w:t xml:space="preserve"> financially support </w:t>
      </w:r>
      <w:r w:rsidR="0099326B">
        <w:t>First Nations</w:t>
      </w:r>
      <w:r w:rsidRPr="00FC35ED">
        <w:t xml:space="preserve"> housing organisations to increase supply of social and affordable housing for </w:t>
      </w:r>
      <w:r w:rsidR="0099326B">
        <w:t>First Nations</w:t>
      </w:r>
      <w:r w:rsidRPr="00FC35ED">
        <w:t xml:space="preserve"> households</w:t>
      </w:r>
      <w:r w:rsidRPr="009628A8">
        <w:t xml:space="preserve"> </w:t>
      </w:r>
      <w:r w:rsidRPr="00FC35ED">
        <w:t xml:space="preserve">(see </w:t>
      </w:r>
      <w:r w:rsidRPr="005C3E3F">
        <w:t>Recommendation 1.3</w:t>
      </w:r>
      <w:r w:rsidRPr="00FC35ED">
        <w:t xml:space="preserve"> in </w:t>
      </w:r>
      <w:r w:rsidRPr="005C3E3F">
        <w:t>Chapter 7</w:t>
      </w:r>
      <w:r w:rsidR="00AC74A0">
        <w:t xml:space="preserve">, </w:t>
      </w:r>
      <w:r w:rsidR="00AC74A0" w:rsidRPr="001B4EAF">
        <w:rPr>
          <w:rStyle w:val="Emphasis"/>
        </w:rPr>
        <w:t>Towards a better housing system</w:t>
      </w:r>
      <w:r w:rsidRPr="00FC35ED">
        <w:t>).</w:t>
      </w:r>
    </w:p>
    <w:p w14:paraId="3289984C" w14:textId="77777777" w:rsidR="00791A68" w:rsidRPr="009628A8" w:rsidRDefault="00791A68">
      <w:pPr>
        <w:pStyle w:val="Heading3Numbered"/>
      </w:pPr>
      <w:r w:rsidRPr="009628A8">
        <w:t>National Agreement</w:t>
      </w:r>
    </w:p>
    <w:p w14:paraId="63A47393" w14:textId="169A591A" w:rsidR="00791A68" w:rsidRDefault="00791A68">
      <w:r w:rsidRPr="00E904EF">
        <w:t xml:space="preserve">The </w:t>
      </w:r>
      <w:r w:rsidRPr="005C3E3F">
        <w:t>National Agreement on Closing the Gap</w:t>
      </w:r>
      <w:r w:rsidRPr="00E904EF">
        <w:rPr>
          <w:i/>
        </w:rPr>
        <w:t xml:space="preserve"> </w:t>
      </w:r>
      <w:r w:rsidRPr="00E904EF">
        <w:t xml:space="preserve">is an agreement between all levels of government in </w:t>
      </w:r>
      <w:r w:rsidRPr="004A241C">
        <w:t xml:space="preserve">Australia and Aboriginal and </w:t>
      </w:r>
      <w:r w:rsidR="0099326B">
        <w:t>Torres Strait</w:t>
      </w:r>
      <w:r w:rsidRPr="004A241C">
        <w:t xml:space="preserve"> Islander representatives to undertake a new way of developing and implementing policies and programs that have an impact on the lives of Aboriginal and </w:t>
      </w:r>
      <w:r w:rsidR="0099326B">
        <w:t>Torres Strait</w:t>
      </w:r>
      <w:r w:rsidRPr="004A241C">
        <w:t xml:space="preserve"> Islander people (National Agreement on Closing the Gap 2020). The</w:t>
      </w:r>
      <w:r w:rsidR="00867DD2">
        <w:t xml:space="preserve"> agreement</w:t>
      </w:r>
      <w:r w:rsidRPr="004A241C">
        <w:t xml:space="preserve"> includes 4 Priority Reform areas for change and 19 socio</w:t>
      </w:r>
      <w:r w:rsidR="00A15C79">
        <w:noBreakHyphen/>
      </w:r>
      <w:r w:rsidRPr="004A241C">
        <w:t xml:space="preserve">economic targets where outcomes for Aboriginal and </w:t>
      </w:r>
      <w:r w:rsidR="0099326B">
        <w:t>Torres Strait</w:t>
      </w:r>
      <w:r w:rsidRPr="004A241C">
        <w:t xml:space="preserve"> Islander people are behind those of non</w:t>
      </w:r>
      <w:r w:rsidR="00A15C79">
        <w:noBreakHyphen/>
      </w:r>
      <w:r w:rsidRPr="004A241C">
        <w:t>Indigenous Australians</w:t>
      </w:r>
      <w:r>
        <w:t xml:space="preserve">. </w:t>
      </w:r>
    </w:p>
    <w:p w14:paraId="237A89C7" w14:textId="2913D98C" w:rsidR="00791A68" w:rsidRPr="009628A8" w:rsidRDefault="00791A68" w:rsidP="009628A8">
      <w:pPr>
        <w:rPr>
          <w:iCs/>
          <w:color w:val="auto"/>
        </w:rPr>
      </w:pPr>
      <w:r w:rsidRPr="009628A8">
        <w:rPr>
          <w:bCs/>
          <w:color w:val="auto"/>
        </w:rPr>
        <w:t>Outcome 9</w:t>
      </w:r>
      <w:r w:rsidRPr="009628A8">
        <w:rPr>
          <w:color w:val="auto"/>
        </w:rPr>
        <w:t xml:space="preserve"> of the</w:t>
      </w:r>
      <w:r w:rsidR="00DD408B">
        <w:rPr>
          <w:color w:val="auto"/>
        </w:rPr>
        <w:t xml:space="preserve"> agreement</w:t>
      </w:r>
      <w:r w:rsidRPr="009628A8" w:rsidDel="00DD408B">
        <w:rPr>
          <w:i/>
          <w:color w:val="auto"/>
        </w:rPr>
        <w:t xml:space="preserve"> </w:t>
      </w:r>
      <w:r w:rsidRPr="009628A8">
        <w:rPr>
          <w:iCs/>
          <w:color w:val="auto"/>
        </w:rPr>
        <w:t xml:space="preserve">states that </w:t>
      </w:r>
      <w:r w:rsidRPr="004A3B1F">
        <w:t xml:space="preserve">Aboriginal and </w:t>
      </w:r>
      <w:r w:rsidR="0099326B">
        <w:t>Torres Strait</w:t>
      </w:r>
      <w:r w:rsidRPr="004A3B1F">
        <w:t xml:space="preserve"> Islander people </w:t>
      </w:r>
      <w:r w:rsidRPr="009628A8">
        <w:rPr>
          <w:iCs/>
          <w:color w:val="auto"/>
        </w:rPr>
        <w:t>secure appropriate, affordable housing that is aligned with their priorities and need</w:t>
      </w:r>
      <w:r w:rsidR="004E2C6E">
        <w:rPr>
          <w:iCs/>
          <w:color w:val="auto"/>
        </w:rPr>
        <w:t>s</w:t>
      </w:r>
      <w:r w:rsidRPr="009628A8">
        <w:rPr>
          <w:iCs/>
          <w:color w:val="auto"/>
        </w:rPr>
        <w:t xml:space="preserve">. Under this outcome area, Target 9a aims to increase the proportion of </w:t>
      </w:r>
      <w:r w:rsidRPr="004A3B1F">
        <w:t xml:space="preserve">Aboriginal and </w:t>
      </w:r>
      <w:r w:rsidR="0099326B">
        <w:t>Torres Strait</w:t>
      </w:r>
      <w:r w:rsidRPr="004A3B1F">
        <w:t xml:space="preserve"> Islander people </w:t>
      </w:r>
      <w:r w:rsidRPr="009628A8">
        <w:rPr>
          <w:iCs/>
          <w:color w:val="auto"/>
        </w:rPr>
        <w:t>living in appropriately sized (</w:t>
      </w:r>
      <w:r w:rsidR="004E2C6E">
        <w:rPr>
          <w:iCs/>
          <w:color w:val="auto"/>
        </w:rPr>
        <w:t>that is</w:t>
      </w:r>
      <w:r w:rsidRPr="009628A8">
        <w:rPr>
          <w:iCs/>
          <w:color w:val="auto"/>
        </w:rPr>
        <w:t>, not overcrowded) housing to 88</w:t>
      </w:r>
      <w:r w:rsidR="0099326B">
        <w:rPr>
          <w:iCs/>
          <w:color w:val="auto"/>
        </w:rPr>
        <w:t> per cent</w:t>
      </w:r>
      <w:r w:rsidRPr="009628A8">
        <w:rPr>
          <w:iCs/>
          <w:color w:val="auto"/>
        </w:rPr>
        <w:t xml:space="preserve"> by 2031. There has been improvement against this measure in most jurisdictions and at the national level, with 81.4</w:t>
      </w:r>
      <w:r w:rsidR="0099326B">
        <w:rPr>
          <w:iCs/>
          <w:color w:val="auto"/>
        </w:rPr>
        <w:t> per cent</w:t>
      </w:r>
      <w:r w:rsidRPr="009628A8">
        <w:rPr>
          <w:iCs/>
          <w:color w:val="auto"/>
        </w:rPr>
        <w:t xml:space="preserve"> of </w:t>
      </w:r>
      <w:r w:rsidRPr="004A3B1F">
        <w:t xml:space="preserve">Aboriginal and </w:t>
      </w:r>
      <w:r w:rsidR="0099326B">
        <w:t>Torres Strait</w:t>
      </w:r>
      <w:r w:rsidRPr="004A3B1F">
        <w:t xml:space="preserve"> Islander people </w:t>
      </w:r>
      <w:r w:rsidRPr="009628A8">
        <w:rPr>
          <w:iCs/>
          <w:color w:val="auto"/>
        </w:rPr>
        <w:t>living in appropriately sized dwellings in 2021</w:t>
      </w:r>
      <w:r w:rsidR="004E2C6E">
        <w:rPr>
          <w:iCs/>
          <w:color w:val="auto"/>
        </w:rPr>
        <w:t xml:space="preserve"> –</w:t>
      </w:r>
      <w:r w:rsidRPr="009628A8">
        <w:rPr>
          <w:iCs/>
          <w:color w:val="auto"/>
        </w:rPr>
        <w:t xml:space="preserve"> up from 78.9</w:t>
      </w:r>
      <w:r w:rsidR="0099326B">
        <w:rPr>
          <w:iCs/>
          <w:color w:val="auto"/>
        </w:rPr>
        <w:t> per cent</w:t>
      </w:r>
      <w:r w:rsidRPr="009628A8">
        <w:rPr>
          <w:iCs/>
          <w:color w:val="auto"/>
        </w:rPr>
        <w:t xml:space="preserve"> in 2016 (ABS 202</w:t>
      </w:r>
      <w:r w:rsidR="001F4956">
        <w:rPr>
          <w:iCs/>
          <w:color w:val="auto"/>
        </w:rPr>
        <w:t>2d</w:t>
      </w:r>
      <w:r w:rsidRPr="009628A8">
        <w:rPr>
          <w:iCs/>
          <w:color w:val="auto"/>
        </w:rPr>
        <w:t xml:space="preserve">). However, </w:t>
      </w:r>
      <w:r w:rsidR="00DB4C60">
        <w:rPr>
          <w:iCs/>
          <w:color w:val="auto"/>
        </w:rPr>
        <w:t>efforts are</w:t>
      </w:r>
      <w:r w:rsidRPr="009628A8">
        <w:rPr>
          <w:iCs/>
          <w:color w:val="auto"/>
        </w:rPr>
        <w:t xml:space="preserve"> not on track to me</w:t>
      </w:r>
      <w:r w:rsidR="00DB4C60">
        <w:rPr>
          <w:iCs/>
          <w:color w:val="auto"/>
        </w:rPr>
        <w:t>e</w:t>
      </w:r>
      <w:r w:rsidRPr="009628A8">
        <w:rPr>
          <w:iCs/>
          <w:color w:val="auto"/>
        </w:rPr>
        <w:t>t</w:t>
      </w:r>
      <w:r w:rsidR="00DB4C60">
        <w:rPr>
          <w:iCs/>
          <w:color w:val="auto"/>
        </w:rPr>
        <w:t xml:space="preserve"> the target</w:t>
      </w:r>
      <w:r w:rsidRPr="009628A8">
        <w:rPr>
          <w:iCs/>
          <w:color w:val="auto"/>
        </w:rPr>
        <w:t xml:space="preserve"> (</w:t>
      </w:r>
      <w:r w:rsidR="0084467D" w:rsidRPr="0041126E">
        <w:t>Productivity Commission 202</w:t>
      </w:r>
      <w:r w:rsidR="0084467D">
        <w:rPr>
          <w:iCs/>
        </w:rPr>
        <w:t>4c</w:t>
      </w:r>
      <w:r w:rsidRPr="009628A8">
        <w:rPr>
          <w:iCs/>
          <w:color w:val="auto"/>
        </w:rPr>
        <w:t xml:space="preserve">). Target 9b aims to ensure all </w:t>
      </w:r>
      <w:r w:rsidRPr="004A3B1F">
        <w:t xml:space="preserve">Aboriginal and </w:t>
      </w:r>
      <w:r w:rsidR="0099326B">
        <w:t>Torres Strait</w:t>
      </w:r>
      <w:r w:rsidRPr="004A3B1F">
        <w:t xml:space="preserve"> Islander </w:t>
      </w:r>
      <w:r w:rsidRPr="009628A8">
        <w:rPr>
          <w:iCs/>
          <w:color w:val="auto"/>
        </w:rPr>
        <w:t>households within</w:t>
      </w:r>
      <w:r w:rsidRPr="009628A8">
        <w:rPr>
          <w:color w:val="auto"/>
        </w:rPr>
        <w:t xml:space="preserve"> discrete </w:t>
      </w:r>
      <w:r w:rsidRPr="004A3B1F">
        <w:t xml:space="preserve">Aboriginal and </w:t>
      </w:r>
      <w:r w:rsidR="0099326B">
        <w:t>Torres Strait</w:t>
      </w:r>
      <w:r w:rsidRPr="004A3B1F">
        <w:t xml:space="preserve"> Islander </w:t>
      </w:r>
      <w:r w:rsidRPr="009628A8">
        <w:rPr>
          <w:color w:val="auto"/>
        </w:rPr>
        <w:t>communities</w:t>
      </w:r>
      <w:r w:rsidRPr="009628A8">
        <w:rPr>
          <w:iCs/>
          <w:color w:val="auto"/>
        </w:rPr>
        <w:t xml:space="preserve"> receive essential services that meet or exceed the relevant jurisdictional standard. Progress against this </w:t>
      </w:r>
      <w:r w:rsidR="002957DA">
        <w:rPr>
          <w:iCs/>
          <w:color w:val="auto"/>
        </w:rPr>
        <w:t>t</w:t>
      </w:r>
      <w:r w:rsidRPr="009628A8">
        <w:rPr>
          <w:iCs/>
          <w:color w:val="auto"/>
        </w:rPr>
        <w:t xml:space="preserve">arget </w:t>
      </w:r>
      <w:r w:rsidR="00D93847">
        <w:rPr>
          <w:iCs/>
          <w:color w:val="auto"/>
        </w:rPr>
        <w:t xml:space="preserve">cannot </w:t>
      </w:r>
      <w:r w:rsidRPr="009628A8">
        <w:rPr>
          <w:iCs/>
          <w:color w:val="auto"/>
        </w:rPr>
        <w:t>be reported against as</w:t>
      </w:r>
      <w:r w:rsidRPr="009628A8" w:rsidDel="00D93847">
        <w:rPr>
          <w:iCs/>
          <w:color w:val="auto"/>
        </w:rPr>
        <w:t xml:space="preserve"> </w:t>
      </w:r>
      <w:r w:rsidRPr="009628A8">
        <w:rPr>
          <w:iCs/>
          <w:color w:val="auto"/>
        </w:rPr>
        <w:t xml:space="preserve">no data </w:t>
      </w:r>
      <w:r w:rsidR="00D93847">
        <w:rPr>
          <w:iCs/>
          <w:color w:val="auto"/>
        </w:rPr>
        <w:t xml:space="preserve">is </w:t>
      </w:r>
      <w:r w:rsidRPr="009628A8">
        <w:rPr>
          <w:iCs/>
          <w:color w:val="auto"/>
        </w:rPr>
        <w:t>available on households receiving essential services</w:t>
      </w:r>
      <w:r w:rsidR="008E4210">
        <w:rPr>
          <w:iCs/>
          <w:color w:val="auto"/>
        </w:rPr>
        <w:t xml:space="preserve">. </w:t>
      </w:r>
    </w:p>
    <w:p w14:paraId="37E1FDF2" w14:textId="385CFF33" w:rsidR="00791A68" w:rsidRPr="009628A8" w:rsidRDefault="00791A68">
      <w:pPr>
        <w:pStyle w:val="Heading3Numbered"/>
      </w:pPr>
      <w:r w:rsidRPr="009628A8">
        <w:lastRenderedPageBreak/>
        <w:t>Housing Policy Partnership</w:t>
      </w:r>
    </w:p>
    <w:p w14:paraId="3DF2F50A" w14:textId="546BE7F7" w:rsidR="00791A68" w:rsidRDefault="00791A68" w:rsidP="001B4EAF">
      <w:r w:rsidRPr="004F316A">
        <w:t xml:space="preserve">The </w:t>
      </w:r>
      <w:r w:rsidRPr="005C3E3F">
        <w:t>Partnership Agreement on Closing the Gap 2019</w:t>
      </w:r>
      <w:r w:rsidR="00A15C79">
        <w:noBreakHyphen/>
      </w:r>
      <w:r w:rsidRPr="005C3E3F">
        <w:t>2029</w:t>
      </w:r>
      <w:r w:rsidRPr="00D93847">
        <w:rPr>
          <w:iCs/>
        </w:rPr>
        <w:t xml:space="preserve"> (Partnership Agreement</w:t>
      </w:r>
      <w:r w:rsidRPr="00D93847">
        <w:t>)</w:t>
      </w:r>
      <w:r w:rsidRPr="004F316A">
        <w:t xml:space="preserve"> was signed in March 2019 by the Council of </w:t>
      </w:r>
      <w:r w:rsidR="0099326B">
        <w:t>Australian Government</w:t>
      </w:r>
      <w:r w:rsidRPr="004F316A">
        <w:t xml:space="preserve">s and the Coalition of Aboriginal and </w:t>
      </w:r>
      <w:r w:rsidR="0099326B">
        <w:t>Torres Strait</w:t>
      </w:r>
      <w:r w:rsidRPr="004F316A">
        <w:t xml:space="preserve"> Islander Peak Organisations (Coalition of Peaks) representing the Aboriginal and </w:t>
      </w:r>
      <w:r w:rsidR="0099326B">
        <w:t>Torres Strait</w:t>
      </w:r>
      <w:r w:rsidRPr="004F316A">
        <w:t xml:space="preserve"> Islander community</w:t>
      </w:r>
      <w:r w:rsidR="00A15C79">
        <w:noBreakHyphen/>
      </w:r>
      <w:r w:rsidRPr="004F316A">
        <w:t>controlled sector.</w:t>
      </w:r>
      <w:r>
        <w:t xml:space="preserve"> </w:t>
      </w:r>
      <w:r w:rsidRPr="004F316A">
        <w:t>It established the principles and governance framework for negotiating the</w:t>
      </w:r>
      <w:bookmarkStart w:id="171" w:name="_Hlk181865256"/>
      <w:r w:rsidRPr="004F316A">
        <w:t xml:space="preserve"> </w:t>
      </w:r>
      <w:r w:rsidRPr="005C3E3F">
        <w:t xml:space="preserve">National Agreement </w:t>
      </w:r>
      <w:bookmarkEnd w:id="171"/>
      <w:r w:rsidRPr="005C3E3F">
        <w:t>on Closing the Gap</w:t>
      </w:r>
      <w:r w:rsidR="005353C2" w:rsidRPr="00B359DB">
        <w:rPr>
          <w:iCs/>
        </w:rPr>
        <w:t>,</w:t>
      </w:r>
      <w:r w:rsidR="005353C2">
        <w:t xml:space="preserve"> </w:t>
      </w:r>
      <w:r w:rsidRPr="004F316A">
        <w:t xml:space="preserve">which was later signed </w:t>
      </w:r>
      <w:r>
        <w:t>b</w:t>
      </w:r>
      <w:r w:rsidR="00B359DB">
        <w:t xml:space="preserve">y representatives </w:t>
      </w:r>
      <w:r w:rsidR="00135436">
        <w:t>from</w:t>
      </w:r>
      <w:r w:rsidR="00B359DB">
        <w:t xml:space="preserve"> </w:t>
      </w:r>
      <w:r>
        <w:t xml:space="preserve">all levels of government and the Coalition of Peaks </w:t>
      </w:r>
      <w:r w:rsidRPr="004F316A">
        <w:t>in July 2020</w:t>
      </w:r>
      <w:r>
        <w:t>.</w:t>
      </w:r>
    </w:p>
    <w:p w14:paraId="5FAA148E" w14:textId="5C90B01C" w:rsidR="00791A68" w:rsidRPr="004F316A" w:rsidRDefault="00791A68" w:rsidP="001B4EAF">
      <w:r w:rsidRPr="004F316A">
        <w:t>After the</w:t>
      </w:r>
      <w:r w:rsidR="00C74C9C">
        <w:t xml:space="preserve"> agreement</w:t>
      </w:r>
      <w:r w:rsidRPr="004F316A" w:rsidDel="00C74C9C">
        <w:t xml:space="preserve"> </w:t>
      </w:r>
      <w:r w:rsidRPr="004F316A">
        <w:t xml:space="preserve">was signed, </w:t>
      </w:r>
      <w:r w:rsidR="00CF11FF">
        <w:t>5</w:t>
      </w:r>
      <w:r w:rsidR="00CF11FF" w:rsidRPr="004F316A">
        <w:t xml:space="preserve"> </w:t>
      </w:r>
      <w:r w:rsidRPr="004F316A">
        <w:t xml:space="preserve">National Policy Partnerships were established. In December 2022, the </w:t>
      </w:r>
      <w:r w:rsidRPr="005C3E3F">
        <w:t>Housing Policy Partnership</w:t>
      </w:r>
      <w:r w:rsidRPr="004F316A">
        <w:t xml:space="preserve"> was established. This</w:t>
      </w:r>
      <w:r w:rsidR="008E2077">
        <w:t xml:space="preserve"> is</w:t>
      </w:r>
      <w:r w:rsidRPr="004F316A">
        <w:t xml:space="preserve"> a forum for Aboriginal and </w:t>
      </w:r>
      <w:r w:rsidR="0099326B">
        <w:t>Torres Strait</w:t>
      </w:r>
      <w:r w:rsidRPr="004F316A">
        <w:t xml:space="preserve"> Islander people to have a genuine say in the design and delivery of housing services.</w:t>
      </w:r>
    </w:p>
    <w:p w14:paraId="1AE38473" w14:textId="302E853E" w:rsidR="00791A68" w:rsidRPr="003C0D9D" w:rsidRDefault="00791A68" w:rsidP="001B4EAF">
      <w:r w:rsidRPr="004F316A">
        <w:t>The </w:t>
      </w:r>
      <w:r w:rsidRPr="005C3E3F">
        <w:t xml:space="preserve">National Aboriginal and </w:t>
      </w:r>
      <w:r w:rsidR="0099326B">
        <w:t>Torres Strait</w:t>
      </w:r>
      <w:r w:rsidRPr="005C3E3F">
        <w:t xml:space="preserve"> Islander Housing Association</w:t>
      </w:r>
      <w:r w:rsidRPr="004F316A">
        <w:t> </w:t>
      </w:r>
      <w:r w:rsidR="00BA228E">
        <w:t>c</w:t>
      </w:r>
      <w:r w:rsidRPr="004F316A">
        <w:t>o</w:t>
      </w:r>
      <w:r w:rsidR="00A15C79">
        <w:noBreakHyphen/>
      </w:r>
      <w:r w:rsidR="00BA228E">
        <w:t>c</w:t>
      </w:r>
      <w:r w:rsidRPr="004F316A">
        <w:t>hairs the</w:t>
      </w:r>
      <w:r w:rsidR="002F54EE">
        <w:t xml:space="preserve"> partnership</w:t>
      </w:r>
      <w:r w:rsidRPr="004F316A" w:rsidDel="002F54EE">
        <w:t xml:space="preserve"> </w:t>
      </w:r>
      <w:r w:rsidRPr="004F316A">
        <w:t xml:space="preserve">with the </w:t>
      </w:r>
      <w:r w:rsidR="0099326B">
        <w:t>Australian Government</w:t>
      </w:r>
      <w:r w:rsidRPr="004F316A">
        <w:t xml:space="preserve"> Department of Social Services. Members includes representatives from the Australian</w:t>
      </w:r>
      <w:r w:rsidR="00C6249A">
        <w:t xml:space="preserve"> and </w:t>
      </w:r>
      <w:r>
        <w:t>s</w:t>
      </w:r>
      <w:r w:rsidRPr="004F316A">
        <w:t xml:space="preserve">tate and </w:t>
      </w:r>
      <w:r>
        <w:t>t</w:t>
      </w:r>
      <w:r w:rsidRPr="004F316A">
        <w:t xml:space="preserve">erritory governments, the Coalition of Peaks and independent Aboriginal and </w:t>
      </w:r>
      <w:r w:rsidR="0099326B">
        <w:t>Torres Strait</w:t>
      </w:r>
      <w:r w:rsidRPr="004F316A">
        <w:t xml:space="preserve"> Islander representatives.</w:t>
      </w:r>
      <w:r>
        <w:t xml:space="preserve"> </w:t>
      </w:r>
      <w:r w:rsidRPr="004F316A">
        <w:t>A key output of the</w:t>
      </w:r>
      <w:r w:rsidR="00135436">
        <w:t xml:space="preserve"> partne</w:t>
      </w:r>
      <w:r w:rsidR="002C2DEE">
        <w:t>rship</w:t>
      </w:r>
      <w:r w:rsidRPr="004F316A" w:rsidDel="002C2DEE">
        <w:t xml:space="preserve"> </w:t>
      </w:r>
      <w:r w:rsidRPr="004F316A">
        <w:t xml:space="preserve">is to make recommendations to the Joint Council on Closing the Gap about improving housing outcomes and </w:t>
      </w:r>
      <w:r w:rsidR="00C6249A">
        <w:t xml:space="preserve">preventing </w:t>
      </w:r>
      <w:r w:rsidRPr="004F316A">
        <w:t xml:space="preserve">homelessness for Aboriginal and </w:t>
      </w:r>
      <w:r w:rsidR="0099326B">
        <w:t>Torres Strait</w:t>
      </w:r>
      <w:r w:rsidRPr="004F316A">
        <w:t xml:space="preserve"> Islander people.</w:t>
      </w:r>
    </w:p>
    <w:p w14:paraId="255CE2BB" w14:textId="77777777" w:rsidR="00791A68" w:rsidRPr="009628A8" w:rsidRDefault="00791A68">
      <w:pPr>
        <w:pStyle w:val="Heading3Numbered"/>
      </w:pPr>
      <w:r w:rsidRPr="009628A8">
        <w:t>States and territories</w:t>
      </w:r>
    </w:p>
    <w:p w14:paraId="7772E730" w14:textId="495649FE" w:rsidR="00791A68" w:rsidRPr="009628A8" w:rsidRDefault="00791A68" w:rsidP="00DC5424">
      <w:pPr>
        <w:rPr>
          <w:color w:val="auto"/>
        </w:rPr>
      </w:pPr>
      <w:r w:rsidRPr="004A3B1F">
        <w:rPr>
          <w:color w:val="auto"/>
        </w:rPr>
        <w:t xml:space="preserve">Most states and territories have </w:t>
      </w:r>
      <w:r w:rsidR="0099326B">
        <w:rPr>
          <w:color w:val="auto"/>
        </w:rPr>
        <w:t>First Nations</w:t>
      </w:r>
      <w:r w:rsidR="00D83C70">
        <w:rPr>
          <w:color w:val="auto"/>
        </w:rPr>
        <w:t>–</w:t>
      </w:r>
      <w:r w:rsidRPr="004A3B1F">
        <w:rPr>
          <w:color w:val="auto"/>
        </w:rPr>
        <w:t xml:space="preserve">specific housing strategies tied closely to implementing </w:t>
      </w:r>
      <w:r w:rsidRPr="009628A8">
        <w:rPr>
          <w:color w:val="auto"/>
        </w:rPr>
        <w:t xml:space="preserve">the </w:t>
      </w:r>
      <w:r w:rsidRPr="005C3E3F">
        <w:t>National Agreement on Closing the Gap</w:t>
      </w:r>
      <w:r w:rsidRPr="004A3B1F">
        <w:rPr>
          <w:color w:val="auto"/>
        </w:rPr>
        <w:t xml:space="preserve">. </w:t>
      </w:r>
      <w:r w:rsidRPr="009628A8">
        <w:rPr>
          <w:color w:val="auto"/>
        </w:rPr>
        <w:t xml:space="preserve">Notably, the </w:t>
      </w:r>
      <w:r w:rsidRPr="00A547CB">
        <w:rPr>
          <w:color w:val="auto"/>
        </w:rPr>
        <w:t>Northern Territory Housing Strategy</w:t>
      </w:r>
      <w:r w:rsidRPr="009628A8">
        <w:rPr>
          <w:color w:val="auto"/>
        </w:rPr>
        <w:t xml:space="preserve"> is also complemented by the </w:t>
      </w:r>
      <w:r w:rsidRPr="005C3E3F">
        <w:rPr>
          <w:color w:val="auto"/>
        </w:rPr>
        <w:t>Northern Territory Remote Housing Federation Funding Agreement 2024</w:t>
      </w:r>
      <w:r w:rsidR="00EC1EC1">
        <w:rPr>
          <w:color w:val="auto"/>
        </w:rPr>
        <w:t>–</w:t>
      </w:r>
      <w:r w:rsidRPr="005C3E3F">
        <w:rPr>
          <w:color w:val="auto"/>
        </w:rPr>
        <w:t>34</w:t>
      </w:r>
      <w:r w:rsidRPr="009628A8">
        <w:rPr>
          <w:i/>
          <w:iCs/>
          <w:color w:val="auto"/>
        </w:rPr>
        <w:t>,</w:t>
      </w:r>
      <w:r w:rsidRPr="009628A8">
        <w:rPr>
          <w:color w:val="auto"/>
        </w:rPr>
        <w:t xml:space="preserve"> which </w:t>
      </w:r>
      <w:r w:rsidRPr="004A3B1F">
        <w:rPr>
          <w:color w:val="auto"/>
        </w:rPr>
        <w:t xml:space="preserve">aims to improve housing outcomes for </w:t>
      </w:r>
      <w:r w:rsidR="0099326B">
        <w:rPr>
          <w:color w:val="auto"/>
        </w:rPr>
        <w:t>First Nations</w:t>
      </w:r>
      <w:r w:rsidRPr="009628A8">
        <w:rPr>
          <w:color w:val="auto"/>
        </w:rPr>
        <w:t xml:space="preserve"> people</w:t>
      </w:r>
      <w:r w:rsidRPr="004A3B1F">
        <w:rPr>
          <w:color w:val="auto"/>
        </w:rPr>
        <w:t xml:space="preserve"> in alignment with </w:t>
      </w:r>
      <w:r w:rsidRPr="009628A8">
        <w:rPr>
          <w:color w:val="auto"/>
        </w:rPr>
        <w:t xml:space="preserve">the </w:t>
      </w:r>
      <w:r w:rsidRPr="005C3E3F">
        <w:t>National Agreement on Closing the Gap</w:t>
      </w:r>
      <w:r w:rsidRPr="009628A8">
        <w:rPr>
          <w:color w:val="auto"/>
        </w:rPr>
        <w:t>.</w:t>
      </w:r>
      <w:r w:rsidRPr="004A3B1F">
        <w:rPr>
          <w:color w:val="auto"/>
        </w:rPr>
        <w:t xml:space="preserve"> </w:t>
      </w:r>
      <w:r w:rsidRPr="009628A8">
        <w:rPr>
          <w:color w:val="auto"/>
        </w:rPr>
        <w:t xml:space="preserve">The </w:t>
      </w:r>
      <w:r w:rsidR="00A547CB">
        <w:rPr>
          <w:color w:val="auto"/>
        </w:rPr>
        <w:t>Northern Territory a</w:t>
      </w:r>
      <w:r w:rsidRPr="009628A8">
        <w:rPr>
          <w:color w:val="auto"/>
        </w:rPr>
        <w:t>greement, signed b</w:t>
      </w:r>
      <w:r w:rsidR="00F155CB">
        <w:rPr>
          <w:color w:val="auto"/>
        </w:rPr>
        <w:t>y</w:t>
      </w:r>
      <w:r w:rsidRPr="009628A8">
        <w:rPr>
          <w:color w:val="auto"/>
        </w:rPr>
        <w:t xml:space="preserve"> the</w:t>
      </w:r>
      <w:r w:rsidRPr="009628A8" w:rsidDel="00D83C70">
        <w:rPr>
          <w:color w:val="auto"/>
        </w:rPr>
        <w:t xml:space="preserve"> </w:t>
      </w:r>
      <w:r w:rsidR="00D83C70">
        <w:rPr>
          <w:color w:val="auto"/>
        </w:rPr>
        <w:t>Australian</w:t>
      </w:r>
      <w:r w:rsidR="00D83C70" w:rsidRPr="009628A8">
        <w:rPr>
          <w:color w:val="auto"/>
        </w:rPr>
        <w:t xml:space="preserve"> </w:t>
      </w:r>
      <w:r w:rsidRPr="009628A8">
        <w:rPr>
          <w:color w:val="auto"/>
        </w:rPr>
        <w:t>and Northern Territory governments, Aboriginal Housing Northern Territory and 4</w:t>
      </w:r>
      <w:r w:rsidR="00BC16AE">
        <w:rPr>
          <w:color w:val="auto"/>
        </w:rPr>
        <w:t> </w:t>
      </w:r>
      <w:r w:rsidRPr="009628A8">
        <w:rPr>
          <w:color w:val="auto"/>
        </w:rPr>
        <w:t>Aboriginal Land Councils, embeds shared decision</w:t>
      </w:r>
      <w:r w:rsidR="00A15C79">
        <w:rPr>
          <w:color w:val="auto"/>
        </w:rPr>
        <w:noBreakHyphen/>
      </w:r>
      <w:r w:rsidRPr="009628A8">
        <w:rPr>
          <w:color w:val="auto"/>
        </w:rPr>
        <w:t xml:space="preserve">making and the voices of </w:t>
      </w:r>
      <w:r w:rsidR="0099326B">
        <w:rPr>
          <w:color w:val="auto"/>
        </w:rPr>
        <w:t>First Nations</w:t>
      </w:r>
      <w:r w:rsidRPr="009628A8">
        <w:rPr>
          <w:color w:val="auto"/>
        </w:rPr>
        <w:t xml:space="preserve"> organisations and communities. It reflects one of the most advanced </w:t>
      </w:r>
      <w:r w:rsidR="0099326B">
        <w:rPr>
          <w:color w:val="auto"/>
        </w:rPr>
        <w:t>First Nations</w:t>
      </w:r>
      <w:r w:rsidR="004E3012">
        <w:rPr>
          <w:color w:val="auto"/>
        </w:rPr>
        <w:t>–</w:t>
      </w:r>
      <w:r w:rsidRPr="009628A8">
        <w:rPr>
          <w:color w:val="auto"/>
        </w:rPr>
        <w:t xml:space="preserve">specific housing partnerships, and is an example of </w:t>
      </w:r>
      <w:r w:rsidR="0099326B">
        <w:rPr>
          <w:color w:val="auto"/>
        </w:rPr>
        <w:t>First Nations</w:t>
      </w:r>
      <w:r w:rsidRPr="009628A8">
        <w:rPr>
          <w:color w:val="auto"/>
        </w:rPr>
        <w:t xml:space="preserve"> self</w:t>
      </w:r>
      <w:r w:rsidR="00A15C79">
        <w:rPr>
          <w:color w:val="auto"/>
        </w:rPr>
        <w:noBreakHyphen/>
      </w:r>
      <w:r w:rsidRPr="009628A8">
        <w:rPr>
          <w:color w:val="auto"/>
        </w:rPr>
        <w:t xml:space="preserve">determination regarding housing (see </w:t>
      </w:r>
      <w:r w:rsidR="004E3012">
        <w:rPr>
          <w:color w:val="auto"/>
        </w:rPr>
        <w:t xml:space="preserve">section </w:t>
      </w:r>
      <w:r w:rsidRPr="00B53AAB">
        <w:rPr>
          <w:color w:val="auto"/>
        </w:rPr>
        <w:t>6.6.4</w:t>
      </w:r>
      <w:r w:rsidR="004E3012" w:rsidRPr="00B53AAB">
        <w:rPr>
          <w:color w:val="auto"/>
        </w:rPr>
        <w:t>,</w:t>
      </w:r>
      <w:r w:rsidRPr="009628A8">
        <w:rPr>
          <w:i/>
          <w:iCs/>
          <w:color w:val="auto"/>
        </w:rPr>
        <w:t xml:space="preserve"> </w:t>
      </w:r>
      <w:r w:rsidRPr="001B4EAF">
        <w:rPr>
          <w:rStyle w:val="Emphasis"/>
        </w:rPr>
        <w:t>Moving towards self</w:t>
      </w:r>
      <w:r w:rsidR="00A15C79">
        <w:rPr>
          <w:rStyle w:val="Emphasis"/>
        </w:rPr>
        <w:noBreakHyphen/>
      </w:r>
      <w:r w:rsidRPr="001B4EAF">
        <w:rPr>
          <w:rStyle w:val="Emphasis"/>
        </w:rPr>
        <w:t>determination</w:t>
      </w:r>
      <w:r w:rsidRPr="009628A8">
        <w:rPr>
          <w:color w:val="auto"/>
        </w:rPr>
        <w:t xml:space="preserve">). </w:t>
      </w:r>
      <w:r w:rsidR="008C4AD3">
        <w:rPr>
          <w:color w:val="auto"/>
        </w:rPr>
        <w:t>With</w:t>
      </w:r>
      <w:r w:rsidRPr="009628A8">
        <w:rPr>
          <w:color w:val="auto"/>
        </w:rPr>
        <w:t xml:space="preserve"> joint investment of $4</w:t>
      </w:r>
      <w:r w:rsidR="0099326B">
        <w:rPr>
          <w:color w:val="auto"/>
        </w:rPr>
        <w:t> billion</w:t>
      </w:r>
      <w:r w:rsidRPr="009628A8">
        <w:rPr>
          <w:color w:val="auto"/>
        </w:rPr>
        <w:t xml:space="preserve"> across 10 years</w:t>
      </w:r>
      <w:r w:rsidR="008C4AD3">
        <w:rPr>
          <w:color w:val="auto"/>
        </w:rPr>
        <w:t>, it</w:t>
      </w:r>
      <w:r w:rsidRPr="009628A8">
        <w:rPr>
          <w:color w:val="auto"/>
        </w:rPr>
        <w:t xml:space="preserve"> aims to halve rates of overcrowding, enhance the liveability of existing housing and invest in the provision of additional social housing.</w:t>
      </w:r>
    </w:p>
    <w:p w14:paraId="66054299" w14:textId="0BBD229C" w:rsidR="00E17686" w:rsidRDefault="00791A68" w:rsidP="00DC5424">
      <w:pPr>
        <w:rPr>
          <w:color w:val="auto"/>
        </w:rPr>
      </w:pPr>
      <w:r>
        <w:rPr>
          <w:color w:val="auto"/>
        </w:rPr>
        <w:t>The Productivity Commission</w:t>
      </w:r>
      <w:r w:rsidR="00A15C79">
        <w:rPr>
          <w:color w:val="auto"/>
        </w:rPr>
        <w:t>’</w:t>
      </w:r>
      <w:r>
        <w:rPr>
          <w:color w:val="auto"/>
        </w:rPr>
        <w:t xml:space="preserve">s review of the </w:t>
      </w:r>
      <w:r w:rsidRPr="00B53AAB">
        <w:t>National Agreement on Closing the Gap</w:t>
      </w:r>
      <w:r w:rsidRPr="008C4AD3">
        <w:rPr>
          <w:iCs/>
        </w:rPr>
        <w:t xml:space="preserve"> </w:t>
      </w:r>
      <w:r w:rsidRPr="008C4AD3">
        <w:rPr>
          <w:iCs/>
          <w:color w:val="auto"/>
        </w:rPr>
        <w:t xml:space="preserve">found it was difficult to hold governments accountable for progress due to a range of factors, such as the lack of sufficient data to report on progress. The </w:t>
      </w:r>
      <w:r w:rsidRPr="00B53AAB">
        <w:rPr>
          <w:rFonts w:cstheme="minorHAnsi"/>
          <w:color w:val="auto"/>
          <w:szCs w:val="22"/>
        </w:rPr>
        <w:t>National Agreement on Closing the Gap</w:t>
      </w:r>
      <w:r w:rsidRPr="00E904EF">
        <w:rPr>
          <w:rFonts w:cstheme="minorHAnsi"/>
          <w:i/>
          <w:color w:val="auto"/>
          <w:szCs w:val="22"/>
        </w:rPr>
        <w:t xml:space="preserve"> </w:t>
      </w:r>
      <w:r>
        <w:rPr>
          <w:color w:val="auto"/>
        </w:rPr>
        <w:t>also does not describe how jurisdictions will be held accountable for their contributions to targets, which are only designed to be met at a national level (P</w:t>
      </w:r>
      <w:r w:rsidR="008353B2">
        <w:rPr>
          <w:color w:val="auto"/>
        </w:rPr>
        <w:t xml:space="preserve">roductivity </w:t>
      </w:r>
      <w:r>
        <w:rPr>
          <w:color w:val="auto"/>
        </w:rPr>
        <w:t>C</w:t>
      </w:r>
      <w:r w:rsidR="008353B2">
        <w:rPr>
          <w:color w:val="auto"/>
        </w:rPr>
        <w:t>ommission</w:t>
      </w:r>
      <w:r>
        <w:rPr>
          <w:color w:val="auto"/>
        </w:rPr>
        <w:t xml:space="preserve"> 2024</w:t>
      </w:r>
      <w:r w:rsidR="00846665">
        <w:rPr>
          <w:color w:val="auto"/>
        </w:rPr>
        <w:t>c</w:t>
      </w:r>
      <w:r>
        <w:rPr>
          <w:color w:val="auto"/>
        </w:rPr>
        <w:t xml:space="preserve">). Only the </w:t>
      </w:r>
      <w:r w:rsidR="0099326B">
        <w:rPr>
          <w:color w:val="auto"/>
        </w:rPr>
        <w:t>First Nations</w:t>
      </w:r>
      <w:r>
        <w:rPr>
          <w:color w:val="auto"/>
        </w:rPr>
        <w:t xml:space="preserve"> housing strategy developed by Victoria builds a strong case by analysing</w:t>
      </w:r>
      <w:r w:rsidDel="00641985">
        <w:rPr>
          <w:color w:val="auto"/>
        </w:rPr>
        <w:t xml:space="preserve"> </w:t>
      </w:r>
      <w:r>
        <w:rPr>
          <w:color w:val="auto"/>
        </w:rPr>
        <w:t xml:space="preserve">future needs for </w:t>
      </w:r>
      <w:r w:rsidR="0099326B">
        <w:rPr>
          <w:color w:val="auto"/>
        </w:rPr>
        <w:t>First Nations</w:t>
      </w:r>
      <w:r>
        <w:rPr>
          <w:color w:val="auto"/>
        </w:rPr>
        <w:t xml:space="preserve"> housing, and specifies that </w:t>
      </w:r>
      <w:r w:rsidR="0099326B">
        <w:rPr>
          <w:color w:val="auto"/>
        </w:rPr>
        <w:t>First Nations</w:t>
      </w:r>
      <w:r w:rsidR="00CF462D">
        <w:rPr>
          <w:color w:val="auto"/>
        </w:rPr>
        <w:t>–</w:t>
      </w:r>
      <w:r>
        <w:rPr>
          <w:color w:val="auto"/>
        </w:rPr>
        <w:t xml:space="preserve">specific funding should be set aside to achieve a </w:t>
      </w:r>
      <w:r w:rsidR="0099326B">
        <w:rPr>
          <w:color w:val="auto"/>
        </w:rPr>
        <w:t>First Nations</w:t>
      </w:r>
      <w:r>
        <w:rPr>
          <w:color w:val="auto"/>
        </w:rPr>
        <w:t xml:space="preserve"> housing target. </w:t>
      </w:r>
      <w:r w:rsidRPr="0093516E">
        <w:rPr>
          <w:color w:val="auto"/>
        </w:rPr>
        <w:t xml:space="preserve">This is despite Victoria having the lowest percentage of Aboriginal and </w:t>
      </w:r>
      <w:r w:rsidR="0099326B">
        <w:rPr>
          <w:color w:val="auto"/>
        </w:rPr>
        <w:t>Torres Strait</w:t>
      </w:r>
      <w:r w:rsidRPr="0093516E">
        <w:rPr>
          <w:color w:val="auto"/>
        </w:rPr>
        <w:t xml:space="preserve"> Islander people as a proportion of </w:t>
      </w:r>
      <w:r w:rsidR="00CF462D">
        <w:rPr>
          <w:color w:val="auto"/>
        </w:rPr>
        <w:t xml:space="preserve">the </w:t>
      </w:r>
      <w:r w:rsidRPr="0093516E">
        <w:rPr>
          <w:color w:val="auto"/>
        </w:rPr>
        <w:t>population</w:t>
      </w:r>
      <w:r w:rsidR="008E4210">
        <w:rPr>
          <w:color w:val="auto"/>
        </w:rPr>
        <w:t xml:space="preserve">. </w:t>
      </w:r>
      <w:r w:rsidR="00E17686">
        <w:rPr>
          <w:color w:val="auto"/>
        </w:rPr>
        <w:br w:type="page"/>
      </w:r>
    </w:p>
    <w:p w14:paraId="042D139F" w14:textId="3047C11F" w:rsidR="00791A68" w:rsidRDefault="00791A68">
      <w:pPr>
        <w:pStyle w:val="Heading3Numbered"/>
      </w:pPr>
      <w:r>
        <w:lastRenderedPageBreak/>
        <w:t>Moving towards self</w:t>
      </w:r>
      <w:r w:rsidR="00A15C79">
        <w:noBreakHyphen/>
      </w:r>
      <w:r>
        <w:t>determination</w:t>
      </w:r>
    </w:p>
    <w:p w14:paraId="12A04209" w14:textId="7A783565" w:rsidR="00FF21AA" w:rsidRPr="00B55AD2" w:rsidRDefault="00791A68">
      <w:r w:rsidRPr="00710493">
        <w:t xml:space="preserve">Through the </w:t>
      </w:r>
      <w:r w:rsidRPr="00B53AAB">
        <w:rPr>
          <w:rFonts w:cstheme="minorHAnsi"/>
          <w:color w:val="auto"/>
          <w:szCs w:val="22"/>
        </w:rPr>
        <w:t>National Agreement on Closing the Gap</w:t>
      </w:r>
      <w:r w:rsidRPr="00710493">
        <w:rPr>
          <w:rFonts w:cstheme="minorHAnsi"/>
          <w:i/>
          <w:color w:val="auto"/>
          <w:szCs w:val="22"/>
        </w:rPr>
        <w:t xml:space="preserve"> </w:t>
      </w:r>
      <w:r w:rsidRPr="00710493">
        <w:t xml:space="preserve">and state and territory </w:t>
      </w:r>
      <w:r w:rsidR="0099326B">
        <w:t>First Nations</w:t>
      </w:r>
      <w:r w:rsidRPr="00710493">
        <w:t xml:space="preserve"> housing strategies, governments have acknowledged the vital role </w:t>
      </w:r>
      <w:r w:rsidR="0099326B">
        <w:t>First Nations</w:t>
      </w:r>
      <w:r w:rsidRPr="00710493">
        <w:t xml:space="preserve"> organisations play at the strategic and operational level for </w:t>
      </w:r>
      <w:r w:rsidR="0099326B">
        <w:t>First Nations</w:t>
      </w:r>
      <w:r w:rsidRPr="00710493">
        <w:t xml:space="preserve"> housing provision. Some progress has been made on this front, but </w:t>
      </w:r>
      <w:r w:rsidR="0099326B">
        <w:t>First Nations</w:t>
      </w:r>
      <w:r w:rsidRPr="00710493">
        <w:t xml:space="preserve"> community leaders have reiterated to the Council that </w:t>
      </w:r>
      <w:r w:rsidR="00A15C79">
        <w:t>‘</w:t>
      </w:r>
      <w:r w:rsidRPr="00710493">
        <w:t>the housing problem in Aboriginal communities is an Aboriginal issue, so there should be an Aboriginal</w:t>
      </w:r>
      <w:r w:rsidR="00A15C79">
        <w:noBreakHyphen/>
      </w:r>
      <w:r w:rsidRPr="00710493">
        <w:t>led solution</w:t>
      </w:r>
      <w:r w:rsidR="00A15C79">
        <w:t>’</w:t>
      </w:r>
      <w:r w:rsidRPr="00710493">
        <w:t xml:space="preserve">. In particular, governments should respect what </w:t>
      </w:r>
      <w:r w:rsidR="0099326B">
        <w:t>First Nations</w:t>
      </w:r>
      <w:r>
        <w:t xml:space="preserve"> </w:t>
      </w:r>
      <w:r w:rsidRPr="00710493">
        <w:t xml:space="preserve">communities know about themselves and how this is reflected in data, and help </w:t>
      </w:r>
      <w:r w:rsidR="0099326B">
        <w:t>First Nations</w:t>
      </w:r>
      <w:r w:rsidRPr="00710493">
        <w:t xml:space="preserve"> housing organisations to deliver much</w:t>
      </w:r>
      <w:r w:rsidR="00A15C79">
        <w:noBreakHyphen/>
      </w:r>
      <w:r w:rsidRPr="00710493">
        <w:t xml:space="preserve">needed housing for </w:t>
      </w:r>
      <w:r w:rsidR="0099326B">
        <w:t>First Nations</w:t>
      </w:r>
      <w:r w:rsidRPr="00710493">
        <w:t xml:space="preserve"> people</w:t>
      </w:r>
      <w:r w:rsidR="008E4210">
        <w:t xml:space="preserve">. </w:t>
      </w:r>
    </w:p>
    <w:p w14:paraId="6D7E1887" w14:textId="77777777" w:rsidR="00FF21AA" w:rsidRDefault="00FF21AA">
      <w:pPr>
        <w:spacing w:before="0" w:after="160" w:line="259" w:lineRule="auto"/>
        <w:sectPr w:rsidR="00FF21AA" w:rsidSect="00BD2E5A">
          <w:footerReference w:type="even" r:id="rId160"/>
          <w:footerReference w:type="default" r:id="rId161"/>
          <w:type w:val="oddPage"/>
          <w:pgSz w:w="11906" w:h="16838" w:code="9"/>
          <w:pgMar w:top="1843" w:right="1418" w:bottom="1418" w:left="1418" w:header="709" w:footer="709" w:gutter="0"/>
          <w:cols w:space="708"/>
          <w:docGrid w:linePitch="360"/>
        </w:sectPr>
      </w:pPr>
    </w:p>
    <w:p w14:paraId="140CB232" w14:textId="77777777" w:rsidR="00791A68" w:rsidRDefault="00791A68" w:rsidP="00FF21AA">
      <w:pPr>
        <w:pStyle w:val="Heading1Numbered"/>
        <w:spacing w:before="0"/>
      </w:pPr>
      <w:bookmarkStart w:id="172" w:name="_Toc196395909"/>
      <w:r>
        <w:lastRenderedPageBreak/>
        <w:t>Towards a better housing system</w:t>
      </w:r>
      <w:bookmarkEnd w:id="172"/>
    </w:p>
    <w:tbl>
      <w:tblPr>
        <w:tblW w:w="5000" w:type="pct"/>
        <w:shd w:val="clear" w:color="auto" w:fill="F2E3C7" w:themeFill="background2"/>
        <w:tblCellMar>
          <w:top w:w="284" w:type="dxa"/>
          <w:left w:w="284" w:type="dxa"/>
          <w:bottom w:w="284" w:type="dxa"/>
          <w:right w:w="284" w:type="dxa"/>
        </w:tblCellMar>
        <w:tblLook w:val="0600" w:firstRow="0" w:lastRow="0" w:firstColumn="0" w:lastColumn="0" w:noHBand="1" w:noVBand="1"/>
      </w:tblPr>
      <w:tblGrid>
        <w:gridCol w:w="9070"/>
      </w:tblGrid>
      <w:tr w:rsidR="00F77E8D" w14:paraId="1981741E" w14:textId="77777777">
        <w:trPr>
          <w:trHeight w:val="4874"/>
        </w:trPr>
        <w:tc>
          <w:tcPr>
            <w:tcW w:w="5000" w:type="pct"/>
            <w:shd w:val="clear" w:color="auto" w:fill="F2E3C7" w:themeFill="background2"/>
            <w:hideMark/>
          </w:tcPr>
          <w:p w14:paraId="5362B8FB" w14:textId="68AF6813" w:rsidR="00F77E8D" w:rsidRDefault="00143AF8">
            <w:pPr>
              <w:pStyle w:val="BoxHeading"/>
            </w:pPr>
            <w:r>
              <w:t>Overview</w:t>
            </w:r>
          </w:p>
          <w:p w14:paraId="0D5F5086" w14:textId="31C03465" w:rsidR="00F77E8D" w:rsidRDefault="00F77E8D">
            <w:pPr>
              <w:pStyle w:val="BoxText"/>
            </w:pPr>
            <w:r w:rsidRPr="00E83044">
              <w:t xml:space="preserve">This chapter describes </w:t>
            </w:r>
            <w:r>
              <w:t xml:space="preserve">the 5 key policy areas for reform that the Council believes should be prioritised to improve outcomes across the housing system. Within these 5 areas, the Council has made </w:t>
            </w:r>
            <w:r w:rsidR="00E75A08" w:rsidRPr="00E83044">
              <w:t>1</w:t>
            </w:r>
            <w:r w:rsidR="00E75A08">
              <w:t>5</w:t>
            </w:r>
            <w:r>
              <w:t xml:space="preserve"> policy </w:t>
            </w:r>
            <w:r w:rsidRPr="00E83044">
              <w:t xml:space="preserve">recommendations </w:t>
            </w:r>
            <w:r>
              <w:t>that, if implemented, would help to achieve its vision for</w:t>
            </w:r>
            <w:r w:rsidDel="005952CE">
              <w:t xml:space="preserve"> </w:t>
            </w:r>
            <w:r>
              <w:t xml:space="preserve">the housing system. </w:t>
            </w:r>
          </w:p>
          <w:p w14:paraId="1CA0E844" w14:textId="77777777" w:rsidR="00F77E8D" w:rsidRPr="00C744E2" w:rsidRDefault="00F77E8D" w:rsidP="00C744E2">
            <w:pPr>
              <w:pStyle w:val="BoxHeading2"/>
            </w:pPr>
            <w:r w:rsidRPr="00C744E2">
              <w:t>Key points</w:t>
            </w:r>
          </w:p>
          <w:p w14:paraId="63FB4C65" w14:textId="77777777" w:rsidR="00F77E8D" w:rsidRDefault="00F77E8D">
            <w:pPr>
              <w:pStyle w:val="Boxbullet"/>
            </w:pPr>
            <w:r>
              <w:t>The 5 key policy areas that should be prioritised to improve outcomes across the housing system are:</w:t>
            </w:r>
          </w:p>
          <w:p w14:paraId="3AAEBAC6" w14:textId="6C0A6834" w:rsidR="00F77E8D" w:rsidRDefault="00F77E8D" w:rsidP="00BC16AE">
            <w:pPr>
              <w:pStyle w:val="BoxtextNumbered1"/>
              <w:numPr>
                <w:ilvl w:val="0"/>
                <w:numId w:val="27"/>
              </w:numPr>
              <w:ind w:left="566"/>
            </w:pPr>
            <w:r w:rsidRPr="00BC16AE">
              <w:t>Increasing</w:t>
            </w:r>
            <w:r>
              <w:t xml:space="preserve"> investment in social and affordable housing through proven mechanisms, and review regulatory </w:t>
            </w:r>
            <w:r w:rsidRPr="001662A4">
              <w:t>frameworks</w:t>
            </w:r>
            <w:r>
              <w:t xml:space="preserve"> for the social and affordable housing sector</w:t>
            </w:r>
          </w:p>
          <w:p w14:paraId="5C400FFA" w14:textId="06E4B74F" w:rsidR="00F77E8D" w:rsidRDefault="00F77E8D" w:rsidP="00BC16AE">
            <w:pPr>
              <w:pStyle w:val="BoxtextNumbered1"/>
              <w:numPr>
                <w:ilvl w:val="0"/>
                <w:numId w:val="27"/>
              </w:numPr>
              <w:ind w:left="566"/>
            </w:pPr>
            <w:r w:rsidRPr="00BC16AE">
              <w:t>Improving</w:t>
            </w:r>
            <w:r>
              <w:t xml:space="preserve"> construction sector capacity and productivity</w:t>
            </w:r>
          </w:p>
          <w:p w14:paraId="20B1BFB1" w14:textId="14E1F482" w:rsidR="00F77E8D" w:rsidRDefault="00F77E8D" w:rsidP="00BC16AE">
            <w:pPr>
              <w:pStyle w:val="BoxtextNumbered1"/>
              <w:numPr>
                <w:ilvl w:val="0"/>
                <w:numId w:val="27"/>
              </w:numPr>
              <w:ind w:left="566"/>
            </w:pPr>
            <w:r>
              <w:t xml:space="preserve">Applying best practice principles to planning systems and </w:t>
            </w:r>
            <w:r w:rsidR="00785505">
              <w:t xml:space="preserve">making more </w:t>
            </w:r>
            <w:r>
              <w:t>land available</w:t>
            </w:r>
          </w:p>
          <w:p w14:paraId="5E13A2EB" w14:textId="20D37E00" w:rsidR="00F77E8D" w:rsidRDefault="00F77E8D" w:rsidP="00BC16AE">
            <w:pPr>
              <w:pStyle w:val="BoxtextNumbered1"/>
              <w:numPr>
                <w:ilvl w:val="0"/>
                <w:numId w:val="27"/>
              </w:numPr>
              <w:ind w:left="566"/>
            </w:pPr>
            <w:r>
              <w:t>Supporting better outcomes for renters</w:t>
            </w:r>
          </w:p>
          <w:p w14:paraId="325E055C" w14:textId="4EC9E5A6" w:rsidR="00F77E8D" w:rsidRDefault="00F77E8D" w:rsidP="00BC16AE">
            <w:pPr>
              <w:pStyle w:val="BoxtextNumbered1"/>
              <w:numPr>
                <w:ilvl w:val="0"/>
                <w:numId w:val="27"/>
              </w:numPr>
              <w:ind w:left="566"/>
            </w:pPr>
            <w:r>
              <w:t xml:space="preserve">Ensuring the tax system supports housing supply and affordability. </w:t>
            </w:r>
          </w:p>
          <w:p w14:paraId="5C007B27" w14:textId="1811D3EB" w:rsidR="00F77E8D" w:rsidRDefault="00F77E8D">
            <w:pPr>
              <w:pStyle w:val="Boxbullet"/>
            </w:pPr>
            <w:r>
              <w:t>Implementing the Council</w:t>
            </w:r>
            <w:r w:rsidR="00A15C79">
              <w:t>’</w:t>
            </w:r>
            <w:r>
              <w:t xml:space="preserve">s </w:t>
            </w:r>
            <w:r w:rsidR="00E75A08">
              <w:t>15</w:t>
            </w:r>
            <w:r>
              <w:t xml:space="preserve"> recommendations will require collective effort across governments, industries and the community.</w:t>
            </w:r>
          </w:p>
        </w:tc>
      </w:tr>
    </w:tbl>
    <w:p w14:paraId="250CEA37" w14:textId="2CC8DA8A" w:rsidR="00791A68" w:rsidRPr="002949B5" w:rsidRDefault="00791A68">
      <w:pPr>
        <w:spacing w:after="0"/>
        <w:textAlignment w:val="center"/>
        <w:rPr>
          <w:rFonts w:ascii="Calibri" w:hAnsi="Calibri" w:cs="Calibri"/>
          <w:color w:val="auto"/>
          <w:szCs w:val="22"/>
        </w:rPr>
      </w:pPr>
      <w:r w:rsidRPr="00EB04EA">
        <w:rPr>
          <w:rFonts w:ascii="Calibri" w:hAnsi="Calibri" w:cs="Calibri"/>
          <w:color w:val="auto"/>
          <w:szCs w:val="22"/>
        </w:rPr>
        <w:t>The Council</w:t>
      </w:r>
      <w:r w:rsidR="00A15C79">
        <w:rPr>
          <w:rFonts w:ascii="Calibri" w:hAnsi="Calibri" w:cs="Calibri"/>
          <w:color w:val="auto"/>
          <w:szCs w:val="22"/>
        </w:rPr>
        <w:t>’</w:t>
      </w:r>
      <w:r w:rsidRPr="00EB04EA">
        <w:rPr>
          <w:rFonts w:ascii="Calibri" w:hAnsi="Calibri" w:cs="Calibri"/>
          <w:color w:val="auto"/>
          <w:szCs w:val="22"/>
        </w:rPr>
        <w:t>s vision is for housing to be affordable, fit for purpose and secure for households of all incomes and</w:t>
      </w:r>
      <w:r w:rsidR="00FC1154">
        <w:rPr>
          <w:rFonts w:ascii="Calibri" w:hAnsi="Calibri" w:cs="Calibri"/>
          <w:color w:val="auto"/>
          <w:szCs w:val="22"/>
        </w:rPr>
        <w:t xml:space="preserve"> in all</w:t>
      </w:r>
      <w:r w:rsidRPr="00EB04EA">
        <w:rPr>
          <w:rFonts w:ascii="Calibri" w:hAnsi="Calibri" w:cs="Calibri"/>
          <w:color w:val="auto"/>
          <w:szCs w:val="22"/>
        </w:rPr>
        <w:t xml:space="preserve"> locations (see </w:t>
      </w:r>
      <w:r w:rsidRPr="00FE11EC">
        <w:rPr>
          <w:rFonts w:ascii="Calibri" w:hAnsi="Calibri" w:cs="Calibri"/>
          <w:color w:val="auto"/>
          <w:szCs w:val="22"/>
        </w:rPr>
        <w:t>Chapter 1</w:t>
      </w:r>
      <w:r w:rsidR="00AA5018" w:rsidRPr="00FE11EC">
        <w:rPr>
          <w:rFonts w:ascii="Calibri" w:hAnsi="Calibri" w:cs="Calibri"/>
          <w:color w:val="auto"/>
          <w:szCs w:val="22"/>
        </w:rPr>
        <w:t>,</w:t>
      </w:r>
      <w:r>
        <w:rPr>
          <w:rFonts w:ascii="Calibri" w:hAnsi="Calibri" w:cs="Calibri"/>
          <w:i/>
          <w:iCs/>
          <w:color w:val="auto"/>
          <w:szCs w:val="22"/>
        </w:rPr>
        <w:t xml:space="preserve"> </w:t>
      </w:r>
      <w:r w:rsidR="00E90A43">
        <w:rPr>
          <w:rStyle w:val="Emphasis"/>
        </w:rPr>
        <w:t xml:space="preserve">The </w:t>
      </w:r>
      <w:r w:rsidR="0005761D">
        <w:rPr>
          <w:rStyle w:val="Emphasis"/>
        </w:rPr>
        <w:t>Council’s</w:t>
      </w:r>
      <w:r w:rsidRPr="001B4EAF">
        <w:rPr>
          <w:rStyle w:val="Emphasis"/>
        </w:rPr>
        <w:t xml:space="preserve"> vision for the housing system</w:t>
      </w:r>
      <w:r w:rsidRPr="00EB04EA">
        <w:rPr>
          <w:rFonts w:ascii="Calibri" w:hAnsi="Calibri" w:cs="Calibri"/>
          <w:color w:val="auto"/>
          <w:szCs w:val="22"/>
        </w:rPr>
        <w:t xml:space="preserve">). To achieve this vision, the Council has identified 5 key policy areas for reform that should be prioritised. </w:t>
      </w:r>
      <w:r w:rsidRPr="005A2317">
        <w:rPr>
          <w:rFonts w:ascii="Calibri" w:hAnsi="Calibri" w:cs="Calibri"/>
          <w:color w:val="auto"/>
          <w:szCs w:val="22"/>
        </w:rPr>
        <w:t>These policy areas</w:t>
      </w:r>
      <w:r w:rsidRPr="005A2317">
        <w:t xml:space="preserve"> </w:t>
      </w:r>
      <w:r w:rsidRPr="005A2317">
        <w:rPr>
          <w:rFonts w:ascii="Calibri" w:hAnsi="Calibri" w:cs="Calibri"/>
          <w:color w:val="auto"/>
          <w:szCs w:val="22"/>
        </w:rPr>
        <w:t xml:space="preserve">build on the </w:t>
      </w:r>
      <w:r w:rsidR="00F77E8D">
        <w:rPr>
          <w:rFonts w:ascii="Calibri" w:hAnsi="Calibri" w:cs="Calibri"/>
          <w:color w:val="auto"/>
          <w:szCs w:val="22"/>
        </w:rPr>
        <w:t xml:space="preserve">focus </w:t>
      </w:r>
      <w:r w:rsidRPr="005A2317">
        <w:rPr>
          <w:rFonts w:ascii="Calibri" w:hAnsi="Calibri" w:cs="Calibri"/>
          <w:color w:val="auto"/>
          <w:szCs w:val="22"/>
        </w:rPr>
        <w:t xml:space="preserve">areas </w:t>
      </w:r>
      <w:r w:rsidRPr="002949B5">
        <w:rPr>
          <w:rFonts w:ascii="Calibri" w:hAnsi="Calibri" w:cs="Calibri"/>
          <w:color w:val="auto"/>
          <w:szCs w:val="22"/>
        </w:rPr>
        <w:t xml:space="preserve">described in </w:t>
      </w:r>
      <w:r w:rsidR="00F77E8D" w:rsidRPr="002949B5">
        <w:rPr>
          <w:rStyle w:val="Emphasis"/>
        </w:rPr>
        <w:t xml:space="preserve">State of the Housing System </w:t>
      </w:r>
      <w:r w:rsidRPr="002949B5">
        <w:rPr>
          <w:rStyle w:val="Emphasis"/>
        </w:rPr>
        <w:t>2024</w:t>
      </w:r>
      <w:r w:rsidRPr="002949B5">
        <w:rPr>
          <w:rFonts w:ascii="Calibri" w:hAnsi="Calibri" w:cs="Calibri"/>
          <w:color w:val="auto"/>
          <w:szCs w:val="22"/>
        </w:rPr>
        <w:t xml:space="preserve"> (NHSAC 2024). </w:t>
      </w:r>
    </w:p>
    <w:p w14:paraId="14E2BD6C" w14:textId="70A55B59" w:rsidR="00791A68" w:rsidRDefault="00791A68" w:rsidP="000B3417">
      <w:pPr>
        <w:spacing w:after="0"/>
        <w:textAlignment w:val="center"/>
      </w:pPr>
      <w:r w:rsidRPr="002949B5">
        <w:rPr>
          <w:rFonts w:ascii="Calibri" w:hAnsi="Calibri" w:cs="Calibri"/>
          <w:color w:val="auto"/>
          <w:szCs w:val="22"/>
        </w:rPr>
        <w:t>Within the 5 policy areas, the Council has made 1</w:t>
      </w:r>
      <w:r w:rsidR="008F4859" w:rsidRPr="002949B5">
        <w:rPr>
          <w:rFonts w:ascii="Calibri" w:hAnsi="Calibri" w:cs="Calibri"/>
          <w:color w:val="auto"/>
          <w:szCs w:val="22"/>
        </w:rPr>
        <w:t>5</w:t>
      </w:r>
      <w:r w:rsidRPr="002949B5">
        <w:rPr>
          <w:rFonts w:ascii="Calibri" w:hAnsi="Calibri" w:cs="Calibri"/>
          <w:color w:val="auto"/>
          <w:szCs w:val="22"/>
        </w:rPr>
        <w:t xml:space="preserve"> policy recommendations. Implementing these recommendations will require effort and coordination across governments, the private sector, the not</w:t>
      </w:r>
      <w:r w:rsidR="00A15C79" w:rsidRPr="002949B5">
        <w:rPr>
          <w:rFonts w:ascii="Calibri" w:hAnsi="Calibri" w:cs="Calibri"/>
          <w:color w:val="auto"/>
          <w:szCs w:val="22"/>
        </w:rPr>
        <w:noBreakHyphen/>
      </w:r>
      <w:r w:rsidRPr="002949B5">
        <w:rPr>
          <w:rFonts w:ascii="Calibri" w:hAnsi="Calibri" w:cs="Calibri"/>
          <w:color w:val="auto"/>
          <w:szCs w:val="22"/>
        </w:rPr>
        <w:t>for</w:t>
      </w:r>
      <w:r w:rsidR="00A15C79" w:rsidRPr="002949B5">
        <w:rPr>
          <w:rFonts w:ascii="Calibri" w:hAnsi="Calibri" w:cs="Calibri"/>
          <w:color w:val="auto"/>
          <w:szCs w:val="22"/>
        </w:rPr>
        <w:noBreakHyphen/>
      </w:r>
      <w:r w:rsidRPr="002949B5">
        <w:rPr>
          <w:rFonts w:ascii="Calibri" w:hAnsi="Calibri" w:cs="Calibri"/>
          <w:color w:val="auto"/>
          <w:szCs w:val="22"/>
        </w:rPr>
        <w:t xml:space="preserve">profit sector, and the broader community. While these recommendations do not represent a comprehensive policy response to all challenges in the housing system, they </w:t>
      </w:r>
      <w:r w:rsidR="00F77E8D" w:rsidRPr="002949B5">
        <w:rPr>
          <w:rFonts w:ascii="Calibri" w:hAnsi="Calibri" w:cs="Calibri"/>
          <w:color w:val="auto"/>
          <w:szCs w:val="22"/>
        </w:rPr>
        <w:t>could greatly</w:t>
      </w:r>
      <w:r w:rsidRPr="002949B5">
        <w:t xml:space="preserve"> improve housing outcomes and achieve progress toward the Council</w:t>
      </w:r>
      <w:r w:rsidR="00A15C79" w:rsidRPr="002949B5">
        <w:t>’</w:t>
      </w:r>
      <w:r w:rsidRPr="002949B5">
        <w:t>s goals</w:t>
      </w:r>
      <w:r w:rsidR="008E4210" w:rsidRPr="002949B5">
        <w:t>.</w:t>
      </w:r>
      <w:r w:rsidR="008E4210">
        <w:t xml:space="preserve"> </w:t>
      </w:r>
      <w:r w:rsidR="000D5D0D">
        <w:br w:type="page"/>
      </w:r>
    </w:p>
    <w:p w14:paraId="24A08A95" w14:textId="51640FEF" w:rsidR="00791A68" w:rsidRPr="006232B4" w:rsidRDefault="00F77E8D" w:rsidP="006232B4">
      <w:pPr>
        <w:pStyle w:val="Heading2Numbered"/>
      </w:pPr>
      <w:bookmarkStart w:id="173" w:name="_Toc195026619"/>
      <w:bookmarkStart w:id="174" w:name="_Toc196395910"/>
      <w:r w:rsidRPr="00FE4355">
        <w:lastRenderedPageBreak/>
        <w:t>Increasing</w:t>
      </w:r>
      <w:r w:rsidR="00791A68" w:rsidRPr="00FE4355">
        <w:t xml:space="preserve"> investment in social and affordable housing through proven mechanisms, and reviewing</w:t>
      </w:r>
      <w:r w:rsidR="00791A68" w:rsidRPr="0087167A">
        <w:t xml:space="preserve"> regulatory frameworks for the social and affordable housing sector</w:t>
      </w:r>
      <w:bookmarkEnd w:id="173"/>
      <w:bookmarkEnd w:id="174"/>
    </w:p>
    <w:p w14:paraId="560DF7F1" w14:textId="77777777" w:rsidR="00791A68" w:rsidRPr="00EB04EA" w:rsidRDefault="00791A68" w:rsidP="00E75A08">
      <w:pPr>
        <w:pStyle w:val="Heading3Numbered"/>
      </w:pPr>
      <w:r w:rsidRPr="009467E5">
        <w:t>Social and affordable housing is essential infrastructure</w:t>
      </w:r>
    </w:p>
    <w:p w14:paraId="70EDB070" w14:textId="6869A16D" w:rsidR="00791A68" w:rsidRPr="002949B5" w:rsidRDefault="00791A68">
      <w:pPr>
        <w:spacing w:before="100" w:beforeAutospacing="1" w:after="100" w:afterAutospacing="1"/>
        <w:rPr>
          <w:szCs w:val="22"/>
        </w:rPr>
      </w:pPr>
      <w:r>
        <w:rPr>
          <w:szCs w:val="22"/>
        </w:rPr>
        <w:t>S</w:t>
      </w:r>
      <w:r w:rsidRPr="0075514B">
        <w:rPr>
          <w:szCs w:val="22"/>
        </w:rPr>
        <w:t>ocial and affordable housing</w:t>
      </w:r>
      <w:r>
        <w:rPr>
          <w:szCs w:val="22"/>
        </w:rPr>
        <w:t xml:space="preserve"> </w:t>
      </w:r>
      <w:r w:rsidR="00F04EE5">
        <w:rPr>
          <w:szCs w:val="22"/>
        </w:rPr>
        <w:t>reduce</w:t>
      </w:r>
      <w:r>
        <w:rPr>
          <w:szCs w:val="22"/>
        </w:rPr>
        <w:t>s</w:t>
      </w:r>
      <w:r w:rsidRPr="0075514B">
        <w:rPr>
          <w:szCs w:val="22"/>
        </w:rPr>
        <w:t xml:space="preserve"> </w:t>
      </w:r>
      <w:r>
        <w:rPr>
          <w:szCs w:val="22"/>
        </w:rPr>
        <w:t xml:space="preserve">the incidence of </w:t>
      </w:r>
      <w:r w:rsidRPr="0075514B">
        <w:rPr>
          <w:szCs w:val="22"/>
        </w:rPr>
        <w:t>homelessness and poverty</w:t>
      </w:r>
      <w:r>
        <w:rPr>
          <w:szCs w:val="22"/>
        </w:rPr>
        <w:t>, and alleviates the tenure insecurity associated with private renting, especially for vulnerable cohorts. It</w:t>
      </w:r>
      <w:r w:rsidRPr="0075514B">
        <w:rPr>
          <w:szCs w:val="22"/>
        </w:rPr>
        <w:t xml:space="preserve"> </w:t>
      </w:r>
      <w:r>
        <w:rPr>
          <w:szCs w:val="22"/>
        </w:rPr>
        <w:t xml:space="preserve">assists businesses and government service providers that rely on </w:t>
      </w:r>
      <w:r w:rsidR="00F77E8D">
        <w:rPr>
          <w:szCs w:val="22"/>
        </w:rPr>
        <w:t xml:space="preserve">workers on </w:t>
      </w:r>
      <w:r>
        <w:rPr>
          <w:szCs w:val="22"/>
        </w:rPr>
        <w:t xml:space="preserve">low and moderate </w:t>
      </w:r>
      <w:r w:rsidR="00027A63" w:rsidRPr="002949B5">
        <w:rPr>
          <w:szCs w:val="22"/>
        </w:rPr>
        <w:t>wage</w:t>
      </w:r>
      <w:r w:rsidR="00F77E8D" w:rsidRPr="002949B5">
        <w:rPr>
          <w:szCs w:val="22"/>
        </w:rPr>
        <w:t>s</w:t>
      </w:r>
      <w:r w:rsidR="00415FB7" w:rsidRPr="002949B5">
        <w:rPr>
          <w:szCs w:val="22"/>
        </w:rPr>
        <w:t>, a</w:t>
      </w:r>
      <w:r w:rsidRPr="002949B5">
        <w:rPr>
          <w:szCs w:val="22"/>
        </w:rPr>
        <w:t xml:space="preserve">nd it fosters more cohesive, diverse and sustainable communities (Spiller 2022). </w:t>
      </w:r>
    </w:p>
    <w:p w14:paraId="6996BB5C" w14:textId="32475FA1" w:rsidR="00791A68" w:rsidRPr="002949B5" w:rsidRDefault="00791A68">
      <w:pPr>
        <w:spacing w:before="100" w:beforeAutospacing="1" w:after="100" w:afterAutospacing="1"/>
        <w:rPr>
          <w:szCs w:val="22"/>
        </w:rPr>
      </w:pPr>
      <w:r w:rsidRPr="002949B5">
        <w:rPr>
          <w:szCs w:val="22"/>
        </w:rPr>
        <w:t xml:space="preserve">Increasing investment in social and affordable housing would help reduce homelessness and the associated costs to wellbeing, society and the economy. It would also improve workforce participation and have a net positive fiscal impact. For every dollar invested </w:t>
      </w:r>
      <w:r w:rsidR="00F77E8D" w:rsidRPr="002949B5">
        <w:rPr>
          <w:szCs w:val="22"/>
        </w:rPr>
        <w:t>in increasing</w:t>
      </w:r>
      <w:r w:rsidRPr="002949B5">
        <w:rPr>
          <w:szCs w:val="22"/>
        </w:rPr>
        <w:t xml:space="preserve"> the supply of social and affordable housing, the community is estimated to save 2</w:t>
      </w:r>
      <w:r w:rsidR="00C330C5" w:rsidRPr="002949B5">
        <w:rPr>
          <w:szCs w:val="22"/>
        </w:rPr>
        <w:t xml:space="preserve"> dollars</w:t>
      </w:r>
      <w:r w:rsidRPr="002949B5">
        <w:rPr>
          <w:szCs w:val="22"/>
        </w:rPr>
        <w:t xml:space="preserve"> (</w:t>
      </w:r>
      <w:r w:rsidR="002F56D1" w:rsidRPr="002949B5">
        <w:rPr>
          <w:szCs w:val="22"/>
        </w:rPr>
        <w:t>SGS Economics and Planning</w:t>
      </w:r>
      <w:r w:rsidRPr="002949B5">
        <w:rPr>
          <w:szCs w:val="22"/>
        </w:rPr>
        <w:t xml:space="preserve"> 2022). </w:t>
      </w:r>
    </w:p>
    <w:p w14:paraId="569EB03B" w14:textId="7E0AD121" w:rsidR="00791A68" w:rsidRPr="002949B5" w:rsidRDefault="00791A68" w:rsidP="009628A8">
      <w:pPr>
        <w:spacing w:before="100" w:beforeAutospacing="1" w:after="100" w:afterAutospacing="1"/>
        <w:rPr>
          <w:rFonts w:ascii="Calibri" w:hAnsi="Calibri" w:cs="Calibri"/>
          <w:color w:val="auto"/>
          <w:szCs w:val="22"/>
        </w:rPr>
      </w:pPr>
      <w:r w:rsidRPr="002949B5">
        <w:rPr>
          <w:rFonts w:ascii="Calibri" w:hAnsi="Calibri" w:cs="Calibri"/>
          <w:color w:val="auto"/>
          <w:szCs w:val="22"/>
        </w:rPr>
        <w:t>Social housing has often been concentrated around the urban fringe</w:t>
      </w:r>
      <w:r w:rsidR="00F77E8D" w:rsidRPr="002949B5">
        <w:rPr>
          <w:rFonts w:ascii="Calibri" w:hAnsi="Calibri" w:cs="Calibri"/>
          <w:color w:val="auto"/>
          <w:szCs w:val="22"/>
        </w:rPr>
        <w:t>,</w:t>
      </w:r>
      <w:r w:rsidRPr="002949B5">
        <w:rPr>
          <w:rFonts w:ascii="Calibri" w:hAnsi="Calibri" w:cs="Calibri"/>
          <w:color w:val="auto"/>
          <w:szCs w:val="22"/>
        </w:rPr>
        <w:t xml:space="preserve"> which provides limited access to jobs and services for tenants (Pawson et al</w:t>
      </w:r>
      <w:r w:rsidR="00492CD6" w:rsidRPr="002949B5">
        <w:rPr>
          <w:rFonts w:ascii="Calibri" w:hAnsi="Calibri" w:cs="Calibri"/>
          <w:color w:val="auto"/>
          <w:szCs w:val="22"/>
        </w:rPr>
        <w:t>.</w:t>
      </w:r>
      <w:r w:rsidRPr="002949B5">
        <w:rPr>
          <w:rFonts w:ascii="Calibri" w:hAnsi="Calibri" w:cs="Calibri"/>
          <w:color w:val="auto"/>
          <w:szCs w:val="22"/>
        </w:rPr>
        <w:t xml:space="preserve"> 2020). Instead, as essential infrastructure, non</w:t>
      </w:r>
      <w:r w:rsidR="00A15C79" w:rsidRPr="002949B5">
        <w:rPr>
          <w:rFonts w:ascii="Calibri" w:hAnsi="Calibri" w:cs="Calibri"/>
          <w:color w:val="auto"/>
          <w:szCs w:val="22"/>
        </w:rPr>
        <w:noBreakHyphen/>
      </w:r>
      <w:r w:rsidRPr="002949B5">
        <w:rPr>
          <w:rFonts w:ascii="Calibri" w:hAnsi="Calibri" w:cs="Calibri"/>
          <w:color w:val="auto"/>
          <w:szCs w:val="22"/>
        </w:rPr>
        <w:t>market housing should be well</w:t>
      </w:r>
      <w:r w:rsidR="00F77E8D" w:rsidRPr="002949B5">
        <w:rPr>
          <w:rFonts w:ascii="Calibri" w:hAnsi="Calibri" w:cs="Calibri"/>
          <w:color w:val="auto"/>
          <w:szCs w:val="22"/>
        </w:rPr>
        <w:t xml:space="preserve"> </w:t>
      </w:r>
      <w:r w:rsidRPr="002949B5">
        <w:rPr>
          <w:rFonts w:ascii="Calibri" w:hAnsi="Calibri" w:cs="Calibri"/>
          <w:color w:val="auto"/>
          <w:szCs w:val="22"/>
        </w:rPr>
        <w:t xml:space="preserve">located and interspersed </w:t>
      </w:r>
      <w:r w:rsidR="00492CD6" w:rsidRPr="002949B5">
        <w:rPr>
          <w:rFonts w:ascii="Calibri" w:hAnsi="Calibri" w:cs="Calibri"/>
          <w:color w:val="auto"/>
          <w:szCs w:val="22"/>
        </w:rPr>
        <w:t>within</w:t>
      </w:r>
      <w:r w:rsidRPr="002949B5">
        <w:rPr>
          <w:rFonts w:ascii="Calibri" w:hAnsi="Calibri" w:cs="Calibri"/>
          <w:color w:val="auto"/>
          <w:szCs w:val="22"/>
        </w:rPr>
        <w:t xml:space="preserve"> communities as </w:t>
      </w:r>
      <w:r w:rsidR="00F77E8D" w:rsidRPr="002949B5">
        <w:rPr>
          <w:rFonts w:ascii="Calibri" w:hAnsi="Calibri" w:cs="Calibri"/>
          <w:color w:val="auto"/>
          <w:szCs w:val="22"/>
        </w:rPr>
        <w:t>it provides</w:t>
      </w:r>
      <w:r w:rsidRPr="002949B5">
        <w:rPr>
          <w:rFonts w:ascii="Calibri" w:hAnsi="Calibri" w:cs="Calibri"/>
          <w:color w:val="auto"/>
          <w:szCs w:val="22"/>
        </w:rPr>
        <w:t xml:space="preserve"> significant socio</w:t>
      </w:r>
      <w:r w:rsidR="00A15C79" w:rsidRPr="002949B5">
        <w:rPr>
          <w:rFonts w:ascii="Calibri" w:hAnsi="Calibri" w:cs="Calibri"/>
          <w:color w:val="auto"/>
          <w:szCs w:val="22"/>
        </w:rPr>
        <w:noBreakHyphen/>
      </w:r>
      <w:r w:rsidRPr="002949B5">
        <w:rPr>
          <w:rFonts w:ascii="Calibri" w:hAnsi="Calibri" w:cs="Calibri"/>
          <w:color w:val="auto"/>
          <w:szCs w:val="22"/>
        </w:rPr>
        <w:t>economic benefits for tenants and locales (Lawson et al. 2018).</w:t>
      </w:r>
    </w:p>
    <w:p w14:paraId="20DBB249" w14:textId="045FB1A8" w:rsidR="00E17686" w:rsidRDefault="00791A68" w:rsidP="009628A8">
      <w:pPr>
        <w:spacing w:before="0" w:after="0"/>
        <w:textAlignment w:val="center"/>
        <w:rPr>
          <w:rFonts w:ascii="Calibri" w:hAnsi="Calibri" w:cs="Calibri"/>
        </w:rPr>
      </w:pPr>
      <w:r w:rsidRPr="002949B5">
        <w:rPr>
          <w:rFonts w:ascii="Calibri" w:hAnsi="Calibri" w:cs="Calibri"/>
          <w:color w:val="auto"/>
          <w:szCs w:val="22"/>
        </w:rPr>
        <w:t xml:space="preserve">As outlined in Chapter 1, </w:t>
      </w:r>
      <w:r w:rsidR="00CC3701">
        <w:rPr>
          <w:rStyle w:val="Emphasis"/>
        </w:rPr>
        <w:t>The Council’s vision for</w:t>
      </w:r>
      <w:r w:rsidR="00A87838" w:rsidRPr="002949B5">
        <w:rPr>
          <w:rStyle w:val="Emphasis"/>
        </w:rPr>
        <w:t xml:space="preserve"> the housing system</w:t>
      </w:r>
      <w:r w:rsidR="00A87838" w:rsidRPr="002949B5">
        <w:rPr>
          <w:rFonts w:ascii="Calibri" w:hAnsi="Calibri" w:cs="Calibri"/>
          <w:color w:val="auto"/>
          <w:szCs w:val="22"/>
        </w:rPr>
        <w:t xml:space="preserve">, </w:t>
      </w:r>
      <w:r w:rsidRPr="002949B5">
        <w:rPr>
          <w:rFonts w:ascii="Calibri" w:hAnsi="Calibri" w:cs="Calibri"/>
          <w:color w:val="auto"/>
          <w:szCs w:val="22"/>
        </w:rPr>
        <w:t xml:space="preserve">ensuring there is sufficient social and affordable housing to support communities as essential infrastructure is a </w:t>
      </w:r>
      <w:r w:rsidR="000A2C55" w:rsidRPr="002949B5">
        <w:rPr>
          <w:rFonts w:ascii="Calibri" w:hAnsi="Calibri" w:cs="Calibri"/>
          <w:color w:val="auto"/>
          <w:szCs w:val="22"/>
        </w:rPr>
        <w:t xml:space="preserve">Council </w:t>
      </w:r>
      <w:r w:rsidRPr="002949B5">
        <w:rPr>
          <w:rFonts w:ascii="Calibri" w:hAnsi="Calibri" w:cs="Calibri"/>
          <w:color w:val="auto"/>
          <w:szCs w:val="22"/>
        </w:rPr>
        <w:t xml:space="preserve">goal. As a target, the Council proposes that social housing should return to </w:t>
      </w:r>
      <w:r w:rsidR="00F77E8D" w:rsidRPr="002949B5">
        <w:rPr>
          <w:rFonts w:ascii="Calibri" w:hAnsi="Calibri" w:cs="Calibri"/>
          <w:color w:val="auto"/>
          <w:szCs w:val="22"/>
        </w:rPr>
        <w:t xml:space="preserve">accounting for </w:t>
      </w:r>
      <w:r w:rsidRPr="002949B5">
        <w:rPr>
          <w:rFonts w:ascii="Calibri" w:hAnsi="Calibri" w:cs="Calibri"/>
          <w:color w:val="auto"/>
          <w:szCs w:val="22"/>
        </w:rPr>
        <w:t>6</w:t>
      </w:r>
      <w:r w:rsidR="0099326B" w:rsidRPr="002949B5">
        <w:rPr>
          <w:rFonts w:ascii="Calibri" w:hAnsi="Calibri" w:cs="Calibri"/>
          <w:color w:val="auto"/>
          <w:szCs w:val="22"/>
        </w:rPr>
        <w:t> per cent</w:t>
      </w:r>
      <w:r w:rsidRPr="002949B5">
        <w:rPr>
          <w:rFonts w:ascii="Calibri" w:hAnsi="Calibri" w:cs="Calibri"/>
          <w:color w:val="auto"/>
          <w:szCs w:val="22"/>
        </w:rPr>
        <w:t xml:space="preserve"> of the housing stock over the medium term</w:t>
      </w:r>
      <w:r w:rsidR="001E1E3F" w:rsidRPr="002949B5">
        <w:rPr>
          <w:rFonts w:ascii="Calibri" w:hAnsi="Calibri" w:cs="Calibri"/>
          <w:color w:val="auto"/>
          <w:szCs w:val="22"/>
        </w:rPr>
        <w:t>, with a further increase in the long term</w:t>
      </w:r>
      <w:r w:rsidRPr="002949B5">
        <w:rPr>
          <w:rFonts w:ascii="Calibri" w:hAnsi="Calibri" w:cs="Calibri"/>
          <w:color w:val="auto"/>
          <w:szCs w:val="22"/>
        </w:rPr>
        <w:t xml:space="preserve">. </w:t>
      </w:r>
      <w:r w:rsidRPr="002949B5">
        <w:rPr>
          <w:rFonts w:ascii="Calibri" w:hAnsi="Calibri" w:cs="Calibri"/>
        </w:rPr>
        <w:t xml:space="preserve">The Council acknowledges that </w:t>
      </w:r>
      <w:r w:rsidR="00F77E8D" w:rsidRPr="002949B5">
        <w:rPr>
          <w:rFonts w:ascii="Calibri" w:hAnsi="Calibri" w:cs="Calibri"/>
        </w:rPr>
        <w:t>this</w:t>
      </w:r>
      <w:r w:rsidRPr="002949B5">
        <w:rPr>
          <w:rFonts w:ascii="Calibri" w:hAnsi="Calibri" w:cs="Calibri"/>
        </w:rPr>
        <w:t xml:space="preserve"> is an ambitious and challenging target.</w:t>
      </w:r>
      <w:r w:rsidRPr="002949B5">
        <w:rPr>
          <w:rFonts w:ascii="Calibri" w:hAnsi="Calibri" w:cs="Calibri"/>
          <w:color w:val="auto"/>
          <w:szCs w:val="22"/>
        </w:rPr>
        <w:t xml:space="preserve"> </w:t>
      </w:r>
      <w:r w:rsidR="001E1E3F" w:rsidRPr="002949B5">
        <w:rPr>
          <w:rFonts w:ascii="Calibri" w:hAnsi="Calibri" w:cs="Calibri"/>
        </w:rPr>
        <w:t>Nonetheless</w:t>
      </w:r>
      <w:r w:rsidRPr="002949B5">
        <w:rPr>
          <w:rFonts w:ascii="Calibri" w:hAnsi="Calibri" w:cs="Calibri"/>
        </w:rPr>
        <w:t xml:space="preserve">, further investment is needed over the long term </w:t>
      </w:r>
      <w:r w:rsidRPr="002949B5" w:rsidDel="00A917BD">
        <w:rPr>
          <w:rFonts w:ascii="Calibri" w:hAnsi="Calibri" w:cs="Calibri"/>
        </w:rPr>
        <w:t xml:space="preserve">to </w:t>
      </w:r>
      <w:r w:rsidRPr="002949B5">
        <w:rPr>
          <w:rFonts w:ascii="Calibri" w:hAnsi="Calibri" w:cs="Calibri"/>
        </w:rPr>
        <w:t xml:space="preserve">build enough social and affordable housing to consistently support those who need it. </w:t>
      </w:r>
    </w:p>
    <w:p w14:paraId="4200C004" w14:textId="7992CC1A" w:rsidR="00791A68" w:rsidRPr="002949B5" w:rsidRDefault="00495A5C" w:rsidP="00E75A08">
      <w:pPr>
        <w:pStyle w:val="Heading3Numbered"/>
      </w:pPr>
      <w:r w:rsidRPr="002949B5">
        <w:t>Increasing investment in</w:t>
      </w:r>
      <w:r w:rsidR="00791A68" w:rsidRPr="002949B5">
        <w:t xml:space="preserve"> social and affordable housing</w:t>
      </w:r>
    </w:p>
    <w:p w14:paraId="56EFBA2C" w14:textId="12AE68AF" w:rsidR="00F22DA3" w:rsidRDefault="00791A68" w:rsidP="000B3417">
      <w:pPr>
        <w:rPr>
          <w:rFonts w:ascii="Calibri" w:hAnsi="Calibri" w:cs="Calibri"/>
          <w:color w:val="auto"/>
          <w:szCs w:val="22"/>
        </w:rPr>
      </w:pPr>
      <w:r>
        <w:rPr>
          <w:rFonts w:ascii="Calibri" w:hAnsi="Calibri" w:cs="Calibri"/>
          <w:color w:val="auto"/>
          <w:szCs w:val="22"/>
        </w:rPr>
        <w:t>Australia has underinvested in social and affordable housing for decades (NHSAC 2024).</w:t>
      </w:r>
      <w:r w:rsidDel="00C437AD">
        <w:rPr>
          <w:rFonts w:ascii="Calibri" w:hAnsi="Calibri" w:cs="Calibri"/>
          <w:color w:val="auto"/>
          <w:szCs w:val="22"/>
        </w:rPr>
        <w:t xml:space="preserve"> </w:t>
      </w:r>
      <w:r>
        <w:rPr>
          <w:rFonts w:ascii="Calibri" w:hAnsi="Calibri" w:cs="Calibri"/>
          <w:color w:val="auto"/>
          <w:szCs w:val="22"/>
        </w:rPr>
        <w:t>Levels of non</w:t>
      </w:r>
      <w:r w:rsidR="00A15C79">
        <w:rPr>
          <w:rFonts w:ascii="Calibri" w:hAnsi="Calibri" w:cs="Calibri"/>
          <w:color w:val="auto"/>
          <w:szCs w:val="22"/>
        </w:rPr>
        <w:noBreakHyphen/>
      </w:r>
      <w:r>
        <w:rPr>
          <w:rFonts w:ascii="Calibri" w:hAnsi="Calibri" w:cs="Calibri"/>
          <w:color w:val="auto"/>
          <w:szCs w:val="22"/>
        </w:rPr>
        <w:t>market housing are – and are forecast to remain – very low, relative to both histor</w:t>
      </w:r>
      <w:r w:rsidR="005B18DE">
        <w:rPr>
          <w:rFonts w:ascii="Calibri" w:hAnsi="Calibri" w:cs="Calibri"/>
          <w:color w:val="auto"/>
          <w:szCs w:val="22"/>
        </w:rPr>
        <w:t>ical levels</w:t>
      </w:r>
      <w:r w:rsidR="003342CC">
        <w:rPr>
          <w:rFonts w:ascii="Calibri" w:hAnsi="Calibri" w:cs="Calibri"/>
          <w:color w:val="auto"/>
          <w:szCs w:val="22"/>
        </w:rPr>
        <w:t xml:space="preserve"> in Australia</w:t>
      </w:r>
      <w:r>
        <w:rPr>
          <w:rFonts w:ascii="Calibri" w:hAnsi="Calibri" w:cs="Calibri"/>
          <w:color w:val="auto"/>
          <w:szCs w:val="22"/>
        </w:rPr>
        <w:t xml:space="preserve"> and </w:t>
      </w:r>
      <w:r w:rsidR="005B18DE">
        <w:rPr>
          <w:rFonts w:ascii="Calibri" w:hAnsi="Calibri" w:cs="Calibri"/>
          <w:color w:val="auto"/>
          <w:szCs w:val="22"/>
        </w:rPr>
        <w:t xml:space="preserve">levels in </w:t>
      </w:r>
      <w:r>
        <w:rPr>
          <w:rFonts w:ascii="Calibri" w:hAnsi="Calibri" w:cs="Calibri"/>
          <w:color w:val="auto"/>
          <w:szCs w:val="22"/>
        </w:rPr>
        <w:t>other advanced economies. In 2021, around 4</w:t>
      </w:r>
      <w:r w:rsidR="0099326B">
        <w:rPr>
          <w:rFonts w:ascii="Calibri" w:hAnsi="Calibri" w:cs="Calibri"/>
          <w:color w:val="auto"/>
          <w:szCs w:val="22"/>
        </w:rPr>
        <w:t> per cent</w:t>
      </w:r>
      <w:r>
        <w:rPr>
          <w:rFonts w:ascii="Calibri" w:hAnsi="Calibri" w:cs="Calibri"/>
          <w:color w:val="auto"/>
          <w:szCs w:val="22"/>
        </w:rPr>
        <w:t xml:space="preserve"> of households lived in social housing (369,000 households), which is lower than </w:t>
      </w:r>
      <w:r w:rsidR="003342CC">
        <w:rPr>
          <w:rFonts w:ascii="Calibri" w:hAnsi="Calibri" w:cs="Calibri"/>
          <w:color w:val="auto"/>
          <w:szCs w:val="22"/>
        </w:rPr>
        <w:t>in</w:t>
      </w:r>
      <w:r>
        <w:rPr>
          <w:rFonts w:ascii="Calibri" w:hAnsi="Calibri" w:cs="Calibri"/>
          <w:color w:val="auto"/>
          <w:szCs w:val="22"/>
        </w:rPr>
        <w:t xml:space="preserve"> New Zealand, Canada and the European Union (AHURI 2022)</w:t>
      </w:r>
      <w:r w:rsidR="008E4210">
        <w:rPr>
          <w:rFonts w:ascii="Calibri" w:hAnsi="Calibri" w:cs="Calibri"/>
          <w:color w:val="auto"/>
          <w:szCs w:val="22"/>
        </w:rPr>
        <w:t xml:space="preserve">. </w:t>
      </w:r>
      <w:r w:rsidR="00F22DA3">
        <w:rPr>
          <w:rFonts w:ascii="Calibri" w:hAnsi="Calibri" w:cs="Calibri"/>
          <w:color w:val="auto"/>
          <w:szCs w:val="22"/>
        </w:rPr>
        <w:br w:type="page"/>
      </w:r>
    </w:p>
    <w:p w14:paraId="0DE51B9D" w14:textId="10B3A5E3" w:rsidR="00791A68" w:rsidRPr="00D52922" w:rsidRDefault="00791A68" w:rsidP="00F22DA3">
      <w:pPr>
        <w:spacing w:before="100" w:beforeAutospacing="1" w:after="100" w:afterAutospacing="1"/>
        <w:rPr>
          <w:rFonts w:ascii="Calibri" w:hAnsi="Calibri" w:cs="Calibri"/>
          <w:color w:val="auto"/>
          <w:szCs w:val="22"/>
        </w:rPr>
      </w:pPr>
      <w:r>
        <w:rPr>
          <w:rFonts w:ascii="Calibri" w:hAnsi="Calibri" w:cs="Calibri"/>
          <w:color w:val="auto"/>
          <w:szCs w:val="22"/>
        </w:rPr>
        <w:lastRenderedPageBreak/>
        <w:t xml:space="preserve">The stock of social and affordable housing is significantly lower than demand, with an upper estimate of 640,000 households not appropriately housed and potentially in need of social or affordable housing in </w:t>
      </w:r>
      <w:r w:rsidRPr="0056082C">
        <w:rPr>
          <w:rFonts w:ascii="Calibri" w:hAnsi="Calibri" w:cs="Calibri"/>
          <w:color w:val="auto"/>
          <w:szCs w:val="22"/>
        </w:rPr>
        <w:t>2021 (</w:t>
      </w:r>
      <w:r w:rsidRPr="009628A8">
        <w:rPr>
          <w:rFonts w:ascii="Calibri" w:hAnsi="Calibri" w:cs="Calibri"/>
          <w:color w:val="auto"/>
          <w:szCs w:val="22"/>
        </w:rPr>
        <w:t xml:space="preserve">van den </w:t>
      </w:r>
      <w:proofErr w:type="spellStart"/>
      <w:r w:rsidRPr="009628A8">
        <w:rPr>
          <w:rFonts w:ascii="Calibri" w:hAnsi="Calibri" w:cs="Calibri"/>
          <w:color w:val="auto"/>
          <w:szCs w:val="22"/>
        </w:rPr>
        <w:t>Nouwelant</w:t>
      </w:r>
      <w:proofErr w:type="spellEnd"/>
      <w:r w:rsidRPr="009628A8">
        <w:rPr>
          <w:rFonts w:ascii="Calibri" w:hAnsi="Calibri" w:cs="Calibri"/>
          <w:color w:val="auto"/>
          <w:szCs w:val="22"/>
        </w:rPr>
        <w:t xml:space="preserve"> et al</w:t>
      </w:r>
      <w:r w:rsidR="003342CC">
        <w:rPr>
          <w:rFonts w:ascii="Calibri" w:hAnsi="Calibri" w:cs="Calibri"/>
          <w:color w:val="auto"/>
          <w:szCs w:val="22"/>
        </w:rPr>
        <w:t>.</w:t>
      </w:r>
      <w:r w:rsidRPr="0056082C">
        <w:rPr>
          <w:rFonts w:ascii="Calibri" w:hAnsi="Calibri" w:cs="Calibri"/>
          <w:color w:val="auto"/>
          <w:szCs w:val="22"/>
        </w:rPr>
        <w:t xml:space="preserve"> 2022</w:t>
      </w:r>
      <w:r>
        <w:rPr>
          <w:rFonts w:ascii="Calibri" w:hAnsi="Calibri" w:cs="Calibri"/>
          <w:color w:val="auto"/>
          <w:szCs w:val="22"/>
        </w:rPr>
        <w:t xml:space="preserve">). </w:t>
      </w:r>
      <w:r w:rsidRPr="009628A8">
        <w:rPr>
          <w:rFonts w:ascii="Calibri" w:hAnsi="Calibri" w:cs="Calibri"/>
          <w:color w:val="auto"/>
          <w:szCs w:val="22"/>
        </w:rPr>
        <w:t>Together with households already in social housing, this</w:t>
      </w:r>
      <w:r w:rsidRPr="005A2317">
        <w:rPr>
          <w:rFonts w:ascii="Calibri" w:hAnsi="Calibri" w:cs="Calibri"/>
          <w:color w:val="auto"/>
          <w:szCs w:val="22"/>
        </w:rPr>
        <w:t xml:space="preserve"> </w:t>
      </w:r>
      <w:r w:rsidRPr="009628A8">
        <w:rPr>
          <w:rFonts w:ascii="Calibri" w:hAnsi="Calibri" w:cs="Calibri"/>
          <w:color w:val="auto"/>
          <w:szCs w:val="22"/>
        </w:rPr>
        <w:t xml:space="preserve">implies that </w:t>
      </w:r>
      <w:r>
        <w:rPr>
          <w:rFonts w:ascii="Calibri" w:hAnsi="Calibri" w:cs="Calibri"/>
          <w:color w:val="auto"/>
          <w:szCs w:val="22"/>
        </w:rPr>
        <w:t>over</w:t>
      </w:r>
      <w:r w:rsidRPr="009628A8">
        <w:rPr>
          <w:rFonts w:ascii="Calibri" w:hAnsi="Calibri" w:cs="Calibri"/>
          <w:color w:val="auto"/>
          <w:szCs w:val="22"/>
        </w:rPr>
        <w:t xml:space="preserve"> 1</w:t>
      </w:r>
      <w:r w:rsidR="0099326B">
        <w:rPr>
          <w:rFonts w:ascii="Calibri" w:hAnsi="Calibri" w:cs="Calibri"/>
          <w:color w:val="auto"/>
          <w:szCs w:val="22"/>
        </w:rPr>
        <w:t> million</w:t>
      </w:r>
      <w:r w:rsidRPr="009628A8">
        <w:rPr>
          <w:rFonts w:ascii="Calibri" w:hAnsi="Calibri" w:cs="Calibri"/>
          <w:color w:val="auto"/>
          <w:szCs w:val="22"/>
        </w:rPr>
        <w:t xml:space="preserve"> household</w:t>
      </w:r>
      <w:r>
        <w:rPr>
          <w:rFonts w:ascii="Calibri" w:hAnsi="Calibri" w:cs="Calibri"/>
          <w:color w:val="auto"/>
          <w:szCs w:val="22"/>
        </w:rPr>
        <w:t>s</w:t>
      </w:r>
      <w:r w:rsidRPr="009628A8">
        <w:rPr>
          <w:rFonts w:ascii="Calibri" w:hAnsi="Calibri" w:cs="Calibri"/>
          <w:color w:val="auto"/>
          <w:szCs w:val="22"/>
        </w:rPr>
        <w:t xml:space="preserve">, </w:t>
      </w:r>
      <w:r>
        <w:rPr>
          <w:rFonts w:ascii="Calibri" w:hAnsi="Calibri" w:cs="Calibri"/>
          <w:color w:val="auto"/>
          <w:szCs w:val="22"/>
        </w:rPr>
        <w:t xml:space="preserve">or </w:t>
      </w:r>
      <w:r w:rsidRPr="00D52922">
        <w:rPr>
          <w:rFonts w:ascii="Calibri" w:hAnsi="Calibri" w:cs="Calibri"/>
          <w:color w:val="auto"/>
          <w:szCs w:val="22"/>
        </w:rPr>
        <w:t>around 10</w:t>
      </w:r>
      <w:r w:rsidR="0099326B">
        <w:rPr>
          <w:rFonts w:ascii="Calibri" w:hAnsi="Calibri" w:cs="Calibri"/>
          <w:color w:val="auto"/>
          <w:szCs w:val="22"/>
        </w:rPr>
        <w:t> per cent</w:t>
      </w:r>
      <w:r w:rsidRPr="00D52922">
        <w:rPr>
          <w:rFonts w:ascii="Calibri" w:hAnsi="Calibri" w:cs="Calibri"/>
          <w:color w:val="auto"/>
          <w:szCs w:val="22"/>
        </w:rPr>
        <w:t xml:space="preserve"> of households, could be in need of social or affordable housing.</w:t>
      </w:r>
      <w:r w:rsidRPr="00D52922">
        <w:rPr>
          <w:rStyle w:val="FootnoteReference"/>
          <w:rFonts w:ascii="Calibri" w:hAnsi="Calibri" w:cs="Calibri"/>
          <w:color w:val="auto"/>
          <w:szCs w:val="22"/>
        </w:rPr>
        <w:footnoteReference w:id="17"/>
      </w:r>
      <w:r w:rsidRPr="00D52922">
        <w:rPr>
          <w:rFonts w:ascii="Calibri" w:hAnsi="Calibri" w:cs="Calibri"/>
          <w:color w:val="auto"/>
          <w:szCs w:val="22"/>
        </w:rPr>
        <w:t xml:space="preserve"> Estimates of unmet housing need should inform long</w:t>
      </w:r>
      <w:r w:rsidR="00A15C79">
        <w:rPr>
          <w:rFonts w:ascii="Calibri" w:hAnsi="Calibri" w:cs="Calibri"/>
          <w:color w:val="auto"/>
          <w:szCs w:val="22"/>
        </w:rPr>
        <w:noBreakHyphen/>
      </w:r>
      <w:r w:rsidRPr="00D52922">
        <w:rPr>
          <w:rFonts w:ascii="Calibri" w:hAnsi="Calibri" w:cs="Calibri"/>
          <w:color w:val="auto"/>
          <w:szCs w:val="22"/>
        </w:rPr>
        <w:t xml:space="preserve">term targets of social and affordable housing. </w:t>
      </w:r>
    </w:p>
    <w:p w14:paraId="3140CF7D" w14:textId="51C2C30F" w:rsidR="00791A68" w:rsidRPr="00EE63AD" w:rsidRDefault="00791A68" w:rsidP="009628A8">
      <w:pPr>
        <w:spacing w:before="100" w:beforeAutospacing="1" w:after="100" w:afterAutospacing="1"/>
        <w:rPr>
          <w:rFonts w:ascii="Calibri" w:hAnsi="Calibri" w:cs="Calibri"/>
        </w:rPr>
      </w:pPr>
      <w:r w:rsidRPr="00D52922">
        <w:rPr>
          <w:rFonts w:ascii="Calibri" w:hAnsi="Calibri" w:cs="Calibri"/>
          <w:color w:val="auto"/>
          <w:szCs w:val="22"/>
        </w:rPr>
        <w:t xml:space="preserve">Similar to the National Housing </w:t>
      </w:r>
      <w:r w:rsidRPr="00EE63AD">
        <w:rPr>
          <w:rFonts w:ascii="Calibri" w:hAnsi="Calibri" w:cs="Calibri"/>
          <w:color w:val="auto"/>
          <w:szCs w:val="22"/>
        </w:rPr>
        <w:t>Accord target of 1.2</w:t>
      </w:r>
      <w:r w:rsidR="0099326B" w:rsidRPr="00EE63AD">
        <w:rPr>
          <w:rFonts w:ascii="Calibri" w:hAnsi="Calibri" w:cs="Calibri"/>
          <w:color w:val="auto"/>
          <w:szCs w:val="22"/>
        </w:rPr>
        <w:t> million</w:t>
      </w:r>
      <w:r w:rsidRPr="00EE63AD">
        <w:rPr>
          <w:rFonts w:ascii="Calibri" w:hAnsi="Calibri" w:cs="Calibri"/>
          <w:color w:val="auto"/>
          <w:szCs w:val="22"/>
        </w:rPr>
        <w:t xml:space="preserve"> new well</w:t>
      </w:r>
      <w:r w:rsidR="00A15C79" w:rsidRPr="00EE63AD">
        <w:rPr>
          <w:rFonts w:ascii="Calibri" w:hAnsi="Calibri" w:cs="Calibri"/>
          <w:color w:val="auto"/>
          <w:szCs w:val="22"/>
        </w:rPr>
        <w:noBreakHyphen/>
      </w:r>
      <w:r w:rsidRPr="00EE63AD">
        <w:rPr>
          <w:rFonts w:ascii="Calibri" w:hAnsi="Calibri" w:cs="Calibri"/>
          <w:color w:val="auto"/>
          <w:szCs w:val="22"/>
        </w:rPr>
        <w:t>located homes, establishing an ambitious long</w:t>
      </w:r>
      <w:r w:rsidR="00A15C79" w:rsidRPr="00EE63AD">
        <w:rPr>
          <w:rFonts w:ascii="Calibri" w:hAnsi="Calibri" w:cs="Calibri"/>
          <w:color w:val="auto"/>
          <w:szCs w:val="22"/>
        </w:rPr>
        <w:noBreakHyphen/>
      </w:r>
      <w:r w:rsidRPr="00EE63AD">
        <w:rPr>
          <w:rFonts w:ascii="Calibri" w:hAnsi="Calibri" w:cs="Calibri"/>
          <w:color w:val="auto"/>
          <w:szCs w:val="22"/>
        </w:rPr>
        <w:t>term target for social and affordable housing would galvanise collective action to support those in housing need</w:t>
      </w:r>
      <w:r w:rsidR="001800A1" w:rsidRPr="00EE63AD">
        <w:rPr>
          <w:rFonts w:ascii="Calibri" w:hAnsi="Calibri" w:cs="Calibri"/>
          <w:color w:val="auto"/>
          <w:szCs w:val="22"/>
        </w:rPr>
        <w:t xml:space="preserve"> </w:t>
      </w:r>
      <w:r w:rsidRPr="00EE63AD">
        <w:rPr>
          <w:rFonts w:ascii="Calibri" w:hAnsi="Calibri" w:cs="Calibri"/>
          <w:color w:val="auto"/>
          <w:szCs w:val="22"/>
        </w:rPr>
        <w:t>and foster accountability for governments, industry and the community sector. Looking beyond the Council</w:t>
      </w:r>
      <w:r w:rsidR="00A15C79" w:rsidRPr="00EE63AD">
        <w:rPr>
          <w:rFonts w:ascii="Calibri" w:hAnsi="Calibri" w:cs="Calibri"/>
          <w:color w:val="auto"/>
          <w:szCs w:val="22"/>
        </w:rPr>
        <w:t>’</w:t>
      </w:r>
      <w:r w:rsidRPr="00EE63AD">
        <w:rPr>
          <w:rFonts w:ascii="Calibri" w:hAnsi="Calibri" w:cs="Calibri"/>
          <w:color w:val="auto"/>
          <w:szCs w:val="22"/>
        </w:rPr>
        <w:t>s medium</w:t>
      </w:r>
      <w:r w:rsidR="00A15C79" w:rsidRPr="00EE63AD">
        <w:rPr>
          <w:rFonts w:ascii="Calibri" w:hAnsi="Calibri" w:cs="Calibri"/>
          <w:color w:val="auto"/>
          <w:szCs w:val="22"/>
        </w:rPr>
        <w:noBreakHyphen/>
      </w:r>
      <w:r w:rsidRPr="00EE63AD">
        <w:rPr>
          <w:rFonts w:ascii="Calibri" w:hAnsi="Calibri" w:cs="Calibri"/>
          <w:color w:val="auto"/>
          <w:szCs w:val="22"/>
        </w:rPr>
        <w:t xml:space="preserve">term </w:t>
      </w:r>
      <w:r w:rsidR="00CD1AE7" w:rsidRPr="00EE63AD">
        <w:rPr>
          <w:rFonts w:ascii="Calibri" w:hAnsi="Calibri" w:cs="Calibri"/>
          <w:color w:val="auto"/>
          <w:szCs w:val="22"/>
        </w:rPr>
        <w:t>target</w:t>
      </w:r>
      <w:r w:rsidRPr="00EE63AD">
        <w:rPr>
          <w:rFonts w:ascii="Calibri" w:hAnsi="Calibri" w:cs="Calibri"/>
          <w:color w:val="auto"/>
          <w:szCs w:val="22"/>
        </w:rPr>
        <w:t xml:space="preserve"> of </w:t>
      </w:r>
      <w:r w:rsidR="00585254" w:rsidRPr="00EE63AD">
        <w:rPr>
          <w:rFonts w:ascii="Calibri" w:hAnsi="Calibri" w:cs="Calibri"/>
          <w:color w:val="auto"/>
          <w:szCs w:val="22"/>
        </w:rPr>
        <w:t>having</w:t>
      </w:r>
      <w:r w:rsidRPr="00EE63AD">
        <w:rPr>
          <w:rFonts w:ascii="Calibri" w:hAnsi="Calibri" w:cs="Calibri"/>
          <w:color w:val="auto"/>
          <w:szCs w:val="22"/>
        </w:rPr>
        <w:t xml:space="preserve"> social housing </w:t>
      </w:r>
      <w:r w:rsidR="00585254" w:rsidRPr="00EE63AD">
        <w:rPr>
          <w:rFonts w:ascii="Calibri" w:hAnsi="Calibri" w:cs="Calibri"/>
          <w:color w:val="auto"/>
          <w:szCs w:val="22"/>
        </w:rPr>
        <w:t>account for 6</w:t>
      </w:r>
      <w:r w:rsidR="0099326B" w:rsidRPr="00EE63AD">
        <w:rPr>
          <w:rFonts w:ascii="Calibri" w:hAnsi="Calibri" w:cs="Calibri"/>
          <w:color w:val="auto"/>
          <w:szCs w:val="22"/>
        </w:rPr>
        <w:t> per cent</w:t>
      </w:r>
      <w:r w:rsidR="00585254" w:rsidRPr="00EE63AD">
        <w:rPr>
          <w:rFonts w:ascii="Calibri" w:hAnsi="Calibri" w:cs="Calibri"/>
          <w:color w:val="auto"/>
          <w:szCs w:val="22"/>
        </w:rPr>
        <w:t xml:space="preserve"> of</w:t>
      </w:r>
      <w:r w:rsidR="00CD1AE7" w:rsidRPr="00EE63AD">
        <w:rPr>
          <w:rFonts w:ascii="Calibri" w:hAnsi="Calibri" w:cs="Calibri"/>
          <w:color w:val="auto"/>
          <w:szCs w:val="22"/>
        </w:rPr>
        <w:t xml:space="preserve"> the housing stock</w:t>
      </w:r>
      <w:r w:rsidRPr="00EE63AD">
        <w:rPr>
          <w:rFonts w:ascii="Calibri" w:hAnsi="Calibri" w:cs="Calibri"/>
          <w:color w:val="auto"/>
          <w:szCs w:val="22"/>
        </w:rPr>
        <w:t>, the Council is undertaking modelling work to determine current and expected levels of social and affordable housing need. This will inform the Council</w:t>
      </w:r>
      <w:r w:rsidR="00A15C79" w:rsidRPr="00EE63AD">
        <w:rPr>
          <w:rFonts w:ascii="Calibri" w:hAnsi="Calibri" w:cs="Calibri"/>
          <w:color w:val="auto"/>
          <w:szCs w:val="22"/>
        </w:rPr>
        <w:t>’</w:t>
      </w:r>
      <w:r w:rsidRPr="00EE63AD">
        <w:rPr>
          <w:rFonts w:ascii="Calibri" w:hAnsi="Calibri" w:cs="Calibri"/>
          <w:color w:val="auto"/>
          <w:szCs w:val="22"/>
        </w:rPr>
        <w:t>s long</w:t>
      </w:r>
      <w:r w:rsidR="00A15C79" w:rsidRPr="00EE63AD">
        <w:rPr>
          <w:rFonts w:ascii="Calibri" w:hAnsi="Calibri" w:cs="Calibri"/>
          <w:color w:val="auto"/>
          <w:szCs w:val="22"/>
        </w:rPr>
        <w:noBreakHyphen/>
      </w:r>
      <w:r w:rsidRPr="00EE63AD">
        <w:rPr>
          <w:rFonts w:ascii="Calibri" w:hAnsi="Calibri" w:cs="Calibri"/>
          <w:color w:val="auto"/>
          <w:szCs w:val="22"/>
        </w:rPr>
        <w:t>term target</w:t>
      </w:r>
      <w:r w:rsidR="007B2217" w:rsidRPr="00EE63AD">
        <w:rPr>
          <w:rFonts w:ascii="Calibri" w:hAnsi="Calibri" w:cs="Calibri"/>
          <w:color w:val="auto"/>
          <w:szCs w:val="22"/>
        </w:rPr>
        <w:t>s</w:t>
      </w:r>
      <w:r w:rsidRPr="00EE63AD">
        <w:rPr>
          <w:rFonts w:ascii="Calibri" w:hAnsi="Calibri" w:cs="Calibri"/>
          <w:color w:val="auto"/>
          <w:szCs w:val="22"/>
        </w:rPr>
        <w:t xml:space="preserve"> for social and affordable housing, which will be presented in </w:t>
      </w:r>
      <w:r w:rsidR="00462818" w:rsidRPr="00EE63AD">
        <w:rPr>
          <w:rStyle w:val="Emphasis"/>
        </w:rPr>
        <w:t xml:space="preserve">State of the Housing System </w:t>
      </w:r>
      <w:r w:rsidR="00790C5C" w:rsidRPr="00EE63AD">
        <w:rPr>
          <w:rStyle w:val="Emphasis"/>
        </w:rPr>
        <w:t>2026</w:t>
      </w:r>
      <w:r w:rsidRPr="00EE63AD">
        <w:rPr>
          <w:rFonts w:ascii="Calibri" w:hAnsi="Calibri" w:cs="Calibri"/>
          <w:color w:val="auto"/>
          <w:szCs w:val="22"/>
        </w:rPr>
        <w:t>.</w:t>
      </w:r>
    </w:p>
    <w:p w14:paraId="1E64C362" w14:textId="49F60669" w:rsidR="00791A68" w:rsidRPr="00D52922" w:rsidRDefault="00791A68">
      <w:pPr>
        <w:rPr>
          <w:rFonts w:ascii="Calibri" w:hAnsi="Calibri" w:cs="Calibri"/>
        </w:rPr>
      </w:pPr>
      <w:r w:rsidRPr="00EE63AD">
        <w:rPr>
          <w:rFonts w:ascii="Calibri" w:hAnsi="Calibri" w:cs="Calibri"/>
        </w:rPr>
        <w:t xml:space="preserve">The Council notes the significant commitment to social and affordable housing already made by </w:t>
      </w:r>
      <w:r w:rsidR="0099326B" w:rsidRPr="00EE63AD">
        <w:rPr>
          <w:rFonts w:ascii="Calibri" w:hAnsi="Calibri" w:cs="Calibri"/>
        </w:rPr>
        <w:t>Australian Government</w:t>
      </w:r>
      <w:r w:rsidRPr="00EE63AD">
        <w:rPr>
          <w:rFonts w:ascii="Calibri" w:hAnsi="Calibri" w:cs="Calibri"/>
        </w:rPr>
        <w:t>s. However, existing programs will not be enough to raise the share of social housing to meet the Council</w:t>
      </w:r>
      <w:r w:rsidR="00A15C79" w:rsidRPr="00EE63AD">
        <w:rPr>
          <w:rFonts w:ascii="Calibri" w:hAnsi="Calibri" w:cs="Calibri"/>
        </w:rPr>
        <w:t>’</w:t>
      </w:r>
      <w:r w:rsidRPr="00EE63AD">
        <w:rPr>
          <w:rFonts w:ascii="Calibri" w:hAnsi="Calibri" w:cs="Calibri"/>
        </w:rPr>
        <w:t xml:space="preserve">s goal. </w:t>
      </w:r>
      <w:r w:rsidR="0099326B" w:rsidRPr="00EE63AD">
        <w:rPr>
          <w:rFonts w:ascii="Calibri" w:hAnsi="Calibri" w:cs="Calibri"/>
        </w:rPr>
        <w:t>Australian Government</w:t>
      </w:r>
      <w:r w:rsidRPr="00EE63AD">
        <w:rPr>
          <w:rFonts w:ascii="Calibri" w:hAnsi="Calibri" w:cs="Calibri"/>
        </w:rPr>
        <w:t xml:space="preserve">s will need to increase investment well above current levels, while considering how this </w:t>
      </w:r>
      <w:r w:rsidR="008E1242" w:rsidRPr="00EE63AD">
        <w:rPr>
          <w:rFonts w:ascii="Calibri" w:hAnsi="Calibri" w:cs="Calibri"/>
        </w:rPr>
        <w:t>will</w:t>
      </w:r>
      <w:r w:rsidRPr="00EE63AD">
        <w:rPr>
          <w:rFonts w:ascii="Calibri" w:hAnsi="Calibri" w:cs="Calibri"/>
        </w:rPr>
        <w:t xml:space="preserve"> interact with the private housing market, to ensure construction capacity and land availability </w:t>
      </w:r>
      <w:r w:rsidR="008E4130" w:rsidRPr="00EE63AD">
        <w:rPr>
          <w:rFonts w:ascii="Calibri" w:hAnsi="Calibri" w:cs="Calibri"/>
        </w:rPr>
        <w:t xml:space="preserve">are </w:t>
      </w:r>
      <w:r w:rsidRPr="00EE63AD">
        <w:rPr>
          <w:rFonts w:ascii="Calibri" w:hAnsi="Calibri" w:cs="Calibri"/>
        </w:rPr>
        <w:t>not crowded out.</w:t>
      </w:r>
      <w:r w:rsidRPr="00D52922">
        <w:rPr>
          <w:rFonts w:ascii="Calibri" w:hAnsi="Calibri" w:cs="Calibri"/>
        </w:rPr>
        <w:t xml:space="preserve"> </w:t>
      </w:r>
    </w:p>
    <w:p w14:paraId="1AA83955" w14:textId="5558E26B" w:rsidR="00791A68" w:rsidRDefault="00791A68">
      <w:pPr>
        <w:rPr>
          <w:rFonts w:ascii="Calibri" w:hAnsi="Calibri" w:cs="Calibri"/>
        </w:rPr>
      </w:pPr>
      <w:r w:rsidRPr="00D52922">
        <w:rPr>
          <w:szCs w:val="22"/>
        </w:rPr>
        <w:t xml:space="preserve">Ongoing and predictable investment in social and affordable housing can help stabilise construction activity while improving confidence in </w:t>
      </w:r>
      <w:r w:rsidR="008E4130">
        <w:rPr>
          <w:szCs w:val="22"/>
        </w:rPr>
        <w:t xml:space="preserve">the </w:t>
      </w:r>
      <w:r w:rsidRPr="00D52922">
        <w:rPr>
          <w:szCs w:val="22"/>
        </w:rPr>
        <w:t>long</w:t>
      </w:r>
      <w:r w:rsidR="00A15C79">
        <w:rPr>
          <w:szCs w:val="22"/>
        </w:rPr>
        <w:noBreakHyphen/>
      </w:r>
      <w:r w:rsidRPr="00D52922">
        <w:rPr>
          <w:szCs w:val="22"/>
        </w:rPr>
        <w:t xml:space="preserve">term viability of the </w:t>
      </w:r>
      <w:r w:rsidRPr="00BF101F">
        <w:rPr>
          <w:szCs w:val="22"/>
        </w:rPr>
        <w:t xml:space="preserve">sector. </w:t>
      </w:r>
      <w:r w:rsidR="00102CCC" w:rsidRPr="00BF101F">
        <w:rPr>
          <w:szCs w:val="22"/>
        </w:rPr>
        <w:t xml:space="preserve">It </w:t>
      </w:r>
      <w:r w:rsidR="00812589" w:rsidRPr="00BF101F">
        <w:rPr>
          <w:szCs w:val="22"/>
        </w:rPr>
        <w:t xml:space="preserve">can </w:t>
      </w:r>
      <w:r w:rsidR="00102CCC" w:rsidRPr="00BF101F">
        <w:rPr>
          <w:szCs w:val="22"/>
        </w:rPr>
        <w:t xml:space="preserve">also </w:t>
      </w:r>
      <w:r w:rsidR="00812589" w:rsidRPr="00BF101F">
        <w:rPr>
          <w:szCs w:val="22"/>
        </w:rPr>
        <w:t>support additional investment by the private and not-for-profit sectors. Government i</w:t>
      </w:r>
      <w:r w:rsidRPr="00BF101F">
        <w:rPr>
          <w:rFonts w:ascii="Calibri" w:hAnsi="Calibri" w:cs="Calibri"/>
        </w:rPr>
        <w:t>nvestment</w:t>
      </w:r>
      <w:r w:rsidRPr="00D52922">
        <w:rPr>
          <w:rFonts w:ascii="Calibri" w:hAnsi="Calibri" w:cs="Calibri"/>
        </w:rPr>
        <w:t xml:space="preserve"> should be made through proven mechanisms that are well</w:t>
      </w:r>
      <w:r w:rsidR="008E4130">
        <w:rPr>
          <w:rFonts w:ascii="Calibri" w:hAnsi="Calibri" w:cs="Calibri"/>
        </w:rPr>
        <w:t xml:space="preserve"> </w:t>
      </w:r>
      <w:r w:rsidRPr="00D52922">
        <w:rPr>
          <w:rFonts w:ascii="Calibri" w:hAnsi="Calibri" w:cs="Calibri"/>
        </w:rPr>
        <w:t xml:space="preserve">governed, efficient and accountable. </w:t>
      </w:r>
    </w:p>
    <w:tbl>
      <w:tblPr>
        <w:tblW w:w="5000" w:type="pct"/>
        <w:shd w:val="clear" w:color="auto" w:fill="F2E3C7" w:themeFill="background2"/>
        <w:tblCellMar>
          <w:top w:w="284" w:type="dxa"/>
          <w:left w:w="284" w:type="dxa"/>
          <w:bottom w:w="284" w:type="dxa"/>
          <w:right w:w="284" w:type="dxa"/>
        </w:tblCellMar>
        <w:tblLook w:val="0600" w:firstRow="0" w:lastRow="0" w:firstColumn="0" w:lastColumn="0" w:noHBand="1" w:noVBand="1"/>
      </w:tblPr>
      <w:tblGrid>
        <w:gridCol w:w="9070"/>
      </w:tblGrid>
      <w:tr w:rsidR="001B4EAF" w14:paraId="0FD8C489" w14:textId="77777777" w:rsidTr="001B4EAF">
        <w:trPr>
          <w:trHeight w:val="1361"/>
        </w:trPr>
        <w:tc>
          <w:tcPr>
            <w:tcW w:w="5000" w:type="pct"/>
            <w:shd w:val="clear" w:color="auto" w:fill="F2E3C7" w:themeFill="background2"/>
            <w:hideMark/>
          </w:tcPr>
          <w:p w14:paraId="24629B09" w14:textId="77777777" w:rsidR="001B4EAF" w:rsidRDefault="001B4EAF" w:rsidP="00F22DA3">
            <w:pPr>
              <w:pStyle w:val="BoxHeading"/>
              <w:keepNext w:val="0"/>
              <w:spacing w:after="0"/>
            </w:pPr>
            <w:r w:rsidRPr="001B4EAF">
              <w:t>Recommendation 1.1a</w:t>
            </w:r>
          </w:p>
          <w:p w14:paraId="16964B3B" w14:textId="07B3B91F" w:rsidR="001B4EAF" w:rsidRDefault="001B4EAF" w:rsidP="001B4EAF">
            <w:pPr>
              <w:pStyle w:val="BoxText"/>
            </w:pPr>
            <w:r>
              <w:t>Governments</w:t>
            </w:r>
            <w:r w:rsidR="006D1AEB">
              <w:t>,</w:t>
            </w:r>
            <w:r>
              <w:t xml:space="preserve"> </w:t>
            </w:r>
            <w:r w:rsidR="006D1AEB" w:rsidRPr="006D1AEB">
              <w:t xml:space="preserve">and the private and not-for-profit sectors, </w:t>
            </w:r>
            <w:r>
              <w:t xml:space="preserve">should commit to consistent investment in social and affordable housing to restore the proportion of social housing to 6 per cent of the housing stock over the medium term. </w:t>
            </w:r>
          </w:p>
          <w:p w14:paraId="1ED0C44B" w14:textId="77777777" w:rsidR="001B4EAF" w:rsidRDefault="001B4EAF" w:rsidP="001B4EAF">
            <w:pPr>
              <w:pStyle w:val="BoxHeading"/>
            </w:pPr>
            <w:r>
              <w:t>Recommendation 1.1b</w:t>
            </w:r>
          </w:p>
          <w:p w14:paraId="4C4F0DFF" w14:textId="64819DCC" w:rsidR="001B4EAF" w:rsidRDefault="001B4EAF" w:rsidP="001B4EAF">
            <w:pPr>
              <w:pStyle w:val="BoxText"/>
            </w:pPr>
            <w:r>
              <w:t xml:space="preserve">Governments should commit to a long term target for social and affordable housing – to be as high as 10 per cent of the housing stock – that minimises housing stress for low income households. </w:t>
            </w:r>
          </w:p>
        </w:tc>
      </w:tr>
    </w:tbl>
    <w:p w14:paraId="1023A0FC" w14:textId="77777777" w:rsidR="00E17686" w:rsidRDefault="00E17686" w:rsidP="00E17686">
      <w:r>
        <w:br w:type="page"/>
      </w:r>
    </w:p>
    <w:p w14:paraId="64F90E76" w14:textId="24D8117D" w:rsidR="002014BF" w:rsidRPr="00285514" w:rsidRDefault="00495A5C" w:rsidP="00F22DA3">
      <w:pPr>
        <w:pStyle w:val="Heading3Numbered"/>
        <w:keepNext w:val="0"/>
        <w:spacing w:after="100"/>
      </w:pPr>
      <w:r w:rsidRPr="00285514">
        <w:lastRenderedPageBreak/>
        <w:t>I</w:t>
      </w:r>
      <w:r w:rsidR="002014BF" w:rsidRPr="00285514">
        <w:t>nclu</w:t>
      </w:r>
      <w:r w:rsidR="00B05EC0" w:rsidRPr="00285514">
        <w:t xml:space="preserve">sionary zoning </w:t>
      </w:r>
    </w:p>
    <w:p w14:paraId="09A9B942" w14:textId="7EBAD27F" w:rsidR="00791A68" w:rsidRPr="00D52922" w:rsidRDefault="00791A68" w:rsidP="00F22DA3">
      <w:pPr>
        <w:spacing w:before="180" w:after="200"/>
      </w:pPr>
      <w:r w:rsidRPr="002949B5">
        <w:t>Inclusionary zoning is a mechanism that can deliver non</w:t>
      </w:r>
      <w:r w:rsidR="00A15C79" w:rsidRPr="002949B5">
        <w:noBreakHyphen/>
      </w:r>
      <w:r w:rsidRPr="002949B5">
        <w:t xml:space="preserve">market housing to meet housing needs. It refers to </w:t>
      </w:r>
      <w:r w:rsidR="00B44657" w:rsidRPr="002949B5">
        <w:t>government policy that</w:t>
      </w:r>
      <w:r w:rsidR="00D35CBA" w:rsidRPr="002949B5">
        <w:t xml:space="preserve"> </w:t>
      </w:r>
      <w:r w:rsidR="00B44657" w:rsidRPr="002949B5">
        <w:t>‘</w:t>
      </w:r>
      <w:r w:rsidRPr="002949B5">
        <w:t>either</w:t>
      </w:r>
      <w:r w:rsidRPr="00D52922">
        <w:t xml:space="preserve"> mandate</w:t>
      </w:r>
      <w:r w:rsidR="00B44657">
        <w:t>s</w:t>
      </w:r>
      <w:r w:rsidRPr="00D52922">
        <w:t xml:space="preserve"> or create</w:t>
      </w:r>
      <w:r w:rsidR="00B44657">
        <w:t>s</w:t>
      </w:r>
      <w:r w:rsidRPr="00D52922">
        <w:t xml:space="preserve"> incentives so that a proportion of a residential development includes a number of social or affordable housing dwellings</w:t>
      </w:r>
      <w:r w:rsidR="00B44657">
        <w:t>’</w:t>
      </w:r>
      <w:r w:rsidR="00D35CBA">
        <w:t xml:space="preserve"> </w:t>
      </w:r>
      <w:r w:rsidRPr="00D52922">
        <w:t xml:space="preserve">AHURI 2023). Inclusionary zoning may be mandatory or voluntary. Mandatory schemes require the provision of affordable housing as a condition </w:t>
      </w:r>
      <w:r w:rsidR="00CC2C0A">
        <w:t>of</w:t>
      </w:r>
      <w:r w:rsidRPr="00D52922">
        <w:t xml:space="preserve"> planning approval, while voluntary schemes encourage the provision of affordable housing through incentives such as density bonuses (AHURI</w:t>
      </w:r>
      <w:r w:rsidR="00367597">
        <w:t xml:space="preserve"> </w:t>
      </w:r>
      <w:r w:rsidRPr="00D52922">
        <w:t>2</w:t>
      </w:r>
      <w:r w:rsidR="0059241B">
        <w:t>023</w:t>
      </w:r>
      <w:r w:rsidRPr="00D52922">
        <w:t>). In Australia, mandatory schemes have been suggested as the most likely source of large</w:t>
      </w:r>
      <w:r w:rsidR="00A15C79">
        <w:noBreakHyphen/>
      </w:r>
      <w:r w:rsidRPr="00D52922">
        <w:t>scale affordable housing (Rowley et al</w:t>
      </w:r>
      <w:r w:rsidR="00CC2C0A">
        <w:t>.</w:t>
      </w:r>
      <w:r w:rsidR="00367597">
        <w:t xml:space="preserve"> </w:t>
      </w:r>
      <w:r w:rsidRPr="00D52922">
        <w:t xml:space="preserve">2022). A key benefit of inclusionary zoning is </w:t>
      </w:r>
      <w:r w:rsidR="00E16B92">
        <w:t xml:space="preserve">the </w:t>
      </w:r>
      <w:r w:rsidRPr="00D52922">
        <w:t>provision of social and affordable housing for low</w:t>
      </w:r>
      <w:r w:rsidR="00A15C79">
        <w:noBreakHyphen/>
      </w:r>
      <w:r w:rsidRPr="00D52922">
        <w:t>income key workers in well</w:t>
      </w:r>
      <w:r w:rsidR="00A15C79">
        <w:noBreakHyphen/>
      </w:r>
      <w:r w:rsidRPr="00D52922">
        <w:t>located areas (AHURI</w:t>
      </w:r>
      <w:r w:rsidR="001B4EAF">
        <w:t> </w:t>
      </w:r>
      <w:r w:rsidRPr="00D52922">
        <w:t xml:space="preserve">2023). </w:t>
      </w:r>
    </w:p>
    <w:p w14:paraId="4F34CA21" w14:textId="47E893FD" w:rsidR="00791A68" w:rsidRPr="00D52922" w:rsidRDefault="00791A68" w:rsidP="00F22DA3">
      <w:pPr>
        <w:spacing w:before="200" w:after="200"/>
      </w:pPr>
      <w:r w:rsidRPr="00D52922">
        <w:t>Several inclusionary zoning schemes exist across Australia. South Australia has the only statewide inclusionary zoning scheme, which was introduced in 2005 (Gurran et al</w:t>
      </w:r>
      <w:r w:rsidR="00E16B92">
        <w:t>.</w:t>
      </w:r>
      <w:r w:rsidRPr="00D52922">
        <w:t xml:space="preserve"> 2018). In</w:t>
      </w:r>
      <w:r w:rsidRPr="00D52922" w:rsidDel="00BA1580">
        <w:t xml:space="preserve"> </w:t>
      </w:r>
      <w:r w:rsidRPr="00D52922">
        <w:t xml:space="preserve">other states and territories, inclusionary zoning schemes are relatively ad hoc and led by </w:t>
      </w:r>
      <w:r w:rsidRPr="002949B5">
        <w:t>local governments with guidance from state governments</w:t>
      </w:r>
      <w:r w:rsidR="00A84E77" w:rsidRPr="002949B5">
        <w:t xml:space="preserve">. For example, </w:t>
      </w:r>
      <w:r w:rsidR="006D7F7F" w:rsidRPr="002949B5">
        <w:t xml:space="preserve">local government areas </w:t>
      </w:r>
      <w:r w:rsidR="00D47D49" w:rsidRPr="002949B5">
        <w:t>in New South Wales</w:t>
      </w:r>
      <w:r w:rsidR="006D7F7F" w:rsidRPr="002949B5">
        <w:t xml:space="preserve"> may create affordable housing contribution schemes if there is an identified need for affordable housing under</w:t>
      </w:r>
      <w:r w:rsidR="00506BE3" w:rsidRPr="002949B5">
        <w:t xml:space="preserve"> state planning rules </w:t>
      </w:r>
      <w:r w:rsidRPr="002949B5">
        <w:t xml:space="preserve">(NSW Government 2019). A recent draft scheme for </w:t>
      </w:r>
      <w:r w:rsidR="00ED3545" w:rsidRPr="002949B5">
        <w:t>5</w:t>
      </w:r>
      <w:r w:rsidRPr="002949B5">
        <w:t xml:space="preserve"> Western Sydney councils proposes a modest monetary contribution from some new developments as a condition of development approval</w:t>
      </w:r>
      <w:r w:rsidR="00D00894" w:rsidRPr="002949B5">
        <w:t xml:space="preserve"> to commence in 2028</w:t>
      </w:r>
      <w:r w:rsidRPr="002949B5">
        <w:t xml:space="preserve">, with contributions used to provide affordable rental housing in Western Sydney (Blacktown City Council 2025). The </w:t>
      </w:r>
      <w:r w:rsidR="00D47D49" w:rsidRPr="002949B5">
        <w:t>New South Wales</w:t>
      </w:r>
      <w:r w:rsidRPr="002949B5">
        <w:t xml:space="preserve"> </w:t>
      </w:r>
      <w:r w:rsidR="00364A3B" w:rsidRPr="002949B5">
        <w:t>G</w:t>
      </w:r>
      <w:r w:rsidRPr="002949B5">
        <w:t>overnment also recently introduced a voluntary scheme</w:t>
      </w:r>
      <w:r w:rsidR="00607AF3" w:rsidRPr="002949B5">
        <w:t>,</w:t>
      </w:r>
      <w:r w:rsidRPr="002949B5">
        <w:t xml:space="preserve"> providing density bonuses on infill developments</w:t>
      </w:r>
      <w:r w:rsidR="00607AF3" w:rsidRPr="002949B5">
        <w:t>, to encourage developers to make affordable housing contributions</w:t>
      </w:r>
      <w:r w:rsidRPr="002949B5">
        <w:t xml:space="preserve"> (NSW Government 202</w:t>
      </w:r>
      <w:r w:rsidR="005F3747" w:rsidRPr="002949B5">
        <w:t>5a</w:t>
      </w:r>
      <w:r w:rsidRPr="002949B5">
        <w:t>).</w:t>
      </w:r>
      <w:r w:rsidRPr="00D52922">
        <w:t xml:space="preserve"> </w:t>
      </w:r>
    </w:p>
    <w:p w14:paraId="373B33D3" w14:textId="5C3BDE98" w:rsidR="00791A68" w:rsidRDefault="00791A68" w:rsidP="00F22DA3">
      <w:pPr>
        <w:spacing w:before="200" w:after="200"/>
      </w:pPr>
      <w:r w:rsidRPr="00D52922">
        <w:t xml:space="preserve">To support the </w:t>
      </w:r>
      <w:r w:rsidR="002314C0">
        <w:t>increase</w:t>
      </w:r>
      <w:r w:rsidRPr="00D52922">
        <w:t xml:space="preserve"> in social and affordable housing to meet unmet housing need, the Council recommends </w:t>
      </w:r>
      <w:r w:rsidR="002314C0">
        <w:t xml:space="preserve">introducing </w:t>
      </w:r>
      <w:r w:rsidRPr="00D52922">
        <w:t>a mandatory, uniform and low</w:t>
      </w:r>
      <w:r w:rsidR="00A15C79">
        <w:noBreakHyphen/>
      </w:r>
      <w:r w:rsidRPr="00D52922">
        <w:t xml:space="preserve">contribution </w:t>
      </w:r>
      <w:r w:rsidR="007D2157">
        <w:t>approach to inclusionary zoning</w:t>
      </w:r>
      <w:r w:rsidRPr="00D52922">
        <w:t xml:space="preserve"> nationally. Mandatory inclusionary zoning requires a well</w:t>
      </w:r>
      <w:r w:rsidR="00A15C79">
        <w:noBreakHyphen/>
      </w:r>
      <w:r w:rsidRPr="00D52922">
        <w:t>designed, efficient and consistent policy that allows sites to absorb costs without undue impact on the feasibility of projects (Rowley et al</w:t>
      </w:r>
      <w:r w:rsidR="00122BB7">
        <w:t>.</w:t>
      </w:r>
      <w:r w:rsidRPr="00D52922">
        <w:t xml:space="preserve"> 2022). A </w:t>
      </w:r>
      <w:r w:rsidR="007D2157">
        <w:t xml:space="preserve">mandatory, </w:t>
      </w:r>
      <w:r w:rsidRPr="00D52922">
        <w:t>uniform</w:t>
      </w:r>
      <w:r w:rsidR="007D2157">
        <w:t xml:space="preserve"> and low</w:t>
      </w:r>
      <w:r w:rsidR="00A15C79">
        <w:noBreakHyphen/>
      </w:r>
      <w:r w:rsidR="007D2157">
        <w:t>contribution</w:t>
      </w:r>
      <w:r w:rsidRPr="00D52922">
        <w:t xml:space="preserve"> scheme would also be more effective than ad hoc affordable housing contributions. While the scheme should </w:t>
      </w:r>
      <w:r w:rsidR="00CF633E">
        <w:t>be</w:t>
      </w:r>
      <w:r w:rsidRPr="00D52922">
        <w:t xml:space="preserve"> somewhat flexible </w:t>
      </w:r>
      <w:r w:rsidR="00CF633E">
        <w:t>for</w:t>
      </w:r>
      <w:r w:rsidR="00CF633E" w:rsidRPr="00D52922">
        <w:t xml:space="preserve"> </w:t>
      </w:r>
      <w:r w:rsidRPr="00D52922">
        <w:t>tailor</w:t>
      </w:r>
      <w:r w:rsidR="00CF633E">
        <w:t>ing</w:t>
      </w:r>
      <w:r w:rsidRPr="00D52922">
        <w:t xml:space="preserve"> to local conditions, this should only be required if supported by strong location</w:t>
      </w:r>
      <w:r w:rsidR="00A15C79">
        <w:noBreakHyphen/>
      </w:r>
      <w:r w:rsidRPr="00D52922">
        <w:t xml:space="preserve">based evidence (ACT Government 2022). A mandatory scheme would need to be phased in to allow developers to factor higher costs into </w:t>
      </w:r>
      <w:r w:rsidR="00A00327">
        <w:t xml:space="preserve">project feasibility </w:t>
      </w:r>
      <w:r w:rsidR="008D41FE">
        <w:t>assessments</w:t>
      </w:r>
      <w:r w:rsidRPr="00D52922">
        <w:t xml:space="preserve">. </w:t>
      </w:r>
    </w:p>
    <w:tbl>
      <w:tblPr>
        <w:tblW w:w="5000" w:type="pct"/>
        <w:shd w:val="clear" w:color="auto" w:fill="F2E3C7" w:themeFill="background2"/>
        <w:tblCellMar>
          <w:top w:w="284" w:type="dxa"/>
          <w:left w:w="284" w:type="dxa"/>
          <w:bottom w:w="284" w:type="dxa"/>
          <w:right w:w="284" w:type="dxa"/>
        </w:tblCellMar>
        <w:tblLook w:val="0600" w:firstRow="0" w:lastRow="0" w:firstColumn="0" w:lastColumn="0" w:noHBand="1" w:noVBand="1"/>
      </w:tblPr>
      <w:tblGrid>
        <w:gridCol w:w="9070"/>
      </w:tblGrid>
      <w:tr w:rsidR="001B4EAF" w14:paraId="277DC473" w14:textId="77777777">
        <w:tc>
          <w:tcPr>
            <w:tcW w:w="5000" w:type="pct"/>
            <w:shd w:val="clear" w:color="auto" w:fill="F2E3C7" w:themeFill="background2"/>
            <w:hideMark/>
          </w:tcPr>
          <w:p w14:paraId="18A436A8" w14:textId="77777777" w:rsidR="001B4EAF" w:rsidRDefault="001B4EAF" w:rsidP="00F22DA3">
            <w:pPr>
              <w:pStyle w:val="BoxHeading"/>
              <w:spacing w:before="100"/>
            </w:pPr>
            <w:r>
              <w:t>Recommendation 1.2</w:t>
            </w:r>
          </w:p>
          <w:p w14:paraId="5AE1E792" w14:textId="6ED199A1" w:rsidR="001B4EAF" w:rsidRDefault="001B4EAF" w:rsidP="00F22DA3">
            <w:pPr>
              <w:pStyle w:val="BoxText"/>
              <w:spacing w:before="100" w:after="100"/>
            </w:pPr>
            <w:r>
              <w:t xml:space="preserve">The Australian and state governments should work together to implement a low, uniform inclusionary zoning target across jurisdictions. </w:t>
            </w:r>
          </w:p>
        </w:tc>
      </w:tr>
    </w:tbl>
    <w:p w14:paraId="1DDB322B" w14:textId="0C793A80" w:rsidR="00791A68" w:rsidRPr="00D52922" w:rsidRDefault="00791A68" w:rsidP="00F63812">
      <w:pPr>
        <w:pStyle w:val="Heading3Numbered"/>
      </w:pPr>
      <w:r w:rsidRPr="00D52922">
        <w:t xml:space="preserve">Supporting </w:t>
      </w:r>
      <w:r w:rsidR="0099326B">
        <w:t>First Nations</w:t>
      </w:r>
      <w:r w:rsidRPr="00D52922">
        <w:t xml:space="preserve"> housing organisations</w:t>
      </w:r>
    </w:p>
    <w:p w14:paraId="1D7300B1" w14:textId="2BC81480" w:rsidR="001B4EAF" w:rsidRDefault="00791A68" w:rsidP="00F22DA3">
      <w:pPr>
        <w:spacing w:before="200"/>
        <w:rPr>
          <w:rFonts w:ascii="Calibri" w:hAnsi="Calibri" w:cs="Calibri"/>
        </w:rPr>
      </w:pPr>
      <w:r w:rsidRPr="00D52922">
        <w:rPr>
          <w:rFonts w:ascii="Calibri" w:hAnsi="Calibri" w:cs="Calibri"/>
        </w:rPr>
        <w:t xml:space="preserve">As </w:t>
      </w:r>
      <w:r w:rsidRPr="002949B5">
        <w:rPr>
          <w:rFonts w:ascii="Calibri" w:hAnsi="Calibri" w:cs="Calibri"/>
        </w:rPr>
        <w:t xml:space="preserve">discussed in Chapter 6, </w:t>
      </w:r>
      <w:r w:rsidR="00181BF3" w:rsidRPr="00632C6D">
        <w:rPr>
          <w:rStyle w:val="Emphasis"/>
        </w:rPr>
        <w:t>First Nations housing</w:t>
      </w:r>
      <w:r w:rsidR="00181BF3" w:rsidRPr="002949B5">
        <w:rPr>
          <w:rFonts w:ascii="Calibri" w:hAnsi="Calibri" w:cs="Calibri"/>
        </w:rPr>
        <w:t xml:space="preserve">, </w:t>
      </w:r>
      <w:r w:rsidR="0099326B" w:rsidRPr="002949B5">
        <w:rPr>
          <w:rFonts w:ascii="Calibri" w:hAnsi="Calibri" w:cs="Calibri"/>
        </w:rPr>
        <w:t>First Nations</w:t>
      </w:r>
      <w:r w:rsidRPr="002949B5">
        <w:rPr>
          <w:rFonts w:ascii="Calibri" w:hAnsi="Calibri" w:cs="Calibri"/>
        </w:rPr>
        <w:t xml:space="preserve"> community leaders have expressed concern that social and affordable housing policies are not well tailored to </w:t>
      </w:r>
      <w:r w:rsidR="0099326B" w:rsidRPr="002949B5">
        <w:rPr>
          <w:rFonts w:ascii="Calibri" w:hAnsi="Calibri" w:cs="Calibri"/>
        </w:rPr>
        <w:t>First Nations</w:t>
      </w:r>
      <w:r w:rsidRPr="002949B5">
        <w:rPr>
          <w:rFonts w:ascii="Calibri" w:hAnsi="Calibri" w:cs="Calibri"/>
        </w:rPr>
        <w:t xml:space="preserve"> people.</w:t>
      </w:r>
      <w:r w:rsidR="00181BF3" w:rsidRPr="002949B5">
        <w:rPr>
          <w:rFonts w:ascii="Calibri" w:hAnsi="Calibri" w:cs="Calibri"/>
        </w:rPr>
        <w:t xml:space="preserve"> G</w:t>
      </w:r>
      <w:r w:rsidRPr="002949B5">
        <w:rPr>
          <w:rFonts w:ascii="Calibri" w:hAnsi="Calibri" w:cs="Calibri"/>
        </w:rPr>
        <w:t>overnments must continue to work towards achieving housing outcomes that are culturally appropriate and respon</w:t>
      </w:r>
      <w:r w:rsidR="00C82091" w:rsidRPr="002949B5">
        <w:rPr>
          <w:rFonts w:ascii="Calibri" w:hAnsi="Calibri" w:cs="Calibri"/>
        </w:rPr>
        <w:t>d</w:t>
      </w:r>
      <w:r w:rsidRPr="002949B5">
        <w:rPr>
          <w:rFonts w:ascii="Calibri" w:hAnsi="Calibri" w:cs="Calibri"/>
        </w:rPr>
        <w:t xml:space="preserve"> to </w:t>
      </w:r>
      <w:r w:rsidR="00C82091" w:rsidRPr="002949B5">
        <w:rPr>
          <w:rFonts w:ascii="Calibri" w:hAnsi="Calibri" w:cs="Calibri"/>
        </w:rPr>
        <w:t>people</w:t>
      </w:r>
      <w:r w:rsidR="00A15C79" w:rsidRPr="002949B5">
        <w:rPr>
          <w:rFonts w:ascii="Calibri" w:hAnsi="Calibri" w:cs="Calibri"/>
        </w:rPr>
        <w:t>’</w:t>
      </w:r>
      <w:r w:rsidR="00C82091" w:rsidRPr="002949B5">
        <w:rPr>
          <w:rFonts w:ascii="Calibri" w:hAnsi="Calibri" w:cs="Calibri"/>
        </w:rPr>
        <w:t>s</w:t>
      </w:r>
      <w:r w:rsidR="00C82091">
        <w:rPr>
          <w:rFonts w:ascii="Calibri" w:hAnsi="Calibri" w:cs="Calibri"/>
        </w:rPr>
        <w:t xml:space="preserve"> </w:t>
      </w:r>
      <w:r w:rsidRPr="00D52922">
        <w:rPr>
          <w:rFonts w:ascii="Calibri" w:hAnsi="Calibri" w:cs="Calibri"/>
        </w:rPr>
        <w:t>needs in way</w:t>
      </w:r>
      <w:r w:rsidR="00C82091">
        <w:rPr>
          <w:rFonts w:ascii="Calibri" w:hAnsi="Calibri" w:cs="Calibri"/>
        </w:rPr>
        <w:t>s</w:t>
      </w:r>
      <w:r w:rsidRPr="00D52922">
        <w:rPr>
          <w:rFonts w:ascii="Calibri" w:hAnsi="Calibri" w:cs="Calibri"/>
        </w:rPr>
        <w:t xml:space="preserve"> that support self</w:t>
      </w:r>
      <w:r w:rsidR="00A15C79">
        <w:rPr>
          <w:rFonts w:ascii="Calibri" w:hAnsi="Calibri" w:cs="Calibri"/>
        </w:rPr>
        <w:noBreakHyphen/>
      </w:r>
      <w:r w:rsidRPr="00D52922">
        <w:rPr>
          <w:rFonts w:ascii="Calibri" w:hAnsi="Calibri" w:cs="Calibri"/>
        </w:rPr>
        <w:t xml:space="preserve">determination. In addition, governments should provide greater financial support to </w:t>
      </w:r>
      <w:r w:rsidR="0099326B">
        <w:rPr>
          <w:rFonts w:ascii="Calibri" w:hAnsi="Calibri" w:cs="Calibri"/>
        </w:rPr>
        <w:t>First Nations</w:t>
      </w:r>
      <w:r w:rsidRPr="00D52922">
        <w:rPr>
          <w:rFonts w:ascii="Calibri" w:hAnsi="Calibri" w:cs="Calibri"/>
        </w:rPr>
        <w:t xml:space="preserve"> housing organisations </w:t>
      </w:r>
      <w:r w:rsidR="00952393">
        <w:rPr>
          <w:rFonts w:ascii="Calibri" w:hAnsi="Calibri" w:cs="Calibri"/>
        </w:rPr>
        <w:t xml:space="preserve">so they </w:t>
      </w:r>
      <w:r w:rsidR="00E80177">
        <w:rPr>
          <w:rFonts w:ascii="Calibri" w:hAnsi="Calibri" w:cs="Calibri"/>
        </w:rPr>
        <w:t>can</w:t>
      </w:r>
      <w:r w:rsidRPr="00D52922">
        <w:rPr>
          <w:rFonts w:ascii="Calibri" w:hAnsi="Calibri" w:cs="Calibri"/>
        </w:rPr>
        <w:t xml:space="preserve"> thrive and deliver housing for people in need. Moving towards self</w:t>
      </w:r>
      <w:r w:rsidR="00A15C79">
        <w:rPr>
          <w:rFonts w:ascii="Calibri" w:hAnsi="Calibri" w:cs="Calibri"/>
        </w:rPr>
        <w:noBreakHyphen/>
      </w:r>
      <w:r w:rsidRPr="00D52922">
        <w:rPr>
          <w:rFonts w:ascii="Calibri" w:hAnsi="Calibri" w:cs="Calibri"/>
        </w:rPr>
        <w:t xml:space="preserve">determination is essential to closing the gap on </w:t>
      </w:r>
      <w:r w:rsidR="0099326B">
        <w:rPr>
          <w:rFonts w:ascii="Calibri" w:hAnsi="Calibri" w:cs="Calibri"/>
        </w:rPr>
        <w:t>First Nations</w:t>
      </w:r>
      <w:r w:rsidRPr="00D52922">
        <w:rPr>
          <w:rFonts w:ascii="Calibri" w:hAnsi="Calibri" w:cs="Calibri"/>
        </w:rPr>
        <w:t xml:space="preserve"> housing and homelessness outcomes. </w:t>
      </w:r>
    </w:p>
    <w:tbl>
      <w:tblPr>
        <w:tblW w:w="5000" w:type="pct"/>
        <w:shd w:val="clear" w:color="auto" w:fill="F2E3C7" w:themeFill="background2"/>
        <w:tblCellMar>
          <w:top w:w="284" w:type="dxa"/>
          <w:left w:w="284" w:type="dxa"/>
          <w:bottom w:w="284" w:type="dxa"/>
          <w:right w:w="284" w:type="dxa"/>
        </w:tblCellMar>
        <w:tblLook w:val="0600" w:firstRow="0" w:lastRow="0" w:firstColumn="0" w:lastColumn="0" w:noHBand="1" w:noVBand="1"/>
      </w:tblPr>
      <w:tblGrid>
        <w:gridCol w:w="9070"/>
      </w:tblGrid>
      <w:tr w:rsidR="001B4EAF" w14:paraId="23A7E0A2" w14:textId="77777777">
        <w:tc>
          <w:tcPr>
            <w:tcW w:w="5000" w:type="pct"/>
            <w:shd w:val="clear" w:color="auto" w:fill="F2E3C7" w:themeFill="background2"/>
            <w:hideMark/>
          </w:tcPr>
          <w:p w14:paraId="47AB660F" w14:textId="77777777" w:rsidR="001B4EAF" w:rsidRDefault="001B4EAF" w:rsidP="001B4EAF">
            <w:pPr>
              <w:pStyle w:val="BoxHeading"/>
            </w:pPr>
            <w:r>
              <w:lastRenderedPageBreak/>
              <w:t>Recommendation 1.3</w:t>
            </w:r>
          </w:p>
          <w:p w14:paraId="5ABD1A54" w14:textId="0F390B02" w:rsidR="001B4EAF" w:rsidRDefault="001B4EAF" w:rsidP="001B4EAF">
            <w:pPr>
              <w:pStyle w:val="BoxText"/>
            </w:pPr>
            <w:r>
              <w:t xml:space="preserve">Governments should financially support First Nations housing organisations to provide more social and affordable housing for First Nations households. </w:t>
            </w:r>
          </w:p>
        </w:tc>
      </w:tr>
    </w:tbl>
    <w:p w14:paraId="60A70F4F" w14:textId="77777777" w:rsidR="00791A68" w:rsidRPr="00D52922" w:rsidRDefault="00791A68" w:rsidP="00F63812">
      <w:pPr>
        <w:pStyle w:val="Heading3Numbered"/>
      </w:pPr>
      <w:r w:rsidRPr="00D52922">
        <w:t>Regulation of the social and affordable housing sector</w:t>
      </w:r>
    </w:p>
    <w:p w14:paraId="0403305B" w14:textId="5577719F" w:rsidR="00791A68" w:rsidRPr="00D52922" w:rsidRDefault="00791A68">
      <w:r w:rsidRPr="00D52922">
        <w:t>Effective regulations are needed to raise the standards and improve the capability of the non</w:t>
      </w:r>
      <w:r w:rsidR="00A15C79">
        <w:noBreakHyphen/>
      </w:r>
      <w:r w:rsidRPr="00D52922">
        <w:t>market housing sector. Nationally consistent regulations would simplify requirements for providers of social and affordable housing</w:t>
      </w:r>
      <w:r w:rsidR="00A670FD">
        <w:t>,</w:t>
      </w:r>
      <w:r w:rsidRPr="00D52922">
        <w:t xml:space="preserve"> and make the sector more attractive and </w:t>
      </w:r>
      <w:r w:rsidR="003343D2">
        <w:t>accessible</w:t>
      </w:r>
      <w:r w:rsidRPr="00D52922">
        <w:t xml:space="preserve"> for private investors (</w:t>
      </w:r>
      <w:r w:rsidR="00196BF7">
        <w:t xml:space="preserve">Interim </w:t>
      </w:r>
      <w:r w:rsidRPr="00D52922">
        <w:t xml:space="preserve">NHSAC 2023). Nationally consistent regulations would also support community housing providers to develop the scale </w:t>
      </w:r>
      <w:r w:rsidR="002462F9" w:rsidRPr="00D52922">
        <w:t xml:space="preserve">necessary </w:t>
      </w:r>
      <w:r w:rsidRPr="00D52922">
        <w:t>to operate efficiently and across jurisdictions. Furthermore, improved regulations could also facilitate better data collection, especially for affordable housing</w:t>
      </w:r>
      <w:r w:rsidR="003343D2">
        <w:t xml:space="preserve"> (</w:t>
      </w:r>
      <w:r w:rsidR="00135989">
        <w:t xml:space="preserve">The </w:t>
      </w:r>
      <w:r w:rsidR="00E831B7">
        <w:t xml:space="preserve">Australian Government </w:t>
      </w:r>
      <w:r w:rsidR="003343D2">
        <w:t>2021)</w:t>
      </w:r>
      <w:r w:rsidRPr="00D52922">
        <w:t>.</w:t>
      </w:r>
    </w:p>
    <w:p w14:paraId="0962C0B2" w14:textId="5C04853B" w:rsidR="00791A68" w:rsidRPr="00D52922" w:rsidRDefault="00791A68">
      <w:pPr>
        <w:rPr>
          <w:i/>
        </w:rPr>
      </w:pPr>
      <w:r w:rsidRPr="00D52922">
        <w:t>The current National Regulatory System for Community Housing (NRSCH) is neither fit</w:t>
      </w:r>
      <w:r w:rsidR="00D90AB2">
        <w:t xml:space="preserve"> </w:t>
      </w:r>
      <w:r w:rsidRPr="00D52922">
        <w:t>for</w:t>
      </w:r>
      <w:r w:rsidR="00D90AB2">
        <w:t xml:space="preserve"> </w:t>
      </w:r>
      <w:r w:rsidRPr="00D52922">
        <w:t>purpose nor nationally consistent (</w:t>
      </w:r>
      <w:r w:rsidR="00135989">
        <w:t xml:space="preserve">The </w:t>
      </w:r>
      <w:r w:rsidR="00A35CE3">
        <w:t>Australian Government</w:t>
      </w:r>
      <w:r w:rsidRPr="00D52922">
        <w:t xml:space="preserve"> 2021). </w:t>
      </w:r>
      <w:bookmarkStart w:id="175" w:name="_Hlk194455533"/>
      <w:r w:rsidRPr="00D52922">
        <w:t>The NRSCH has not evolved to account for changes in the financ</w:t>
      </w:r>
      <w:r w:rsidR="00C72B9D">
        <w:t>ing</w:t>
      </w:r>
      <w:r w:rsidR="00404182">
        <w:t xml:space="preserve"> arrangements</w:t>
      </w:r>
      <w:r w:rsidRPr="00D52922">
        <w:t>, corporate structures and business practices of providers since it</w:t>
      </w:r>
      <w:r w:rsidR="00303D07">
        <w:t xml:space="preserve"> wa</w:t>
      </w:r>
      <w:r w:rsidRPr="00D52922">
        <w:t>s establish</w:t>
      </w:r>
      <w:r w:rsidR="00303D07">
        <w:t>ed</w:t>
      </w:r>
      <w:r w:rsidRPr="00D52922">
        <w:t xml:space="preserve"> in 2014. </w:t>
      </w:r>
      <w:bookmarkEnd w:id="175"/>
      <w:r w:rsidRPr="00D52922">
        <w:t>The current regime also does not account for the growing number of unregistered, for</w:t>
      </w:r>
      <w:r w:rsidR="00A15C79">
        <w:noBreakHyphen/>
      </w:r>
      <w:r w:rsidRPr="00D52922">
        <w:t>profit affordable housing providers in certain jurisdictions (</w:t>
      </w:r>
      <w:r w:rsidR="00196BF7">
        <w:t xml:space="preserve">Interim </w:t>
      </w:r>
      <w:r w:rsidRPr="00D52922">
        <w:t>NHSAC 2023</w:t>
      </w:r>
      <w:r w:rsidRPr="00D52922" w:rsidDel="0023561D">
        <w:t>)</w:t>
      </w:r>
      <w:r w:rsidRPr="00D52922">
        <w:t>.</w:t>
      </w:r>
    </w:p>
    <w:p w14:paraId="077FA5C9" w14:textId="30BBDCEC" w:rsidR="00E17686" w:rsidRPr="00E17686" w:rsidRDefault="00791A68">
      <w:r w:rsidRPr="00D52922">
        <w:t>The NRSCH does not cover Western Australia or Victoria, which have separate regulatory regimes. As</w:t>
      </w:r>
      <w:r w:rsidR="001B4EAF">
        <w:t> </w:t>
      </w:r>
      <w:r w:rsidRPr="00D52922">
        <w:t xml:space="preserve">the NRSCH is a decentralised regulatory system, </w:t>
      </w:r>
      <w:r w:rsidR="00021048">
        <w:t>community housing providers (</w:t>
      </w:r>
      <w:r w:rsidRPr="00D52922">
        <w:t>CHPs</w:t>
      </w:r>
      <w:r w:rsidR="00021048">
        <w:t>)</w:t>
      </w:r>
      <w:r w:rsidRPr="00D52922">
        <w:t xml:space="preserve"> operate under different regimes with different reporting requirements across jurisdictions, adding to the administrative burden of providers. The inconsistency across schemes can reduce investor certainty (</w:t>
      </w:r>
      <w:r w:rsidR="00196BF7">
        <w:t xml:space="preserve">Interim </w:t>
      </w:r>
      <w:r w:rsidRPr="00D52922">
        <w:t xml:space="preserve">NHSAC 2023). </w:t>
      </w:r>
    </w:p>
    <w:p w14:paraId="28A22F94" w14:textId="29A058E9" w:rsidR="00791A68" w:rsidRDefault="00791A68">
      <w:pPr>
        <w:rPr>
          <w:szCs w:val="22"/>
        </w:rPr>
      </w:pPr>
      <w:r w:rsidRPr="002949B5">
        <w:rPr>
          <w:szCs w:val="22"/>
        </w:rPr>
        <w:t xml:space="preserve">The Council </w:t>
      </w:r>
      <w:r w:rsidR="00FB6CF3" w:rsidRPr="002949B5">
        <w:rPr>
          <w:szCs w:val="22"/>
        </w:rPr>
        <w:t xml:space="preserve">recommended </w:t>
      </w:r>
      <w:r w:rsidR="0029133F" w:rsidRPr="002949B5">
        <w:rPr>
          <w:szCs w:val="22"/>
        </w:rPr>
        <w:t>having nationally consistent regulations</w:t>
      </w:r>
      <w:r w:rsidRPr="002949B5">
        <w:rPr>
          <w:szCs w:val="22"/>
        </w:rPr>
        <w:t xml:space="preserve"> </w:t>
      </w:r>
      <w:r w:rsidR="00120E69" w:rsidRPr="002949B5">
        <w:rPr>
          <w:szCs w:val="22"/>
        </w:rPr>
        <w:t>for</w:t>
      </w:r>
      <w:r w:rsidRPr="002949B5">
        <w:rPr>
          <w:szCs w:val="22"/>
        </w:rPr>
        <w:t xml:space="preserve"> social and affordable housing in its </w:t>
      </w:r>
      <w:r w:rsidRPr="002949B5">
        <w:rPr>
          <w:rStyle w:val="Emphasis"/>
        </w:rPr>
        <w:t xml:space="preserve">Barriers to Institutional Investment Report </w:t>
      </w:r>
      <w:r w:rsidRPr="002949B5">
        <w:rPr>
          <w:szCs w:val="22"/>
        </w:rPr>
        <w:t>in 2023</w:t>
      </w:r>
      <w:r w:rsidR="00F536FA" w:rsidRPr="002949B5">
        <w:rPr>
          <w:szCs w:val="22"/>
        </w:rPr>
        <w:t xml:space="preserve">. </w:t>
      </w:r>
      <w:r w:rsidRPr="002949B5">
        <w:rPr>
          <w:szCs w:val="22"/>
        </w:rPr>
        <w:t xml:space="preserve">Programs such as the </w:t>
      </w:r>
      <w:r w:rsidR="00F8611F" w:rsidRPr="002949B5">
        <w:rPr>
          <w:szCs w:val="22"/>
        </w:rPr>
        <w:t>Housing Australia Future Fund</w:t>
      </w:r>
      <w:r w:rsidRPr="002949B5">
        <w:rPr>
          <w:szCs w:val="22"/>
        </w:rPr>
        <w:t xml:space="preserve"> </w:t>
      </w:r>
      <w:r w:rsidR="007E623F" w:rsidRPr="002949B5">
        <w:rPr>
          <w:szCs w:val="22"/>
        </w:rPr>
        <w:t>Facility</w:t>
      </w:r>
      <w:r w:rsidRPr="002949B5">
        <w:rPr>
          <w:szCs w:val="22"/>
        </w:rPr>
        <w:t xml:space="preserve"> </w:t>
      </w:r>
      <w:r w:rsidR="00F8611F" w:rsidRPr="002949B5">
        <w:rPr>
          <w:szCs w:val="22"/>
        </w:rPr>
        <w:t>(</w:t>
      </w:r>
      <w:r w:rsidRPr="002949B5">
        <w:rPr>
          <w:szCs w:val="22"/>
        </w:rPr>
        <w:t>HAFF</w:t>
      </w:r>
      <w:r w:rsidR="007E623F" w:rsidRPr="002949B5">
        <w:rPr>
          <w:szCs w:val="22"/>
        </w:rPr>
        <w:t>F</w:t>
      </w:r>
      <w:r w:rsidR="00F8611F" w:rsidRPr="002949B5">
        <w:rPr>
          <w:szCs w:val="22"/>
        </w:rPr>
        <w:t>)</w:t>
      </w:r>
      <w:r w:rsidRPr="002949B5">
        <w:rPr>
          <w:szCs w:val="22"/>
        </w:rPr>
        <w:t xml:space="preserve"> </w:t>
      </w:r>
      <w:r w:rsidR="0083479D" w:rsidRPr="002949B5">
        <w:rPr>
          <w:szCs w:val="22"/>
        </w:rPr>
        <w:t>increase the</w:t>
      </w:r>
      <w:r w:rsidRPr="002949B5">
        <w:rPr>
          <w:szCs w:val="22"/>
        </w:rPr>
        <w:t xml:space="preserve"> need for national consistency and refinement of the sector</w:t>
      </w:r>
      <w:r w:rsidR="00A15C79" w:rsidRPr="002949B5">
        <w:rPr>
          <w:szCs w:val="22"/>
        </w:rPr>
        <w:t>’</w:t>
      </w:r>
      <w:r w:rsidRPr="002949B5">
        <w:rPr>
          <w:szCs w:val="22"/>
        </w:rPr>
        <w:t xml:space="preserve">s regulatory regime. Due to the complexity of this reform, including </w:t>
      </w:r>
      <w:r w:rsidR="002C3262" w:rsidRPr="002949B5">
        <w:rPr>
          <w:szCs w:val="22"/>
        </w:rPr>
        <w:t xml:space="preserve">engaging </w:t>
      </w:r>
      <w:r w:rsidRPr="002949B5">
        <w:rPr>
          <w:szCs w:val="22"/>
        </w:rPr>
        <w:t>with states currently outside the NRSCH, a well</w:t>
      </w:r>
      <w:r w:rsidR="00A15C79" w:rsidRPr="002949B5">
        <w:rPr>
          <w:szCs w:val="22"/>
        </w:rPr>
        <w:noBreakHyphen/>
      </w:r>
      <w:r w:rsidRPr="002949B5">
        <w:rPr>
          <w:szCs w:val="22"/>
        </w:rPr>
        <w:t>structured transition plan will be critical to managing</w:t>
      </w:r>
      <w:r w:rsidRPr="00D52922">
        <w:rPr>
          <w:szCs w:val="22"/>
        </w:rPr>
        <w:t xml:space="preserve"> implementation challenges. Overall, this reform will help to ensure the system can deliver a larger volume of social and affordable housing. </w:t>
      </w:r>
    </w:p>
    <w:tbl>
      <w:tblPr>
        <w:tblW w:w="5000" w:type="pct"/>
        <w:shd w:val="clear" w:color="auto" w:fill="F2E3C7" w:themeFill="background2"/>
        <w:tblCellMar>
          <w:top w:w="284" w:type="dxa"/>
          <w:left w:w="284" w:type="dxa"/>
          <w:bottom w:w="284" w:type="dxa"/>
          <w:right w:w="284" w:type="dxa"/>
        </w:tblCellMar>
        <w:tblLook w:val="0600" w:firstRow="0" w:lastRow="0" w:firstColumn="0" w:lastColumn="0" w:noHBand="1" w:noVBand="1"/>
      </w:tblPr>
      <w:tblGrid>
        <w:gridCol w:w="9070"/>
      </w:tblGrid>
      <w:tr w:rsidR="001B4EAF" w14:paraId="26D08FB6" w14:textId="77777777">
        <w:tc>
          <w:tcPr>
            <w:tcW w:w="5000" w:type="pct"/>
            <w:shd w:val="clear" w:color="auto" w:fill="F2E3C7" w:themeFill="background2"/>
            <w:hideMark/>
          </w:tcPr>
          <w:p w14:paraId="37EA5AD1" w14:textId="77777777" w:rsidR="001B4EAF" w:rsidRDefault="001B4EAF" w:rsidP="00F22DA3">
            <w:pPr>
              <w:pStyle w:val="BoxHeading"/>
              <w:keepNext w:val="0"/>
            </w:pPr>
            <w:r>
              <w:t>Recommendation 1.4</w:t>
            </w:r>
          </w:p>
          <w:p w14:paraId="259D83A8" w14:textId="34AACB1C" w:rsidR="001B4EAF" w:rsidRDefault="001B4EAF" w:rsidP="001B4EAF">
            <w:pPr>
              <w:pStyle w:val="BoxText"/>
            </w:pPr>
            <w:r>
              <w:t>Governments should review the National Regulatory System for Community Housing (NRSCH) with the long term goal of developing a national best practice regulatory framework for providers of social and affordable housing.</w:t>
            </w:r>
          </w:p>
        </w:tc>
      </w:tr>
    </w:tbl>
    <w:p w14:paraId="4F1E9868" w14:textId="0088A710" w:rsidR="00791A68" w:rsidRPr="00D52922" w:rsidRDefault="00791A68" w:rsidP="00744F72">
      <w:pPr>
        <w:pStyle w:val="Heading2Numbered"/>
      </w:pPr>
      <w:bookmarkStart w:id="176" w:name="_Toc195026620"/>
      <w:bookmarkStart w:id="177" w:name="_Toc196395911"/>
      <w:r w:rsidRPr="00D52922">
        <w:lastRenderedPageBreak/>
        <w:t>Improving construction sector capacity and productivity</w:t>
      </w:r>
      <w:bookmarkEnd w:id="176"/>
      <w:bookmarkEnd w:id="177"/>
      <w:r w:rsidRPr="00D52922">
        <w:t xml:space="preserve"> </w:t>
      </w:r>
    </w:p>
    <w:p w14:paraId="63C99CFB" w14:textId="77777777" w:rsidR="00791A68" w:rsidRPr="009628A8" w:rsidRDefault="00791A68">
      <w:pPr>
        <w:rPr>
          <w:szCs w:val="24"/>
        </w:rPr>
      </w:pPr>
      <w:r w:rsidRPr="009628A8">
        <w:rPr>
          <w:szCs w:val="24"/>
        </w:rPr>
        <w:t xml:space="preserve">High construction costs are a key barrier to new housing supply, especially in the </w:t>
      </w:r>
      <w:r w:rsidRPr="00B0360B">
        <w:rPr>
          <w:szCs w:val="24"/>
        </w:rPr>
        <w:t>lower</w:t>
      </w:r>
      <w:r w:rsidR="00A15C79">
        <w:rPr>
          <w:szCs w:val="24"/>
        </w:rPr>
        <w:noBreakHyphen/>
      </w:r>
      <w:r w:rsidRPr="00B0360B">
        <w:rPr>
          <w:szCs w:val="24"/>
        </w:rPr>
        <w:t>cost segment</w:t>
      </w:r>
      <w:r w:rsidRPr="009628A8">
        <w:rPr>
          <w:szCs w:val="24"/>
        </w:rPr>
        <w:t xml:space="preserve"> of the market. Since the </w:t>
      </w:r>
      <w:r w:rsidR="000E00F5">
        <w:rPr>
          <w:szCs w:val="24"/>
        </w:rPr>
        <w:t>P</w:t>
      </w:r>
      <w:r w:rsidRPr="009628A8">
        <w:rPr>
          <w:szCs w:val="24"/>
        </w:rPr>
        <w:t>andemic, the sharp rise in construction costs</w:t>
      </w:r>
      <w:r>
        <w:rPr>
          <w:szCs w:val="24"/>
        </w:rPr>
        <w:t xml:space="preserve"> has</w:t>
      </w:r>
      <w:r w:rsidRPr="009628A8">
        <w:rPr>
          <w:szCs w:val="24"/>
        </w:rPr>
        <w:t xml:space="preserve"> </w:t>
      </w:r>
      <w:r>
        <w:rPr>
          <w:szCs w:val="24"/>
        </w:rPr>
        <w:t>limited</w:t>
      </w:r>
      <w:r w:rsidRPr="009628A8">
        <w:rPr>
          <w:szCs w:val="24"/>
        </w:rPr>
        <w:t xml:space="preserve"> project feasibility, particularly for higher</w:t>
      </w:r>
      <w:r w:rsidR="00A15C79">
        <w:rPr>
          <w:szCs w:val="24"/>
        </w:rPr>
        <w:noBreakHyphen/>
      </w:r>
      <w:r w:rsidRPr="009628A8">
        <w:rPr>
          <w:szCs w:val="24"/>
        </w:rPr>
        <w:t>density dwellings outside premium areas (</w:t>
      </w:r>
      <w:r w:rsidR="00453D27" w:rsidRPr="00005225">
        <w:rPr>
          <w:szCs w:val="24"/>
        </w:rPr>
        <w:t xml:space="preserve">The </w:t>
      </w:r>
      <w:r w:rsidRPr="00005225">
        <w:rPr>
          <w:szCs w:val="24"/>
        </w:rPr>
        <w:t>CIE</w:t>
      </w:r>
      <w:r w:rsidRPr="009628A8">
        <w:rPr>
          <w:szCs w:val="24"/>
        </w:rPr>
        <w:t xml:space="preserve"> 202</w:t>
      </w:r>
      <w:r w:rsidR="003D4A04">
        <w:rPr>
          <w:szCs w:val="24"/>
        </w:rPr>
        <w:t>4</w:t>
      </w:r>
      <w:r w:rsidRPr="009628A8">
        <w:rPr>
          <w:szCs w:val="24"/>
        </w:rPr>
        <w:t>)</w:t>
      </w:r>
      <w:r>
        <w:rPr>
          <w:szCs w:val="24"/>
        </w:rPr>
        <w:t>.</w:t>
      </w:r>
      <w:r w:rsidRPr="009628A8">
        <w:rPr>
          <w:szCs w:val="24"/>
        </w:rPr>
        <w:t xml:space="preserve"> </w:t>
      </w:r>
      <w:r>
        <w:rPr>
          <w:szCs w:val="24"/>
        </w:rPr>
        <w:t>High c</w:t>
      </w:r>
      <w:r w:rsidRPr="009628A8">
        <w:rPr>
          <w:szCs w:val="24"/>
        </w:rPr>
        <w:t xml:space="preserve">onstruction costs are also passed on </w:t>
      </w:r>
      <w:r>
        <w:rPr>
          <w:szCs w:val="24"/>
        </w:rPr>
        <w:t xml:space="preserve">to </w:t>
      </w:r>
      <w:r w:rsidR="00262C95">
        <w:rPr>
          <w:szCs w:val="24"/>
        </w:rPr>
        <w:t>the sale price of new dwellings</w:t>
      </w:r>
      <w:r w:rsidR="00DA4EF9">
        <w:rPr>
          <w:szCs w:val="24"/>
        </w:rPr>
        <w:t xml:space="preserve"> (</w:t>
      </w:r>
      <w:r w:rsidR="00453D27" w:rsidRPr="00005225">
        <w:rPr>
          <w:szCs w:val="24"/>
        </w:rPr>
        <w:t xml:space="preserve">The </w:t>
      </w:r>
      <w:r w:rsidR="00DA4EF9" w:rsidRPr="00005225">
        <w:rPr>
          <w:szCs w:val="24"/>
        </w:rPr>
        <w:t>CIE</w:t>
      </w:r>
      <w:r w:rsidR="00DA4EF9" w:rsidRPr="009628A8">
        <w:rPr>
          <w:szCs w:val="24"/>
        </w:rPr>
        <w:t xml:space="preserve"> 202</w:t>
      </w:r>
      <w:r w:rsidR="003D4A04">
        <w:rPr>
          <w:szCs w:val="24"/>
        </w:rPr>
        <w:t>4</w:t>
      </w:r>
      <w:r w:rsidR="00DA4EF9" w:rsidRPr="009628A8">
        <w:rPr>
          <w:szCs w:val="24"/>
        </w:rPr>
        <w:t>)</w:t>
      </w:r>
      <w:r w:rsidRPr="009628A8">
        <w:rPr>
          <w:szCs w:val="24"/>
        </w:rPr>
        <w:t>,</w:t>
      </w:r>
      <w:r>
        <w:rPr>
          <w:szCs w:val="24"/>
        </w:rPr>
        <w:t xml:space="preserve"> reducing affordability</w:t>
      </w:r>
      <w:r w:rsidR="00DA4EF9">
        <w:rPr>
          <w:szCs w:val="24"/>
        </w:rPr>
        <w:t>.</w:t>
      </w:r>
    </w:p>
    <w:p w14:paraId="0F7BCF3E" w14:textId="77777777" w:rsidR="00791A68" w:rsidRDefault="00791A68" w:rsidP="000D7FD4">
      <w:pPr>
        <w:pStyle w:val="Heading3Numbered"/>
      </w:pPr>
      <w:r>
        <w:t>Improving sector productivity</w:t>
      </w:r>
    </w:p>
    <w:p w14:paraId="1BCA3CEA" w14:textId="66F86295" w:rsidR="00791A68" w:rsidRDefault="00791A68">
      <w:pPr>
        <w:rPr>
          <w:szCs w:val="24"/>
        </w:rPr>
      </w:pPr>
      <w:r>
        <w:rPr>
          <w:szCs w:val="24"/>
        </w:rPr>
        <w:t>H</w:t>
      </w:r>
      <w:r w:rsidRPr="0076177D">
        <w:rPr>
          <w:szCs w:val="24"/>
        </w:rPr>
        <w:t xml:space="preserve">ousing construction productivity has </w:t>
      </w:r>
      <w:r>
        <w:rPr>
          <w:szCs w:val="24"/>
        </w:rPr>
        <w:t xml:space="preserve">declined over the past </w:t>
      </w:r>
      <w:r w:rsidR="00586579">
        <w:rPr>
          <w:szCs w:val="24"/>
        </w:rPr>
        <w:t xml:space="preserve">3 </w:t>
      </w:r>
      <w:r>
        <w:rPr>
          <w:szCs w:val="24"/>
        </w:rPr>
        <w:t>decades (</w:t>
      </w:r>
      <w:r w:rsidR="003A201D">
        <w:t xml:space="preserve">Productivity </w:t>
      </w:r>
      <w:r w:rsidR="00747C56">
        <w:t>Commission</w:t>
      </w:r>
      <w:r w:rsidR="00E30F8D">
        <w:t xml:space="preserve"> </w:t>
      </w:r>
      <w:r w:rsidR="00747C56">
        <w:t>2025</w:t>
      </w:r>
      <w:r w:rsidR="00846665">
        <w:t>a</w:t>
      </w:r>
      <w:r>
        <w:t>)</w:t>
      </w:r>
      <w:r>
        <w:rPr>
          <w:szCs w:val="24"/>
        </w:rPr>
        <w:t>. Complex regulations</w:t>
      </w:r>
      <w:r w:rsidRPr="00C94A69">
        <w:rPr>
          <w:szCs w:val="24"/>
        </w:rPr>
        <w:t>, fragmented industry structure, low innovation and limited economies of scale have constrained productivity growth</w:t>
      </w:r>
      <w:r>
        <w:rPr>
          <w:szCs w:val="24"/>
        </w:rPr>
        <w:t xml:space="preserve">, </w:t>
      </w:r>
      <w:r w:rsidR="00C92E3F">
        <w:rPr>
          <w:szCs w:val="24"/>
        </w:rPr>
        <w:t>acting</w:t>
      </w:r>
      <w:r>
        <w:rPr>
          <w:szCs w:val="24"/>
        </w:rPr>
        <w:t xml:space="preserve"> as a handbrake on output in the sector (</w:t>
      </w:r>
      <w:r w:rsidR="003A201D">
        <w:t>Productivity Commission</w:t>
      </w:r>
      <w:r w:rsidR="00E30F8D">
        <w:t xml:space="preserve"> </w:t>
      </w:r>
      <w:r>
        <w:rPr>
          <w:szCs w:val="24"/>
        </w:rPr>
        <w:t>2025</w:t>
      </w:r>
      <w:r w:rsidR="00846665">
        <w:rPr>
          <w:szCs w:val="24"/>
        </w:rPr>
        <w:t>a</w:t>
      </w:r>
      <w:r>
        <w:rPr>
          <w:szCs w:val="24"/>
        </w:rPr>
        <w:t xml:space="preserve">). </w:t>
      </w:r>
    </w:p>
    <w:p w14:paraId="7A7DCA7C" w14:textId="68A8E2FC" w:rsidR="00791A68" w:rsidRDefault="00791A68">
      <w:r>
        <w:rPr>
          <w:szCs w:val="24"/>
        </w:rPr>
        <w:t>However,</w:t>
      </w:r>
      <w:r w:rsidRPr="00702D5A">
        <w:t xml:space="preserve"> there is significant potential for productivity to improve. The Productivity Commission</w:t>
      </w:r>
      <w:r w:rsidR="00A15C79">
        <w:t>’</w:t>
      </w:r>
      <w:r w:rsidRPr="00702D5A">
        <w:t>s recent report</w:t>
      </w:r>
      <w:r w:rsidR="007404D4">
        <w:t>,</w:t>
      </w:r>
      <w:r w:rsidRPr="00702D5A">
        <w:t xml:space="preserve"> </w:t>
      </w:r>
      <w:r w:rsidRPr="001B4EAF">
        <w:rPr>
          <w:rStyle w:val="Emphasis"/>
        </w:rPr>
        <w:t>Housing Construction Productivity: Can We Fix It?</w:t>
      </w:r>
      <w:r w:rsidR="007404D4">
        <w:t xml:space="preserve">, </w:t>
      </w:r>
      <w:r w:rsidRPr="009628A8">
        <w:t xml:space="preserve">offers </w:t>
      </w:r>
      <w:r w:rsidRPr="00702D5A">
        <w:t xml:space="preserve">a </w:t>
      </w:r>
      <w:r w:rsidRPr="009628A8">
        <w:t xml:space="preserve">roadmap </w:t>
      </w:r>
      <w:r w:rsidRPr="00702D5A">
        <w:t>for sector reform</w:t>
      </w:r>
      <w:r>
        <w:t xml:space="preserve">. </w:t>
      </w:r>
      <w:r w:rsidRPr="00702D5A">
        <w:t xml:space="preserve">The Council agrees with the Productivity Commission that while the National Construction Code </w:t>
      </w:r>
      <w:r w:rsidR="0016719E">
        <w:t>i</w:t>
      </w:r>
      <w:r w:rsidR="0016719E" w:rsidRPr="00702D5A">
        <w:t xml:space="preserve">s </w:t>
      </w:r>
      <w:r w:rsidRPr="00702D5A">
        <w:t xml:space="preserve">sound in principle, </w:t>
      </w:r>
      <w:r>
        <w:t>improvements could be investigated</w:t>
      </w:r>
      <w:r w:rsidRPr="00702D5A">
        <w:t xml:space="preserve"> through an independent review. The Council also recognises the important role governments can play </w:t>
      </w:r>
      <w:r w:rsidR="00D228AA">
        <w:t>in</w:t>
      </w:r>
      <w:r w:rsidRPr="00702D5A">
        <w:t xml:space="preserve"> promot</w:t>
      </w:r>
      <w:r w:rsidR="00D228AA">
        <w:t>ing</w:t>
      </w:r>
      <w:r w:rsidRPr="00702D5A">
        <w:t xml:space="preserve"> innovation to improve building quality</w:t>
      </w:r>
      <w:r w:rsidR="00692EF3">
        <w:t xml:space="preserve"> and</w:t>
      </w:r>
      <w:r w:rsidR="00692EF3" w:rsidRPr="00702D5A">
        <w:t xml:space="preserve"> </w:t>
      </w:r>
      <w:r w:rsidRPr="00702D5A">
        <w:t>diffuse new technologies</w:t>
      </w:r>
      <w:r w:rsidR="00692EF3">
        <w:t>. They can also</w:t>
      </w:r>
      <w:r w:rsidRPr="00702D5A">
        <w:t xml:space="preserve"> actively fund research and development.</w:t>
      </w:r>
      <w:r>
        <w:t xml:space="preserve"> </w:t>
      </w:r>
    </w:p>
    <w:p w14:paraId="68031371" w14:textId="11E451A2" w:rsidR="00791A68" w:rsidRDefault="00791A68">
      <w:r>
        <w:t>The Council supports government efforts to foster innovation in the residential construction sector. This includes unlocking the potential of modern methods of construction (MMC) to support cheaper</w:t>
      </w:r>
      <w:r w:rsidR="00A22CD1">
        <w:t>,</w:t>
      </w:r>
      <w:r>
        <w:t xml:space="preserve"> faster and higher</w:t>
      </w:r>
      <w:r w:rsidR="00A15C79">
        <w:noBreakHyphen/>
      </w:r>
      <w:r>
        <w:t>quality construction methods, while alleviating persistent labour shortages in regional and remote areas by centralising parts of the construction process.</w:t>
      </w:r>
      <w:r>
        <w:rPr>
          <w:rStyle w:val="FootnoteReference"/>
        </w:rPr>
        <w:footnoteReference w:id="18"/>
      </w:r>
      <w:r>
        <w:t xml:space="preserve"> For instance, modular construction has been shown to reduce build times by 20 to 50</w:t>
      </w:r>
      <w:r w:rsidR="0099326B">
        <w:t> per cent</w:t>
      </w:r>
      <w:r>
        <w:t xml:space="preserve"> compared to traditional on</w:t>
      </w:r>
      <w:r w:rsidR="00A15C79">
        <w:noBreakHyphen/>
      </w:r>
      <w:r>
        <w:t>site builds overseas (</w:t>
      </w:r>
      <w:r w:rsidR="003A6ECA" w:rsidRPr="003A6ECA">
        <w:t xml:space="preserve">Bertram et al. </w:t>
      </w:r>
      <w:r w:rsidR="00480A38" w:rsidRPr="00480A38">
        <w:t>201</w:t>
      </w:r>
      <w:r w:rsidR="00480A38">
        <w:t>9</w:t>
      </w:r>
      <w:r>
        <w:t>). Other benefits include better labour efficiency through specialisation, improved quality and safety, and reduced costs of travel and waste (</w:t>
      </w:r>
      <w:r w:rsidR="00E87717" w:rsidRPr="00E87717">
        <w:t>Bertram et al. 2019</w:t>
      </w:r>
      <w:r>
        <w:t xml:space="preserve">). </w:t>
      </w:r>
      <w:r w:rsidRPr="00702D5A">
        <w:t xml:space="preserve">MMC could particularly benefit </w:t>
      </w:r>
      <w:r>
        <w:t xml:space="preserve">regions </w:t>
      </w:r>
      <w:r w:rsidRPr="00702D5A">
        <w:t xml:space="preserve">with labour shortages and challenging weather conditions, </w:t>
      </w:r>
      <w:r>
        <w:t>with most work</w:t>
      </w:r>
      <w:r w:rsidRPr="00702D5A">
        <w:t xml:space="preserve"> </w:t>
      </w:r>
      <w:r>
        <w:t xml:space="preserve">being </w:t>
      </w:r>
      <w:r w:rsidRPr="00702D5A">
        <w:t>conducted elsewhere before assembly occurs on site</w:t>
      </w:r>
      <w:r>
        <w:t xml:space="preserve">. </w:t>
      </w:r>
    </w:p>
    <w:p w14:paraId="28ADE962" w14:textId="3A5DF7CC" w:rsidR="00791A68" w:rsidRDefault="00791A68">
      <w:r w:rsidRPr="00702D5A">
        <w:t>Lower</w:t>
      </w:r>
      <w:r>
        <w:t>ing</w:t>
      </w:r>
      <w:r w:rsidRPr="00702D5A">
        <w:t xml:space="preserve"> regulatory barriers to MMC could result in an additional 1</w:t>
      </w:r>
      <w:r w:rsidR="005336F5">
        <w:t>–</w:t>
      </w:r>
      <w:r w:rsidRPr="00702D5A">
        <w:t>2</w:t>
      </w:r>
      <w:r w:rsidR="0099326B">
        <w:t> per cent</w:t>
      </w:r>
      <w:r w:rsidRPr="00702D5A">
        <w:t xml:space="preserve"> </w:t>
      </w:r>
      <w:r w:rsidR="00FB04F8">
        <w:t>increase</w:t>
      </w:r>
      <w:r w:rsidR="00FB04F8" w:rsidRPr="00702D5A">
        <w:t xml:space="preserve"> </w:t>
      </w:r>
      <w:r w:rsidRPr="00702D5A">
        <w:t xml:space="preserve">in construction output, according to modelling of proposed </w:t>
      </w:r>
      <w:r w:rsidR="008E059C">
        <w:t>reforms of the</w:t>
      </w:r>
      <w:r w:rsidRPr="00702D5A">
        <w:t xml:space="preserve"> National Competition Policy (</w:t>
      </w:r>
      <w:r w:rsidR="002615C5">
        <w:t>Productivity Commission</w:t>
      </w:r>
      <w:r w:rsidR="00714BEC">
        <w:t xml:space="preserve"> </w:t>
      </w:r>
      <w:r w:rsidRPr="00702D5A">
        <w:t>2024</w:t>
      </w:r>
      <w:r w:rsidR="00B72212">
        <w:t>a</w:t>
      </w:r>
      <w:r w:rsidRPr="00702D5A">
        <w:t>).</w:t>
      </w:r>
      <w:r>
        <w:t xml:space="preserve"> Still,</w:t>
      </w:r>
      <w:r w:rsidRPr="00702D5A">
        <w:t xml:space="preserve"> </w:t>
      </w:r>
      <w:r>
        <w:t xml:space="preserve">MMC requires scale to reap </w:t>
      </w:r>
      <w:r w:rsidR="00E0179F">
        <w:t>the</w:t>
      </w:r>
      <w:r>
        <w:t xml:space="preserve"> benefits, with high initial costs in factories, machinery and equipment (</w:t>
      </w:r>
      <w:r w:rsidR="00370333" w:rsidRPr="005A02E2">
        <w:t xml:space="preserve">NSW </w:t>
      </w:r>
      <w:r w:rsidR="00370333" w:rsidRPr="002949B5">
        <w:t xml:space="preserve">Productivity </w:t>
      </w:r>
      <w:r w:rsidR="00F6787E" w:rsidRPr="002949B5">
        <w:t xml:space="preserve">and Equality </w:t>
      </w:r>
      <w:r w:rsidR="00370333" w:rsidRPr="002949B5">
        <w:t>Commission</w:t>
      </w:r>
      <w:r w:rsidR="00F6787E">
        <w:t xml:space="preserve"> </w:t>
      </w:r>
      <w:r w:rsidR="00370333" w:rsidRPr="005A02E2">
        <w:t>2024).</w:t>
      </w:r>
      <w:r>
        <w:t xml:space="preserve"> While the long</w:t>
      </w:r>
      <w:r w:rsidR="00A15C79">
        <w:noBreakHyphen/>
      </w:r>
      <w:r>
        <w:t xml:space="preserve">run benefits and costs of MMC in Australia are yet to be fully determined, </w:t>
      </w:r>
      <w:r w:rsidR="008E059C">
        <w:t xml:space="preserve">the Australian </w:t>
      </w:r>
      <w:r>
        <w:t xml:space="preserve">and state governments </w:t>
      </w:r>
      <w:r w:rsidR="008E059C">
        <w:t xml:space="preserve">are </w:t>
      </w:r>
      <w:r>
        <w:t xml:space="preserve">already investigating its potential. Building on existing work, the Council recommends the </w:t>
      </w:r>
      <w:r w:rsidR="0099326B">
        <w:t>Australian Government</w:t>
      </w:r>
      <w:r w:rsidR="008E059C">
        <w:t xml:space="preserve"> </w:t>
      </w:r>
      <w:r>
        <w:t xml:space="preserve">take on a stronger role, in collaboration with the states and territories, to investigate the feasibility of the MMC sector. </w:t>
      </w:r>
    </w:p>
    <w:p w14:paraId="35DA842C" w14:textId="65D8E285" w:rsidR="00791A68" w:rsidRDefault="00791A68" w:rsidP="001B4EAF">
      <w:pPr>
        <w:rPr>
          <w:rFonts w:eastAsiaTheme="minorEastAsia"/>
          <w:bCs/>
        </w:rPr>
      </w:pPr>
      <w:r w:rsidRPr="005A2317">
        <w:rPr>
          <w:rFonts w:eastAsiaTheme="minorEastAsia"/>
        </w:rPr>
        <w:lastRenderedPageBreak/>
        <w:t xml:space="preserve">If assessed as feasible, the </w:t>
      </w:r>
      <w:r w:rsidR="008E059C">
        <w:rPr>
          <w:rFonts w:eastAsiaTheme="minorEastAsia"/>
        </w:rPr>
        <w:t>Australian</w:t>
      </w:r>
      <w:r>
        <w:rPr>
          <w:rFonts w:eastAsiaTheme="minorEastAsia"/>
        </w:rPr>
        <w:t xml:space="preserve">, state and territory </w:t>
      </w:r>
      <w:r w:rsidRPr="005A2317">
        <w:rPr>
          <w:rFonts w:eastAsiaTheme="minorEastAsia"/>
        </w:rPr>
        <w:t xml:space="preserve">governments should </w:t>
      </w:r>
      <w:r w:rsidRPr="005A2317">
        <w:t xml:space="preserve">address </w:t>
      </w:r>
      <w:r w:rsidRPr="005A2317">
        <w:rPr>
          <w:rFonts w:eastAsiaTheme="minorEastAsia"/>
        </w:rPr>
        <w:t xml:space="preserve">regulatory and other barriers to </w:t>
      </w:r>
      <w:r>
        <w:rPr>
          <w:rFonts w:eastAsiaTheme="minorEastAsia"/>
        </w:rPr>
        <w:t>the uptake of MMC</w:t>
      </w:r>
      <w:r>
        <w:rPr>
          <w:rFonts w:eastAsiaTheme="minorEastAsia"/>
          <w:bCs/>
        </w:rPr>
        <w:t>.</w:t>
      </w:r>
      <w:r w:rsidRPr="009033B0">
        <w:rPr>
          <w:rFonts w:eastAsiaTheme="minorEastAsia"/>
          <w:bCs/>
        </w:rPr>
        <w:t xml:space="preserve"> </w:t>
      </w:r>
      <w:r>
        <w:rPr>
          <w:rFonts w:eastAsiaTheme="minorEastAsia"/>
          <w:bCs/>
        </w:rPr>
        <w:t>For instance, hurdles in planning and building design regulation currently hinder the adoption of prefabric</w:t>
      </w:r>
      <w:r w:rsidRPr="002949B5">
        <w:rPr>
          <w:rFonts w:eastAsiaTheme="minorEastAsia"/>
        </w:rPr>
        <w:t>ated construction (</w:t>
      </w:r>
      <w:r w:rsidR="0062052C" w:rsidRPr="00285514">
        <w:rPr>
          <w:rFonts w:eastAsiaTheme="minorEastAsia"/>
        </w:rPr>
        <w:t>Gad et al</w:t>
      </w:r>
      <w:r w:rsidR="0062052C" w:rsidRPr="002949B5">
        <w:rPr>
          <w:rFonts w:eastAsiaTheme="minorEastAsia"/>
        </w:rPr>
        <w:t>.</w:t>
      </w:r>
      <w:r w:rsidRPr="002949B5">
        <w:rPr>
          <w:rFonts w:eastAsiaTheme="minorEastAsia"/>
        </w:rPr>
        <w:t xml:space="preserve"> 2022</w:t>
      </w:r>
      <w:r>
        <w:rPr>
          <w:rFonts w:eastAsiaTheme="minorEastAsia"/>
          <w:bCs/>
        </w:rPr>
        <w:t xml:space="preserve">). </w:t>
      </w:r>
      <w:r>
        <w:rPr>
          <w:rFonts w:eastAsiaTheme="minorEastAsia"/>
        </w:rPr>
        <w:t>G</w:t>
      </w:r>
      <w:r w:rsidRPr="005A2317">
        <w:rPr>
          <w:rFonts w:eastAsiaTheme="minorEastAsia"/>
        </w:rPr>
        <w:t>overnments could also underwrite the sector via stable and long</w:t>
      </w:r>
      <w:r w:rsidR="00A15C79">
        <w:rPr>
          <w:rFonts w:eastAsiaTheme="minorEastAsia"/>
        </w:rPr>
        <w:noBreakHyphen/>
      </w:r>
      <w:r w:rsidRPr="005A2317">
        <w:rPr>
          <w:rFonts w:eastAsiaTheme="minorEastAsia"/>
        </w:rPr>
        <w:t>dated procurement processes. This would provide a clear pipeline of projects to attract private investment in the systems and processes for prefabrication and other innovative building techniques.</w:t>
      </w:r>
      <w:r w:rsidRPr="008F4756" w:rsidDel="00E2413E">
        <w:rPr>
          <w:rFonts w:eastAsiaTheme="minorEastAsia"/>
          <w:bCs/>
        </w:rPr>
        <w:t xml:space="preserve"> </w:t>
      </w:r>
    </w:p>
    <w:tbl>
      <w:tblPr>
        <w:tblW w:w="5000" w:type="pct"/>
        <w:shd w:val="clear" w:color="auto" w:fill="F2E3C7" w:themeFill="background2"/>
        <w:tblCellMar>
          <w:top w:w="284" w:type="dxa"/>
          <w:left w:w="284" w:type="dxa"/>
          <w:bottom w:w="284" w:type="dxa"/>
          <w:right w:w="284" w:type="dxa"/>
        </w:tblCellMar>
        <w:tblLook w:val="0600" w:firstRow="0" w:lastRow="0" w:firstColumn="0" w:lastColumn="0" w:noHBand="1" w:noVBand="1"/>
      </w:tblPr>
      <w:tblGrid>
        <w:gridCol w:w="9070"/>
      </w:tblGrid>
      <w:tr w:rsidR="001B4EAF" w14:paraId="4198C229" w14:textId="77777777">
        <w:tc>
          <w:tcPr>
            <w:tcW w:w="5000" w:type="pct"/>
            <w:shd w:val="clear" w:color="auto" w:fill="F2E3C7" w:themeFill="background2"/>
            <w:hideMark/>
          </w:tcPr>
          <w:p w14:paraId="1E716C46" w14:textId="77777777" w:rsidR="001B4EAF" w:rsidRDefault="001B4EAF" w:rsidP="001B4EAF">
            <w:pPr>
              <w:pStyle w:val="BoxHeading"/>
            </w:pPr>
            <w:r>
              <w:t>Recommendation 2.1</w:t>
            </w:r>
          </w:p>
          <w:p w14:paraId="09920364" w14:textId="0053839D" w:rsidR="001B4EAF" w:rsidRDefault="001B4EAF" w:rsidP="001B4EAF">
            <w:pPr>
              <w:pStyle w:val="BoxText"/>
            </w:pPr>
            <w:r>
              <w:t xml:space="preserve">Governments should investigate the feasibility of modern methods of construction and address regulatory and other barriers to their uptake. If assessed as appropriate, governments should underwrite investment in modern methods of construction to unlock cheaper, more efficient construction methods and rectify decades of poor productivity. </w:t>
            </w:r>
          </w:p>
        </w:tc>
      </w:tr>
    </w:tbl>
    <w:p w14:paraId="33ACFD54" w14:textId="77777777" w:rsidR="00E17686" w:rsidRDefault="00E17686" w:rsidP="00E17686">
      <w:r>
        <w:br w:type="page"/>
      </w:r>
    </w:p>
    <w:p w14:paraId="25A43117" w14:textId="2C5E2B39" w:rsidR="00791A68" w:rsidRDefault="00791A68" w:rsidP="000D7FD4">
      <w:pPr>
        <w:pStyle w:val="Heading3Numbered"/>
      </w:pPr>
      <w:r>
        <w:lastRenderedPageBreak/>
        <w:t>Improving labour supply</w:t>
      </w:r>
    </w:p>
    <w:p w14:paraId="26FC0591" w14:textId="1CF6CFC0" w:rsidR="00791A68" w:rsidRPr="002949B5" w:rsidRDefault="00791A68" w:rsidP="00AF4C27">
      <w:r>
        <w:t>The residential construction sector is highly labour</w:t>
      </w:r>
      <w:r w:rsidR="00A15C79">
        <w:noBreakHyphen/>
      </w:r>
      <w:r>
        <w:t>intensive. However, labour</w:t>
      </w:r>
      <w:r w:rsidRPr="00942A6C">
        <w:t xml:space="preserve"> </w:t>
      </w:r>
      <w:r>
        <w:t xml:space="preserve">shortages are chronic, reflecting competition from other sectors, ineffective training and skilled migration systems, high exit rates and </w:t>
      </w:r>
      <w:r w:rsidRPr="002949B5">
        <w:t>low workforce diversity, which limit the pool of available labour (see Chapter 2</w:t>
      </w:r>
      <w:r w:rsidR="0058706A" w:rsidRPr="002949B5">
        <w:t>,</w:t>
      </w:r>
      <w:r w:rsidR="00AA47AA" w:rsidRPr="002949B5">
        <w:rPr>
          <w:i/>
        </w:rPr>
        <w:t xml:space="preserve"> </w:t>
      </w:r>
      <w:r w:rsidR="00AA47AA" w:rsidRPr="002949B5">
        <w:rPr>
          <w:rStyle w:val="Emphasis"/>
        </w:rPr>
        <w:t>Housing market conditions</w:t>
      </w:r>
      <w:r w:rsidRPr="002949B5">
        <w:t>). Labour shortages can significantly delay project completion times and increase average workloads (</w:t>
      </w:r>
      <w:r w:rsidR="00AC593A" w:rsidRPr="002949B5">
        <w:t>Infrastructure Australia</w:t>
      </w:r>
      <w:r w:rsidRPr="002949B5">
        <w:t xml:space="preserve"> 2024). </w:t>
      </w:r>
      <w:proofErr w:type="spellStart"/>
      <w:r w:rsidRPr="002949B5">
        <w:t>BuildSkills</w:t>
      </w:r>
      <w:proofErr w:type="spellEnd"/>
      <w:r w:rsidRPr="002949B5">
        <w:t xml:space="preserve"> Australia estimates a further 90,000 workers are needed to deliver the 1.2</w:t>
      </w:r>
      <w:r w:rsidR="0099326B" w:rsidRPr="002949B5">
        <w:t> million</w:t>
      </w:r>
      <w:r w:rsidRPr="002949B5">
        <w:t xml:space="preserve"> homes target in the </w:t>
      </w:r>
      <w:r w:rsidR="005E29BB" w:rsidRPr="002949B5">
        <w:t xml:space="preserve">Housing </w:t>
      </w:r>
      <w:r w:rsidRPr="002949B5">
        <w:t xml:space="preserve">Accord </w:t>
      </w:r>
      <w:r w:rsidR="005E29BB" w:rsidRPr="002949B5">
        <w:t>period</w:t>
      </w:r>
      <w:r w:rsidRPr="002949B5">
        <w:t xml:space="preserve"> (</w:t>
      </w:r>
      <w:proofErr w:type="spellStart"/>
      <w:r w:rsidR="00370333" w:rsidRPr="002949B5">
        <w:t>BuildSkills</w:t>
      </w:r>
      <w:proofErr w:type="spellEnd"/>
      <w:r w:rsidR="00AC593A" w:rsidRPr="002949B5">
        <w:t xml:space="preserve"> </w:t>
      </w:r>
      <w:r w:rsidR="00370333" w:rsidRPr="002949B5">
        <w:t>2024</w:t>
      </w:r>
      <w:r w:rsidRPr="002949B5">
        <w:t xml:space="preserve">). </w:t>
      </w:r>
      <w:r w:rsidRPr="002949B5">
        <w:rPr>
          <w:rFonts w:ascii="Calibri" w:eastAsia="Calibri" w:hAnsi="Calibri" w:cs="Calibri"/>
        </w:rPr>
        <w:t>The Productivity Commission has also identified workforce flexibility as key to improving productivity in the broader sector (</w:t>
      </w:r>
      <w:r w:rsidR="006153AC" w:rsidRPr="002949B5">
        <w:t>Productivity Commission</w:t>
      </w:r>
      <w:r w:rsidR="00714BEC" w:rsidRPr="002949B5">
        <w:t xml:space="preserve"> </w:t>
      </w:r>
      <w:r w:rsidRPr="002949B5">
        <w:rPr>
          <w:rFonts w:ascii="Calibri" w:eastAsia="Calibri" w:hAnsi="Calibri" w:cs="Calibri"/>
        </w:rPr>
        <w:t>2025</w:t>
      </w:r>
      <w:r w:rsidR="00D23FDD" w:rsidRPr="002949B5">
        <w:rPr>
          <w:rFonts w:ascii="Calibri" w:eastAsia="Calibri" w:hAnsi="Calibri" w:cs="Calibri"/>
        </w:rPr>
        <w:t>a</w:t>
      </w:r>
      <w:r w:rsidRPr="002949B5">
        <w:rPr>
          <w:rFonts w:ascii="Calibri" w:eastAsia="Calibri" w:hAnsi="Calibri" w:cs="Calibri"/>
        </w:rPr>
        <w:t>).</w:t>
      </w:r>
    </w:p>
    <w:p w14:paraId="2D6E46B9" w14:textId="6759241D" w:rsidR="00791A68" w:rsidRPr="002949B5" w:rsidRDefault="00791A68" w:rsidP="00AF4C27">
      <w:pPr>
        <w:rPr>
          <w:rFonts w:ascii="Calibri" w:eastAsia="Calibri" w:hAnsi="Calibri" w:cs="Calibri"/>
          <w:szCs w:val="24"/>
        </w:rPr>
      </w:pPr>
      <w:r w:rsidRPr="002949B5">
        <w:t xml:space="preserve">To build capacity in the construction workforce, </w:t>
      </w:r>
      <w:r w:rsidR="000D7FD4" w:rsidRPr="002949B5">
        <w:t>g</w:t>
      </w:r>
      <w:r w:rsidRPr="002949B5">
        <w:t>overnment</w:t>
      </w:r>
      <w:r w:rsidR="000D7FD4" w:rsidRPr="002949B5">
        <w:t>s</w:t>
      </w:r>
      <w:r w:rsidRPr="002949B5">
        <w:t xml:space="preserve"> should continue to invest in skills training for domestic apprentices, boosting the supply of construction workers through migration, and working with industry to increase workforce participation and labour productivity.</w:t>
      </w:r>
    </w:p>
    <w:p w14:paraId="7A9BDFC6" w14:textId="0B07EA82" w:rsidR="00791A68" w:rsidRPr="002949B5" w:rsidRDefault="00791A68" w:rsidP="00AF4C27">
      <w:pPr>
        <w:rPr>
          <w:rFonts w:eastAsia="Calibri"/>
        </w:rPr>
      </w:pPr>
      <w:r w:rsidRPr="002949B5">
        <w:rPr>
          <w:rFonts w:eastAsia="Calibri"/>
        </w:rPr>
        <w:t>Part of the shortfall in the construction labour force c</w:t>
      </w:r>
      <w:r w:rsidR="0028790B" w:rsidRPr="002949B5">
        <w:rPr>
          <w:rFonts w:eastAsia="Calibri"/>
        </w:rPr>
        <w:t>ould</w:t>
      </w:r>
      <w:r w:rsidRPr="002949B5">
        <w:rPr>
          <w:rFonts w:eastAsia="Calibri"/>
        </w:rPr>
        <w:t xml:space="preserve"> be addressed </w:t>
      </w:r>
      <w:r w:rsidR="0028790B" w:rsidRPr="002949B5">
        <w:rPr>
          <w:rFonts w:eastAsia="Calibri"/>
        </w:rPr>
        <w:t xml:space="preserve">by </w:t>
      </w:r>
      <w:r w:rsidRPr="002949B5">
        <w:rPr>
          <w:rFonts w:eastAsia="Calibri"/>
        </w:rPr>
        <w:t xml:space="preserve">better targeting skilled migration pathways. The Council recommends the </w:t>
      </w:r>
      <w:r w:rsidR="0099326B" w:rsidRPr="002949B5">
        <w:rPr>
          <w:rFonts w:eastAsia="Calibri"/>
        </w:rPr>
        <w:t>Australian Government</w:t>
      </w:r>
      <w:r w:rsidRPr="002949B5">
        <w:rPr>
          <w:rFonts w:eastAsia="Calibri"/>
        </w:rPr>
        <w:t xml:space="preserve"> continue to support more migrants with trade skills through the Core Skills Occupation List. However, the Council recognises th</w:t>
      </w:r>
      <w:r w:rsidR="00CA4721" w:rsidRPr="002949B5">
        <w:rPr>
          <w:rFonts w:eastAsia="Calibri"/>
        </w:rPr>
        <w:t>is involves</w:t>
      </w:r>
      <w:r w:rsidRPr="002949B5">
        <w:rPr>
          <w:rFonts w:eastAsia="Calibri"/>
        </w:rPr>
        <w:t xml:space="preserve"> trade</w:t>
      </w:r>
      <w:r w:rsidR="00A15C79" w:rsidRPr="002949B5">
        <w:rPr>
          <w:rFonts w:eastAsia="Calibri"/>
        </w:rPr>
        <w:noBreakHyphen/>
      </w:r>
      <w:r w:rsidRPr="002949B5">
        <w:rPr>
          <w:rFonts w:eastAsia="Calibri"/>
        </w:rPr>
        <w:t>offs, given skills shortages in other key industries such as health</w:t>
      </w:r>
      <w:r w:rsidR="00BE0334" w:rsidRPr="002949B5">
        <w:rPr>
          <w:rFonts w:eastAsia="Calibri"/>
        </w:rPr>
        <w:t>care</w:t>
      </w:r>
      <w:r w:rsidRPr="002949B5">
        <w:rPr>
          <w:rFonts w:eastAsia="Calibri"/>
        </w:rPr>
        <w:t>.</w:t>
      </w:r>
    </w:p>
    <w:p w14:paraId="48E4B474" w14:textId="6F95CE79" w:rsidR="00791A68" w:rsidRPr="00F52002" w:rsidRDefault="00791A68" w:rsidP="00AF4C27">
      <w:pPr>
        <w:rPr>
          <w:rFonts w:eastAsia="Calibri"/>
        </w:rPr>
      </w:pPr>
      <w:r w:rsidRPr="002949B5">
        <w:rPr>
          <w:rFonts w:eastAsia="Calibri"/>
        </w:rPr>
        <w:t>The Council also recommends making Australia a more attractive destination for skilled construction workers, who are currently in high demand across the developed world (Ragsdale</w:t>
      </w:r>
      <w:r w:rsidR="003908BB" w:rsidRPr="002949B5">
        <w:rPr>
          <w:rFonts w:eastAsia="Calibri"/>
        </w:rPr>
        <w:t xml:space="preserve"> </w:t>
      </w:r>
      <w:r w:rsidR="00AC593A" w:rsidRPr="002949B5">
        <w:rPr>
          <w:rFonts w:eastAsia="Calibri"/>
        </w:rPr>
        <w:t>and</w:t>
      </w:r>
      <w:r w:rsidR="00D25A02" w:rsidRPr="002949B5">
        <w:rPr>
          <w:rFonts w:eastAsia="Calibri"/>
        </w:rPr>
        <w:t xml:space="preserve"> </w:t>
      </w:r>
      <w:r w:rsidRPr="002949B5">
        <w:rPr>
          <w:rFonts w:eastAsia="Calibri"/>
        </w:rPr>
        <w:t>Hall</w:t>
      </w:r>
      <w:r w:rsidR="003908BB" w:rsidRPr="002949B5">
        <w:rPr>
          <w:rFonts w:eastAsia="Calibri"/>
        </w:rPr>
        <w:t xml:space="preserve"> </w:t>
      </w:r>
      <w:r w:rsidRPr="002949B5">
        <w:rPr>
          <w:rFonts w:eastAsia="Calibri"/>
        </w:rPr>
        <w:t>2023; O</w:t>
      </w:r>
      <w:r w:rsidR="00A15C79" w:rsidRPr="002949B5">
        <w:rPr>
          <w:rFonts w:eastAsia="Calibri"/>
        </w:rPr>
        <w:t>’</w:t>
      </w:r>
      <w:r w:rsidRPr="002949B5">
        <w:rPr>
          <w:rFonts w:eastAsia="Calibri"/>
        </w:rPr>
        <w:t>Rourke</w:t>
      </w:r>
      <w:r w:rsidR="003908BB" w:rsidRPr="002949B5">
        <w:rPr>
          <w:rFonts w:eastAsia="Calibri"/>
        </w:rPr>
        <w:t xml:space="preserve"> </w:t>
      </w:r>
      <w:r w:rsidRPr="002949B5">
        <w:rPr>
          <w:rFonts w:eastAsia="Calibri"/>
        </w:rPr>
        <w:t xml:space="preserve">2024), by ensuring systematic assistance for recent migrants. The support that is currently available is a patchwork of migration services </w:t>
      </w:r>
      <w:r w:rsidR="008F72A1" w:rsidRPr="002949B5">
        <w:rPr>
          <w:rFonts w:eastAsia="Calibri"/>
        </w:rPr>
        <w:t xml:space="preserve">of </w:t>
      </w:r>
      <w:r w:rsidRPr="002949B5">
        <w:rPr>
          <w:rFonts w:eastAsia="Calibri"/>
        </w:rPr>
        <w:t>variable quality</w:t>
      </w:r>
      <w:r w:rsidR="00973636" w:rsidRPr="002949B5">
        <w:rPr>
          <w:rFonts w:eastAsia="Calibri"/>
        </w:rPr>
        <w:t xml:space="preserve"> (</w:t>
      </w:r>
      <w:r w:rsidR="00732E35" w:rsidRPr="0041126E">
        <w:rPr>
          <w:rFonts w:eastAsia="Calibri"/>
        </w:rPr>
        <w:t>Department of Home Affairs</w:t>
      </w:r>
      <w:r w:rsidR="00C11137" w:rsidRPr="0041126E">
        <w:rPr>
          <w:rFonts w:eastAsia="Calibri"/>
        </w:rPr>
        <w:t xml:space="preserve"> </w:t>
      </w:r>
      <w:r w:rsidR="00973636" w:rsidRPr="002949B5">
        <w:rPr>
          <w:rFonts w:eastAsia="Calibri"/>
        </w:rPr>
        <w:t>20</w:t>
      </w:r>
      <w:r w:rsidR="00F8729D" w:rsidRPr="002949B5">
        <w:rPr>
          <w:rFonts w:eastAsia="Calibri"/>
        </w:rPr>
        <w:t>23)</w:t>
      </w:r>
      <w:r w:rsidRPr="002949B5">
        <w:rPr>
          <w:rFonts w:eastAsia="Calibri"/>
        </w:rPr>
        <w:t>.</w:t>
      </w:r>
      <w:r>
        <w:rPr>
          <w:rFonts w:eastAsia="Calibri"/>
        </w:rPr>
        <w:t xml:space="preserve"> </w:t>
      </w:r>
    </w:p>
    <w:p w14:paraId="08EB93FF" w14:textId="076A088F" w:rsidR="00791A68" w:rsidRDefault="00791A68" w:rsidP="00AF4C27">
      <w:pPr>
        <w:rPr>
          <w:rFonts w:eastAsia="Calibri"/>
        </w:rPr>
      </w:pPr>
      <w:r w:rsidRPr="00F52002">
        <w:rPr>
          <w:rFonts w:eastAsia="Calibri"/>
        </w:rPr>
        <w:t>To address long</w:t>
      </w:r>
      <w:r w:rsidR="00A15C79">
        <w:rPr>
          <w:rFonts w:eastAsia="Calibri"/>
        </w:rPr>
        <w:noBreakHyphen/>
      </w:r>
      <w:r w:rsidRPr="00F52002">
        <w:rPr>
          <w:rFonts w:eastAsia="Calibri"/>
        </w:rPr>
        <w:t xml:space="preserve">run labour supply challenges, the Council recommends the </w:t>
      </w:r>
      <w:r w:rsidR="0099326B">
        <w:rPr>
          <w:rFonts w:eastAsia="Calibri"/>
        </w:rPr>
        <w:t>Australian Government</w:t>
      </w:r>
      <w:r w:rsidRPr="00F52002">
        <w:rPr>
          <w:rFonts w:eastAsia="Calibri"/>
        </w:rPr>
        <w:t xml:space="preserve"> work with </w:t>
      </w:r>
      <w:r>
        <w:rPr>
          <w:rFonts w:eastAsia="Calibri"/>
        </w:rPr>
        <w:t>s</w:t>
      </w:r>
      <w:r w:rsidRPr="00F52002">
        <w:rPr>
          <w:rFonts w:eastAsia="Calibri"/>
        </w:rPr>
        <w:t xml:space="preserve">tates and </w:t>
      </w:r>
      <w:r>
        <w:rPr>
          <w:rFonts w:eastAsia="Calibri"/>
        </w:rPr>
        <w:t>t</w:t>
      </w:r>
      <w:r w:rsidRPr="00F52002">
        <w:rPr>
          <w:rFonts w:eastAsia="Calibri"/>
        </w:rPr>
        <w:t>erritories to incentivise education in key skills and trades ne</w:t>
      </w:r>
      <w:r>
        <w:rPr>
          <w:rFonts w:eastAsia="Calibri"/>
        </w:rPr>
        <w:t>eded</w:t>
      </w:r>
      <w:r w:rsidRPr="00F52002">
        <w:rPr>
          <w:rFonts w:eastAsia="Calibri"/>
        </w:rPr>
        <w:t xml:space="preserve"> for the home</w:t>
      </w:r>
      <w:r>
        <w:rPr>
          <w:rFonts w:eastAsia="Calibri"/>
        </w:rPr>
        <w:t xml:space="preserve"> </w:t>
      </w:r>
      <w:r w:rsidRPr="00F52002">
        <w:rPr>
          <w:rFonts w:eastAsia="Calibri"/>
        </w:rPr>
        <w:t xml:space="preserve">building industry, </w:t>
      </w:r>
      <w:r>
        <w:rPr>
          <w:rFonts w:eastAsia="Calibri"/>
        </w:rPr>
        <w:t>including for</w:t>
      </w:r>
      <w:r w:rsidRPr="00F52002">
        <w:rPr>
          <w:rFonts w:eastAsia="Calibri"/>
        </w:rPr>
        <w:t xml:space="preserve"> allied sectors such as planning and certification. </w:t>
      </w:r>
      <w:r>
        <w:rPr>
          <w:rFonts w:eastAsia="Calibri"/>
        </w:rPr>
        <w:t>Incentives</w:t>
      </w:r>
      <w:r w:rsidRPr="00F52002">
        <w:rPr>
          <w:rFonts w:eastAsia="Calibri"/>
        </w:rPr>
        <w:t xml:space="preserve"> c</w:t>
      </w:r>
      <w:r w:rsidR="00F80A43">
        <w:rPr>
          <w:rFonts w:eastAsia="Calibri"/>
        </w:rPr>
        <w:t>ould</w:t>
      </w:r>
      <w:r>
        <w:rPr>
          <w:rFonts w:eastAsia="Calibri"/>
        </w:rPr>
        <w:t xml:space="preserve"> </w:t>
      </w:r>
      <w:r w:rsidRPr="00F52002">
        <w:rPr>
          <w:rFonts w:eastAsia="Calibri"/>
        </w:rPr>
        <w:t>include investment in vocational education and training courses, and fully or partially subsidised tuition fees.</w:t>
      </w:r>
      <w:r>
        <w:rPr>
          <w:rFonts w:eastAsia="Calibri"/>
        </w:rPr>
        <w:t xml:space="preserve"> </w:t>
      </w:r>
    </w:p>
    <w:p w14:paraId="5099468C" w14:textId="2B886644" w:rsidR="00791A68" w:rsidRDefault="00791A68" w:rsidP="00AF4C27">
      <w:pPr>
        <w:rPr>
          <w:rFonts w:eastAsia="Calibri"/>
        </w:rPr>
      </w:pPr>
      <w:r>
        <w:rPr>
          <w:rFonts w:eastAsia="Calibri"/>
        </w:rPr>
        <w:t>T</w:t>
      </w:r>
      <w:r w:rsidRPr="00A52C45">
        <w:rPr>
          <w:rFonts w:eastAsia="Calibri"/>
        </w:rPr>
        <w:t>he Council</w:t>
      </w:r>
      <w:r>
        <w:rPr>
          <w:rFonts w:eastAsia="Calibri"/>
        </w:rPr>
        <w:t xml:space="preserve"> also</w:t>
      </w:r>
      <w:r w:rsidRPr="00A52C45">
        <w:rPr>
          <w:rFonts w:eastAsia="Calibri"/>
        </w:rPr>
        <w:t xml:space="preserve"> recommends </w:t>
      </w:r>
      <w:r>
        <w:rPr>
          <w:rFonts w:eastAsia="Calibri"/>
        </w:rPr>
        <w:t xml:space="preserve">that </w:t>
      </w:r>
      <w:r w:rsidRPr="00A52C45">
        <w:rPr>
          <w:rFonts w:eastAsia="Calibri"/>
        </w:rPr>
        <w:t xml:space="preserve">industry address labour shortages and </w:t>
      </w:r>
      <w:r>
        <w:rPr>
          <w:rFonts w:eastAsia="Calibri"/>
        </w:rPr>
        <w:t xml:space="preserve">low </w:t>
      </w:r>
      <w:r w:rsidRPr="00A52C45">
        <w:rPr>
          <w:rFonts w:eastAsia="Calibri"/>
        </w:rPr>
        <w:t xml:space="preserve">productivity by investing in vocational training and apprenticeships, diversifying </w:t>
      </w:r>
      <w:r w:rsidR="009532A1">
        <w:rPr>
          <w:rFonts w:eastAsia="Calibri"/>
        </w:rPr>
        <w:t>the</w:t>
      </w:r>
      <w:r w:rsidR="009532A1" w:rsidRPr="00A52C45">
        <w:rPr>
          <w:rFonts w:eastAsia="Calibri"/>
        </w:rPr>
        <w:t xml:space="preserve"> </w:t>
      </w:r>
      <w:r w:rsidRPr="00A52C45">
        <w:rPr>
          <w:rFonts w:eastAsia="Calibri"/>
        </w:rPr>
        <w:t xml:space="preserve">workforce, and </w:t>
      </w:r>
      <w:r>
        <w:rPr>
          <w:rFonts w:eastAsia="Calibri"/>
        </w:rPr>
        <w:t>investing</w:t>
      </w:r>
      <w:r w:rsidRPr="00A52C45">
        <w:rPr>
          <w:rFonts w:eastAsia="Calibri"/>
        </w:rPr>
        <w:t xml:space="preserve"> in innovat</w:t>
      </w:r>
      <w:r>
        <w:rPr>
          <w:rFonts w:eastAsia="Calibri"/>
        </w:rPr>
        <w:t xml:space="preserve">e </w:t>
      </w:r>
      <w:r w:rsidRPr="00A52C45">
        <w:rPr>
          <w:rFonts w:eastAsia="Calibri"/>
        </w:rPr>
        <w:t>building practices and processes</w:t>
      </w:r>
      <w:r>
        <w:rPr>
          <w:rFonts w:eastAsia="Calibri"/>
        </w:rPr>
        <w:t xml:space="preserve">. </w:t>
      </w:r>
      <w:r w:rsidR="005B0A72">
        <w:rPr>
          <w:rFonts w:eastAsia="Calibri"/>
        </w:rPr>
        <w:t>Setting g</w:t>
      </w:r>
      <w:r w:rsidRPr="00A52C45">
        <w:rPr>
          <w:rFonts w:eastAsia="Calibri"/>
        </w:rPr>
        <w:t xml:space="preserve">eneral industry employment targets </w:t>
      </w:r>
      <w:r w:rsidR="00FA465D">
        <w:rPr>
          <w:rFonts w:eastAsia="Calibri"/>
        </w:rPr>
        <w:t>–</w:t>
      </w:r>
      <w:r w:rsidRPr="00A52C45" w:rsidDel="00FA465D">
        <w:rPr>
          <w:rFonts w:eastAsia="Calibri"/>
        </w:rPr>
        <w:t xml:space="preserve"> </w:t>
      </w:r>
      <w:r w:rsidRPr="00A52C45">
        <w:rPr>
          <w:rFonts w:eastAsia="Calibri"/>
        </w:rPr>
        <w:t>such as gender balance and cultural diversity in recruitment, retention and leadership positions</w:t>
      </w:r>
      <w:r w:rsidR="00FA465D">
        <w:rPr>
          <w:rFonts w:eastAsia="Calibri"/>
        </w:rPr>
        <w:t xml:space="preserve"> –</w:t>
      </w:r>
      <w:r w:rsidRPr="00A52C45">
        <w:rPr>
          <w:rFonts w:eastAsia="Calibri"/>
        </w:rPr>
        <w:t xml:space="preserve"> </w:t>
      </w:r>
      <w:r w:rsidR="00FA465D" w:rsidRPr="00A52C45">
        <w:rPr>
          <w:rFonts w:eastAsia="Calibri"/>
        </w:rPr>
        <w:t>to increase participation</w:t>
      </w:r>
      <w:r w:rsidRPr="00A52C45">
        <w:rPr>
          <w:rFonts w:eastAsia="Calibri"/>
        </w:rPr>
        <w:t xml:space="preserve"> could attract a greater number of employees to the industry.</w:t>
      </w:r>
    </w:p>
    <w:tbl>
      <w:tblPr>
        <w:tblW w:w="5000" w:type="pct"/>
        <w:shd w:val="clear" w:color="auto" w:fill="F2E3C7" w:themeFill="background2"/>
        <w:tblCellMar>
          <w:top w:w="284" w:type="dxa"/>
          <w:left w:w="284" w:type="dxa"/>
          <w:bottom w:w="284" w:type="dxa"/>
          <w:right w:w="284" w:type="dxa"/>
        </w:tblCellMar>
        <w:tblLook w:val="0600" w:firstRow="0" w:lastRow="0" w:firstColumn="0" w:lastColumn="0" w:noHBand="1" w:noVBand="1"/>
      </w:tblPr>
      <w:tblGrid>
        <w:gridCol w:w="9070"/>
      </w:tblGrid>
      <w:tr w:rsidR="001B4EAF" w14:paraId="19D46E3E" w14:textId="77777777">
        <w:tc>
          <w:tcPr>
            <w:tcW w:w="5000" w:type="pct"/>
            <w:shd w:val="clear" w:color="auto" w:fill="F2E3C7" w:themeFill="background2"/>
            <w:hideMark/>
          </w:tcPr>
          <w:p w14:paraId="67CA2775" w14:textId="77777777" w:rsidR="001B4EAF" w:rsidRDefault="001B4EAF" w:rsidP="00E17686">
            <w:pPr>
              <w:pStyle w:val="BoxHeading"/>
              <w:spacing w:before="60"/>
            </w:pPr>
            <w:r>
              <w:t>Recommendation 2.2</w:t>
            </w:r>
          </w:p>
          <w:p w14:paraId="3B828927" w14:textId="5158B2F5" w:rsidR="001B4EAF" w:rsidRDefault="001B4EAF" w:rsidP="00E17686">
            <w:pPr>
              <w:pStyle w:val="BoxText"/>
              <w:spacing w:after="0"/>
            </w:pPr>
            <w:r>
              <w:t xml:space="preserve">Governments should address the continued shortfall in construction sector workers by boosting skills training and through skilled migration programs. </w:t>
            </w:r>
          </w:p>
        </w:tc>
      </w:tr>
    </w:tbl>
    <w:p w14:paraId="04AC4366" w14:textId="77777777" w:rsidR="001B4EAF" w:rsidRPr="00E17686" w:rsidRDefault="001B4EAF" w:rsidP="00E17686">
      <w:pPr>
        <w:pStyle w:val="SingleParagraph"/>
      </w:pPr>
    </w:p>
    <w:tbl>
      <w:tblPr>
        <w:tblW w:w="5000" w:type="pct"/>
        <w:shd w:val="clear" w:color="auto" w:fill="F2E3C7" w:themeFill="background2"/>
        <w:tblCellMar>
          <w:top w:w="284" w:type="dxa"/>
          <w:left w:w="284" w:type="dxa"/>
          <w:bottom w:w="284" w:type="dxa"/>
          <w:right w:w="284" w:type="dxa"/>
        </w:tblCellMar>
        <w:tblLook w:val="0600" w:firstRow="0" w:lastRow="0" w:firstColumn="0" w:lastColumn="0" w:noHBand="1" w:noVBand="1"/>
      </w:tblPr>
      <w:tblGrid>
        <w:gridCol w:w="9070"/>
      </w:tblGrid>
      <w:tr w:rsidR="001B4EAF" w14:paraId="44C32527" w14:textId="77777777">
        <w:tc>
          <w:tcPr>
            <w:tcW w:w="5000" w:type="pct"/>
            <w:shd w:val="clear" w:color="auto" w:fill="F2E3C7" w:themeFill="background2"/>
            <w:hideMark/>
          </w:tcPr>
          <w:p w14:paraId="6D4D6FED" w14:textId="23D5D977" w:rsidR="001B4EAF" w:rsidRDefault="001B4EAF" w:rsidP="00E17686">
            <w:pPr>
              <w:pStyle w:val="BoxHeading"/>
              <w:keepNext w:val="0"/>
              <w:spacing w:before="60"/>
            </w:pPr>
            <w:bookmarkStart w:id="178" w:name="_Toc195026621"/>
            <w:r>
              <w:t>Recommendation 2.3</w:t>
            </w:r>
          </w:p>
          <w:p w14:paraId="299E9B93" w14:textId="4ECBD01B" w:rsidR="001B4EAF" w:rsidRDefault="001B4EAF" w:rsidP="00E17686">
            <w:pPr>
              <w:pStyle w:val="BoxText"/>
              <w:spacing w:after="0"/>
            </w:pPr>
            <w:r>
              <w:t xml:space="preserve">Industry should address labour shortages and low productivity by investing in vocational training and apprenticeships, and diversifying its workforce. </w:t>
            </w:r>
          </w:p>
        </w:tc>
      </w:tr>
    </w:tbl>
    <w:p w14:paraId="226989A1" w14:textId="098C9B44" w:rsidR="00791A68" w:rsidRPr="006E5D64" w:rsidRDefault="00791A68" w:rsidP="00744F72">
      <w:pPr>
        <w:pStyle w:val="Heading2Numbered"/>
      </w:pPr>
      <w:bookmarkStart w:id="179" w:name="_Toc196395912"/>
      <w:r w:rsidRPr="006E5D64">
        <w:lastRenderedPageBreak/>
        <w:t>Apply</w:t>
      </w:r>
      <w:r>
        <w:t>ing</w:t>
      </w:r>
      <w:r w:rsidRPr="006E5D64">
        <w:t xml:space="preserve"> best practice principles to planning systems and </w:t>
      </w:r>
      <w:r w:rsidR="00954320">
        <w:t>making</w:t>
      </w:r>
      <w:r w:rsidR="00954320" w:rsidRPr="006E5D64">
        <w:t xml:space="preserve"> </w:t>
      </w:r>
      <w:r w:rsidR="009640E4">
        <w:t>more</w:t>
      </w:r>
      <w:r w:rsidR="009640E4" w:rsidRPr="006E5D64">
        <w:t xml:space="preserve"> </w:t>
      </w:r>
      <w:r w:rsidRPr="006E5D64">
        <w:t>land available</w:t>
      </w:r>
      <w:bookmarkEnd w:id="178"/>
      <w:bookmarkEnd w:id="179"/>
      <w:r w:rsidRPr="006E5D64">
        <w:t xml:space="preserve"> </w:t>
      </w:r>
    </w:p>
    <w:p w14:paraId="181388CE" w14:textId="4C0CD425" w:rsidR="00791A68" w:rsidRDefault="00791A68" w:rsidP="00AF4C27">
      <w:pPr>
        <w:rPr>
          <w:rFonts w:ascii="Calibri" w:hAnsi="Calibri" w:cs="Calibri"/>
          <w:color w:val="auto"/>
          <w:szCs w:val="22"/>
        </w:rPr>
      </w:pPr>
      <w:r w:rsidRPr="009628A8">
        <w:t xml:space="preserve">Planning is a critical part of the process of supplying homes that meet the needs of Australians. </w:t>
      </w:r>
      <w:r w:rsidRPr="009628A8">
        <w:rPr>
          <w:rFonts w:ascii="Calibri" w:hAnsi="Calibri" w:cs="Calibri"/>
          <w:color w:val="auto"/>
          <w:szCs w:val="22"/>
        </w:rPr>
        <w:t xml:space="preserve">The Council welcomes the work underway to improve </w:t>
      </w:r>
      <w:r w:rsidRPr="009628A8">
        <w:t xml:space="preserve">planning and zoning systems as part of </w:t>
      </w:r>
      <w:r>
        <w:t>National Cabinet</w:t>
      </w:r>
      <w:r w:rsidR="00A15C79">
        <w:t>’</w:t>
      </w:r>
      <w:r>
        <w:t xml:space="preserve">s </w:t>
      </w:r>
      <w:r w:rsidRPr="009628A8">
        <w:rPr>
          <w:rFonts w:ascii="Calibri" w:hAnsi="Calibri" w:cs="Calibri"/>
          <w:color w:val="auto"/>
          <w:szCs w:val="22"/>
        </w:rPr>
        <w:t>National Planning Reform Blueprint</w:t>
      </w:r>
      <w:r w:rsidRPr="009628A8">
        <w:t>.</w:t>
      </w:r>
      <w:r>
        <w:rPr>
          <w:rFonts w:ascii="Calibri" w:hAnsi="Calibri" w:cs="Calibri"/>
          <w:color w:val="auto"/>
          <w:szCs w:val="22"/>
        </w:rPr>
        <w:t xml:space="preserve"> </w:t>
      </w:r>
      <w:r w:rsidRPr="009628A8">
        <w:rPr>
          <w:rFonts w:ascii="Calibri" w:hAnsi="Calibri" w:cs="Calibri"/>
          <w:color w:val="auto"/>
          <w:szCs w:val="22"/>
        </w:rPr>
        <w:t xml:space="preserve">However, more effort is required to ease unwarranted constraints on new supply and move towards consistency in planning principles across jurisdictions. </w:t>
      </w:r>
    </w:p>
    <w:p w14:paraId="25D71414" w14:textId="76411187" w:rsidR="00791A68" w:rsidRDefault="00791A68" w:rsidP="00AF4C27">
      <w:r>
        <w:t>L</w:t>
      </w:r>
      <w:r w:rsidRPr="006E5D64">
        <w:t xml:space="preserve">and release, </w:t>
      </w:r>
      <w:r>
        <w:t xml:space="preserve">land use </w:t>
      </w:r>
      <w:r w:rsidRPr="006E5D64">
        <w:t xml:space="preserve">and planning approval requirements vary markedly across the states and territories and the hundreds of local governments that provide the planning consent authority. </w:t>
      </w:r>
      <w:r>
        <w:rPr>
          <w:rFonts w:ascii="Calibri" w:hAnsi="Calibri" w:cs="Calibri"/>
          <w:color w:val="auto"/>
          <w:szCs w:val="22"/>
        </w:rPr>
        <w:t>C</w:t>
      </w:r>
      <w:r w:rsidRPr="006E5D64">
        <w:rPr>
          <w:rFonts w:ascii="Calibri" w:hAnsi="Calibri" w:cs="Calibri"/>
          <w:color w:val="auto"/>
          <w:szCs w:val="22"/>
        </w:rPr>
        <w:t>omplex and inconsistent planning system</w:t>
      </w:r>
      <w:r>
        <w:rPr>
          <w:rFonts w:ascii="Calibri" w:hAnsi="Calibri" w:cs="Calibri"/>
          <w:color w:val="auto"/>
          <w:szCs w:val="22"/>
        </w:rPr>
        <w:t>s</w:t>
      </w:r>
      <w:r w:rsidRPr="006E5D64">
        <w:rPr>
          <w:rFonts w:ascii="Calibri" w:hAnsi="Calibri" w:cs="Calibri"/>
          <w:color w:val="auto"/>
          <w:szCs w:val="22"/>
        </w:rPr>
        <w:t xml:space="preserve"> </w:t>
      </w:r>
      <w:r>
        <w:rPr>
          <w:rFonts w:ascii="Calibri" w:hAnsi="Calibri" w:cs="Calibri"/>
          <w:color w:val="auto"/>
          <w:szCs w:val="22"/>
        </w:rPr>
        <w:t>are</w:t>
      </w:r>
      <w:r w:rsidRPr="006E5D64">
        <w:rPr>
          <w:rFonts w:ascii="Calibri" w:hAnsi="Calibri" w:cs="Calibri"/>
          <w:color w:val="auto"/>
          <w:szCs w:val="22"/>
        </w:rPr>
        <w:t xml:space="preserve"> difficult for developers and builders to navigate</w:t>
      </w:r>
      <w:r>
        <w:rPr>
          <w:rFonts w:ascii="Calibri" w:hAnsi="Calibri" w:cs="Calibri"/>
          <w:color w:val="auto"/>
          <w:szCs w:val="22"/>
        </w:rPr>
        <w:t xml:space="preserve">, limit </w:t>
      </w:r>
      <w:r w:rsidRPr="002949B5">
        <w:rPr>
          <w:rFonts w:ascii="Calibri" w:hAnsi="Calibri" w:cs="Calibri"/>
          <w:color w:val="auto"/>
          <w:szCs w:val="22"/>
        </w:rPr>
        <w:t xml:space="preserve">the ability of the sector to achieve scale, </w:t>
      </w:r>
      <w:r w:rsidRPr="002949B5">
        <w:t>add to the costs of housing by delaying approval times, and impede the implementation of development strategies (</w:t>
      </w:r>
      <w:r w:rsidR="0028213A" w:rsidRPr="002949B5">
        <w:rPr>
          <w:szCs w:val="22"/>
        </w:rPr>
        <w:t>Daley et al. 2018a</w:t>
      </w:r>
      <w:r w:rsidRPr="002949B5">
        <w:t>;</w:t>
      </w:r>
      <w:r w:rsidRPr="002949B5" w:rsidDel="0028213A">
        <w:t xml:space="preserve"> </w:t>
      </w:r>
      <w:r w:rsidRPr="002949B5">
        <w:t xml:space="preserve">NSW </w:t>
      </w:r>
      <w:r w:rsidR="006153AC" w:rsidRPr="002949B5">
        <w:t xml:space="preserve">Productivity </w:t>
      </w:r>
      <w:r w:rsidR="00CE6F01" w:rsidRPr="002949B5">
        <w:t xml:space="preserve">and Equality </w:t>
      </w:r>
      <w:r w:rsidR="006153AC" w:rsidRPr="002949B5">
        <w:t>Commission</w:t>
      </w:r>
      <w:r w:rsidRPr="002949B5">
        <w:t> 202</w:t>
      </w:r>
      <w:r w:rsidR="0065152F" w:rsidRPr="002949B5">
        <w:t>4</w:t>
      </w:r>
      <w:r w:rsidRPr="002949B5">
        <w:t xml:space="preserve">). </w:t>
      </w:r>
      <w:r w:rsidR="00BF793A" w:rsidRPr="002949B5">
        <w:t>In its review of the National Housing and Homelessness Agreement (</w:t>
      </w:r>
      <w:r w:rsidR="006153AC" w:rsidRPr="002949B5">
        <w:t>Productivity Commission</w:t>
      </w:r>
      <w:r w:rsidR="00714BEC">
        <w:t xml:space="preserve"> </w:t>
      </w:r>
      <w:r w:rsidR="00BF793A" w:rsidRPr="00BF793A">
        <w:t>2022)</w:t>
      </w:r>
      <w:r w:rsidR="00BF793A">
        <w:t>, t</w:t>
      </w:r>
      <w:r>
        <w:t xml:space="preserve">he Productivity Commission </w:t>
      </w:r>
      <w:r w:rsidR="00C026E2">
        <w:t>found</w:t>
      </w:r>
      <w:r>
        <w:t xml:space="preserve"> planning</w:t>
      </w:r>
      <w:r w:rsidRPr="009628A8">
        <w:rPr>
          <w:rFonts w:ascii="Calibri" w:hAnsi="Calibri" w:cs="Calibri"/>
          <w:color w:val="auto"/>
          <w:szCs w:val="22"/>
        </w:rPr>
        <w:t xml:space="preserve"> reform to be one of the most significant policy actions required to address housing supply and affordability</w:t>
      </w:r>
      <w:r w:rsidR="00AB76FF">
        <w:rPr>
          <w:rFonts w:ascii="Calibri" w:hAnsi="Calibri" w:cs="Calibri"/>
          <w:color w:val="auto"/>
          <w:szCs w:val="22"/>
        </w:rPr>
        <w:t>. T</w:t>
      </w:r>
      <w:r w:rsidRPr="009628A8">
        <w:rPr>
          <w:rFonts w:ascii="Calibri" w:hAnsi="Calibri" w:cs="Calibri"/>
          <w:color w:val="auto"/>
          <w:szCs w:val="22"/>
        </w:rPr>
        <w:t xml:space="preserve">he Grattan Institute </w:t>
      </w:r>
      <w:r>
        <w:rPr>
          <w:rFonts w:ascii="Calibri" w:hAnsi="Calibri" w:cs="Calibri"/>
          <w:color w:val="auto"/>
          <w:szCs w:val="22"/>
        </w:rPr>
        <w:t xml:space="preserve">has proposed that </w:t>
      </w:r>
      <w:r w:rsidRPr="009628A8">
        <w:rPr>
          <w:rFonts w:ascii="Calibri" w:hAnsi="Calibri" w:cs="Calibri"/>
          <w:color w:val="auto"/>
          <w:szCs w:val="22"/>
        </w:rPr>
        <w:t xml:space="preserve">incentivising states to reform land use </w:t>
      </w:r>
      <w:r w:rsidR="00111B74">
        <w:rPr>
          <w:rFonts w:ascii="Calibri" w:hAnsi="Calibri" w:cs="Calibri"/>
          <w:color w:val="auto"/>
          <w:szCs w:val="22"/>
        </w:rPr>
        <w:t>would</w:t>
      </w:r>
      <w:r w:rsidR="00111B74" w:rsidRPr="009628A8">
        <w:rPr>
          <w:rFonts w:ascii="Calibri" w:hAnsi="Calibri" w:cs="Calibri"/>
          <w:color w:val="auto"/>
          <w:szCs w:val="22"/>
        </w:rPr>
        <w:t xml:space="preserve"> </w:t>
      </w:r>
      <w:r w:rsidRPr="009628A8">
        <w:rPr>
          <w:rFonts w:ascii="Calibri" w:hAnsi="Calibri" w:cs="Calibri"/>
          <w:color w:val="auto"/>
          <w:szCs w:val="22"/>
        </w:rPr>
        <w:t>the best way to boost supply (Coates</w:t>
      </w:r>
      <w:r w:rsidR="001B4EAF">
        <w:rPr>
          <w:rFonts w:ascii="Calibri" w:hAnsi="Calibri" w:cs="Calibri"/>
          <w:color w:val="auto"/>
          <w:szCs w:val="22"/>
        </w:rPr>
        <w:t> </w:t>
      </w:r>
      <w:r w:rsidR="00C41DAC">
        <w:rPr>
          <w:rFonts w:ascii="Calibri" w:hAnsi="Calibri" w:cs="Calibri"/>
          <w:color w:val="auto"/>
          <w:szCs w:val="22"/>
        </w:rPr>
        <w:t>and</w:t>
      </w:r>
      <w:r w:rsidR="008B1335" w:rsidRPr="009628A8">
        <w:rPr>
          <w:rFonts w:ascii="Calibri" w:hAnsi="Calibri" w:cs="Calibri"/>
          <w:color w:val="auto"/>
          <w:szCs w:val="22"/>
        </w:rPr>
        <w:t xml:space="preserve"> </w:t>
      </w:r>
      <w:r w:rsidRPr="009628A8">
        <w:rPr>
          <w:rFonts w:ascii="Calibri" w:hAnsi="Calibri" w:cs="Calibri"/>
          <w:color w:val="auto"/>
          <w:szCs w:val="22"/>
        </w:rPr>
        <w:t>Maloney</w:t>
      </w:r>
      <w:r w:rsidR="00CE6F01">
        <w:rPr>
          <w:rFonts w:ascii="Calibri" w:hAnsi="Calibri" w:cs="Calibri"/>
          <w:color w:val="auto"/>
          <w:szCs w:val="22"/>
        </w:rPr>
        <w:t xml:space="preserve"> </w:t>
      </w:r>
      <w:r w:rsidRPr="009628A8">
        <w:rPr>
          <w:rFonts w:ascii="Calibri" w:hAnsi="Calibri" w:cs="Calibri"/>
          <w:color w:val="auto"/>
          <w:szCs w:val="22"/>
        </w:rPr>
        <w:t>2023)</w:t>
      </w:r>
      <w:r>
        <w:rPr>
          <w:rFonts w:ascii="Calibri" w:hAnsi="Calibri" w:cs="Calibri"/>
          <w:color w:val="auto"/>
          <w:szCs w:val="22"/>
        </w:rPr>
        <w:t xml:space="preserve">. </w:t>
      </w:r>
    </w:p>
    <w:p w14:paraId="2720B7D3" w14:textId="77777777" w:rsidR="00791A68" w:rsidRDefault="00791A68" w:rsidP="000D7FD4">
      <w:pPr>
        <w:pStyle w:val="Heading3Numbered"/>
      </w:pPr>
      <w:r>
        <w:t>Improving planning systems</w:t>
      </w:r>
    </w:p>
    <w:p w14:paraId="79B46DCF" w14:textId="75F8915B" w:rsidR="00B83593" w:rsidRDefault="00791A68" w:rsidP="00AF4C27">
      <w:r w:rsidRPr="006E5D64">
        <w:t>Best</w:t>
      </w:r>
      <w:r w:rsidR="00111B74">
        <w:t xml:space="preserve"> </w:t>
      </w:r>
      <w:r w:rsidRPr="006E5D64">
        <w:t xml:space="preserve">practice planning principles can </w:t>
      </w:r>
      <w:r>
        <w:t>increase the</w:t>
      </w:r>
      <w:r w:rsidRPr="006E5D64">
        <w:t xml:space="preserve"> speed of </w:t>
      </w:r>
      <w:r>
        <w:t xml:space="preserve">development </w:t>
      </w:r>
      <w:r w:rsidRPr="006E5D64">
        <w:t xml:space="preserve">approval, </w:t>
      </w:r>
      <w:r w:rsidR="00E011CF">
        <w:t>mak</w:t>
      </w:r>
      <w:r w:rsidRPr="006E5D64">
        <w:t xml:space="preserve">ing </w:t>
      </w:r>
      <w:r>
        <w:t xml:space="preserve">housing </w:t>
      </w:r>
      <w:r w:rsidRPr="006E5D64">
        <w:t xml:space="preserve">supply more responsive to demand. </w:t>
      </w:r>
      <w:r>
        <w:t>In many jurisdictions,</w:t>
      </w:r>
      <w:r w:rsidRPr="006E5D64">
        <w:t xml:space="preserve"> statutory planning rules leave too much room for discretion in interpretation, leading to delays and disput</w:t>
      </w:r>
      <w:r w:rsidR="000F4D46">
        <w:t>es</w:t>
      </w:r>
      <w:r w:rsidRPr="006E5D64">
        <w:t xml:space="preserve"> in the development approval process. </w:t>
      </w:r>
      <w:r>
        <w:t>Streamlining the planning system is essential to improve construction productivity (</w:t>
      </w:r>
      <w:r w:rsidR="00091CEE">
        <w:t>Productivity Commission</w:t>
      </w:r>
      <w:r w:rsidR="005C0798">
        <w:t xml:space="preserve"> </w:t>
      </w:r>
      <w:r>
        <w:t>2025</w:t>
      </w:r>
      <w:r w:rsidR="000D73CE">
        <w:t>a</w:t>
      </w:r>
      <w:r>
        <w:t xml:space="preserve">). </w:t>
      </w:r>
    </w:p>
    <w:p w14:paraId="2D38E1E2" w14:textId="5BED46E5" w:rsidR="00791A68" w:rsidRPr="006E5D64" w:rsidRDefault="00791A68" w:rsidP="00AF4C27">
      <w:r>
        <w:t>In a positive sign, states and territories are progressing initiatives to reform land use and planning systems and speed up approvals through the National Planning Reform Blueprint. For example, the recently established Housing Delivery Authority in New South Wales will streamline the development of major housing projects by reducing the number of complex development applications councils are required to assess (NSW Government 2025</w:t>
      </w:r>
      <w:r w:rsidR="008A4EBB">
        <w:t>c</w:t>
      </w:r>
      <w:r>
        <w:t xml:space="preserve">). </w:t>
      </w:r>
    </w:p>
    <w:p w14:paraId="49AE8C7F" w14:textId="181D5925" w:rsidR="00791A68" w:rsidRPr="006E5D64" w:rsidRDefault="00791A68" w:rsidP="00AF4C27">
      <w:r w:rsidRPr="006E5D64">
        <w:t xml:space="preserve">To assist in </w:t>
      </w:r>
      <w:r>
        <w:t>implementing the</w:t>
      </w:r>
      <w:r w:rsidRPr="006E5D64">
        <w:t xml:space="preserve"> </w:t>
      </w:r>
      <w:r>
        <w:t>National Planning Reform B</w:t>
      </w:r>
      <w:r w:rsidRPr="006E5D64">
        <w:t xml:space="preserve">lueprint, the Council </w:t>
      </w:r>
      <w:r>
        <w:t>has</w:t>
      </w:r>
      <w:r w:rsidRPr="006E5D64">
        <w:t xml:space="preserve"> identified best</w:t>
      </w:r>
      <w:r w:rsidR="00152489">
        <w:t xml:space="preserve"> </w:t>
      </w:r>
      <w:r w:rsidRPr="006E5D64">
        <w:t>practice principles that should be applied consistently across the country to speed up the development approval process</w:t>
      </w:r>
      <w:r>
        <w:t>.</w:t>
      </w:r>
    </w:p>
    <w:p w14:paraId="4850CD90" w14:textId="16F96A26" w:rsidR="00791A68" w:rsidRPr="00702D5A" w:rsidRDefault="00791A68" w:rsidP="002E0488">
      <w:pPr>
        <w:pStyle w:val="OutlineNumbered1"/>
        <w:numPr>
          <w:ilvl w:val="0"/>
          <w:numId w:val="20"/>
        </w:numPr>
      </w:pPr>
      <w:r w:rsidRPr="00702D5A">
        <w:t>Planning systems should be outcomes</w:t>
      </w:r>
      <w:r w:rsidR="00A15C79">
        <w:noBreakHyphen/>
      </w:r>
      <w:r w:rsidRPr="00702D5A">
        <w:t xml:space="preserve">based </w:t>
      </w:r>
      <w:r w:rsidRPr="009628A8">
        <w:t xml:space="preserve">and </w:t>
      </w:r>
      <w:r w:rsidRPr="00702D5A">
        <w:t xml:space="preserve">backed by quantitative performance standards. Prescriptive minimum standards should </w:t>
      </w:r>
      <w:r w:rsidRPr="009628A8">
        <w:t xml:space="preserve">identify the minimum </w:t>
      </w:r>
      <w:r w:rsidRPr="00702D5A">
        <w:t>performance outcomes expected of housing development</w:t>
      </w:r>
      <w:r>
        <w:t>s</w:t>
      </w:r>
      <w:r w:rsidRPr="009628A8">
        <w:t xml:space="preserve">, and if met the development </w:t>
      </w:r>
      <w:r>
        <w:t xml:space="preserve">should be </w:t>
      </w:r>
      <w:r w:rsidRPr="00702D5A">
        <w:t>deemed</w:t>
      </w:r>
      <w:r w:rsidRPr="009628A8">
        <w:t xml:space="preserve"> </w:t>
      </w:r>
      <w:r w:rsidRPr="00702D5A">
        <w:t>to</w:t>
      </w:r>
      <w:r w:rsidRPr="009628A8">
        <w:t xml:space="preserve"> </w:t>
      </w:r>
      <w:r w:rsidRPr="00702D5A">
        <w:t xml:space="preserve">comply. </w:t>
      </w:r>
      <w:r w:rsidRPr="009628A8">
        <w:t xml:space="preserve">Outcomes </w:t>
      </w:r>
      <w:r w:rsidRPr="00702D5A">
        <w:t xml:space="preserve">should, as far as possible, be objectively certifiable, to avoid or minimise discretionary judgement in the approvals process. </w:t>
      </w:r>
    </w:p>
    <w:p w14:paraId="7237516B" w14:textId="603091C4" w:rsidR="00791A68" w:rsidRPr="00702D5A" w:rsidRDefault="00791A68">
      <w:pPr>
        <w:pStyle w:val="OutlineNumbered1"/>
      </w:pPr>
      <w:r w:rsidRPr="00702D5A">
        <w:t xml:space="preserve">Policy setting should be separate from development assessment, with </w:t>
      </w:r>
      <w:r w:rsidR="000F1C54">
        <w:t>the latter</w:t>
      </w:r>
      <w:r w:rsidR="000F1C54" w:rsidRPr="00702D5A">
        <w:t xml:space="preserve"> </w:t>
      </w:r>
      <w:r w:rsidRPr="00702D5A">
        <w:t xml:space="preserve">based on technical skills provided by panels or similar mechanisms </w:t>
      </w:r>
      <w:r w:rsidR="000F1C54">
        <w:t>that</w:t>
      </w:r>
      <w:r w:rsidR="000F1C54" w:rsidRPr="00702D5A">
        <w:t xml:space="preserve"> </w:t>
      </w:r>
      <w:r w:rsidRPr="00702D5A">
        <w:t>are not exposed to political lobbying. In some jurisdictions, this would be a significant directional change in the development process</w:t>
      </w:r>
      <w:r w:rsidR="000F1C54">
        <w:t>,</w:t>
      </w:r>
      <w:r w:rsidRPr="00702D5A">
        <w:t xml:space="preserve"> but would ensure community voices </w:t>
      </w:r>
      <w:r w:rsidR="000F1C54">
        <w:t>we</w:t>
      </w:r>
      <w:r w:rsidRPr="00702D5A">
        <w:t xml:space="preserve">re </w:t>
      </w:r>
      <w:r w:rsidR="00AE5CAA">
        <w:t>heard</w:t>
      </w:r>
      <w:r w:rsidR="001F4954">
        <w:t xml:space="preserve"> when</w:t>
      </w:r>
      <w:r w:rsidRPr="00702D5A">
        <w:t xml:space="preserve"> form</w:t>
      </w:r>
      <w:r w:rsidR="001F4954">
        <w:t>ing</w:t>
      </w:r>
      <w:r w:rsidRPr="00702D5A">
        <w:t xml:space="preserve"> planning policies and statutory rules, while allowing for faster approval of development applications</w:t>
      </w:r>
      <w:r w:rsidRPr="00702D5A" w:rsidDel="00DB553E">
        <w:t>.</w:t>
      </w:r>
    </w:p>
    <w:p w14:paraId="4F3B6BA8" w14:textId="2F063669" w:rsidR="00791A68" w:rsidRDefault="00791A68">
      <w:pPr>
        <w:pStyle w:val="OutlineNumbered1"/>
      </w:pPr>
      <w:r>
        <w:lastRenderedPageBreak/>
        <w:t>T</w:t>
      </w:r>
      <w:r w:rsidRPr="006E5D64">
        <w:t>ime</w:t>
      </w:r>
      <w:r>
        <w:t xml:space="preserve">frames for </w:t>
      </w:r>
      <w:r w:rsidRPr="006E5D64">
        <w:t>decision making</w:t>
      </w:r>
      <w:r>
        <w:t xml:space="preserve"> should be reasonable, transparent and enforceable</w:t>
      </w:r>
      <w:r w:rsidRPr="006E5D64" w:rsidDel="008022D8">
        <w:t>.</w:t>
      </w:r>
      <w:r>
        <w:t xml:space="preserve"> </w:t>
      </w:r>
    </w:p>
    <w:p w14:paraId="41D27D92" w14:textId="64F3ABC9" w:rsidR="00B46D92" w:rsidRDefault="00791A68" w:rsidP="00B46D92">
      <w:pPr>
        <w:pStyle w:val="OutlineNumbered1"/>
      </w:pPr>
      <w:r>
        <w:t>S</w:t>
      </w:r>
      <w:r w:rsidRPr="006E5D64">
        <w:t xml:space="preserve">ystems </w:t>
      </w:r>
      <w:r>
        <w:t xml:space="preserve">should be </w:t>
      </w:r>
      <w:r w:rsidRPr="006E5D64">
        <w:t xml:space="preserve">fully digitised. This would entail a significant cost in some jurisdictions, </w:t>
      </w:r>
      <w:r>
        <w:t>but</w:t>
      </w:r>
      <w:r w:rsidRPr="006E5D64">
        <w:t xml:space="preserve"> is largely inevitabl</w:t>
      </w:r>
      <w:r>
        <w:t>e</w:t>
      </w:r>
      <w:r w:rsidRPr="006E5D64">
        <w:t>. Condensing the tens of thousands of pages of policy, procedures and standards into streamlined online codes would avoid legal and bureaucratic disputes and confusion over interpretation</w:t>
      </w:r>
      <w:r w:rsidR="008E4210">
        <w:t xml:space="preserve">. </w:t>
      </w:r>
    </w:p>
    <w:tbl>
      <w:tblPr>
        <w:tblW w:w="5000" w:type="pct"/>
        <w:shd w:val="clear" w:color="auto" w:fill="F2E3C7" w:themeFill="background2"/>
        <w:tblCellMar>
          <w:top w:w="284" w:type="dxa"/>
          <w:left w:w="284" w:type="dxa"/>
          <w:bottom w:w="284" w:type="dxa"/>
          <w:right w:w="284" w:type="dxa"/>
        </w:tblCellMar>
        <w:tblLook w:val="0600" w:firstRow="0" w:lastRow="0" w:firstColumn="0" w:lastColumn="0" w:noHBand="1" w:noVBand="1"/>
      </w:tblPr>
      <w:tblGrid>
        <w:gridCol w:w="9070"/>
      </w:tblGrid>
      <w:tr w:rsidR="00B46D92" w14:paraId="534B41C3" w14:textId="77777777">
        <w:tc>
          <w:tcPr>
            <w:tcW w:w="5000" w:type="pct"/>
            <w:shd w:val="clear" w:color="auto" w:fill="F2E3C7" w:themeFill="background2"/>
            <w:hideMark/>
          </w:tcPr>
          <w:p w14:paraId="695406BD" w14:textId="77777777" w:rsidR="00B46D92" w:rsidRDefault="00B46D92" w:rsidP="00B46D92">
            <w:pPr>
              <w:pStyle w:val="BoxHeading"/>
            </w:pPr>
            <w:r>
              <w:t xml:space="preserve">Recommendation 3.1 </w:t>
            </w:r>
          </w:p>
          <w:p w14:paraId="3AC93035" w14:textId="552F3F7A" w:rsidR="00B46D92" w:rsidRDefault="00B46D92" w:rsidP="00B46D92">
            <w:pPr>
              <w:pStyle w:val="BoxText"/>
            </w:pPr>
            <w:r w:rsidRPr="00B46D92">
              <w:t>Governments</w:t>
            </w:r>
            <w:r>
              <w:t xml:space="preserve"> should implement best practice planning and zoning principles consistently across the country to reduce costs and boost sector productivity and the responsiveness of new housing supply to demand.</w:t>
            </w:r>
          </w:p>
        </w:tc>
      </w:tr>
    </w:tbl>
    <w:p w14:paraId="2681E49A" w14:textId="75F7B33F" w:rsidR="00791A68" w:rsidRDefault="00791A68" w:rsidP="00AF4C27">
      <w:pPr>
        <w:pStyle w:val="Heading3Numbered"/>
      </w:pPr>
      <w:r w:rsidRPr="00AF4C27">
        <w:t>Promoting</w:t>
      </w:r>
      <w:r>
        <w:t xml:space="preserve"> greater housing density</w:t>
      </w:r>
    </w:p>
    <w:p w14:paraId="602BAAA1" w14:textId="644D41AD" w:rsidR="00791A68" w:rsidRPr="002949B5" w:rsidRDefault="00791A68" w:rsidP="00AF4C27">
      <w:r>
        <w:t xml:space="preserve">Regulations </w:t>
      </w:r>
      <w:r w:rsidRPr="006E5D64">
        <w:t xml:space="preserve">should </w:t>
      </w:r>
      <w:r>
        <w:t>continue to promote</w:t>
      </w:r>
      <w:r w:rsidRPr="006E5D64">
        <w:t xml:space="preserve"> greater housing density in well</w:t>
      </w:r>
      <w:r w:rsidR="00A15C79">
        <w:noBreakHyphen/>
      </w:r>
      <w:r w:rsidRPr="006E5D64">
        <w:t xml:space="preserve">located communities. </w:t>
      </w:r>
      <w:r>
        <w:t>Z</w:t>
      </w:r>
      <w:r w:rsidRPr="006E5D64">
        <w:t xml:space="preserve">oning restrictions </w:t>
      </w:r>
      <w:r>
        <w:t xml:space="preserve">can </w:t>
      </w:r>
      <w:r w:rsidRPr="006E5D64">
        <w:t>limi</w:t>
      </w:r>
      <w:r>
        <w:t>t</w:t>
      </w:r>
      <w:r w:rsidRPr="006E5D64" w:rsidDel="0085242A">
        <w:t xml:space="preserve"> </w:t>
      </w:r>
      <w:r>
        <w:t xml:space="preserve">the supply of </w:t>
      </w:r>
      <w:r w:rsidRPr="002949B5">
        <w:t>available land and increase land values. This makes it harder for developers to acquire sites for development in feasible locations and</w:t>
      </w:r>
      <w:r w:rsidRPr="002949B5" w:rsidDel="0085242A">
        <w:t xml:space="preserve"> </w:t>
      </w:r>
      <w:r w:rsidRPr="002949B5">
        <w:t xml:space="preserve">makes greenfield development more expensive and prone to speculation (NSW </w:t>
      </w:r>
      <w:r w:rsidR="0021581B" w:rsidRPr="002949B5">
        <w:t>Productivity</w:t>
      </w:r>
      <w:r w:rsidR="002064E1" w:rsidRPr="002949B5">
        <w:t xml:space="preserve"> and Equality</w:t>
      </w:r>
      <w:r w:rsidR="0021581B" w:rsidRPr="002949B5">
        <w:t xml:space="preserve"> Commission </w:t>
      </w:r>
      <w:r w:rsidRPr="002949B5">
        <w:t>202</w:t>
      </w:r>
      <w:r w:rsidR="005C6A35" w:rsidRPr="002949B5">
        <w:t>4</w:t>
      </w:r>
      <w:r w:rsidRPr="002949B5">
        <w:t xml:space="preserve">). </w:t>
      </w:r>
    </w:p>
    <w:p w14:paraId="063DD5A8" w14:textId="74FCFBCD" w:rsidR="00791A68" w:rsidRPr="00A52C45" w:rsidRDefault="00791A68" w:rsidP="00AF4C27">
      <w:r w:rsidRPr="002949B5">
        <w:t>Promoting greater housing density does not necessarily only mean supporting more high</w:t>
      </w:r>
      <w:r w:rsidR="00A15C79" w:rsidRPr="002949B5">
        <w:noBreakHyphen/>
      </w:r>
      <w:r w:rsidRPr="002949B5">
        <w:t xml:space="preserve">rise towers, though these will form part of the housing mix. Greater housing density </w:t>
      </w:r>
      <w:r w:rsidR="00497E7F" w:rsidRPr="002949B5">
        <w:t xml:space="preserve">also </w:t>
      </w:r>
      <w:r w:rsidRPr="002949B5">
        <w:t>means</w:t>
      </w:r>
      <w:r w:rsidRPr="009628A8">
        <w:t xml:space="preserve"> supporting the </w:t>
      </w:r>
      <w:r w:rsidR="00A15C79">
        <w:t>‘</w:t>
      </w:r>
      <w:r w:rsidRPr="009628A8">
        <w:t>missing middle</w:t>
      </w:r>
      <w:r w:rsidR="00A15C79">
        <w:t>’</w:t>
      </w:r>
      <w:r w:rsidRPr="009628A8">
        <w:t>: dual occupancies, townhouses, terraces and smaller apartment buildings. Australia has seen a decline in the number of these homes being built, despite their historical significance in inner</w:t>
      </w:r>
      <w:r w:rsidR="00A15C79">
        <w:noBreakHyphen/>
      </w:r>
      <w:r w:rsidRPr="009628A8">
        <w:t>city suburbs, where they continue to support vibrant communities (</w:t>
      </w:r>
      <w:r w:rsidR="00F9636C">
        <w:t>NSW Department of Planning, Housing and Infrastructure 2024</w:t>
      </w:r>
      <w:r w:rsidRPr="009628A8">
        <w:t>).</w:t>
      </w:r>
      <w:r>
        <w:t xml:space="preserve"> </w:t>
      </w:r>
    </w:p>
    <w:p w14:paraId="0FFB3DE0" w14:textId="1FC8EF09" w:rsidR="00791A68" w:rsidRDefault="00791A68" w:rsidP="00AF4C27">
      <w:r w:rsidRPr="006E5D64">
        <w:t xml:space="preserve">The Council welcomes recent </w:t>
      </w:r>
      <w:r>
        <w:t>work</w:t>
      </w:r>
      <w:r w:rsidRPr="006E5D64">
        <w:t xml:space="preserve"> by governments to allow for greater density. In particular, the New South Wales and Victorian governments have focused on planning </w:t>
      </w:r>
      <w:r>
        <w:t>changes</w:t>
      </w:r>
      <w:r w:rsidRPr="006E5D64">
        <w:t xml:space="preserve"> to improve supply and affordability through transport</w:t>
      </w:r>
      <w:r w:rsidR="00A15C79">
        <w:noBreakHyphen/>
      </w:r>
      <w:r w:rsidRPr="006E5D64">
        <w:t>oriented developments.</w:t>
      </w:r>
      <w:r>
        <w:t xml:space="preserve"> </w:t>
      </w:r>
      <w:r w:rsidRPr="006E5D64">
        <w:t>However, more work needs to be done.</w:t>
      </w:r>
      <w:r w:rsidRPr="006E5D64" w:rsidDel="0085242A">
        <w:t xml:space="preserve"> </w:t>
      </w:r>
      <w:r>
        <w:t xml:space="preserve">More </w:t>
      </w:r>
      <w:r w:rsidRPr="006E5D64">
        <w:t>sites should be zoned for higher</w:t>
      </w:r>
      <w:r w:rsidR="00A15C79">
        <w:noBreakHyphen/>
      </w:r>
      <w:r w:rsidRPr="006E5D64">
        <w:t xml:space="preserve">density </w:t>
      </w:r>
      <w:r>
        <w:t xml:space="preserve">housing </w:t>
      </w:r>
      <w:r w:rsidRPr="006E5D64">
        <w:t>in well</w:t>
      </w:r>
      <w:r w:rsidR="00A15C79">
        <w:noBreakHyphen/>
      </w:r>
      <w:r w:rsidRPr="006E5D64">
        <w:t xml:space="preserve">located communities to </w:t>
      </w:r>
      <w:r w:rsidR="006A4FDC">
        <w:t xml:space="preserve">readily meet </w:t>
      </w:r>
      <w:r w:rsidRPr="006E5D64">
        <w:t xml:space="preserve">the demand for housing in these </w:t>
      </w:r>
      <w:r>
        <w:t>areas</w:t>
      </w:r>
      <w:r w:rsidRPr="006E5D64">
        <w:t xml:space="preserve">. This can </w:t>
      </w:r>
      <w:r w:rsidR="008F22D5">
        <w:t>reduce</w:t>
      </w:r>
      <w:r w:rsidRPr="006E5D64">
        <w:t xml:space="preserve"> pressure on rents and hous</w:t>
      </w:r>
      <w:r>
        <w:t>ing</w:t>
      </w:r>
      <w:r w:rsidRPr="006E5D64">
        <w:t xml:space="preserve"> prices, as </w:t>
      </w:r>
      <w:r>
        <w:t xml:space="preserve">suggested by experience with the 2016 </w:t>
      </w:r>
      <w:r w:rsidRPr="006E5D64">
        <w:t>zoning reforms in Auckland (</w:t>
      </w:r>
      <w:r w:rsidR="00370333" w:rsidRPr="00310AE8">
        <w:t>Greenway</w:t>
      </w:r>
      <w:r w:rsidR="00A15C79">
        <w:noBreakHyphen/>
      </w:r>
      <w:proofErr w:type="spellStart"/>
      <w:r w:rsidR="00370333" w:rsidRPr="00310AE8">
        <w:t>McGrevy</w:t>
      </w:r>
      <w:proofErr w:type="spellEnd"/>
      <w:r w:rsidR="00464C38">
        <w:rPr>
          <w:rStyle w:val="Hyperlink"/>
          <w:rFonts w:ascii="Calibri" w:hAnsi="Calibri" w:cs="Calibri"/>
          <w:szCs w:val="22"/>
        </w:rPr>
        <w:t xml:space="preserve"> </w:t>
      </w:r>
      <w:r w:rsidRPr="007512CB">
        <w:t>2024</w:t>
      </w:r>
      <w:r w:rsidRPr="006E5D64">
        <w:t>)</w:t>
      </w:r>
      <w:r w:rsidR="00E11108">
        <w:t>. It also</w:t>
      </w:r>
      <w:r w:rsidRPr="006E5D64">
        <w:t xml:space="preserve"> gives developers more opportunities to acquire and combine lots for development, addressing some of the difficulties with land fragmentation in infill sites (</w:t>
      </w:r>
      <w:r w:rsidR="006A30F7" w:rsidRPr="002949B5">
        <w:t xml:space="preserve">NSW </w:t>
      </w:r>
      <w:r w:rsidR="0021581B" w:rsidRPr="002949B5">
        <w:t xml:space="preserve">Productivity </w:t>
      </w:r>
      <w:r w:rsidR="00464C38" w:rsidRPr="002949B5">
        <w:t>and Equality</w:t>
      </w:r>
      <w:r w:rsidR="00464C38">
        <w:t xml:space="preserve"> </w:t>
      </w:r>
      <w:r w:rsidR="0021581B">
        <w:t xml:space="preserve">Commission </w:t>
      </w:r>
      <w:r>
        <w:t>2024)</w:t>
      </w:r>
      <w:r w:rsidRPr="006E5D64">
        <w:t>.</w:t>
      </w:r>
    </w:p>
    <w:tbl>
      <w:tblPr>
        <w:tblW w:w="5000" w:type="pct"/>
        <w:shd w:val="clear" w:color="auto" w:fill="F2E3C7" w:themeFill="background2"/>
        <w:tblCellMar>
          <w:top w:w="284" w:type="dxa"/>
          <w:left w:w="284" w:type="dxa"/>
          <w:bottom w:w="284" w:type="dxa"/>
          <w:right w:w="284" w:type="dxa"/>
        </w:tblCellMar>
        <w:tblLook w:val="0600" w:firstRow="0" w:lastRow="0" w:firstColumn="0" w:lastColumn="0" w:noHBand="1" w:noVBand="1"/>
      </w:tblPr>
      <w:tblGrid>
        <w:gridCol w:w="9070"/>
      </w:tblGrid>
      <w:tr w:rsidR="001B4EAF" w14:paraId="208E1F3C" w14:textId="77777777">
        <w:tc>
          <w:tcPr>
            <w:tcW w:w="5000" w:type="pct"/>
            <w:shd w:val="clear" w:color="auto" w:fill="F2E3C7" w:themeFill="background2"/>
            <w:hideMark/>
          </w:tcPr>
          <w:p w14:paraId="126EE658" w14:textId="77777777" w:rsidR="001B4EAF" w:rsidRDefault="001B4EAF" w:rsidP="00E17686">
            <w:pPr>
              <w:pStyle w:val="BoxHeading"/>
              <w:keepNext w:val="0"/>
            </w:pPr>
            <w:r>
              <w:t>Recommendation 3.2</w:t>
            </w:r>
          </w:p>
          <w:p w14:paraId="31157DF6" w14:textId="4387677B" w:rsidR="001B4EAF" w:rsidRDefault="001B4EAF" w:rsidP="001B4EAF">
            <w:pPr>
              <w:pStyle w:val="BoxText"/>
            </w:pPr>
            <w:r>
              <w:t xml:space="preserve">State, territory and local governments should revise their planning regulations to promote greater housing density in well located areas with good access to jobs, services and transport. </w:t>
            </w:r>
          </w:p>
        </w:tc>
      </w:tr>
    </w:tbl>
    <w:p w14:paraId="39E860A8" w14:textId="35A8F4C8" w:rsidR="00791A68" w:rsidRDefault="00791A68" w:rsidP="00AF4C27">
      <w:pPr>
        <w:pStyle w:val="Heading3Numbered"/>
      </w:pPr>
      <w:r w:rsidRPr="00AF4C27">
        <w:lastRenderedPageBreak/>
        <w:t>Land</w:t>
      </w:r>
      <w:r>
        <w:t xml:space="preserve"> assembly and remediation</w:t>
      </w:r>
      <w:r w:rsidR="009A11D8">
        <w:t>,</w:t>
      </w:r>
      <w:r>
        <w:t xml:space="preserve"> and enabling infrastructure</w:t>
      </w:r>
    </w:p>
    <w:p w14:paraId="41A07CEB" w14:textId="197CB373" w:rsidR="00791A68" w:rsidRPr="002949B5" w:rsidRDefault="00791A68" w:rsidP="00AF4C27">
      <w:pPr>
        <w:rPr>
          <w:szCs w:val="24"/>
        </w:rPr>
      </w:pPr>
      <w:r w:rsidRPr="006E5D64">
        <w:t xml:space="preserve">The supply of land available for development </w:t>
      </w:r>
      <w:r w:rsidRPr="00702D5A">
        <w:t xml:space="preserve">can affect </w:t>
      </w:r>
      <w:r w:rsidRPr="006E5D64">
        <w:t xml:space="preserve">how quickly the sector </w:t>
      </w:r>
      <w:r>
        <w:t>responds</w:t>
      </w:r>
      <w:r w:rsidRPr="006E5D64">
        <w:t xml:space="preserve"> to demand. Currently</w:t>
      </w:r>
      <w:r>
        <w:t>,</w:t>
      </w:r>
      <w:r w:rsidRPr="006E5D64">
        <w:t xml:space="preserve"> </w:t>
      </w:r>
      <w:r w:rsidRPr="002949B5">
        <w:t>land assembly is mostly left to individual developers</w:t>
      </w:r>
      <w:r w:rsidR="0095516D" w:rsidRPr="002949B5">
        <w:t>, making them</w:t>
      </w:r>
      <w:r w:rsidRPr="002949B5">
        <w:t xml:space="preserve"> prone to hold</w:t>
      </w:r>
      <w:r w:rsidR="0055465E" w:rsidRPr="002949B5">
        <w:t xml:space="preserve"> </w:t>
      </w:r>
      <w:r w:rsidRPr="002949B5">
        <w:t xml:space="preserve">outs </w:t>
      </w:r>
      <w:r w:rsidR="0095516D" w:rsidRPr="002949B5">
        <w:t xml:space="preserve">by </w:t>
      </w:r>
      <w:r w:rsidRPr="002949B5">
        <w:t>sellers and misaligned price expectations. Significant capital costs that cannot be met by the private sector</w:t>
      </w:r>
      <w:r w:rsidR="00F93134" w:rsidRPr="002949B5">
        <w:t xml:space="preserve"> also </w:t>
      </w:r>
      <w:r w:rsidRPr="002949B5">
        <w:t xml:space="preserve">limit the </w:t>
      </w:r>
      <w:r w:rsidR="00661BB3" w:rsidRPr="002949B5">
        <w:t xml:space="preserve">available </w:t>
      </w:r>
      <w:r w:rsidRPr="002949B5">
        <w:t xml:space="preserve">supply of developable land. As such, governments should </w:t>
      </w:r>
      <w:r w:rsidR="00661BB3" w:rsidRPr="002949B5">
        <w:t xml:space="preserve">play </w:t>
      </w:r>
      <w:r w:rsidRPr="002949B5">
        <w:t>a greater role in assembling sites for housing development, particularly infill housing (</w:t>
      </w:r>
      <w:r w:rsidR="00196BF7" w:rsidRPr="002949B5">
        <w:t xml:space="preserve">Interim </w:t>
      </w:r>
      <w:r w:rsidRPr="002949B5">
        <w:t>NHSAC 2023).</w:t>
      </w:r>
      <w:r w:rsidRPr="002949B5">
        <w:rPr>
          <w:szCs w:val="24"/>
        </w:rPr>
        <w:t xml:space="preserve"> </w:t>
      </w:r>
      <w:r w:rsidR="00F93134" w:rsidRPr="002949B5">
        <w:rPr>
          <w:szCs w:val="24"/>
        </w:rPr>
        <w:t xml:space="preserve">Although </w:t>
      </w:r>
      <w:r w:rsidRPr="002949B5">
        <w:rPr>
          <w:szCs w:val="24"/>
        </w:rPr>
        <w:t xml:space="preserve">local governments in some jurisdictions </w:t>
      </w:r>
      <w:r w:rsidR="00796489" w:rsidRPr="002949B5">
        <w:rPr>
          <w:szCs w:val="24"/>
        </w:rPr>
        <w:t xml:space="preserve">have </w:t>
      </w:r>
      <w:r w:rsidRPr="002949B5">
        <w:rPr>
          <w:szCs w:val="24"/>
        </w:rPr>
        <w:t>the authority to assemble land, this process can be financially prohibitive and complex.</w:t>
      </w:r>
    </w:p>
    <w:p w14:paraId="2564C95E" w14:textId="5FFCF7AD" w:rsidR="00791A68" w:rsidRDefault="00791A68" w:rsidP="00AF4C27">
      <w:pPr>
        <w:rPr>
          <w:szCs w:val="24"/>
        </w:rPr>
      </w:pPr>
      <w:r w:rsidRPr="002949B5">
        <w:rPr>
          <w:szCs w:val="24"/>
        </w:rPr>
        <w:t xml:space="preserve">Upfront investment in infrastructure and remediation can help unlock sites for development </w:t>
      </w:r>
      <w:r w:rsidR="00EF49F3" w:rsidRPr="002949B5">
        <w:rPr>
          <w:szCs w:val="24"/>
        </w:rPr>
        <w:t xml:space="preserve">that </w:t>
      </w:r>
      <w:r w:rsidRPr="002949B5">
        <w:rPr>
          <w:szCs w:val="24"/>
        </w:rPr>
        <w:t>would otherwise be unviable.</w:t>
      </w:r>
      <w:r w:rsidRPr="002949B5">
        <w:t xml:space="preserve"> The ability of government agencies to assemble and remediate land</w:t>
      </w:r>
      <w:r w:rsidR="00EF49F3" w:rsidRPr="002949B5">
        <w:t>,</w:t>
      </w:r>
      <w:r w:rsidRPr="002949B5">
        <w:t xml:space="preserve"> and invest in enabling infrastructure</w:t>
      </w:r>
      <w:r w:rsidR="00EF49F3" w:rsidRPr="002949B5">
        <w:t>,</w:t>
      </w:r>
      <w:r w:rsidRPr="002949B5">
        <w:t xml:space="preserve"> should be enhanced</w:t>
      </w:r>
      <w:r w:rsidR="00EF49F3" w:rsidRPr="002949B5">
        <w:t xml:space="preserve"> to</w:t>
      </w:r>
      <w:r w:rsidRPr="002949B5">
        <w:rPr>
          <w:szCs w:val="24"/>
        </w:rPr>
        <w:t xml:space="preserve"> ensur</w:t>
      </w:r>
      <w:r w:rsidR="00EF49F3" w:rsidRPr="002949B5">
        <w:rPr>
          <w:szCs w:val="24"/>
        </w:rPr>
        <w:t>e</w:t>
      </w:r>
      <w:r w:rsidRPr="002949B5">
        <w:rPr>
          <w:szCs w:val="24"/>
        </w:rPr>
        <w:t xml:space="preserve"> a steady supply of developable sites (</w:t>
      </w:r>
      <w:r w:rsidR="00196BF7" w:rsidRPr="002949B5">
        <w:rPr>
          <w:szCs w:val="24"/>
        </w:rPr>
        <w:t xml:space="preserve">Interim </w:t>
      </w:r>
      <w:r w:rsidRPr="002949B5">
        <w:rPr>
          <w:szCs w:val="24"/>
        </w:rPr>
        <w:t>NHSAC 2023).</w:t>
      </w:r>
      <w:r w:rsidRPr="006E5D64">
        <w:rPr>
          <w:szCs w:val="24"/>
        </w:rPr>
        <w:t xml:space="preserve"> </w:t>
      </w:r>
    </w:p>
    <w:tbl>
      <w:tblPr>
        <w:tblW w:w="5000" w:type="pct"/>
        <w:shd w:val="clear" w:color="auto" w:fill="F2E3C7" w:themeFill="background2"/>
        <w:tblCellMar>
          <w:top w:w="284" w:type="dxa"/>
          <w:left w:w="284" w:type="dxa"/>
          <w:bottom w:w="284" w:type="dxa"/>
          <w:right w:w="284" w:type="dxa"/>
        </w:tblCellMar>
        <w:tblLook w:val="0600" w:firstRow="0" w:lastRow="0" w:firstColumn="0" w:lastColumn="0" w:noHBand="1" w:noVBand="1"/>
      </w:tblPr>
      <w:tblGrid>
        <w:gridCol w:w="9070"/>
      </w:tblGrid>
      <w:tr w:rsidR="001B4EAF" w14:paraId="1E616190" w14:textId="77777777">
        <w:tc>
          <w:tcPr>
            <w:tcW w:w="5000" w:type="pct"/>
            <w:shd w:val="clear" w:color="auto" w:fill="F2E3C7" w:themeFill="background2"/>
            <w:hideMark/>
          </w:tcPr>
          <w:p w14:paraId="2786B08D" w14:textId="77777777" w:rsidR="001B4EAF" w:rsidRDefault="001B4EAF" w:rsidP="001B4EAF">
            <w:pPr>
              <w:pStyle w:val="BoxHeading"/>
            </w:pPr>
            <w:r>
              <w:t>Recommendation 3.3</w:t>
            </w:r>
          </w:p>
          <w:p w14:paraId="4D93138A" w14:textId="752FDAF3" w:rsidR="001B4EAF" w:rsidRDefault="001B4EAF" w:rsidP="001B4EAF">
            <w:pPr>
              <w:pStyle w:val="BoxText"/>
            </w:pPr>
            <w:r>
              <w:t>Governments should boost the capacity of institutions to assemble and remediate land and provide enabling infrastructure.</w:t>
            </w:r>
          </w:p>
        </w:tc>
      </w:tr>
    </w:tbl>
    <w:p w14:paraId="6F948D2D" w14:textId="1A262BE4" w:rsidR="00791A68" w:rsidRPr="005C3C39" w:rsidRDefault="00791A68" w:rsidP="00AF4C27">
      <w:pPr>
        <w:pStyle w:val="Heading2Numbered"/>
      </w:pPr>
      <w:bookmarkStart w:id="180" w:name="_Toc195026622"/>
      <w:bookmarkStart w:id="181" w:name="_Toc196395913"/>
      <w:r>
        <w:t>Supporting better outcomes for renters</w:t>
      </w:r>
      <w:bookmarkEnd w:id="180"/>
      <w:bookmarkEnd w:id="181"/>
    </w:p>
    <w:p w14:paraId="559D6340" w14:textId="23F8BED5" w:rsidR="00791A68" w:rsidRPr="009628A8" w:rsidRDefault="00791A68" w:rsidP="00AF4C27">
      <w:pPr>
        <w:rPr>
          <w:szCs w:val="22"/>
        </w:rPr>
      </w:pPr>
      <w:r w:rsidRPr="005C3C39">
        <w:t>Improving outcomes for renters is essential for a housing system that promotes an inclusive</w:t>
      </w:r>
      <w:r>
        <w:t xml:space="preserve"> and prosperous society</w:t>
      </w:r>
      <w:r w:rsidRPr="005C3C39">
        <w:t xml:space="preserve">. </w:t>
      </w:r>
      <w:r w:rsidRPr="009628A8">
        <w:t xml:space="preserve">Renters deserve access to affordable and secure housing. </w:t>
      </w:r>
      <w:r w:rsidRPr="009628A8">
        <w:rPr>
          <w:szCs w:val="22"/>
        </w:rPr>
        <w:t>Renting is increasingly the only viable option for much of the population, with more than 30</w:t>
      </w:r>
      <w:r w:rsidR="0099326B">
        <w:rPr>
          <w:szCs w:val="22"/>
        </w:rPr>
        <w:t> per cent</w:t>
      </w:r>
      <w:r w:rsidRPr="009628A8">
        <w:rPr>
          <w:szCs w:val="22"/>
        </w:rPr>
        <w:t xml:space="preserve"> of households renting (ABS 202</w:t>
      </w:r>
      <w:r w:rsidR="001F4956">
        <w:rPr>
          <w:szCs w:val="22"/>
        </w:rPr>
        <w:t>2a</w:t>
      </w:r>
      <w:r w:rsidRPr="009628A8">
        <w:rPr>
          <w:szCs w:val="22"/>
        </w:rPr>
        <w:t xml:space="preserve">). </w:t>
      </w:r>
      <w:r w:rsidRPr="009628A8">
        <w:t xml:space="preserve">It is critical that tenants have safe and secure accommodation, and access to employment, education opportunities and social services. </w:t>
      </w:r>
    </w:p>
    <w:p w14:paraId="11F57880" w14:textId="437D7CC6" w:rsidR="00791A68" w:rsidRPr="005C3C39" w:rsidRDefault="00791A68" w:rsidP="00AF4C27">
      <w:r w:rsidRPr="009628A8">
        <w:t>Improving the quality of rentals would help achieve the Council</w:t>
      </w:r>
      <w:r w:rsidR="00A15C79">
        <w:t>’</w:t>
      </w:r>
      <w:r w:rsidRPr="009628A8">
        <w:t xml:space="preserve">s </w:t>
      </w:r>
      <w:r>
        <w:t xml:space="preserve">goal </w:t>
      </w:r>
      <w:r w:rsidR="00716619">
        <w:t xml:space="preserve">of </w:t>
      </w:r>
      <w:r>
        <w:t xml:space="preserve">renters </w:t>
      </w:r>
      <w:r w:rsidR="00716619">
        <w:t>having</w:t>
      </w:r>
      <w:r>
        <w:t xml:space="preserve"> access to affordable and secure housing, as well as the Council</w:t>
      </w:r>
      <w:r w:rsidR="00A15C79">
        <w:t>’</w:t>
      </w:r>
      <w:r>
        <w:t xml:space="preserve">s </w:t>
      </w:r>
      <w:r w:rsidRPr="009628A8">
        <w:t xml:space="preserve">goal </w:t>
      </w:r>
      <w:r w:rsidR="00716619">
        <w:t xml:space="preserve">of </w:t>
      </w:r>
      <w:r w:rsidRPr="009628A8">
        <w:t xml:space="preserve">safe and environmentally sustainable housing. </w:t>
      </w:r>
      <w:r>
        <w:t>Currently, the gap between renters and owners is large, with r</w:t>
      </w:r>
      <w:r w:rsidRPr="009628A8">
        <w:t>enters</w:t>
      </w:r>
      <w:r>
        <w:t xml:space="preserve"> </w:t>
      </w:r>
      <w:r w:rsidRPr="009628A8">
        <w:t xml:space="preserve">almost twice as likely to report major structural problems </w:t>
      </w:r>
      <w:r>
        <w:t xml:space="preserve">with their dwellings </w:t>
      </w:r>
      <w:r w:rsidRPr="009628A8">
        <w:t>compared to owner</w:t>
      </w:r>
      <w:r w:rsidR="00A15C79">
        <w:noBreakHyphen/>
      </w:r>
      <w:r w:rsidRPr="009628A8">
        <w:t>occupiers (ABS 20</w:t>
      </w:r>
      <w:r>
        <w:t>22</w:t>
      </w:r>
      <w:r w:rsidR="001F4956">
        <w:t>b</w:t>
      </w:r>
      <w:r w:rsidRPr="009628A8">
        <w:t>).</w:t>
      </w:r>
      <w:r>
        <w:t xml:space="preserve"> </w:t>
      </w:r>
    </w:p>
    <w:p w14:paraId="111C8FB5" w14:textId="0666898A" w:rsidR="00791A68" w:rsidRDefault="00791A68" w:rsidP="00AF4C27">
      <w:r w:rsidRPr="005C3C39">
        <w:t>Australia</w:t>
      </w:r>
      <w:r w:rsidR="00A15C79">
        <w:t>’</w:t>
      </w:r>
      <w:r w:rsidRPr="005C3C39">
        <w:t>s rental system favours landlords</w:t>
      </w:r>
      <w:r>
        <w:t xml:space="preserve">, </w:t>
      </w:r>
      <w:r w:rsidRPr="005C3C39">
        <w:t>provid</w:t>
      </w:r>
      <w:r>
        <w:t>ing</w:t>
      </w:r>
      <w:r w:rsidRPr="005C3C39">
        <w:t xml:space="preserve"> only limited tenure security and other rights to renters (Burke</w:t>
      </w:r>
      <w:r w:rsidR="00D8718C">
        <w:t xml:space="preserve"> </w:t>
      </w:r>
      <w:r w:rsidRPr="005C3C39">
        <w:t xml:space="preserve">2012). </w:t>
      </w:r>
      <w:r>
        <w:t>In 2019</w:t>
      </w:r>
      <w:r w:rsidR="0020077B">
        <w:t>–</w:t>
      </w:r>
      <w:r>
        <w:t>20, 80</w:t>
      </w:r>
      <w:r w:rsidR="0099326B">
        <w:t> per cent</w:t>
      </w:r>
      <w:r w:rsidRPr="005C3C39">
        <w:t xml:space="preserve"> of</w:t>
      </w:r>
      <w:r>
        <w:t xml:space="preserve"> private</w:t>
      </w:r>
      <w:r w:rsidRPr="005C3C39">
        <w:t xml:space="preserve"> </w:t>
      </w:r>
      <w:r>
        <w:t>renters had moved in the previous 5 years, compared to 27</w:t>
      </w:r>
      <w:r w:rsidR="0099326B">
        <w:t> per cent</w:t>
      </w:r>
      <w:r>
        <w:t xml:space="preserve"> of home owners, while close to 32</w:t>
      </w:r>
      <w:r w:rsidR="0099326B">
        <w:t> per cent</w:t>
      </w:r>
      <w:r>
        <w:t xml:space="preserve"> of private renters reported moving </w:t>
      </w:r>
      <w:r w:rsidR="0020077B">
        <w:t xml:space="preserve">3 </w:t>
      </w:r>
      <w:r>
        <w:t xml:space="preserve">or more times in the previous 5 years </w:t>
      </w:r>
      <w:r w:rsidRPr="005C3C39">
        <w:t>(</w:t>
      </w:r>
      <w:r w:rsidR="00370333" w:rsidRPr="00310AE8">
        <w:t>ABS 2022</w:t>
      </w:r>
      <w:r w:rsidR="001F4956">
        <w:t>b</w:t>
      </w:r>
      <w:r w:rsidRPr="005C3C39">
        <w:t>).</w:t>
      </w:r>
      <w:r>
        <w:t xml:space="preserve"> Around 19</w:t>
      </w:r>
      <w:r w:rsidR="0099326B">
        <w:t> per cent</w:t>
      </w:r>
      <w:r>
        <w:t xml:space="preserve"> of private renter moves were involuntary, with older renters</w:t>
      </w:r>
      <w:r w:rsidR="005E4B59">
        <w:t xml:space="preserve"> and</w:t>
      </w:r>
      <w:r>
        <w:t xml:space="preserve"> people with disability or low levels of education disproportionately more likely to move for involuntary reasons (</w:t>
      </w:r>
      <w:r w:rsidR="0021581B">
        <w:t xml:space="preserve">Productivity Commission </w:t>
      </w:r>
      <w:r w:rsidR="00370333" w:rsidRPr="00310AE8">
        <w:t>2019</w:t>
      </w:r>
      <w:r>
        <w:t>).</w:t>
      </w:r>
    </w:p>
    <w:p w14:paraId="0FC1D7FE" w14:textId="35281030" w:rsidR="00791A68" w:rsidRPr="00A52C45" w:rsidRDefault="00791A68" w:rsidP="00AF4C27">
      <w:r w:rsidRPr="005C3C39">
        <w:t>Australia</w:t>
      </w:r>
      <w:r w:rsidR="00A15C79">
        <w:t>’</w:t>
      </w:r>
      <w:r w:rsidRPr="005C3C39">
        <w:t>s rental s</w:t>
      </w:r>
      <w:r>
        <w:t>tock</w:t>
      </w:r>
      <w:r w:rsidRPr="005C3C39">
        <w:t xml:space="preserve"> is largely provided by individual landlords. </w:t>
      </w:r>
      <w:r>
        <w:t>Such</w:t>
      </w:r>
      <w:r w:rsidRPr="005C3C39">
        <w:t xml:space="preserve"> landlords have a</w:t>
      </w:r>
      <w:r>
        <w:t>n important</w:t>
      </w:r>
      <w:r w:rsidRPr="005C3C39">
        <w:t xml:space="preserve"> place in </w:t>
      </w:r>
      <w:r>
        <w:t>the</w:t>
      </w:r>
      <w:r w:rsidRPr="005C3C39">
        <w:t xml:space="preserve"> rental system, and many landlords and tenants have respectful and mutually beneficial arrangements</w:t>
      </w:r>
      <w:r>
        <w:t>. B</w:t>
      </w:r>
      <w:r w:rsidRPr="005C3C39">
        <w:t xml:space="preserve">ut </w:t>
      </w:r>
      <w:r>
        <w:t xml:space="preserve">individual landlords </w:t>
      </w:r>
      <w:r w:rsidRPr="005C3C39">
        <w:t>may not always be well placed to respond to rising demand for rental housing. This can lead to sub</w:t>
      </w:r>
      <w:r w:rsidR="00A15C79">
        <w:noBreakHyphen/>
      </w:r>
      <w:r w:rsidRPr="005C3C39">
        <w:t>optimal housing quality and tenure arrangements.</w:t>
      </w:r>
    </w:p>
    <w:p w14:paraId="1A87D875" w14:textId="77777777" w:rsidR="00791A68" w:rsidRPr="00C27226" w:rsidRDefault="00791A68" w:rsidP="00AF4C27">
      <w:pPr>
        <w:pStyle w:val="Heading3Numbered"/>
      </w:pPr>
      <w:r>
        <w:lastRenderedPageBreak/>
        <w:t>Supporting institutional investment in rental housing</w:t>
      </w:r>
    </w:p>
    <w:p w14:paraId="6887C848" w14:textId="26B73752" w:rsidR="00791A68" w:rsidRPr="00DC381D" w:rsidRDefault="00791A68" w:rsidP="00AF4C27">
      <w:r w:rsidRPr="005C3C39">
        <w:t>The Council support</w:t>
      </w:r>
      <w:r>
        <w:t>s</w:t>
      </w:r>
      <w:r w:rsidRPr="005C3C39">
        <w:t xml:space="preserve"> </w:t>
      </w:r>
      <w:r>
        <w:t xml:space="preserve">more </w:t>
      </w:r>
      <w:r w:rsidRPr="005C3C39">
        <w:t xml:space="preserve">institutional investment </w:t>
      </w:r>
      <w:r>
        <w:t xml:space="preserve">in housing to </w:t>
      </w:r>
      <w:r w:rsidRPr="005C3C39">
        <w:t xml:space="preserve">diversify </w:t>
      </w:r>
      <w:r>
        <w:t>the</w:t>
      </w:r>
      <w:r w:rsidRPr="005C3C39">
        <w:t xml:space="preserve"> private rental market </w:t>
      </w:r>
      <w:r>
        <w:t>(</w:t>
      </w:r>
      <w:r w:rsidR="00196BF7">
        <w:t xml:space="preserve">Interim </w:t>
      </w:r>
      <w:r>
        <w:t>NHSAC 2023</w:t>
      </w:r>
      <w:r w:rsidRPr="009628A8">
        <w:t>)</w:t>
      </w:r>
      <w:r w:rsidRPr="005C3C39">
        <w:t xml:space="preserve">. </w:t>
      </w:r>
      <w:r>
        <w:t xml:space="preserve">Greater institutional investment adds to supply, which can reduce housing costs for households. Investors can also adopt innovative approaches to support housing </w:t>
      </w:r>
      <w:r w:rsidRPr="00DC381D">
        <w:t>affordability, such as the build</w:t>
      </w:r>
      <w:r w:rsidR="00A15C79">
        <w:noBreakHyphen/>
      </w:r>
      <w:r w:rsidRPr="00DC381D">
        <w:t>to</w:t>
      </w:r>
      <w:r w:rsidR="00A15C79">
        <w:noBreakHyphen/>
      </w:r>
      <w:r w:rsidRPr="00DC381D">
        <w:t>rent</w:t>
      </w:r>
      <w:r w:rsidR="00A15C79">
        <w:noBreakHyphen/>
      </w:r>
      <w:r w:rsidRPr="00DC381D">
        <w:t>to</w:t>
      </w:r>
      <w:r w:rsidR="00A15C79">
        <w:noBreakHyphen/>
      </w:r>
      <w:r w:rsidRPr="00DC381D">
        <w:t>buy model</w:t>
      </w:r>
      <w:r w:rsidR="008558DA">
        <w:t>,</w:t>
      </w:r>
      <w:r w:rsidRPr="00DC381D">
        <w:t xml:space="preserve"> to assist key workers </w:t>
      </w:r>
      <w:r w:rsidR="008558DA">
        <w:t xml:space="preserve">to </w:t>
      </w:r>
      <w:r w:rsidRPr="00DC381D">
        <w:t xml:space="preserve">access home ownership. </w:t>
      </w:r>
    </w:p>
    <w:p w14:paraId="3C1B72CF" w14:textId="5DD20381" w:rsidR="00791A68" w:rsidRPr="00DC381D" w:rsidRDefault="00791A68" w:rsidP="00AF4C27">
      <w:r w:rsidRPr="00DC381D">
        <w:t xml:space="preserve">Institutional investment enables greater economies of scale </w:t>
      </w:r>
      <w:r w:rsidR="00E161C4">
        <w:t>when</w:t>
      </w:r>
      <w:r w:rsidR="00E161C4" w:rsidRPr="00DC381D">
        <w:t xml:space="preserve"> </w:t>
      </w:r>
      <w:r w:rsidRPr="00DC381D">
        <w:t xml:space="preserve">developing and providing housing services. The fixed costs associated with property and tenant management can be </w:t>
      </w:r>
      <w:r w:rsidR="00E161C4">
        <w:t>spread</w:t>
      </w:r>
      <w:r w:rsidR="00E161C4" w:rsidRPr="00DC381D">
        <w:t xml:space="preserve"> </w:t>
      </w:r>
      <w:r w:rsidRPr="00DC381D">
        <w:t>over a greater number of properties, reducing average costs</w:t>
      </w:r>
      <w:r w:rsidR="00E161C4">
        <w:t>. Additionally</w:t>
      </w:r>
      <w:r w:rsidRPr="00DC381D">
        <w:t>, institutional investors with large residential property projects may have lower cost</w:t>
      </w:r>
      <w:r>
        <w:t>s</w:t>
      </w:r>
      <w:r w:rsidRPr="00DC381D">
        <w:t xml:space="preserve"> of capital</w:t>
      </w:r>
      <w:r>
        <w:t xml:space="preserve"> (</w:t>
      </w:r>
      <w:r w:rsidR="00E831B7">
        <w:t xml:space="preserve">Interim </w:t>
      </w:r>
      <w:r>
        <w:t xml:space="preserve">NHSAC 2023). </w:t>
      </w:r>
    </w:p>
    <w:p w14:paraId="04104452" w14:textId="5CDD46FA" w:rsidR="00791A68" w:rsidRPr="00DC381D" w:rsidRDefault="00791A68" w:rsidP="00AF4C27">
      <w:r w:rsidRPr="00DC381D">
        <w:t>Institutional investors are incentivised to develop quality, long</w:t>
      </w:r>
      <w:r w:rsidR="00A15C79">
        <w:noBreakHyphen/>
      </w:r>
      <w:r w:rsidRPr="00DC381D">
        <w:t>term housing</w:t>
      </w:r>
      <w:r>
        <w:t xml:space="preserve"> that raises the</w:t>
      </w:r>
      <w:r w:rsidRPr="00DC381D">
        <w:t xml:space="preserve"> economic life of investment</w:t>
      </w:r>
      <w:r>
        <w:t>s</w:t>
      </w:r>
      <w:r w:rsidRPr="00DC381D">
        <w:t xml:space="preserve"> and redu</w:t>
      </w:r>
      <w:r>
        <w:t>ces</w:t>
      </w:r>
      <w:r w:rsidRPr="00DC381D">
        <w:t xml:space="preserve"> maintenance and operating costs. Overseas institutional investors generally provide higher</w:t>
      </w:r>
      <w:r w:rsidR="00A15C79">
        <w:noBreakHyphen/>
      </w:r>
      <w:r w:rsidRPr="00DC381D">
        <w:t xml:space="preserve">quality </w:t>
      </w:r>
      <w:r>
        <w:t xml:space="preserve">housing </w:t>
      </w:r>
      <w:r w:rsidRPr="00DC381D">
        <w:t>in terms of design and build standards (Pawson et al. 2019). Further, institutional housing can provide a more customer</w:t>
      </w:r>
      <w:r w:rsidR="00A15C79">
        <w:noBreakHyphen/>
      </w:r>
      <w:r w:rsidRPr="00DC381D">
        <w:t xml:space="preserve">oriented and professional approach to property management, </w:t>
      </w:r>
      <w:r>
        <w:t>improving</w:t>
      </w:r>
      <w:r w:rsidRPr="00DC381D">
        <w:t xml:space="preserve"> property management in the rental sector (Scanlon et al. 2018). </w:t>
      </w:r>
    </w:p>
    <w:p w14:paraId="7F19BE73" w14:textId="2FF8B9DD" w:rsidR="00791A68" w:rsidRPr="00DC381D" w:rsidRDefault="00791A68" w:rsidP="00AF4C27">
      <w:r w:rsidRPr="00DC381D">
        <w:t>Large</w:t>
      </w:r>
      <w:r w:rsidR="00A15C79">
        <w:noBreakHyphen/>
      </w:r>
      <w:r w:rsidRPr="00DC381D">
        <w:t>scale investment supports innovation in financing, provi</w:t>
      </w:r>
      <w:r w:rsidR="003F5B43">
        <w:t>ding</w:t>
      </w:r>
      <w:r w:rsidRPr="00DC381D">
        <w:t>, access</w:t>
      </w:r>
      <w:r w:rsidR="003F5B43">
        <w:t>ing</w:t>
      </w:r>
      <w:r w:rsidRPr="00DC381D">
        <w:t xml:space="preserve"> and manag</w:t>
      </w:r>
      <w:r w:rsidR="003F5B43">
        <w:t xml:space="preserve">ing </w:t>
      </w:r>
      <w:r w:rsidRPr="00DC381D">
        <w:t xml:space="preserve">rental housing (Hulse et al. 2018). This can improve the diversity of dwelling types </w:t>
      </w:r>
      <w:r w:rsidR="005D476B">
        <w:t xml:space="preserve">so they </w:t>
      </w:r>
      <w:r w:rsidRPr="00DC381D">
        <w:t>better match the diverse needs of rental households. Further innovative approaches to access</w:t>
      </w:r>
      <w:r w:rsidR="005D476B">
        <w:t>ing</w:t>
      </w:r>
      <w:r w:rsidRPr="00DC381D">
        <w:t xml:space="preserve"> and manag</w:t>
      </w:r>
      <w:r w:rsidR="005D476B">
        <w:t>ing</w:t>
      </w:r>
      <w:r w:rsidRPr="00DC381D">
        <w:t xml:space="preserve"> rental housing can create efficiencies that benefit the tenant.</w:t>
      </w:r>
    </w:p>
    <w:p w14:paraId="19AC389E" w14:textId="2307EA84" w:rsidR="00791A68" w:rsidRPr="00DC381D" w:rsidRDefault="00791A68" w:rsidP="00AF4C27">
      <w:r w:rsidRPr="00DC381D">
        <w:t xml:space="preserve">Renters can benefit from the security of tenure provided by institutional housing. Institutional investors often </w:t>
      </w:r>
      <w:r w:rsidR="006A607C">
        <w:t>have</w:t>
      </w:r>
      <w:r w:rsidR="006A607C" w:rsidRPr="00DC381D">
        <w:t xml:space="preserve"> </w:t>
      </w:r>
      <w:r w:rsidRPr="00DC381D">
        <w:t>a long</w:t>
      </w:r>
      <w:r w:rsidR="00A15C79">
        <w:noBreakHyphen/>
      </w:r>
      <w:r w:rsidRPr="00DC381D">
        <w:t>term investment horizon, meaning they may be more willing to offer long</w:t>
      </w:r>
      <w:r w:rsidR="00A15C79">
        <w:noBreakHyphen/>
      </w:r>
      <w:r w:rsidRPr="00DC381D">
        <w:t xml:space="preserve">term tenancies and less likely to terminate lease arrangements. </w:t>
      </w:r>
    </w:p>
    <w:p w14:paraId="7F04BC2B" w14:textId="73FF3357" w:rsidR="00791A68" w:rsidRPr="00DC381D" w:rsidRDefault="00791A68" w:rsidP="00AF4C27">
      <w:pPr>
        <w:rPr>
          <w:i/>
        </w:rPr>
      </w:pPr>
      <w:r w:rsidRPr="00DC381D">
        <w:t>Increased institutional investment may also have broader community benefits, such as maintaining construction activity during periods whe</w:t>
      </w:r>
      <w:r w:rsidR="00AF46CE">
        <w:t>n</w:t>
      </w:r>
      <w:r w:rsidRPr="00DC381D">
        <w:t xml:space="preserve"> traditional build</w:t>
      </w:r>
      <w:r w:rsidR="00A15C79">
        <w:noBreakHyphen/>
      </w:r>
      <w:r w:rsidRPr="00DC381D">
        <w:t>to</w:t>
      </w:r>
      <w:r w:rsidR="00A15C79">
        <w:noBreakHyphen/>
      </w:r>
      <w:r w:rsidRPr="00DC381D">
        <w:t>sell construction activity is weak (Pawson et al</w:t>
      </w:r>
      <w:r w:rsidR="00951E0D">
        <w:t>.</w:t>
      </w:r>
      <w:r w:rsidRPr="00DC381D">
        <w:t xml:space="preserve"> 2019)</w:t>
      </w:r>
      <w:r w:rsidR="009A717B">
        <w:t>. This means</w:t>
      </w:r>
      <w:r w:rsidRPr="00DC381D">
        <w:t xml:space="preserve"> the creation of </w:t>
      </w:r>
      <w:r w:rsidR="00D53D56">
        <w:t>housing stock</w:t>
      </w:r>
      <w:r w:rsidRPr="00DC381D">
        <w:t xml:space="preserve"> is not as tied to the general housing cycle, monetary policy or supply shocks</w:t>
      </w:r>
      <w:r w:rsidR="00D53D56">
        <w:t xml:space="preserve"> as traditional build</w:t>
      </w:r>
      <w:r w:rsidR="00A15C79">
        <w:noBreakHyphen/>
      </w:r>
      <w:r w:rsidR="00D53D56">
        <w:t>to</w:t>
      </w:r>
      <w:r w:rsidR="00A15C79">
        <w:noBreakHyphen/>
      </w:r>
      <w:r w:rsidR="00D53D56">
        <w:t>sell dwellings</w:t>
      </w:r>
      <w:r w:rsidRPr="00DC381D">
        <w:t>.</w:t>
      </w:r>
    </w:p>
    <w:p w14:paraId="73B3B55B" w14:textId="6BC7B01D" w:rsidR="00791A68" w:rsidRDefault="00791A68" w:rsidP="001B4EAF">
      <w:r w:rsidRPr="00DC381D">
        <w:t>The Council recognises the potential for downsides, as the profit</w:t>
      </w:r>
      <w:r w:rsidR="00B30E19">
        <w:t xml:space="preserve"> </w:t>
      </w:r>
      <w:r w:rsidRPr="00DC381D">
        <w:t>maximisation of entities may not always lead to optimal outcomes for tenants, particularly low</w:t>
      </w:r>
      <w:r w:rsidR="00A15C79">
        <w:noBreakHyphen/>
      </w:r>
      <w:r w:rsidRPr="00DC381D">
        <w:t>income cohorts with limited market power. However, the Council believes these concerns can be allayed through a regulatory regime that balances the needs and powers of market participants, and is sufficiently transparent to ensure parties understand their rights and obligations in advance of their respective transactions.</w:t>
      </w:r>
    </w:p>
    <w:tbl>
      <w:tblPr>
        <w:tblW w:w="5000" w:type="pct"/>
        <w:shd w:val="clear" w:color="auto" w:fill="F2E3C7" w:themeFill="background2"/>
        <w:tblCellMar>
          <w:top w:w="284" w:type="dxa"/>
          <w:left w:w="284" w:type="dxa"/>
          <w:bottom w:w="284" w:type="dxa"/>
          <w:right w:w="284" w:type="dxa"/>
        </w:tblCellMar>
        <w:tblLook w:val="0600" w:firstRow="0" w:lastRow="0" w:firstColumn="0" w:lastColumn="0" w:noHBand="1" w:noVBand="1"/>
      </w:tblPr>
      <w:tblGrid>
        <w:gridCol w:w="9070"/>
      </w:tblGrid>
      <w:tr w:rsidR="001B4EAF" w14:paraId="7DF80AD3" w14:textId="77777777">
        <w:tc>
          <w:tcPr>
            <w:tcW w:w="5000" w:type="pct"/>
            <w:shd w:val="clear" w:color="auto" w:fill="F2E3C7" w:themeFill="background2"/>
            <w:hideMark/>
          </w:tcPr>
          <w:p w14:paraId="618AF0FA" w14:textId="77777777" w:rsidR="001B4EAF" w:rsidRPr="001B4EAF" w:rsidRDefault="001B4EAF" w:rsidP="00E17686">
            <w:pPr>
              <w:pStyle w:val="BoxHeading"/>
              <w:keepNext w:val="0"/>
            </w:pPr>
            <w:r w:rsidRPr="001B4EAF">
              <w:t>Recommendation 4.1</w:t>
            </w:r>
          </w:p>
          <w:p w14:paraId="5ABC1ED7" w14:textId="2A4B9052" w:rsidR="001B4EAF" w:rsidRDefault="001B4EAF" w:rsidP="001B4EAF">
            <w:pPr>
              <w:pStyle w:val="BoxText"/>
            </w:pPr>
            <w:r w:rsidRPr="001B4EAF">
              <w:t>Governments should boost rental supply and foster the development of a more diverse rental market by supporting institutional investment.</w:t>
            </w:r>
          </w:p>
        </w:tc>
      </w:tr>
    </w:tbl>
    <w:p w14:paraId="430E87B5" w14:textId="0C8FA992" w:rsidR="00791A68" w:rsidRPr="00AF4C27" w:rsidRDefault="00791A68" w:rsidP="00AF4C27">
      <w:pPr>
        <w:pStyle w:val="Heading3Numbered"/>
      </w:pPr>
      <w:r w:rsidRPr="00AF4C27">
        <w:lastRenderedPageBreak/>
        <w:t xml:space="preserve">Implementing the </w:t>
      </w:r>
      <w:r w:rsidR="00DC481F" w:rsidRPr="00AF4C27">
        <w:t>B</w:t>
      </w:r>
      <w:r w:rsidRPr="00AF4C27">
        <w:t xml:space="preserve">etter </w:t>
      </w:r>
      <w:r w:rsidR="00DC481F" w:rsidRPr="00AF4C27">
        <w:t>D</w:t>
      </w:r>
      <w:r w:rsidRPr="00AF4C27">
        <w:t xml:space="preserve">eal for </w:t>
      </w:r>
      <w:r w:rsidR="00DC481F" w:rsidRPr="00AF4C27">
        <w:t>R</w:t>
      </w:r>
      <w:r w:rsidRPr="00AF4C27">
        <w:t>enters agreement</w:t>
      </w:r>
    </w:p>
    <w:p w14:paraId="1F790951" w14:textId="20618B91" w:rsidR="00791A68" w:rsidRDefault="00791A68" w:rsidP="00AF4C27">
      <w:r w:rsidRPr="005C3C39">
        <w:t>The Council welcomes the coordinated government approach to supporting outcomes for renters through the Better Deal for Renters</w:t>
      </w:r>
      <w:r>
        <w:t xml:space="preserve"> agreed to by National Cabinet. </w:t>
      </w:r>
      <w:r w:rsidRPr="005C3C39">
        <w:t xml:space="preserve">Most state and territories have </w:t>
      </w:r>
      <w:r w:rsidRPr="002949B5">
        <w:t xml:space="preserve">already </w:t>
      </w:r>
      <w:r w:rsidR="0021390A" w:rsidRPr="002949B5">
        <w:t>implemented m</w:t>
      </w:r>
      <w:r w:rsidR="008E08A4" w:rsidRPr="002949B5">
        <w:t>any</w:t>
      </w:r>
      <w:r w:rsidR="0021390A" w:rsidRPr="002949B5">
        <w:t xml:space="preserve"> </w:t>
      </w:r>
      <w:r w:rsidRPr="002949B5">
        <w:t>elements</w:t>
      </w:r>
      <w:r w:rsidRPr="00DC381D">
        <w:t xml:space="preserve"> of the deal, but full implementation is yet to be </w:t>
      </w:r>
      <w:r>
        <w:t>achieved.</w:t>
      </w:r>
      <w:r w:rsidRPr="00DC381D">
        <w:t xml:space="preserve"> </w:t>
      </w:r>
    </w:p>
    <w:p w14:paraId="016724BF" w14:textId="77777777" w:rsidR="00791A68" w:rsidRPr="000F388E" w:rsidRDefault="00791A68" w:rsidP="00AF4C27">
      <w:r w:rsidRPr="00DC381D">
        <w:t>The Council believes the agreement, as currently drafted, effectively rebalances the system to give renters more protections, without creating distortionary impacts on housing supply.</w:t>
      </w:r>
      <w:r>
        <w:t xml:space="preserve"> </w:t>
      </w:r>
      <w:r w:rsidRPr="009628A8">
        <w:t>Minimum standards for rental properties will also improve the safety of the housing stock.</w:t>
      </w:r>
    </w:p>
    <w:p w14:paraId="3830CF58" w14:textId="41013EC2" w:rsidR="00791A68" w:rsidRDefault="00791A68" w:rsidP="00AF4C27">
      <w:r w:rsidRPr="00DC381D">
        <w:t xml:space="preserve">The Council </w:t>
      </w:r>
      <w:r w:rsidRPr="000F388E">
        <w:t>does</w:t>
      </w:r>
      <w:r w:rsidRPr="00DC381D">
        <w:t xml:space="preserve"> not support rent freezes</w:t>
      </w:r>
      <w:r>
        <w:t xml:space="preserve"> as there is strong evidence to suggest that</w:t>
      </w:r>
      <w:r w:rsidDel="005E5CF4">
        <w:t xml:space="preserve"> </w:t>
      </w:r>
      <w:r>
        <w:t>while rent freezes</w:t>
      </w:r>
      <w:r w:rsidRPr="005E5CF4">
        <w:t xml:space="preserve"> may </w:t>
      </w:r>
      <w:r>
        <w:t xml:space="preserve">benefit existing renters, they can also restrict mobility, reduce the quality of the rental stock, and lead to lower dwelling investment and higher rental costs in the long term. </w:t>
      </w:r>
    </w:p>
    <w:tbl>
      <w:tblPr>
        <w:tblW w:w="5000" w:type="pct"/>
        <w:shd w:val="clear" w:color="auto" w:fill="F2E3C7" w:themeFill="background2"/>
        <w:tblCellMar>
          <w:top w:w="284" w:type="dxa"/>
          <w:left w:w="284" w:type="dxa"/>
          <w:bottom w:w="284" w:type="dxa"/>
          <w:right w:w="284" w:type="dxa"/>
        </w:tblCellMar>
        <w:tblLook w:val="0600" w:firstRow="0" w:lastRow="0" w:firstColumn="0" w:lastColumn="0" w:noHBand="1" w:noVBand="1"/>
      </w:tblPr>
      <w:tblGrid>
        <w:gridCol w:w="9070"/>
      </w:tblGrid>
      <w:tr w:rsidR="001B4EAF" w14:paraId="22532814" w14:textId="77777777">
        <w:tc>
          <w:tcPr>
            <w:tcW w:w="5000" w:type="pct"/>
            <w:shd w:val="clear" w:color="auto" w:fill="F2E3C7" w:themeFill="background2"/>
            <w:hideMark/>
          </w:tcPr>
          <w:p w14:paraId="3386F623" w14:textId="77777777" w:rsidR="001B4EAF" w:rsidRDefault="001B4EAF" w:rsidP="001B4EAF">
            <w:pPr>
              <w:pStyle w:val="BoxHeading"/>
            </w:pPr>
            <w:r>
              <w:t>Recommendation 4.2</w:t>
            </w:r>
          </w:p>
          <w:p w14:paraId="0B7BAAC6" w14:textId="5B9D77E7" w:rsidR="001B4EAF" w:rsidRDefault="001B4EAF" w:rsidP="001B4EAF">
            <w:pPr>
              <w:pStyle w:val="BoxText"/>
            </w:pPr>
            <w:r>
              <w:t>Governments should fully implement the Better Deal for Renters agreement to support renter tenure security and other rights.</w:t>
            </w:r>
          </w:p>
        </w:tc>
      </w:tr>
    </w:tbl>
    <w:p w14:paraId="581DDB79" w14:textId="5933EFFF" w:rsidR="00791A68" w:rsidRPr="00C4702C" w:rsidRDefault="00791A68" w:rsidP="00AF4C27">
      <w:pPr>
        <w:pStyle w:val="Heading2Numbered"/>
      </w:pPr>
      <w:bookmarkStart w:id="182" w:name="_Toc195026623"/>
      <w:bookmarkStart w:id="183" w:name="_Toc196395914"/>
      <w:r w:rsidRPr="00AF4C27">
        <w:t>Ensuring</w:t>
      </w:r>
      <w:r w:rsidRPr="00C4702C">
        <w:t xml:space="preserve"> the tax system supports </w:t>
      </w:r>
      <w:r>
        <w:t xml:space="preserve">housing </w:t>
      </w:r>
      <w:r w:rsidRPr="00C4702C">
        <w:t>supply and affordability</w:t>
      </w:r>
      <w:bookmarkEnd w:id="182"/>
      <w:bookmarkEnd w:id="183"/>
    </w:p>
    <w:p w14:paraId="0C79A759" w14:textId="7B84935A" w:rsidR="00E17686" w:rsidRDefault="00791A68" w:rsidP="00AF4C27">
      <w:r w:rsidRPr="009628A8">
        <w:t>Tax settings have wide</w:t>
      </w:r>
      <w:r w:rsidR="00A15C79">
        <w:noBreakHyphen/>
      </w:r>
      <w:r w:rsidRPr="002949B5">
        <w:t>ranging impact</w:t>
      </w:r>
      <w:r w:rsidR="001B0A97" w:rsidRPr="002949B5">
        <w:t>s</w:t>
      </w:r>
      <w:r w:rsidRPr="002949B5">
        <w:t xml:space="preserve"> on the housing system, affecting the demand, supply and affordability of housing. As noted in </w:t>
      </w:r>
      <w:r w:rsidRPr="002949B5">
        <w:rPr>
          <w:rStyle w:val="Emphasis"/>
        </w:rPr>
        <w:t>State of the Housing System 2024</w:t>
      </w:r>
      <w:r w:rsidRPr="002949B5">
        <w:t>, taxes</w:t>
      </w:r>
      <w:r w:rsidRPr="009628A8">
        <w:t xml:space="preserve"> administered by </w:t>
      </w:r>
      <w:r w:rsidR="00490442">
        <w:t>Australian</w:t>
      </w:r>
      <w:r w:rsidRPr="009628A8">
        <w:t>, state and territory, and local governments can influence the decisions of households and investors (NHSAC 2024). For instance, for households</w:t>
      </w:r>
      <w:r w:rsidR="00896552">
        <w:t>,</w:t>
      </w:r>
      <w:r w:rsidRPr="009628A8">
        <w:t xml:space="preserve"> tax settings can affect housing affordability and mobility</w:t>
      </w:r>
      <w:r w:rsidR="00E510CF">
        <w:t xml:space="preserve"> (Henry</w:t>
      </w:r>
      <w:r w:rsidR="00AA3444">
        <w:t xml:space="preserve"> et al. 2010</w:t>
      </w:r>
      <w:r w:rsidR="00317CF7">
        <w:t>; Garvin et al</w:t>
      </w:r>
      <w:r w:rsidR="00621963">
        <w:t>.</w:t>
      </w:r>
      <w:r w:rsidR="00317CF7">
        <w:t xml:space="preserve"> 2024</w:t>
      </w:r>
      <w:r w:rsidR="00AA3444">
        <w:t>)</w:t>
      </w:r>
      <w:r w:rsidRPr="009628A8">
        <w:t>. For developers, tax settings can affect project feasibility and housing supply</w:t>
      </w:r>
      <w:r w:rsidR="00C30C62">
        <w:t xml:space="preserve"> (Rowley et al. 2022)</w:t>
      </w:r>
      <w:r w:rsidRPr="009628A8">
        <w:t>. Housing</w:t>
      </w:r>
      <w:r w:rsidR="00A15C79">
        <w:noBreakHyphen/>
      </w:r>
      <w:r w:rsidRPr="009628A8">
        <w:t>related taxes or tax system features</w:t>
      </w:r>
      <w:r w:rsidR="009874EB">
        <w:t xml:space="preserve"> that affect housing</w:t>
      </w:r>
      <w:r w:rsidRPr="009628A8">
        <w:t xml:space="preserve"> include the capital gains tax (CGT) and CGT discount, the </w:t>
      </w:r>
      <w:r w:rsidR="0094140D">
        <w:t>m</w:t>
      </w:r>
      <w:r w:rsidRPr="009628A8">
        <w:t xml:space="preserve">ain </w:t>
      </w:r>
      <w:r w:rsidR="0094140D">
        <w:t>r</w:t>
      </w:r>
      <w:r w:rsidR="0094140D" w:rsidRPr="009628A8">
        <w:t xml:space="preserve">esidence </w:t>
      </w:r>
      <w:r w:rsidR="0094140D">
        <w:t>e</w:t>
      </w:r>
      <w:r w:rsidRPr="009628A8">
        <w:t xml:space="preserve">xemption, income tax on rental income, negative gearing, stamp duty, land tax and council rates (NHSAC 2024). </w:t>
      </w:r>
      <w:r w:rsidR="00E17686">
        <w:br w:type="page"/>
      </w:r>
    </w:p>
    <w:p w14:paraId="3215B482" w14:textId="77777777" w:rsidR="00791A68" w:rsidRPr="005A2317" w:rsidRDefault="00791A68" w:rsidP="00AF4C27">
      <w:pPr>
        <w:pStyle w:val="Heading3Numbered"/>
      </w:pPr>
      <w:r w:rsidRPr="005A2317">
        <w:lastRenderedPageBreak/>
        <w:t xml:space="preserve">Review </w:t>
      </w:r>
      <w:r w:rsidRPr="00AF4C27">
        <w:t>the</w:t>
      </w:r>
      <w:r w:rsidRPr="005A2317">
        <w:t xml:space="preserve"> interaction between the tax and housing systems</w:t>
      </w:r>
    </w:p>
    <w:p w14:paraId="05BABB64" w14:textId="498B1CF2" w:rsidR="00791A68" w:rsidRPr="005A2317" w:rsidRDefault="00791A68" w:rsidP="00AF4C27">
      <w:r w:rsidRPr="009628A8">
        <w:t>The interaction between taxation and housing systems should be reviewed, given their impact on households, investors and the broader economy</w:t>
      </w:r>
      <w:r w:rsidR="008E4210">
        <w:t xml:space="preserve">. </w:t>
      </w:r>
    </w:p>
    <w:p w14:paraId="67B3AED6" w14:textId="20EF46CC" w:rsidR="00791A68" w:rsidRPr="005A2317" w:rsidRDefault="00791A68" w:rsidP="00AF4C27">
      <w:r w:rsidRPr="005A2317">
        <w:t xml:space="preserve">Tax settings are not </w:t>
      </w:r>
      <w:r w:rsidRPr="009628A8">
        <w:t xml:space="preserve">tenure </w:t>
      </w:r>
      <w:r w:rsidRPr="005A2317">
        <w:t xml:space="preserve">neutral, in that they can affect </w:t>
      </w:r>
      <w:r w:rsidRPr="009628A8">
        <w:t>owner</w:t>
      </w:r>
      <w:r w:rsidR="00A15C79">
        <w:noBreakHyphen/>
      </w:r>
      <w:r w:rsidRPr="009628A8">
        <w:t>occupiers, investors and renters in different ways.</w:t>
      </w:r>
      <w:r w:rsidRPr="005A2317">
        <w:t xml:space="preserve"> </w:t>
      </w:r>
      <w:r w:rsidRPr="009628A8">
        <w:t>In particular, tax settings tend to favour owner</w:t>
      </w:r>
      <w:r w:rsidR="00A15C79">
        <w:noBreakHyphen/>
      </w:r>
      <w:r w:rsidRPr="009628A8">
        <w:t>occupied housing (Henry</w:t>
      </w:r>
      <w:r w:rsidR="00F92AA3">
        <w:t xml:space="preserve"> </w:t>
      </w:r>
      <w:r w:rsidRPr="009628A8">
        <w:t>et al. 20</w:t>
      </w:r>
      <w:r w:rsidR="00F92AA3">
        <w:t>10</w:t>
      </w:r>
      <w:r w:rsidRPr="009628A8">
        <w:t>). Owner</w:t>
      </w:r>
      <w:r w:rsidR="00A15C79">
        <w:noBreakHyphen/>
      </w:r>
      <w:r w:rsidRPr="009628A8">
        <w:t xml:space="preserve">occupiers </w:t>
      </w:r>
      <w:r w:rsidRPr="005A2317">
        <w:t xml:space="preserve">receive tax concessions, including the </w:t>
      </w:r>
      <w:r w:rsidRPr="009628A8">
        <w:t>CGT</w:t>
      </w:r>
      <w:r w:rsidRPr="005A2317">
        <w:t xml:space="preserve"> exemption, that are not available to renters </w:t>
      </w:r>
      <w:r w:rsidRPr="005A2317">
        <w:fldChar w:fldCharType="begin"/>
      </w:r>
      <w:r w:rsidRPr="005A2317">
        <w:instrText xml:space="preserve"> ADDIN ZOTERO_ITEM CSL_CITATION {"citationID":"5q1v22GU","properties":{"formattedCitation":"(Wood et al., 2017; Yates, 2010a, 2010b)","plainCitation":"(Wood et al., 2017; Yates, 2010a, 2010b)","noteIndex":0},"citationItems":[{"id":1188,"uris":["http://zotero.org/users/8274939/items/E7GLJCUQ"],"itemData":{"id":1188,"type":"article-journal","container-title":"AHURI Final Report","DOI":"10.18408/ahuri-5303901","ISSN":"18347223","issue":"286","journalAbbreviation":"AHURI Final Report","language":"en","source":"DOI.org (Crossref)","title":"Australian demographic trends and implications for housing assistance programs","URL":"https://www.ahuri.edu.au/research/final-reports/286","author":[{"family":"Wood","given":"Gavin"},{"family":"Cigdem","given":"Melek"},{"family":"Ong","given":"Rachel"}],"accessed":{"date-parts":[["2024",3,4]]},"issued":{"date-parts":[["2017",7,25]]}}},{"id":1175,"uris":["http://zotero.org/users/8274939/items/3HDSVWJA"],"itemData":{"id":1175,"type":"chapter","container-title":"Evans, C., Krever, R. and Mellor, P. (eds), Australia's Future Tax System: The Prospects After Henry","event-place":"Sydney","page":"233-265","publisher":"Thomson Reuters","publisher-place":"Sydney","title":"Housing and tax: the triumph of politics over economics","author":[{"family":"Yates","given":"Judith"}],"issued":{"date-parts":[["2010"]]}}},{"id":1142,"uris":["http://zotero.org/users/8274939/items/M7D3BRTU"],"itemData":{"id":1142,"type":"chapter","container-title":"Stewart, M. (ed), Housing and Tax Policy","event-place":"Melbourne","language":"en","page":"39-91","publisher":"Australian Tax Research Foundation","publisher-place":"Melbourne","source":"Zotero","title":"Tax expenditures and housing","author":[{"family":"Yates","given":"Judith"}],"issued":{"date-parts":[["2010"]]}}}],"schema":"https://github.com/citation-style-language/schema/raw/master/csl-citation.json"} </w:instrText>
      </w:r>
      <w:r w:rsidRPr="005A2317">
        <w:fldChar w:fldCharType="separate"/>
      </w:r>
      <w:r w:rsidRPr="005A2317">
        <w:t>(Wood et al</w:t>
      </w:r>
      <w:r w:rsidR="008906FE">
        <w:t>.</w:t>
      </w:r>
      <w:r w:rsidRPr="005A2317">
        <w:t xml:space="preserve"> 2017; Yates 2010a, 2010b)</w:t>
      </w:r>
      <w:r w:rsidRPr="005A2317">
        <w:fldChar w:fldCharType="end"/>
      </w:r>
      <w:r w:rsidRPr="005A2317">
        <w:t xml:space="preserve">. </w:t>
      </w:r>
      <w:r w:rsidRPr="009628A8">
        <w:t>Ta</w:t>
      </w:r>
      <w:r w:rsidRPr="005A2317">
        <w:t xml:space="preserve">x </w:t>
      </w:r>
      <w:r>
        <w:t xml:space="preserve">settings </w:t>
      </w:r>
      <w:r w:rsidRPr="009628A8">
        <w:t xml:space="preserve">also treat </w:t>
      </w:r>
      <w:r w:rsidRPr="005A2317">
        <w:t>capital gains, rental income, mortgage debt and land use differently for owner</w:t>
      </w:r>
      <w:r w:rsidR="00A15C79">
        <w:noBreakHyphen/>
      </w:r>
      <w:r w:rsidRPr="005A2317">
        <w:t xml:space="preserve">occupiers and landlords </w:t>
      </w:r>
      <w:r w:rsidRPr="005A2317">
        <w:fldChar w:fldCharType="begin"/>
      </w:r>
      <w:r w:rsidRPr="005A2317">
        <w:instrText xml:space="preserve"> ADDIN ZOTERO_ITEM CSL_CITATION {"citationID":"yoaDQ3XB","properties":{"formattedCitation":"(Duncan et al., 2018; Eccleston et al., 2017; Wood et al., 2010b)","plainCitation":"(Duncan et al., 2018; Eccleston et al., 2017; Wood et al., 2010b)","noteIndex":0},"citationItems":[{"id":1147,"uris":["http://zotero.org/users/8274939/items/RBT4QFB8"],"itemData":{"id":1147,"type":"article-journal","container-title":"AHURI Final Report","DOI":"10.18408/ahuri-8111101","ISSN":"18347223","issue":"295","journalAbbreviation":"AHURI Final Report","language":"en","source":"DOI.org (Crossref)","title":"The income tax treatment of housing assets: an assessment of proposed reform arrangements","title-short":"The income tax treatment of housing assets","URL":"https://www.ahuri.edu.au/research/final-reports/295","author":[{"family":"Duncan","given":"Alan"},{"family":"Hodgson","given":"Helen"},{"family":"Minas","given":"John"},{"family":"Ong","given":"Rachel"},{"family":"Seymour","given":"Richard"}],"accessed":{"date-parts":[["2024",3,4]]},"issued":{"date-parts":[["2018",3,7]]}}},{"id":1149,"uris":["http://zotero.org/users/8274939/items/9KFE7NPB"],"itemData":{"id":1149,"type":"article-journal","container-title":"AHURI Final Report","DOI":"10.18408/ahuri-4111301","ISSN":"18347223","issue":"291","journalAbbreviation":"AHURI Final Report","language":"en","source":"DOI.org (Crossref)","title":"Pathways to state property tax reform","URL":"https://www.ahuri.edu.au/research/final-reports/291","author":[{"family":"Eccleston","given":"Richard"},{"family":"Warren","given":"Neil"},{"family":"Verdouw","given":"Julia"},{"family":"Flanagan","given":"Kathleen"}],"accessed":{"date-parts":[["2024",3,4]]},"issued":{"date-parts":[["2017",11,30]]}}},{"id":1170,"uris":["http://zotero.org/users/8274939/items/ZN46C9QA"],"itemData":{"id":1170,"type":"report","collection-title":"Research Study for the Review of Australia’s Future Tax System","genre":"Final Report","title":"Housing Taxation and Transfers","author":[{"family":"Wood","given":"Gavin A."},{"family":"Stewart","given":"Miranda"},{"family":"Ong","given":"Rachel"}],"issued":{"date-parts":[["2010"]]}}}],"schema":"https://github.com/citation-style-language/schema/raw/master/csl-citation.json"} </w:instrText>
      </w:r>
      <w:r w:rsidRPr="005A2317">
        <w:fldChar w:fldCharType="separate"/>
      </w:r>
      <w:r w:rsidRPr="005A2317">
        <w:t>(Duncan et al</w:t>
      </w:r>
      <w:r w:rsidR="008906FE">
        <w:t>.</w:t>
      </w:r>
      <w:r w:rsidRPr="005A2317">
        <w:t xml:space="preserve"> 2018; Eccleston et al</w:t>
      </w:r>
      <w:r w:rsidR="008906FE">
        <w:t>.</w:t>
      </w:r>
      <w:r w:rsidRPr="005A2317">
        <w:t xml:space="preserve"> 2017; Wood et al</w:t>
      </w:r>
      <w:r w:rsidR="008906FE">
        <w:t>.</w:t>
      </w:r>
      <w:r w:rsidRPr="005A2317">
        <w:t xml:space="preserve"> 2010b)</w:t>
      </w:r>
      <w:r w:rsidRPr="005A2317">
        <w:fldChar w:fldCharType="end"/>
      </w:r>
      <w:r w:rsidRPr="005A2317">
        <w:t xml:space="preserve">. </w:t>
      </w:r>
    </w:p>
    <w:p w14:paraId="7E555116" w14:textId="44FB37E8" w:rsidR="00791A68" w:rsidRPr="009628A8" w:rsidRDefault="00791A68" w:rsidP="00AF4C27">
      <w:r w:rsidRPr="009628A8">
        <w:t>Tax settings can affect supply and affordability in housing markets. For example, land used for investment purposes is subject to state land tax, while land used for owner</w:t>
      </w:r>
      <w:r w:rsidR="00E25D57">
        <w:t xml:space="preserve"> </w:t>
      </w:r>
      <w:r w:rsidRPr="009628A8">
        <w:t xml:space="preserve">occupation is exempt. This means private rental housing is a smaller part of housing supply than </w:t>
      </w:r>
      <w:r w:rsidR="00E25D57">
        <w:t xml:space="preserve">it </w:t>
      </w:r>
      <w:r w:rsidRPr="009628A8">
        <w:t>would be under an investment</w:t>
      </w:r>
      <w:r w:rsidR="00A15C79">
        <w:noBreakHyphen/>
      </w:r>
      <w:r w:rsidRPr="009628A8">
        <w:t>neutral land tax.</w:t>
      </w:r>
    </w:p>
    <w:p w14:paraId="2A14BFB7" w14:textId="27767A28" w:rsidR="00791A68" w:rsidRPr="00D52922" w:rsidRDefault="00791A68" w:rsidP="00AF4C27">
      <w:r w:rsidRPr="009628A8">
        <w:rPr>
          <w:rFonts w:cstheme="minorHAnsi"/>
        </w:rPr>
        <w:t>S</w:t>
      </w:r>
      <w:r w:rsidRPr="005A2317">
        <w:rPr>
          <w:rFonts w:cstheme="minorHAnsi"/>
        </w:rPr>
        <w:t xml:space="preserve">ome tax </w:t>
      </w:r>
      <w:r w:rsidRPr="009628A8">
        <w:t xml:space="preserve">settings can create additional transaction costs for prospective </w:t>
      </w:r>
      <w:r w:rsidR="00233AEC">
        <w:t>home owner</w:t>
      </w:r>
      <w:r w:rsidRPr="009628A8">
        <w:t xml:space="preserve">s, reducing housing affordability and mobility. They may also </w:t>
      </w:r>
      <w:r w:rsidRPr="00D52922">
        <w:t>lead to greater investor activity and encourage speculation in the property market (C</w:t>
      </w:r>
      <w:r w:rsidR="001E63D6">
        <w:t>ommittee for E</w:t>
      </w:r>
      <w:r w:rsidR="00FF7727">
        <w:t>conomic Development</w:t>
      </w:r>
      <w:r w:rsidR="00B11B29">
        <w:t xml:space="preserve"> of Australia</w:t>
      </w:r>
      <w:r w:rsidRPr="00D52922">
        <w:t xml:space="preserve"> 2017; Daley et al. 2018</w:t>
      </w:r>
      <w:r w:rsidR="0028213A">
        <w:t>a</w:t>
      </w:r>
      <w:r w:rsidRPr="00D52922">
        <w:t xml:space="preserve">). </w:t>
      </w:r>
    </w:p>
    <w:p w14:paraId="790B99BB" w14:textId="32D9E133" w:rsidR="00791A68" w:rsidRDefault="00791A68" w:rsidP="00AF4C27">
      <w:r w:rsidRPr="00D52922">
        <w:t>Tax reform requires strong evidence. Where governments undertake tax reforms, current</w:t>
      </w:r>
      <w:r w:rsidR="0095621B">
        <w:t xml:space="preserve"> </w:t>
      </w:r>
      <w:r w:rsidRPr="00D52922">
        <w:t>impediments to housing supply and the equity of treatment across tenure types that arise from the tax system should be the main housing</w:t>
      </w:r>
      <w:r w:rsidR="00A15C79">
        <w:noBreakHyphen/>
      </w:r>
      <w:r w:rsidRPr="00D52922">
        <w:t xml:space="preserve">related consideration. Potential tax reforms that only affect demand are unlikely to have </w:t>
      </w:r>
      <w:r w:rsidR="00122DB4">
        <w:t xml:space="preserve">a </w:t>
      </w:r>
      <w:r w:rsidRPr="00D52922">
        <w:t xml:space="preserve">significant </w:t>
      </w:r>
      <w:r w:rsidR="00122DB4">
        <w:t xml:space="preserve">impact on </w:t>
      </w:r>
      <w:r w:rsidRPr="00D52922">
        <w:t>affordability beyond immediate beneficiaries unless supply becomes more responsive</w:t>
      </w:r>
      <w:r w:rsidR="00D932DC">
        <w:t xml:space="preserve"> (Henry et al. 2010)</w:t>
      </w:r>
      <w:r w:rsidRPr="00D52922">
        <w:t>. Influencing demand, especially where housing investors are concerned, may also have unintended consequences if not appropriately timed and sequenced.</w:t>
      </w:r>
    </w:p>
    <w:tbl>
      <w:tblPr>
        <w:tblW w:w="5000" w:type="pct"/>
        <w:shd w:val="clear" w:color="auto" w:fill="F2E3C7" w:themeFill="background2"/>
        <w:tblCellMar>
          <w:top w:w="284" w:type="dxa"/>
          <w:left w:w="284" w:type="dxa"/>
          <w:bottom w:w="284" w:type="dxa"/>
          <w:right w:w="284" w:type="dxa"/>
        </w:tblCellMar>
        <w:tblLook w:val="0600" w:firstRow="0" w:lastRow="0" w:firstColumn="0" w:lastColumn="0" w:noHBand="1" w:noVBand="1"/>
      </w:tblPr>
      <w:tblGrid>
        <w:gridCol w:w="9070"/>
      </w:tblGrid>
      <w:tr w:rsidR="001B4EAF" w14:paraId="0E0B1754" w14:textId="77777777">
        <w:tc>
          <w:tcPr>
            <w:tcW w:w="5000" w:type="pct"/>
            <w:shd w:val="clear" w:color="auto" w:fill="F2E3C7" w:themeFill="background2"/>
            <w:hideMark/>
          </w:tcPr>
          <w:p w14:paraId="02DC0073" w14:textId="77777777" w:rsidR="001B4EAF" w:rsidRDefault="001B4EAF" w:rsidP="001B4EAF">
            <w:pPr>
              <w:pStyle w:val="BoxHeading"/>
            </w:pPr>
            <w:r>
              <w:t>Recommendation 5.1</w:t>
            </w:r>
          </w:p>
          <w:p w14:paraId="31225B08" w14:textId="4D09EBA8" w:rsidR="001B4EAF" w:rsidRDefault="001B4EAF" w:rsidP="001B4EAF">
            <w:pPr>
              <w:pStyle w:val="BoxText"/>
            </w:pPr>
            <w:r>
              <w:t>All interactions between the tax system and the housing system should be reviewed at the Commonwealth and state and territory levels, to work towards the goal of fair access to the benefits of home ownership, and to support the efficient use and exchange of the housing stock.</w:t>
            </w:r>
          </w:p>
        </w:tc>
      </w:tr>
    </w:tbl>
    <w:p w14:paraId="17DBE368" w14:textId="77777777" w:rsidR="00E17686" w:rsidRDefault="00E17686" w:rsidP="00E17686">
      <w:pPr>
        <w:rPr>
          <w:rFonts w:eastAsiaTheme="minorHAnsi"/>
          <w:lang w:eastAsia="en-US"/>
        </w:rPr>
      </w:pPr>
      <w:r>
        <w:rPr>
          <w:rFonts w:eastAsiaTheme="minorHAnsi"/>
          <w:lang w:eastAsia="en-US"/>
        </w:rPr>
        <w:br w:type="page"/>
      </w:r>
    </w:p>
    <w:p w14:paraId="08E3BB8B" w14:textId="7F87CD4C" w:rsidR="00791A68" w:rsidRPr="00D52922" w:rsidRDefault="00791A68" w:rsidP="00AF4C27">
      <w:pPr>
        <w:pStyle w:val="Heading3Numbered"/>
      </w:pPr>
      <w:r w:rsidRPr="00D52922">
        <w:rPr>
          <w:rFonts w:ascii="Calibri" w:eastAsiaTheme="minorHAnsi" w:hAnsi="Calibri" w:cstheme="minorHAnsi"/>
          <w:color w:val="000000"/>
          <w:sz w:val="24"/>
          <w:szCs w:val="22"/>
          <w:lang w:eastAsia="en-US"/>
        </w:rPr>
        <w:lastRenderedPageBreak/>
        <w:fldChar w:fldCharType="begin"/>
      </w:r>
      <w:r w:rsidR="00287FB0">
        <w:rPr>
          <w:rFonts w:ascii="Calibri" w:eastAsiaTheme="minorHAnsi" w:hAnsi="Calibri" w:cstheme="minorHAnsi"/>
          <w:color w:val="000000"/>
          <w:sz w:val="24"/>
          <w:szCs w:val="22"/>
          <w:lang w:eastAsia="en-US"/>
        </w:rPr>
        <w:fldChar w:fldCharType="separate"/>
      </w:r>
      <w:r w:rsidRPr="00D52922">
        <w:rPr>
          <w:rFonts w:ascii="Calibri" w:eastAsiaTheme="minorHAnsi" w:hAnsi="Calibri" w:cstheme="minorHAnsi"/>
          <w:color w:val="000000"/>
          <w:sz w:val="24"/>
          <w:szCs w:val="22"/>
          <w:lang w:eastAsia="en-US"/>
        </w:rPr>
        <w:fldChar w:fldCharType="end"/>
      </w:r>
      <w:r w:rsidRPr="00D52922">
        <w:rPr>
          <w:rFonts w:ascii="Calibri" w:eastAsiaTheme="minorHAnsi" w:hAnsi="Calibri" w:cstheme="minorHAnsi"/>
          <w:color w:val="000000"/>
          <w:sz w:val="24"/>
          <w:szCs w:val="22"/>
          <w:lang w:eastAsia="en-US"/>
        </w:rPr>
        <w:fldChar w:fldCharType="begin"/>
      </w:r>
      <w:r w:rsidRPr="00D52922">
        <w:rPr>
          <w:rFonts w:asciiTheme="minorHAnsi" w:eastAsiaTheme="minorHAnsi" w:hAnsiTheme="minorHAnsi" w:cstheme="minorHAnsi"/>
          <w:color w:val="000000"/>
          <w:sz w:val="24"/>
          <w:szCs w:val="22"/>
          <w:lang w:eastAsia="en-US"/>
        </w:rPr>
        <w:instrText>‐‐</w:instrText>
      </w:r>
      <w:r w:rsidR="00287FB0">
        <w:rPr>
          <w:rFonts w:ascii="Calibri" w:eastAsiaTheme="minorHAnsi" w:hAnsi="Calibri" w:cstheme="minorHAnsi"/>
          <w:color w:val="000000"/>
          <w:sz w:val="24"/>
          <w:szCs w:val="22"/>
          <w:lang w:eastAsia="en-US"/>
        </w:rPr>
        <w:fldChar w:fldCharType="separate"/>
      </w:r>
      <w:r w:rsidRPr="00D52922">
        <w:rPr>
          <w:rFonts w:ascii="Calibri" w:eastAsiaTheme="minorHAnsi" w:hAnsi="Calibri" w:cstheme="minorHAnsi"/>
          <w:color w:val="000000"/>
          <w:sz w:val="24"/>
          <w:szCs w:val="22"/>
          <w:lang w:eastAsia="en-US"/>
        </w:rPr>
        <w:fldChar w:fldCharType="end"/>
      </w:r>
      <w:r w:rsidRPr="00D52922">
        <w:rPr>
          <w:rFonts w:ascii="Calibri" w:eastAsiaTheme="minorHAnsi" w:hAnsi="Calibri" w:cstheme="minorHAnsi"/>
          <w:color w:val="000000"/>
          <w:sz w:val="24"/>
          <w:szCs w:val="22"/>
          <w:lang w:eastAsia="en-US"/>
        </w:rPr>
        <w:fldChar w:fldCharType="begin"/>
      </w:r>
      <w:r w:rsidR="00287FB0">
        <w:rPr>
          <w:rFonts w:ascii="Calibri" w:eastAsiaTheme="minorHAnsi" w:hAnsi="Calibri" w:cstheme="minorHAnsi"/>
          <w:color w:val="000000"/>
          <w:sz w:val="24"/>
          <w:szCs w:val="22"/>
          <w:lang w:eastAsia="en-US"/>
        </w:rPr>
        <w:fldChar w:fldCharType="separate"/>
      </w:r>
      <w:r w:rsidRPr="00D52922">
        <w:rPr>
          <w:rFonts w:ascii="Calibri" w:eastAsiaTheme="minorHAnsi" w:hAnsi="Calibri" w:cstheme="minorHAnsi"/>
          <w:color w:val="000000"/>
          <w:sz w:val="24"/>
          <w:szCs w:val="22"/>
          <w:lang w:eastAsia="en-US"/>
        </w:rPr>
        <w:fldChar w:fldCharType="end"/>
      </w:r>
      <w:r w:rsidRPr="00D52922">
        <w:t xml:space="preserve">Transitioning </w:t>
      </w:r>
      <w:r w:rsidRPr="00AF4C27">
        <w:t>away</w:t>
      </w:r>
      <w:r w:rsidRPr="00D52922">
        <w:t xml:space="preserve"> from stamp duty</w:t>
      </w:r>
    </w:p>
    <w:p w14:paraId="239E6AE9" w14:textId="4495C549" w:rsidR="00791A68" w:rsidRPr="00D52922" w:rsidRDefault="00791A68" w:rsidP="00E17686">
      <w:pPr>
        <w:spacing w:before="200" w:after="200"/>
        <w:rPr>
          <w:rFonts w:eastAsiaTheme="minorHAnsi"/>
          <w:szCs w:val="22"/>
        </w:rPr>
      </w:pPr>
      <w:r w:rsidRPr="00D52922">
        <w:t>Tax settings can impact housing mobility. In particular, stamp duty – an upfront lump sum tax that must be paid upon acquisition of a property –</w:t>
      </w:r>
      <w:r w:rsidRPr="00D52922">
        <w:rPr>
          <w:rFonts w:eastAsiaTheme="minorHAnsi"/>
        </w:rPr>
        <w:t xml:space="preserve"> </w:t>
      </w:r>
      <w:r w:rsidRPr="00D52922">
        <w:rPr>
          <w:rFonts w:eastAsiaTheme="minorHAnsi"/>
          <w:szCs w:val="22"/>
        </w:rPr>
        <w:t>deters the transfer of property from</w:t>
      </w:r>
      <w:r w:rsidRPr="00D52922">
        <w:rPr>
          <w:rFonts w:eastAsiaTheme="minorHAnsi" w:cstheme="minorHAnsi"/>
          <w:szCs w:val="22"/>
        </w:rPr>
        <w:t xml:space="preserve"> lower</w:t>
      </w:r>
      <w:r w:rsidR="00A15C79">
        <w:rPr>
          <w:rFonts w:eastAsiaTheme="minorHAnsi" w:cstheme="minorHAnsi"/>
          <w:szCs w:val="22"/>
        </w:rPr>
        <w:noBreakHyphen/>
      </w:r>
      <w:r w:rsidRPr="00D52922">
        <w:rPr>
          <w:rFonts w:eastAsiaTheme="minorHAnsi"/>
          <w:szCs w:val="22"/>
        </w:rPr>
        <w:t>value uses to higher</w:t>
      </w:r>
      <w:r w:rsidR="00A15C79">
        <w:rPr>
          <w:rFonts w:eastAsiaTheme="minorHAnsi"/>
          <w:szCs w:val="22"/>
        </w:rPr>
        <w:noBreakHyphen/>
      </w:r>
      <w:r w:rsidRPr="00D52922">
        <w:rPr>
          <w:rFonts w:eastAsiaTheme="minorHAnsi"/>
          <w:szCs w:val="22"/>
        </w:rPr>
        <w:t xml:space="preserve">value uses, </w:t>
      </w:r>
      <w:r w:rsidR="00BE7E33">
        <w:rPr>
          <w:rFonts w:eastAsiaTheme="minorHAnsi"/>
          <w:szCs w:val="22"/>
        </w:rPr>
        <w:t>resulting</w:t>
      </w:r>
      <w:r w:rsidRPr="00D52922">
        <w:rPr>
          <w:rFonts w:eastAsiaTheme="minorHAnsi"/>
          <w:szCs w:val="22"/>
        </w:rPr>
        <w:t xml:space="preserve"> in an inefficient allocation of the </w:t>
      </w:r>
      <w:r w:rsidRPr="00D52922">
        <w:rPr>
          <w:rFonts w:eastAsiaTheme="minorHAnsi" w:cstheme="minorHAnsi"/>
          <w:szCs w:val="22"/>
        </w:rPr>
        <w:t xml:space="preserve">housing </w:t>
      </w:r>
      <w:r w:rsidRPr="00D52922">
        <w:rPr>
          <w:rFonts w:eastAsiaTheme="minorHAnsi"/>
          <w:szCs w:val="22"/>
        </w:rPr>
        <w:t xml:space="preserve">stock </w:t>
      </w:r>
      <w:r w:rsidRPr="00D52922">
        <w:rPr>
          <w:rFonts w:eastAsiaTheme="minorHAnsi"/>
          <w:szCs w:val="22"/>
        </w:rPr>
        <w:fldChar w:fldCharType="begin"/>
      </w:r>
      <w:r w:rsidRPr="00D52922">
        <w:rPr>
          <w:rFonts w:eastAsiaTheme="minorHAnsi"/>
          <w:szCs w:val="22"/>
        </w:rPr>
        <w:instrText xml:space="preserve"> ADDIN ZOTERO_ITEM CSL_CITATION {"citationID":"3Tnl2DWd","properties":{"formattedCitation":"(Wood et al., 2012a)","plainCitation":"(Wood et al., 2012a)","noteIndex":0},"citationItems":[{"id":1174,"uris":["http://zotero.org/users/8274939/items/ZNM8L44T"],"itemData":{"id":1174,"type":"article-journal","container-title":"AHURI Final Report","issue":"182","journalAbbreviation":"AHURI Final Report","language":"en","source":"Zotero","title":"The spatial and distributional impacts of the Henry Review recommendations on stamp duty and land tax","author":[{"family":"Wood","given":"Gavin"},{"family":"Ong","given":"Rachel"},{"family":"Cigdem","given":"Melek"},{"family":"Taylor","given":"Elizabeth"}],"issued":{"date-parts":[["2012"]]}}}],"schema":"https://github.com/citation-style-language/schema/raw/master/csl-citation.json"} </w:instrText>
      </w:r>
      <w:r w:rsidRPr="00D52922">
        <w:rPr>
          <w:rFonts w:eastAsiaTheme="minorHAnsi"/>
          <w:szCs w:val="22"/>
        </w:rPr>
        <w:fldChar w:fldCharType="separate"/>
      </w:r>
      <w:r w:rsidRPr="00D52922">
        <w:rPr>
          <w:rFonts w:eastAsiaTheme="minorHAnsi"/>
          <w:szCs w:val="22"/>
        </w:rPr>
        <w:t>(Wood et al</w:t>
      </w:r>
      <w:r w:rsidR="008906FE">
        <w:rPr>
          <w:rFonts w:eastAsiaTheme="minorHAnsi"/>
          <w:szCs w:val="22"/>
        </w:rPr>
        <w:t>.</w:t>
      </w:r>
      <w:r w:rsidRPr="00D52922">
        <w:rPr>
          <w:rFonts w:eastAsiaTheme="minorHAnsi"/>
          <w:szCs w:val="22"/>
        </w:rPr>
        <w:t xml:space="preserve"> 2012a)</w:t>
      </w:r>
      <w:r w:rsidRPr="00D52922">
        <w:rPr>
          <w:rFonts w:eastAsiaTheme="minorHAnsi"/>
          <w:szCs w:val="22"/>
        </w:rPr>
        <w:fldChar w:fldCharType="end"/>
      </w:r>
      <w:r w:rsidRPr="00D52922">
        <w:rPr>
          <w:rFonts w:eastAsiaTheme="minorHAnsi"/>
          <w:szCs w:val="22"/>
        </w:rPr>
        <w:t>.</w:t>
      </w:r>
      <w:r w:rsidRPr="00D52922">
        <w:rPr>
          <w:rStyle w:val="FootnoteReference"/>
          <w:rFonts w:eastAsiaTheme="minorHAnsi"/>
          <w:szCs w:val="22"/>
        </w:rPr>
        <w:footnoteReference w:id="19"/>
      </w:r>
      <w:r w:rsidRPr="00D52922">
        <w:rPr>
          <w:rFonts w:eastAsiaTheme="minorHAnsi"/>
          <w:szCs w:val="22"/>
        </w:rPr>
        <w:t xml:space="preserve"> For example, </w:t>
      </w:r>
      <w:r w:rsidRPr="00D52922">
        <w:rPr>
          <w:rFonts w:cstheme="minorHAnsi"/>
          <w:szCs w:val="22"/>
        </w:rPr>
        <w:t xml:space="preserve">stamp duty distorts the decision making of </w:t>
      </w:r>
      <w:r w:rsidR="00233AEC">
        <w:rPr>
          <w:rFonts w:cstheme="minorHAnsi"/>
          <w:szCs w:val="22"/>
        </w:rPr>
        <w:t>home owner</w:t>
      </w:r>
      <w:r w:rsidRPr="00D52922">
        <w:rPr>
          <w:rFonts w:cstheme="minorHAnsi"/>
          <w:szCs w:val="22"/>
        </w:rPr>
        <w:t xml:space="preserve">s experiencing life changes, such as </w:t>
      </w:r>
      <w:r w:rsidR="00365443">
        <w:rPr>
          <w:rFonts w:cstheme="minorHAnsi"/>
          <w:szCs w:val="22"/>
        </w:rPr>
        <w:t xml:space="preserve">whether to </w:t>
      </w:r>
      <w:r w:rsidRPr="00D52922">
        <w:rPr>
          <w:rFonts w:cstheme="minorHAnsi"/>
          <w:szCs w:val="22"/>
        </w:rPr>
        <w:t>upsiz</w:t>
      </w:r>
      <w:r w:rsidR="00365443">
        <w:rPr>
          <w:rFonts w:cstheme="minorHAnsi"/>
          <w:szCs w:val="22"/>
        </w:rPr>
        <w:t>e</w:t>
      </w:r>
      <w:r w:rsidRPr="00D52922">
        <w:rPr>
          <w:rFonts w:cstheme="minorHAnsi"/>
          <w:szCs w:val="22"/>
        </w:rPr>
        <w:t xml:space="preserve"> after having children or downsiz</w:t>
      </w:r>
      <w:r w:rsidR="00365443">
        <w:rPr>
          <w:rFonts w:cstheme="minorHAnsi"/>
          <w:szCs w:val="22"/>
        </w:rPr>
        <w:t>e</w:t>
      </w:r>
      <w:r w:rsidRPr="00D52922">
        <w:rPr>
          <w:rFonts w:cstheme="minorHAnsi"/>
          <w:szCs w:val="22"/>
        </w:rPr>
        <w:t xml:space="preserve"> after adult children move out of the family home </w:t>
      </w:r>
      <w:r w:rsidR="00761D1E">
        <w:rPr>
          <w:rFonts w:cstheme="minorHAnsi"/>
          <w:szCs w:val="22"/>
        </w:rPr>
        <w:t xml:space="preserve">(Clifford </w:t>
      </w:r>
      <w:r w:rsidR="008219E1">
        <w:rPr>
          <w:rFonts w:cstheme="minorHAnsi"/>
          <w:szCs w:val="22"/>
        </w:rPr>
        <w:t>and</w:t>
      </w:r>
      <w:r w:rsidR="00761D1E">
        <w:rPr>
          <w:rFonts w:cstheme="minorHAnsi"/>
          <w:szCs w:val="22"/>
        </w:rPr>
        <w:t xml:space="preserve"> </w:t>
      </w:r>
      <w:proofErr w:type="spellStart"/>
      <w:r w:rsidR="00761D1E">
        <w:rPr>
          <w:rFonts w:cstheme="minorHAnsi"/>
          <w:szCs w:val="22"/>
        </w:rPr>
        <w:t>Free</w:t>
      </w:r>
      <w:r w:rsidR="00EF0780">
        <w:rPr>
          <w:rFonts w:cstheme="minorHAnsi"/>
          <w:szCs w:val="22"/>
        </w:rPr>
        <w:t>bairn</w:t>
      </w:r>
      <w:proofErr w:type="spellEnd"/>
      <w:r w:rsidR="00EF0780">
        <w:rPr>
          <w:rFonts w:cstheme="minorHAnsi"/>
          <w:szCs w:val="22"/>
        </w:rPr>
        <w:t xml:space="preserve"> 2021</w:t>
      </w:r>
      <w:r w:rsidR="003A4B20">
        <w:rPr>
          <w:rFonts w:cstheme="minorHAnsi"/>
          <w:szCs w:val="22"/>
        </w:rPr>
        <w:t>;</w:t>
      </w:r>
      <w:r w:rsidR="00EF0780">
        <w:rPr>
          <w:rFonts w:cstheme="minorHAnsi"/>
          <w:szCs w:val="22"/>
        </w:rPr>
        <w:t xml:space="preserve"> </w:t>
      </w:r>
      <w:proofErr w:type="spellStart"/>
      <w:r w:rsidR="00EF0780">
        <w:rPr>
          <w:rFonts w:cstheme="minorHAnsi"/>
          <w:szCs w:val="22"/>
        </w:rPr>
        <w:t>Vidyattama</w:t>
      </w:r>
      <w:proofErr w:type="spellEnd"/>
      <w:r w:rsidR="00EF0780">
        <w:rPr>
          <w:rFonts w:cstheme="minorHAnsi"/>
          <w:szCs w:val="22"/>
        </w:rPr>
        <w:t xml:space="preserve"> </w:t>
      </w:r>
      <w:r w:rsidR="008219E1">
        <w:rPr>
          <w:rFonts w:cstheme="minorHAnsi"/>
          <w:szCs w:val="22"/>
        </w:rPr>
        <w:t>and</w:t>
      </w:r>
      <w:r w:rsidR="00EF0780">
        <w:rPr>
          <w:rFonts w:cstheme="minorHAnsi"/>
          <w:szCs w:val="22"/>
        </w:rPr>
        <w:t xml:space="preserve"> Hawkins 2021)</w:t>
      </w:r>
      <w:r w:rsidRPr="00D52922">
        <w:rPr>
          <w:rFonts w:cstheme="minorHAnsi"/>
          <w:szCs w:val="22"/>
        </w:rPr>
        <w:t xml:space="preserve">. </w:t>
      </w:r>
    </w:p>
    <w:p w14:paraId="7F0A2C92" w14:textId="65DE3429" w:rsidR="00791A68" w:rsidRPr="00D52922" w:rsidRDefault="00791A68" w:rsidP="00E17686">
      <w:pPr>
        <w:spacing w:before="200" w:after="200"/>
        <w:rPr>
          <w:rFonts w:eastAsiaTheme="minorHAnsi"/>
        </w:rPr>
      </w:pPr>
      <w:r w:rsidRPr="00D52922">
        <w:t xml:space="preserve">Stamp duty can also reduce labour mobility </w:t>
      </w:r>
      <w:r w:rsidR="003A4B20">
        <w:t>(</w:t>
      </w:r>
      <w:proofErr w:type="spellStart"/>
      <w:r w:rsidR="003A4B20">
        <w:t>Vidyattama</w:t>
      </w:r>
      <w:proofErr w:type="spellEnd"/>
      <w:r w:rsidR="003A4B20">
        <w:t xml:space="preserve"> </w:t>
      </w:r>
      <w:r w:rsidR="008219E1">
        <w:t>and</w:t>
      </w:r>
      <w:r w:rsidR="003A4B20">
        <w:t xml:space="preserve"> Hawkins 2021)</w:t>
      </w:r>
      <w:r w:rsidRPr="00D52922">
        <w:rPr>
          <w:rFonts w:cstheme="minorHAnsi"/>
          <w:szCs w:val="22"/>
        </w:rPr>
        <w:t>. Some workers w</w:t>
      </w:r>
      <w:r w:rsidR="00FD22A1">
        <w:rPr>
          <w:rFonts w:cstheme="minorHAnsi"/>
          <w:szCs w:val="22"/>
        </w:rPr>
        <w:t>ill</w:t>
      </w:r>
      <w:r w:rsidRPr="00D52922" w:rsidDel="00FF6322">
        <w:rPr>
          <w:rFonts w:cstheme="minorHAnsi"/>
          <w:szCs w:val="22"/>
        </w:rPr>
        <w:t xml:space="preserve"> </w:t>
      </w:r>
      <w:r w:rsidRPr="00D52922">
        <w:rPr>
          <w:rFonts w:cstheme="minorHAnsi"/>
          <w:szCs w:val="22"/>
        </w:rPr>
        <w:t xml:space="preserve">forego better jobs or commute longer distances rather than incur stamp duty </w:t>
      </w:r>
      <w:r w:rsidRPr="00D52922">
        <w:rPr>
          <w:rFonts w:cstheme="minorHAnsi"/>
          <w:szCs w:val="22"/>
        </w:rPr>
        <w:fldChar w:fldCharType="begin"/>
      </w:r>
      <w:r w:rsidRPr="00D52922">
        <w:rPr>
          <w:rFonts w:cstheme="minorHAnsi"/>
          <w:szCs w:val="22"/>
        </w:rPr>
        <w:instrText xml:space="preserve"> ADDIN ZOTERO_ITEM CSL_CITATION {"citationID":"MYVyNZBU","properties":{"formattedCitation":"(Davidoff and Leigh, 2013; Productivity Commission, 2014)","plainCitation":"(Davidoff and Leigh, 2013; Productivity Commission, 2014)","noteIndex":0},"citationItems":[{"id":1196,"uris":["http://zotero.org/users/8274939/items/PBA7THCU"],"itemData":{"id":1196,"type":"article-journal","abstract":"Land transfer taxes are a substantial portion of the cost of moving house in many developed countries. Because stamp duties are endogenous with respect to the house price, we create an instrumental variable that is the stamp duty on a property, based on the starting house price in the relevant postcode and the national house price trend. In a specification with postcode and year fixed effects, this instrument effectively captures policy changes and non‐linearities in the stamp duty schedule. We find that the impact of an increase in the tax rate is to lower house prices suggesting that the economic incidence of the tax falls on the seller. We also observe impacts of stamp duty on housing turnover. A 10 per cent increase in stamp duty lowers turnover by 3 per cent in the first year, and by 6 per cent if sustained over a 3‐year period.","container-title":"Economic Record","DOI":"10.1111/1475-4932.12056","ISSN":"0013-0249, 1475-4932","issue":"286","journalAbbreviation":"Economic Record","language":"en","page":"396-410","source":"DOI.org (Crossref)","title":"How Do Stamp Duties Affect the Housing Market?","volume":"89","author":[{"family":"Davidoff","given":"Ian"},{"family":"Leigh","given":"Andrew"}],"issued":{"date-parts":[["2013",9]]}}},{"id":1192,"uris":["http://zotero.org/users/8274939/items/LL7MC9Q8"],"itemData":{"id":1192,"type":"report","event-place":"Canberra","genre":"Research Report","publisher-place":"Canberra","title":"Geographic Labour Mobility","author":[{"family":"Productivity Commission","given":""}],"issued":{"date-parts":[["2014"]]}}}],"schema":"https://github.com/citation-style-language/schema/raw/master/csl-citation.json"} </w:instrText>
      </w:r>
      <w:r w:rsidRPr="00D52922">
        <w:rPr>
          <w:rFonts w:cstheme="minorHAnsi"/>
          <w:szCs w:val="22"/>
        </w:rPr>
        <w:fldChar w:fldCharType="separate"/>
      </w:r>
      <w:r w:rsidRPr="00D52922">
        <w:rPr>
          <w:rFonts w:cstheme="minorHAnsi"/>
          <w:szCs w:val="22"/>
        </w:rPr>
        <w:t>(Davidoff and Leigh</w:t>
      </w:r>
      <w:r w:rsidR="001B4EAF">
        <w:rPr>
          <w:rFonts w:cstheme="minorHAnsi"/>
          <w:szCs w:val="22"/>
        </w:rPr>
        <w:t> </w:t>
      </w:r>
      <w:r w:rsidRPr="00D52922">
        <w:rPr>
          <w:rFonts w:cstheme="minorHAnsi"/>
          <w:szCs w:val="22"/>
        </w:rPr>
        <w:t>2013)</w:t>
      </w:r>
      <w:r w:rsidRPr="00D52922">
        <w:rPr>
          <w:rFonts w:cstheme="minorHAnsi"/>
          <w:szCs w:val="22"/>
        </w:rPr>
        <w:fldChar w:fldCharType="end"/>
      </w:r>
      <w:r w:rsidRPr="00D52922">
        <w:rPr>
          <w:rFonts w:cstheme="minorHAnsi"/>
          <w:szCs w:val="22"/>
        </w:rPr>
        <w:t xml:space="preserve">. </w:t>
      </w:r>
      <w:r w:rsidRPr="00D52922">
        <w:rPr>
          <w:rFonts w:eastAsiaTheme="minorHAnsi"/>
          <w:szCs w:val="22"/>
        </w:rPr>
        <w:t>This can lead to lower productivity levels across the economy (</w:t>
      </w:r>
      <w:r w:rsidR="00E84EF0">
        <w:t>Productivity Commission</w:t>
      </w:r>
      <w:r w:rsidR="001B4EAF">
        <w:t> </w:t>
      </w:r>
      <w:r w:rsidRPr="00D52922">
        <w:rPr>
          <w:rFonts w:eastAsiaTheme="minorHAnsi"/>
          <w:szCs w:val="22"/>
        </w:rPr>
        <w:t>2014).</w:t>
      </w:r>
    </w:p>
    <w:p w14:paraId="2F1933DE" w14:textId="4C058DBC" w:rsidR="00791A68" w:rsidRPr="00D52922" w:rsidRDefault="00791A68" w:rsidP="00E17686">
      <w:pPr>
        <w:spacing w:before="200" w:after="200"/>
        <w:rPr>
          <w:rFonts w:eastAsiaTheme="minorHAnsi"/>
        </w:rPr>
      </w:pPr>
      <w:r w:rsidRPr="00D52922" w:rsidDel="00547C99">
        <w:rPr>
          <w:rFonts w:eastAsiaTheme="minorHAnsi"/>
        </w:rPr>
        <w:t xml:space="preserve">The Council believes </w:t>
      </w:r>
      <w:r w:rsidRPr="00D52922">
        <w:rPr>
          <w:rFonts w:eastAsiaTheme="minorHAnsi"/>
        </w:rPr>
        <w:t xml:space="preserve">there is clear evidence of substantial benefits and </w:t>
      </w:r>
      <w:r w:rsidR="0059698D">
        <w:rPr>
          <w:rFonts w:eastAsiaTheme="minorHAnsi"/>
        </w:rPr>
        <w:t>a</w:t>
      </w:r>
      <w:r w:rsidRPr="00D52922">
        <w:rPr>
          <w:rFonts w:eastAsiaTheme="minorHAnsi"/>
        </w:rPr>
        <w:t xml:space="preserve"> low</w:t>
      </w:r>
      <w:r w:rsidRPr="00D52922" w:rsidDel="00BD55E9">
        <w:rPr>
          <w:rFonts w:eastAsiaTheme="minorHAnsi"/>
        </w:rPr>
        <w:t xml:space="preserve"> </w:t>
      </w:r>
      <w:r w:rsidRPr="00D52922">
        <w:rPr>
          <w:rFonts w:eastAsiaTheme="minorHAnsi"/>
        </w:rPr>
        <w:t>risk of destabilising markets in gradual</w:t>
      </w:r>
      <w:r w:rsidR="001E3A39">
        <w:rPr>
          <w:rFonts w:eastAsiaTheme="minorHAnsi"/>
        </w:rPr>
        <w:t>ly</w:t>
      </w:r>
      <w:r w:rsidRPr="00D52922">
        <w:rPr>
          <w:rFonts w:eastAsiaTheme="minorHAnsi"/>
        </w:rPr>
        <w:t xml:space="preserve"> transition</w:t>
      </w:r>
      <w:r w:rsidR="001E3A39">
        <w:rPr>
          <w:rFonts w:eastAsiaTheme="minorHAnsi"/>
        </w:rPr>
        <w:t>ing</w:t>
      </w:r>
      <w:r w:rsidRPr="00D52922">
        <w:rPr>
          <w:rFonts w:eastAsiaTheme="minorHAnsi"/>
        </w:rPr>
        <w:t xml:space="preserve"> away from stamp duty to a broad</w:t>
      </w:r>
      <w:r w:rsidR="00A15C79">
        <w:rPr>
          <w:rFonts w:eastAsiaTheme="minorHAnsi"/>
        </w:rPr>
        <w:noBreakHyphen/>
      </w:r>
      <w:r w:rsidRPr="00D52922">
        <w:rPr>
          <w:rFonts w:eastAsiaTheme="minorHAnsi"/>
        </w:rPr>
        <w:t>based land tax</w:t>
      </w:r>
      <w:r w:rsidRPr="00D52922">
        <w:rPr>
          <w:rFonts w:ascii="Calibri" w:eastAsiaTheme="minorHAnsi" w:hAnsi="Calibri" w:cstheme="minorHAnsi"/>
          <w:color w:val="000000"/>
          <w:szCs w:val="22"/>
          <w:lang w:eastAsia="en-US"/>
        </w:rPr>
        <w:t xml:space="preserve">. </w:t>
      </w:r>
      <w:r w:rsidR="00DA2C85">
        <w:rPr>
          <w:rFonts w:ascii="Calibri" w:eastAsiaTheme="minorHAnsi" w:hAnsi="Calibri" w:cstheme="minorHAnsi"/>
          <w:color w:val="000000"/>
          <w:szCs w:val="22"/>
          <w:lang w:eastAsia="en-US"/>
        </w:rPr>
        <w:t>E</w:t>
      </w:r>
      <w:r w:rsidRPr="00D52922">
        <w:rPr>
          <w:rFonts w:ascii="Calibri" w:eastAsiaTheme="minorHAnsi" w:hAnsi="Calibri" w:cstheme="minorHAnsi"/>
          <w:color w:val="000000"/>
          <w:szCs w:val="22"/>
          <w:lang w:eastAsia="en-US"/>
        </w:rPr>
        <w:t xml:space="preserve">xperts </w:t>
      </w:r>
      <w:r w:rsidR="00DA2C85">
        <w:rPr>
          <w:rFonts w:ascii="Calibri" w:eastAsiaTheme="minorHAnsi" w:hAnsi="Calibri" w:cstheme="minorHAnsi"/>
          <w:color w:val="000000"/>
          <w:szCs w:val="22"/>
          <w:lang w:eastAsia="en-US"/>
        </w:rPr>
        <w:t>widely agree</w:t>
      </w:r>
      <w:r w:rsidRPr="00D52922">
        <w:rPr>
          <w:rFonts w:ascii="Calibri" w:eastAsiaTheme="minorHAnsi" w:hAnsi="Calibri" w:cstheme="minorHAnsi"/>
          <w:color w:val="000000"/>
          <w:szCs w:val="22"/>
          <w:lang w:eastAsia="en-US"/>
        </w:rPr>
        <w:t xml:space="preserve"> on the economic rationale for this reform. Stamp duty is an inefficient tax, with efficiency gains of up to $17</w:t>
      </w:r>
      <w:r w:rsidR="0099326B">
        <w:rPr>
          <w:rFonts w:ascii="Calibri" w:eastAsiaTheme="minorHAnsi" w:hAnsi="Calibri" w:cstheme="minorHAnsi"/>
          <w:color w:val="000000"/>
          <w:szCs w:val="22"/>
          <w:lang w:eastAsia="en-US"/>
        </w:rPr>
        <w:t> billion</w:t>
      </w:r>
      <w:r w:rsidRPr="00D52922">
        <w:rPr>
          <w:rFonts w:ascii="Calibri" w:eastAsiaTheme="minorHAnsi" w:hAnsi="Calibri" w:cstheme="minorHAnsi"/>
          <w:color w:val="000000"/>
          <w:szCs w:val="22"/>
          <w:lang w:eastAsia="en-US"/>
        </w:rPr>
        <w:t xml:space="preserve"> per year </w:t>
      </w:r>
      <w:r w:rsidRPr="002949B5">
        <w:rPr>
          <w:rFonts w:ascii="Calibri" w:eastAsiaTheme="minorHAnsi" w:hAnsi="Calibri" w:cstheme="minorHAnsi"/>
          <w:color w:val="000000"/>
          <w:szCs w:val="22"/>
          <w:lang w:eastAsia="en-US"/>
        </w:rPr>
        <w:t xml:space="preserve">made </w:t>
      </w:r>
      <w:r w:rsidR="00DA2C85" w:rsidRPr="002949B5">
        <w:rPr>
          <w:rFonts w:ascii="Calibri" w:eastAsiaTheme="minorHAnsi" w:hAnsi="Calibri" w:cstheme="minorHAnsi"/>
          <w:color w:val="000000"/>
          <w:szCs w:val="22"/>
          <w:lang w:eastAsia="en-US"/>
        </w:rPr>
        <w:t>possible</w:t>
      </w:r>
      <w:r w:rsidRPr="002949B5">
        <w:rPr>
          <w:rFonts w:ascii="Calibri" w:eastAsiaTheme="minorHAnsi" w:hAnsi="Calibri" w:cstheme="minorHAnsi"/>
          <w:color w:val="000000"/>
          <w:szCs w:val="22"/>
          <w:lang w:eastAsia="en-US"/>
        </w:rPr>
        <w:t xml:space="preserve"> by replacing it with a broad</w:t>
      </w:r>
      <w:r w:rsidR="00A15C79" w:rsidRPr="002949B5">
        <w:rPr>
          <w:rFonts w:ascii="Calibri" w:eastAsiaTheme="minorHAnsi" w:hAnsi="Calibri" w:cstheme="minorHAnsi"/>
          <w:color w:val="000000"/>
          <w:szCs w:val="22"/>
          <w:lang w:eastAsia="en-US"/>
        </w:rPr>
        <w:noBreakHyphen/>
      </w:r>
      <w:r w:rsidRPr="002949B5">
        <w:rPr>
          <w:rFonts w:ascii="Calibri" w:eastAsiaTheme="minorHAnsi" w:hAnsi="Calibri" w:cstheme="minorHAnsi"/>
          <w:color w:val="000000"/>
          <w:szCs w:val="22"/>
          <w:lang w:eastAsia="en-US"/>
        </w:rPr>
        <w:t>based land tax</w:t>
      </w:r>
      <w:r w:rsidR="001769D9" w:rsidRPr="002949B5">
        <w:rPr>
          <w:rFonts w:ascii="Calibri" w:eastAsiaTheme="minorHAnsi" w:hAnsi="Calibri" w:cstheme="minorHAnsi"/>
          <w:color w:val="000000"/>
          <w:szCs w:val="22"/>
          <w:lang w:eastAsia="en-US"/>
        </w:rPr>
        <w:t xml:space="preserve">. This would </w:t>
      </w:r>
      <w:r w:rsidRPr="002949B5">
        <w:rPr>
          <w:rFonts w:ascii="Calibri" w:eastAsiaTheme="minorHAnsi" w:hAnsi="Calibri" w:cstheme="minorHAnsi"/>
          <w:color w:val="000000"/>
          <w:szCs w:val="22"/>
          <w:lang w:eastAsia="en-US"/>
        </w:rPr>
        <w:t>also increas</w:t>
      </w:r>
      <w:r w:rsidR="001769D9" w:rsidRPr="002949B5">
        <w:rPr>
          <w:rFonts w:ascii="Calibri" w:eastAsiaTheme="minorHAnsi" w:hAnsi="Calibri" w:cstheme="minorHAnsi"/>
          <w:color w:val="000000"/>
          <w:szCs w:val="22"/>
          <w:lang w:eastAsia="en-US"/>
        </w:rPr>
        <w:t>e</w:t>
      </w:r>
      <w:r w:rsidRPr="002949B5">
        <w:rPr>
          <w:rFonts w:ascii="Calibri" w:eastAsiaTheme="minorHAnsi" w:hAnsi="Calibri" w:cstheme="minorHAnsi"/>
          <w:color w:val="000000"/>
          <w:szCs w:val="22"/>
          <w:lang w:eastAsia="en-US"/>
        </w:rPr>
        <w:t xml:space="preserve"> the affordability of housing </w:t>
      </w:r>
      <w:r w:rsidRPr="00285514">
        <w:rPr>
          <w:rFonts w:ascii="Calibri" w:eastAsiaTheme="minorHAnsi" w:hAnsi="Calibri" w:cstheme="minorHAnsi"/>
          <w:color w:val="000000"/>
          <w:szCs w:val="22"/>
          <w:lang w:eastAsia="en-US"/>
        </w:rPr>
        <w:fldChar w:fldCharType="begin"/>
      </w:r>
      <w:r w:rsidRPr="002949B5">
        <w:instrText xml:space="preserve"> ADDIN ZOTERO_ITEM CSL_CITATION {"citationID":"S67apvqC","properties":{"formattedCitation":"(Daley et al., 2018b; Eccleston et al., 2017; Garvin et al., 2024; Helm, 2019; Henry et al., 2010; Wood et al., 2016, 2012a, 2012b)","plainCitation":"(Daley et al., 2018b; Eccleston et al., 2017; Garvin et al., 2024; Helm, 2019; Henry et al., 2010; Wood et al., 2016, 2012a, 2012b)","noteIndex":0},"citationItems":[{"id":1231,"uris":["http://zotero.org/users/8274939/items/ZUBL42P8"],"itemData":{"id":1231,"type":"report","event-place":"Melbourne","publisher":"Grattan Institute","publisher-place":"Melbourne","title":"State orange  book 2018: Policy priorities for states and territories","author":[{"family":"Daley","given":"John"},{"family":"Duckett","given":"Stephen"},{"family":"Goss","given":"Peter"},{"family":"Terrill","given":"Marion"},{"family":"Wood","given":"Danielle"},{"family":"Wood","given":"Tony"},{"family":"Coates","given":"Brendan"}],"issued":{"date-parts":[["2018"]]}}},{"id":1149,"uris":["http://zotero.org/users/8274939/items/9KFE7NPB"],"itemData":{"id":1149,"type":"article-journal","container-title":"AHURI Final Report","DOI":"10.18408/ahuri-4111301","ISSN":"18347223","issue":"291","journalAbbreviation":"AHURI Final Report","language":"en","source":"DOI.org (Crossref)","title":"Pathways to state property tax reform","URL":"https://www.ahuri.edu.au/research/final-reports/291","author":[{"family":"Eccleston","given":"Richard"},{"family":"Warren","given":"Neil"},{"family":"Verdouw","given":"Julia"},{"family":"Flanagan","given":"Kathleen"}],"accessed":{"date-parts":[["2024",3,4]]},"issued":{"date-parts":[["2017",11,30]]}}},{"id":1212,"uris":["http://zotero.org/users/8274939/items/Y7Q5DNF7"],"itemData":{"id":1212,"type":"report","language":"en","number":"Research Note No. 13","publisher":"e61","source":"Zotero","title":"Stepped on by stamp duty: The effect of housing transfer taxes on home purchases and people movement","URL":"https://e61.in/wp-content/uploads/2024/02/Stamp-duty-effects-on-purchases-and-moves.pdf","author":[{"family":"Garvin","given":"Nicholas"},{"family":"Cava","given":"Gianni La"},{"family":"Moore","given":"Angus"},{"family":"Wong","given":"Aaron"}],"issued":{"date-parts":[["2024"]]}}},{"id":1233,"uris":["http://zotero.org/users/8274939/items/FCM7W2C7"],"itemData":{"id":1233,"type":"report","publisher":"Prosper Australia","title":"Stamp duty to land tax: Designing the transition","URL":"https://apo.org.au/sites/default/files/resource-files/2019-07/apo-nid261461.pdf","author":[{"family":"Helm","given":"Tim"}],"issued":{"date-parts":[["2019"]]}}},{"id":1178,"uris":["http://zotero.org/users/8274939/items/GCRJW8ZZ"],"itemData":{"id":1178,"type":"report","event-place":"Barton","genre":"Report to the Treasurer","publisher":"Commonwealth of Australia","publisher-place":"Barton","title":"Australia’s future tax system","author":[{"family":"Henry","given":"Ken"},{"family":"Harmer","given":"Jeff"},{"family":"Piggott","given":"John"},{"family":"Ridout","given":"Heather"},{"family":"Smith","given":"Greg"}],"issued":{"date-parts":[["2010"]]}}},{"id":1136,"uris":["http://zotero.org/users/8274939/items/8VJVTWJA"],"itemData":{"id":1136,"type":"article-journal","abstract":"Australian home owners and investors beneﬁt from various tax concessions. Home owner tax concessions are poorly targeted with older, higher income households the main beneﬁciaries. There could also be efﬁciency consequences if the tax favoured owner-occupied housing sector attracts investment that would otherwise have been employed more productively elsewhere. Investors can use negative gearing to convert ordinary income into capital gains that are taxed leniently. These tax beneﬁts distort the supply of rental housing to the detriment of affordable rental housing opportunities. To address some of these concerns, the paper examines a potential tax reform package that would replace stamp duty by a uniform ﬂat rate land tax. Using Victorian Valuer-General property data, we estimate the land tax liabilities that property owners would be asked to pay if a revenue neutral broad-based land tax replaced stamp duty on conveyance. We describe these land tax burdens if hypothetically levied in Melbourne as of 2005–2006, and compare the new tax burdens with liabilities under existing stamp duty provisions. The strong efﬁciency case in favour of such a tax substitution is complemented by empirical ﬁndings which suggest that higher income communities shoulder higher land tax burdens.","container-title":"Economic Papers: A journal of applied economics and policy","DOI":"10.1111/1759-3441.12151","ISSN":"0812-0439, 1759-3441","issue":"4","journalAbbreviation":"J of App Econs and Policy","language":"en","page":"332-346","source":"DOI.org (Crossref)","title":"Housing Tax Reform: Is There a Way Forward?","title-short":"Housing Tax Reform","volume":"35","author":[{"family":"Wood","given":"Gavin"},{"family":"Ong","given":"Rachel"},{"family":"Cigdem","given":"Melek"}],"issued":{"date-parts":[["2016",12]]}}},{"id":1174,"uris":["http://zotero.org/users/8274939/items/ZNM8L44T"],"itemData":{"id":1174,"type":"article-journal","container-title":"AHURI Final Report","issue":"182","journalAbbreviation":"AHURI Final Report","language":"en","source":"Zotero","title":"The spatial and distributional impacts of the Henry Review recommendations on stamp duty and land tax","author":[{"family":"Wood","given":"Gavin"},{"family":"Ong","given":"Rachel"},{"family":"Cigdem","given":"Melek"},{"family":"Taylor","given":"Elizabeth"}],"issued":{"date-parts":[["2012"]]}}},{"id":1205,"uris":["http://zotero.org/users/8274939/items/T7D4ZJL7"],"itemData":{"id":1205,"type":"article-journal","abstract":"House prices and rents have increased ahead of average earnings over the last 25 years tipping more and more Australian households into housing affordability stress. The deterioration in housing affordability is in part due to a set of Federal and State tax arrangements that distort the use of land and buildings in ways that impair the efficient operation of housing markets. State government taxation of residential land and buildings in the form of stamp duties and land taxes are an important influence because they offer preferential treatment to land and buildings that are owner occupied. This paper analyses the case for reform, and assesses what impact their introduction would have upon land prices based on modelling of the Melbourne housing market. We argue that there is a compelling case for the abolition of stamp duties and their replacement by a broad-based land tax. Furthermore transitional arrangements are put forward that would gradually introduce the reforms such that no existing home owner would pay land tax if they had already paid stamp duty when purchasing their home. These arrangements would aid the introduction of reform by ensuring that no property owner must meet an additional tax.","container-title":"Australian Tax Forum","issue":"2","language":"en","page":"331-349","source":"Zotero","title":"Stamp duties, land tax and housing affordability: the case for reform","volume":"27","author":[{"family":"Wood","given":"Gavin"},{"family":"Ong","given":"Rachel"},{"family":"Winter","given":"Ian"}],"issued":{"date-parts":[["2012"]]}}}],"schema":"https://github.com/citation-style-language/schema/raw/master/csl-citation.json"} </w:instrText>
      </w:r>
      <w:r w:rsidRPr="00285514">
        <w:rPr>
          <w:rFonts w:ascii="Calibri" w:eastAsiaTheme="minorHAnsi" w:hAnsi="Calibri" w:cstheme="minorHAnsi"/>
          <w:color w:val="000000"/>
          <w:szCs w:val="22"/>
          <w:lang w:eastAsia="en-US"/>
        </w:rPr>
        <w:fldChar w:fldCharType="separate"/>
      </w:r>
      <w:r w:rsidRPr="0041126E">
        <w:rPr>
          <w:rFonts w:ascii="Calibri" w:eastAsiaTheme="minorHAnsi" w:hAnsi="Calibri" w:cstheme="minorHAnsi"/>
          <w:color w:val="000000"/>
          <w:szCs w:val="22"/>
          <w:lang w:eastAsia="en-US"/>
        </w:rPr>
        <w:t>( et al</w:t>
      </w:r>
      <w:r w:rsidR="008906FE" w:rsidRPr="0041126E">
        <w:rPr>
          <w:rFonts w:ascii="Calibri" w:eastAsiaTheme="minorHAnsi" w:hAnsi="Calibri" w:cstheme="minorHAnsi"/>
          <w:color w:val="000000"/>
          <w:szCs w:val="22"/>
          <w:lang w:eastAsia="en-US"/>
        </w:rPr>
        <w:t>.</w:t>
      </w:r>
      <w:r w:rsidRPr="0041126E">
        <w:rPr>
          <w:rFonts w:ascii="Calibri" w:eastAsiaTheme="minorHAnsi" w:hAnsi="Calibri" w:cstheme="minorHAnsi"/>
          <w:color w:val="000000"/>
          <w:szCs w:val="22"/>
          <w:lang w:eastAsia="en-US"/>
        </w:rPr>
        <w:t xml:space="preserve"> 2018b; Eccleston et al</w:t>
      </w:r>
      <w:r w:rsidR="008906FE" w:rsidRPr="0041126E">
        <w:rPr>
          <w:rFonts w:ascii="Calibri" w:eastAsiaTheme="minorHAnsi" w:hAnsi="Calibri" w:cstheme="minorHAnsi"/>
          <w:color w:val="000000"/>
          <w:szCs w:val="22"/>
          <w:lang w:eastAsia="en-US"/>
        </w:rPr>
        <w:t>.</w:t>
      </w:r>
      <w:r w:rsidRPr="0041126E">
        <w:rPr>
          <w:rFonts w:ascii="Calibri" w:eastAsiaTheme="minorHAnsi" w:hAnsi="Calibri" w:cstheme="minorHAnsi"/>
          <w:color w:val="000000"/>
          <w:szCs w:val="22"/>
          <w:lang w:eastAsia="en-US"/>
        </w:rPr>
        <w:t xml:space="preserve"> 2017; Garvin et al</w:t>
      </w:r>
      <w:r w:rsidR="008906FE" w:rsidRPr="0041126E">
        <w:rPr>
          <w:rFonts w:ascii="Calibri" w:eastAsiaTheme="minorHAnsi" w:hAnsi="Calibri" w:cstheme="minorHAnsi"/>
          <w:color w:val="000000"/>
          <w:szCs w:val="22"/>
          <w:lang w:eastAsia="en-US"/>
        </w:rPr>
        <w:t>.</w:t>
      </w:r>
      <w:r w:rsidRPr="0041126E">
        <w:rPr>
          <w:rFonts w:ascii="Calibri" w:eastAsiaTheme="minorHAnsi" w:hAnsi="Calibri" w:cstheme="minorHAnsi"/>
          <w:color w:val="000000"/>
          <w:szCs w:val="22"/>
          <w:lang w:eastAsia="en-US"/>
        </w:rPr>
        <w:t xml:space="preserve"> 2024; Henry et al</w:t>
      </w:r>
      <w:r w:rsidR="008906FE" w:rsidRPr="0041126E">
        <w:rPr>
          <w:rFonts w:ascii="Calibri" w:eastAsiaTheme="minorHAnsi" w:hAnsi="Calibri" w:cstheme="minorHAnsi"/>
          <w:color w:val="000000"/>
          <w:szCs w:val="22"/>
          <w:lang w:eastAsia="en-US"/>
        </w:rPr>
        <w:t>.</w:t>
      </w:r>
      <w:r w:rsidRPr="0041126E">
        <w:rPr>
          <w:rFonts w:ascii="Calibri" w:eastAsiaTheme="minorHAnsi" w:hAnsi="Calibri" w:cstheme="minorHAnsi"/>
          <w:color w:val="000000"/>
          <w:szCs w:val="22"/>
          <w:lang w:eastAsia="en-US"/>
        </w:rPr>
        <w:t xml:space="preserve"> 2010; Wood et al</w:t>
      </w:r>
      <w:r w:rsidR="008906FE" w:rsidRPr="0041126E">
        <w:rPr>
          <w:rFonts w:ascii="Calibri" w:eastAsiaTheme="minorHAnsi" w:hAnsi="Calibri" w:cstheme="minorHAnsi"/>
          <w:color w:val="000000"/>
          <w:szCs w:val="22"/>
          <w:lang w:eastAsia="en-US"/>
        </w:rPr>
        <w:t>.</w:t>
      </w:r>
      <w:r w:rsidRPr="0041126E">
        <w:rPr>
          <w:rFonts w:ascii="Calibri" w:eastAsiaTheme="minorHAnsi" w:hAnsi="Calibri" w:cstheme="minorHAnsi"/>
          <w:color w:val="000000"/>
          <w:szCs w:val="22"/>
          <w:lang w:eastAsia="en-US"/>
        </w:rPr>
        <w:t xml:space="preserve"> </w:t>
      </w:r>
      <w:r w:rsidRPr="00285514">
        <w:rPr>
          <w:rFonts w:ascii="Calibri" w:eastAsiaTheme="minorHAnsi" w:hAnsi="Calibri" w:cstheme="minorHAnsi"/>
          <w:color w:val="000000"/>
          <w:szCs w:val="22"/>
          <w:lang w:eastAsia="en-US"/>
        </w:rPr>
        <w:fldChar w:fldCharType="end"/>
      </w:r>
      <w:r w:rsidRPr="002949B5">
        <w:rPr>
          <w:rFonts w:ascii="Calibri" w:eastAsiaTheme="minorHAnsi" w:hAnsi="Calibri" w:cstheme="minorHAnsi"/>
          <w:color w:val="000000"/>
          <w:szCs w:val="22"/>
          <w:lang w:eastAsia="en-US"/>
        </w:rPr>
        <w:t>. Nevertheless, th</w:t>
      </w:r>
      <w:r w:rsidR="00B9272C" w:rsidRPr="002949B5">
        <w:rPr>
          <w:rFonts w:ascii="Calibri" w:eastAsiaTheme="minorHAnsi" w:hAnsi="Calibri" w:cstheme="minorHAnsi"/>
          <w:color w:val="000000"/>
          <w:szCs w:val="22"/>
          <w:lang w:eastAsia="en-US"/>
        </w:rPr>
        <w:t xml:space="preserve">is transition </w:t>
      </w:r>
      <w:r w:rsidRPr="002949B5">
        <w:rPr>
          <w:rFonts w:ascii="Calibri" w:eastAsiaTheme="minorHAnsi" w:hAnsi="Calibri" w:cstheme="minorHAnsi"/>
          <w:color w:val="000000"/>
          <w:szCs w:val="22"/>
          <w:lang w:eastAsia="en-US"/>
        </w:rPr>
        <w:t xml:space="preserve">may </w:t>
      </w:r>
      <w:r w:rsidR="00B9272C" w:rsidRPr="002949B5">
        <w:rPr>
          <w:rFonts w:ascii="Calibri" w:eastAsiaTheme="minorHAnsi" w:hAnsi="Calibri" w:cstheme="minorHAnsi"/>
          <w:color w:val="000000"/>
          <w:szCs w:val="22"/>
          <w:lang w:eastAsia="en-US"/>
        </w:rPr>
        <w:t>have</w:t>
      </w:r>
      <w:r w:rsidRPr="002949B5">
        <w:rPr>
          <w:rFonts w:ascii="Calibri" w:eastAsiaTheme="minorHAnsi" w:hAnsi="Calibri" w:cstheme="minorHAnsi"/>
          <w:color w:val="000000"/>
          <w:szCs w:val="22"/>
          <w:lang w:eastAsia="en-US"/>
        </w:rPr>
        <w:t xml:space="preserve"> compositional effects, including in the relative housing price responses</w:t>
      </w:r>
      <w:r w:rsidRPr="00D52922">
        <w:rPr>
          <w:rFonts w:ascii="Calibri" w:eastAsiaTheme="minorHAnsi" w:hAnsi="Calibri" w:cstheme="minorHAnsi"/>
          <w:color w:val="000000"/>
          <w:szCs w:val="22"/>
          <w:lang w:eastAsia="en-US"/>
        </w:rPr>
        <w:t xml:space="preserve"> for houses compared to higher</w:t>
      </w:r>
      <w:r w:rsidR="00A15C79">
        <w:rPr>
          <w:rFonts w:ascii="Calibri" w:eastAsiaTheme="minorHAnsi" w:hAnsi="Calibri" w:cstheme="minorHAnsi"/>
          <w:color w:val="000000"/>
          <w:szCs w:val="22"/>
          <w:lang w:eastAsia="en-US"/>
        </w:rPr>
        <w:noBreakHyphen/>
      </w:r>
      <w:r w:rsidRPr="00D52922">
        <w:rPr>
          <w:rFonts w:ascii="Calibri" w:eastAsiaTheme="minorHAnsi" w:hAnsi="Calibri" w:cstheme="minorHAnsi"/>
          <w:color w:val="000000"/>
          <w:szCs w:val="22"/>
          <w:lang w:eastAsia="en-US"/>
        </w:rPr>
        <w:t>density dwellings (</w:t>
      </w:r>
      <w:proofErr w:type="spellStart"/>
      <w:r w:rsidRPr="00D52922">
        <w:rPr>
          <w:rFonts w:ascii="Calibri" w:eastAsiaTheme="minorHAnsi" w:hAnsi="Calibri" w:cstheme="minorHAnsi"/>
          <w:color w:val="000000"/>
          <w:szCs w:val="22"/>
          <w:lang w:eastAsia="en-US"/>
        </w:rPr>
        <w:t>Nassios</w:t>
      </w:r>
      <w:proofErr w:type="spellEnd"/>
      <w:r w:rsidRPr="00D52922">
        <w:rPr>
          <w:rFonts w:ascii="Calibri" w:eastAsiaTheme="minorHAnsi" w:hAnsi="Calibri" w:cstheme="minorHAnsi"/>
          <w:color w:val="000000"/>
          <w:szCs w:val="22"/>
          <w:lang w:eastAsia="en-US"/>
        </w:rPr>
        <w:t xml:space="preserve"> </w:t>
      </w:r>
      <w:r w:rsidR="008219E1">
        <w:rPr>
          <w:rFonts w:ascii="Calibri" w:eastAsiaTheme="minorHAnsi" w:hAnsi="Calibri" w:cstheme="minorHAnsi"/>
          <w:color w:val="000000"/>
          <w:szCs w:val="22"/>
          <w:lang w:eastAsia="en-US"/>
        </w:rPr>
        <w:t>and</w:t>
      </w:r>
      <w:r w:rsidR="00B631E0" w:rsidRPr="00D52922">
        <w:rPr>
          <w:rFonts w:ascii="Calibri" w:eastAsiaTheme="minorHAnsi" w:hAnsi="Calibri" w:cstheme="minorHAnsi"/>
          <w:color w:val="000000"/>
          <w:szCs w:val="22"/>
          <w:lang w:eastAsia="en-US"/>
        </w:rPr>
        <w:t xml:space="preserve"> </w:t>
      </w:r>
      <w:proofErr w:type="spellStart"/>
      <w:r w:rsidRPr="00D52922">
        <w:rPr>
          <w:rFonts w:ascii="Calibri" w:eastAsiaTheme="minorHAnsi" w:hAnsi="Calibri" w:cstheme="minorHAnsi"/>
          <w:color w:val="000000"/>
          <w:szCs w:val="22"/>
          <w:lang w:eastAsia="en-US"/>
        </w:rPr>
        <w:t>Giesecke</w:t>
      </w:r>
      <w:proofErr w:type="spellEnd"/>
      <w:r w:rsidRPr="00D52922">
        <w:rPr>
          <w:rFonts w:ascii="Calibri" w:eastAsiaTheme="minorHAnsi" w:hAnsi="Calibri" w:cstheme="minorHAnsi"/>
          <w:color w:val="000000"/>
          <w:szCs w:val="22"/>
          <w:lang w:eastAsia="en-US"/>
        </w:rPr>
        <w:t xml:space="preserve"> 2022). </w:t>
      </w:r>
    </w:p>
    <w:p w14:paraId="768AD528" w14:textId="1C3162EB" w:rsidR="00791A68" w:rsidRPr="00D52922" w:rsidRDefault="00791A68" w:rsidP="00E17686">
      <w:pPr>
        <w:spacing w:before="200" w:after="200"/>
      </w:pPr>
      <w:r w:rsidRPr="00D52922">
        <w:t xml:space="preserve">Transitioning from stamp duty to land tax is a complicated reform with the potential </w:t>
      </w:r>
      <w:r w:rsidR="00FE4F97">
        <w:t>to cause</w:t>
      </w:r>
      <w:r w:rsidR="00FE4F97" w:rsidRPr="00D52922">
        <w:t xml:space="preserve"> </w:t>
      </w:r>
      <w:r w:rsidRPr="00D52922">
        <w:t xml:space="preserve">strong community backlash if </w:t>
      </w:r>
      <w:r w:rsidR="0086119C">
        <w:t xml:space="preserve">it is </w:t>
      </w:r>
      <w:r w:rsidRPr="00D52922">
        <w:t>not designed appropriately. To mitigate these concerns, the reform should include transitional arrangements</w:t>
      </w:r>
      <w:r w:rsidR="008E4210">
        <w:t xml:space="preserve">. </w:t>
      </w:r>
    </w:p>
    <w:p w14:paraId="47204F8D" w14:textId="476B6BB1" w:rsidR="00791A68" w:rsidRPr="00D52922" w:rsidRDefault="00791A68" w:rsidP="00E17686">
      <w:pPr>
        <w:spacing w:before="200" w:after="200"/>
      </w:pPr>
      <w:r w:rsidRPr="00D52922">
        <w:t>State and territory governments face several challenges in transitioning from stamp duty to a broad</w:t>
      </w:r>
      <w:r w:rsidR="00A15C79">
        <w:noBreakHyphen/>
      </w:r>
      <w:r w:rsidRPr="00D52922">
        <w:t xml:space="preserve">based land tax. Stamp duty is a significant revenue </w:t>
      </w:r>
      <w:r w:rsidRPr="00F81C7A">
        <w:t xml:space="preserve">stream </w:t>
      </w:r>
      <w:r w:rsidRPr="00DD615F">
        <w:t xml:space="preserve">for state and territory governments, typically accounting for </w:t>
      </w:r>
      <w:r w:rsidR="0037129E" w:rsidRPr="00DD615F">
        <w:t xml:space="preserve">more than </w:t>
      </w:r>
      <w:r w:rsidRPr="00DD615F">
        <w:t>one</w:t>
      </w:r>
      <w:r w:rsidR="00A15C79" w:rsidRPr="00DD615F">
        <w:noBreakHyphen/>
      </w:r>
      <w:r w:rsidRPr="00DD615F">
        <w:t>fifth of their total revenue base (ABS 202</w:t>
      </w:r>
      <w:r w:rsidR="00FA7866" w:rsidRPr="00DD615F">
        <w:t>3</w:t>
      </w:r>
      <w:r w:rsidR="00525793" w:rsidRPr="00DD615F">
        <w:t>b</w:t>
      </w:r>
      <w:r w:rsidRPr="00DD615F">
        <w:t>). Any reform</w:t>
      </w:r>
      <w:r w:rsidRPr="00D52922">
        <w:t xml:space="preserve"> to stamp duty therefore reflects a significant financial impact for these governments, which may limit </w:t>
      </w:r>
      <w:r w:rsidR="00DD4391">
        <w:t xml:space="preserve">their </w:t>
      </w:r>
      <w:r w:rsidRPr="00D52922">
        <w:t>appetite to transition to a broad</w:t>
      </w:r>
      <w:r w:rsidR="00A15C79">
        <w:noBreakHyphen/>
      </w:r>
      <w:r w:rsidRPr="00D52922">
        <w:t>based land tax. Nevertheless, the Australian Capital Territory</w:t>
      </w:r>
      <w:r w:rsidR="00A15C79">
        <w:t>’</w:t>
      </w:r>
      <w:r w:rsidRPr="00D52922">
        <w:t xml:space="preserve">s stamp duty to land tax transition, which began over a decade ago, demonstrates it is possible. </w:t>
      </w:r>
    </w:p>
    <w:p w14:paraId="6270B85D" w14:textId="600EF66C" w:rsidR="00791A68" w:rsidRPr="00AF4C27" w:rsidRDefault="00791A68" w:rsidP="00E17686">
      <w:pPr>
        <w:spacing w:before="200" w:after="200"/>
        <w:rPr>
          <w:rFonts w:ascii="Calibri" w:eastAsiaTheme="minorHAnsi" w:hAnsi="Calibri" w:cstheme="minorHAnsi"/>
          <w:color w:val="000000"/>
          <w:sz w:val="24"/>
          <w:szCs w:val="22"/>
          <w:lang w:eastAsia="en-US"/>
        </w:rPr>
      </w:pPr>
      <w:r w:rsidRPr="00D52922">
        <w:t>The Commonwealth should play a central role in incentivising th</w:t>
      </w:r>
      <w:r w:rsidR="001D5FC2">
        <w:t>is</w:t>
      </w:r>
      <w:r w:rsidRPr="00D52922">
        <w:t xml:space="preserve"> transitional reform, such as by providing incentive payments that assist with the financial impact on state and territory budgets and offsetting associated GST distribution penalties. </w:t>
      </w:r>
      <w:r w:rsidRPr="00D52922">
        <w:rPr>
          <w:rFonts w:eastAsiaTheme="minorHAnsi"/>
        </w:rPr>
        <w:t>With</w:t>
      </w:r>
      <w:r w:rsidRPr="00D52922">
        <w:rPr>
          <w:rFonts w:eastAsiaTheme="minorHAnsi" w:cstheme="minorHAnsi"/>
          <w:szCs w:val="22"/>
        </w:rPr>
        <w:t xml:space="preserve"> the right design and appropriate Commonwealth</w:t>
      </w:r>
      <w:r w:rsidR="006629A7">
        <w:rPr>
          <w:rFonts w:eastAsiaTheme="minorHAnsi" w:cstheme="minorHAnsi"/>
          <w:szCs w:val="22"/>
        </w:rPr>
        <w:t>–</w:t>
      </w:r>
      <w:r w:rsidRPr="00D52922">
        <w:rPr>
          <w:rFonts w:eastAsiaTheme="minorHAnsi" w:cstheme="minorHAnsi"/>
          <w:szCs w:val="22"/>
        </w:rPr>
        <w:t>state funding arrangements to smooth the associated fluctuations in state revenue, the reform is achievable. The Council views this reform as integral to achieving its goal for the efficient use and exchange of the existing housing stock</w:t>
      </w:r>
      <w:r w:rsidR="008E4210">
        <w:rPr>
          <w:rFonts w:eastAsiaTheme="minorHAnsi" w:cstheme="minorHAnsi"/>
          <w:szCs w:val="22"/>
        </w:rPr>
        <w:t xml:space="preserve">. </w:t>
      </w:r>
    </w:p>
    <w:tbl>
      <w:tblPr>
        <w:tblW w:w="5000" w:type="pct"/>
        <w:shd w:val="clear" w:color="auto" w:fill="F2E3C7" w:themeFill="background2"/>
        <w:tblCellMar>
          <w:top w:w="284" w:type="dxa"/>
          <w:left w:w="284" w:type="dxa"/>
          <w:bottom w:w="284" w:type="dxa"/>
          <w:right w:w="284" w:type="dxa"/>
        </w:tblCellMar>
        <w:tblLook w:val="0600" w:firstRow="0" w:lastRow="0" w:firstColumn="0" w:lastColumn="0" w:noHBand="1" w:noVBand="1"/>
      </w:tblPr>
      <w:tblGrid>
        <w:gridCol w:w="9070"/>
      </w:tblGrid>
      <w:tr w:rsidR="001B4EAF" w14:paraId="5E3A1F89" w14:textId="77777777">
        <w:tc>
          <w:tcPr>
            <w:tcW w:w="5000" w:type="pct"/>
            <w:shd w:val="clear" w:color="auto" w:fill="F2E3C7" w:themeFill="background2"/>
            <w:hideMark/>
          </w:tcPr>
          <w:p w14:paraId="4935F694" w14:textId="77777777" w:rsidR="001B4EAF" w:rsidRDefault="001B4EAF" w:rsidP="00E17686">
            <w:pPr>
              <w:pStyle w:val="BoxHeading"/>
              <w:keepNext w:val="0"/>
              <w:spacing w:before="60"/>
            </w:pPr>
            <w:r>
              <w:t>Recommendation 5.2</w:t>
            </w:r>
          </w:p>
          <w:p w14:paraId="72C72DEF" w14:textId="3641744B" w:rsidR="001B4EAF" w:rsidRDefault="001B4EAF" w:rsidP="00E17686">
            <w:pPr>
              <w:pStyle w:val="BoxText"/>
              <w:spacing w:after="0"/>
            </w:pPr>
            <w:r>
              <w:t>Governments should aim to transition from stamp duty to a broad based land tax to improve the efficient use and exchange of the existing housing stock.</w:t>
            </w:r>
          </w:p>
        </w:tc>
      </w:tr>
    </w:tbl>
    <w:p w14:paraId="3FB14DA5" w14:textId="77777777" w:rsidR="006F5BB5" w:rsidRDefault="006F5BB5" w:rsidP="000B3417">
      <w:pPr>
        <w:sectPr w:rsidR="006F5BB5" w:rsidSect="00BD2E5A">
          <w:footerReference w:type="even" r:id="rId162"/>
          <w:footerReference w:type="default" r:id="rId163"/>
          <w:type w:val="oddPage"/>
          <w:pgSz w:w="11906" w:h="16838" w:code="9"/>
          <w:pgMar w:top="1843" w:right="1418" w:bottom="1418" w:left="1418" w:header="709" w:footer="709" w:gutter="0"/>
          <w:cols w:space="708"/>
          <w:docGrid w:linePitch="360"/>
        </w:sectPr>
      </w:pPr>
    </w:p>
    <w:p w14:paraId="6DA7ACD5" w14:textId="3B888065" w:rsidR="00F872DB" w:rsidRPr="00AF4C27" w:rsidRDefault="00147F6E" w:rsidP="006F5BB5">
      <w:pPr>
        <w:pStyle w:val="AppendixHeading"/>
        <w:spacing w:before="120"/>
      </w:pPr>
      <w:bookmarkStart w:id="184" w:name="_Toc196395915"/>
      <w:r w:rsidRPr="00AF4C27">
        <w:lastRenderedPageBreak/>
        <w:t>Appendix A</w:t>
      </w:r>
      <w:r w:rsidR="00184D64">
        <w:t>:</w:t>
      </w:r>
      <w:r w:rsidR="00A60D77" w:rsidRPr="00AF4C27">
        <w:t xml:space="preserve"> </w:t>
      </w:r>
      <w:r w:rsidRPr="00AF4C27">
        <w:t>Glossar</w:t>
      </w:r>
      <w:r w:rsidR="00800F9E" w:rsidRPr="00AF4C27">
        <w:t>y</w:t>
      </w:r>
      <w:bookmarkEnd w:id="184"/>
    </w:p>
    <w:tbl>
      <w:tblPr>
        <w:tblW w:w="0" w:type="auto"/>
        <w:tblBorders>
          <w:top w:val="single" w:sz="4" w:space="0" w:color="F2E3C7" w:themeColor="background2"/>
          <w:bottom w:val="single" w:sz="4" w:space="0" w:color="F2E3C7" w:themeColor="background2"/>
          <w:insideH w:val="single" w:sz="4" w:space="0" w:color="F2E3C7" w:themeColor="background2"/>
        </w:tblBorders>
        <w:tblLayout w:type="fixed"/>
        <w:tblLook w:val="04A0" w:firstRow="1" w:lastRow="0" w:firstColumn="1" w:lastColumn="0" w:noHBand="0" w:noVBand="1"/>
      </w:tblPr>
      <w:tblGrid>
        <w:gridCol w:w="2400"/>
        <w:gridCol w:w="6645"/>
      </w:tblGrid>
      <w:tr w:rsidR="00F872DB" w14:paraId="50667E43" w14:textId="77777777" w:rsidTr="00EC59F5">
        <w:trPr>
          <w:trHeight w:val="300"/>
          <w:tblHeader/>
        </w:trPr>
        <w:tc>
          <w:tcPr>
            <w:tcW w:w="2400" w:type="dxa"/>
            <w:shd w:val="clear" w:color="auto" w:fill="F2E3C7" w:themeFill="background2"/>
          </w:tcPr>
          <w:p w14:paraId="549E61BC" w14:textId="77777777" w:rsidR="00F872DB" w:rsidRDefault="00F872DB" w:rsidP="00AF4C27">
            <w:pPr>
              <w:pStyle w:val="TableColumnHeadingLeft"/>
              <w:rPr>
                <w:rFonts w:eastAsia="Calibri"/>
              </w:rPr>
            </w:pPr>
            <w:r w:rsidRPr="65495267">
              <w:rPr>
                <w:rFonts w:eastAsia="Calibri"/>
              </w:rPr>
              <w:t>Term  </w:t>
            </w:r>
          </w:p>
        </w:tc>
        <w:tc>
          <w:tcPr>
            <w:tcW w:w="6645" w:type="dxa"/>
            <w:shd w:val="clear" w:color="auto" w:fill="F2E3C7" w:themeFill="background2"/>
          </w:tcPr>
          <w:p w14:paraId="5B185AF6" w14:textId="77777777" w:rsidR="00F872DB" w:rsidRDefault="00F872DB" w:rsidP="00AF4C27">
            <w:pPr>
              <w:pStyle w:val="TableColumnHeadingLeft"/>
              <w:rPr>
                <w:rFonts w:eastAsia="Calibri"/>
              </w:rPr>
            </w:pPr>
            <w:r w:rsidRPr="65495267">
              <w:rPr>
                <w:rFonts w:eastAsia="Calibri"/>
              </w:rPr>
              <w:t>Definition  </w:t>
            </w:r>
          </w:p>
        </w:tc>
      </w:tr>
      <w:tr w:rsidR="00F872DB" w:rsidRPr="00DE0BC2" w14:paraId="3BD1BA9D" w14:textId="77777777" w:rsidTr="00EC59F5">
        <w:trPr>
          <w:trHeight w:val="300"/>
        </w:trPr>
        <w:tc>
          <w:tcPr>
            <w:tcW w:w="2400" w:type="dxa"/>
            <w:shd w:val="clear" w:color="auto" w:fill="auto"/>
          </w:tcPr>
          <w:p w14:paraId="0706A397" w14:textId="36606DD1" w:rsidR="00F872DB" w:rsidRPr="00DE0BC2" w:rsidRDefault="00F872DB" w:rsidP="00AF4C27">
            <w:pPr>
              <w:pStyle w:val="TableTextLeft"/>
              <w:rPr>
                <w:rFonts w:eastAsia="Segoe UI"/>
              </w:rPr>
            </w:pPr>
            <w:r w:rsidRPr="001F5B23">
              <w:rPr>
                <w:rFonts w:eastAsia="Segoe UI"/>
              </w:rPr>
              <w:t xml:space="preserve">Aboriginal and </w:t>
            </w:r>
            <w:r w:rsidR="0099326B">
              <w:rPr>
                <w:rFonts w:eastAsia="Segoe UI"/>
              </w:rPr>
              <w:t>Torres Strait</w:t>
            </w:r>
            <w:r w:rsidRPr="001F5B23">
              <w:rPr>
                <w:rFonts w:eastAsia="Segoe UI"/>
              </w:rPr>
              <w:t xml:space="preserve"> Islander Community Controlled Housing Organisation (ATSICCHO)</w:t>
            </w:r>
          </w:p>
        </w:tc>
        <w:tc>
          <w:tcPr>
            <w:tcW w:w="6645" w:type="dxa"/>
            <w:shd w:val="clear" w:color="auto" w:fill="auto"/>
          </w:tcPr>
          <w:p w14:paraId="24BE83C4" w14:textId="3E0881E7" w:rsidR="00F872DB" w:rsidRPr="00DE0BC2" w:rsidRDefault="00F872DB" w:rsidP="00AF4C27">
            <w:pPr>
              <w:pStyle w:val="TableTextLeft"/>
              <w:rPr>
                <w:rFonts w:eastAsia="Segoe UI"/>
              </w:rPr>
            </w:pPr>
            <w:r w:rsidRPr="00AF24D6">
              <w:rPr>
                <w:rFonts w:eastAsia="Segoe UI"/>
              </w:rPr>
              <w:t xml:space="preserve">An organisation established and controlled by Aboriginal and </w:t>
            </w:r>
            <w:r w:rsidR="0099326B">
              <w:rPr>
                <w:rFonts w:eastAsia="Segoe UI"/>
              </w:rPr>
              <w:t>Torres Strait</w:t>
            </w:r>
            <w:r w:rsidRPr="00AF24D6">
              <w:rPr>
                <w:rFonts w:eastAsia="Segoe UI"/>
              </w:rPr>
              <w:t xml:space="preserve"> Islander community leaders to provide Indigenous community housing (ICH).</w:t>
            </w:r>
          </w:p>
        </w:tc>
      </w:tr>
      <w:tr w:rsidR="00F872DB" w14:paraId="399E49E6" w14:textId="77777777" w:rsidTr="00EC59F5">
        <w:trPr>
          <w:trHeight w:val="300"/>
        </w:trPr>
        <w:tc>
          <w:tcPr>
            <w:tcW w:w="2400" w:type="dxa"/>
            <w:shd w:val="clear" w:color="auto" w:fill="auto"/>
          </w:tcPr>
          <w:p w14:paraId="77F0ECA7" w14:textId="77777777" w:rsidR="00F872DB" w:rsidRDefault="00F872DB" w:rsidP="00AF4C27">
            <w:pPr>
              <w:pStyle w:val="TableTextLeft"/>
              <w:rPr>
                <w:rFonts w:eastAsia="Segoe UI"/>
              </w:rPr>
            </w:pPr>
            <w:r w:rsidRPr="65495267">
              <w:rPr>
                <w:rFonts w:eastAsia="Segoe UI"/>
              </w:rPr>
              <w:t>Affordable housing</w:t>
            </w:r>
          </w:p>
        </w:tc>
        <w:tc>
          <w:tcPr>
            <w:tcW w:w="6645" w:type="dxa"/>
            <w:shd w:val="clear" w:color="auto" w:fill="auto"/>
          </w:tcPr>
          <w:p w14:paraId="70B3B7C7" w14:textId="6DEE9A38" w:rsidR="00F872DB" w:rsidRDefault="00F872DB" w:rsidP="00AF4C27">
            <w:pPr>
              <w:pStyle w:val="TableTextLeft"/>
              <w:rPr>
                <w:rFonts w:eastAsia="Segoe UI"/>
              </w:rPr>
            </w:pPr>
            <w:r w:rsidRPr="65495267">
              <w:rPr>
                <w:rFonts w:eastAsia="Segoe UI"/>
              </w:rPr>
              <w:t xml:space="preserve">Housing provided at discounted market rents, typically to households in the second and third income </w:t>
            </w:r>
            <w:r w:rsidRPr="002949B5">
              <w:rPr>
                <w:rFonts w:eastAsia="Segoe UI"/>
              </w:rPr>
              <w:t>quintiles</w:t>
            </w:r>
            <w:r w:rsidR="002C0244" w:rsidRPr="002949B5">
              <w:rPr>
                <w:rFonts w:eastAsia="Segoe UI"/>
              </w:rPr>
              <w:t xml:space="preserve"> (households that are part of the 20 to 60 per cent range of income, when ranked from lowest to highest income).</w:t>
            </w:r>
          </w:p>
        </w:tc>
      </w:tr>
      <w:tr w:rsidR="00F872DB" w14:paraId="4674573D" w14:textId="77777777" w:rsidTr="00EC59F5">
        <w:trPr>
          <w:trHeight w:val="300"/>
        </w:trPr>
        <w:tc>
          <w:tcPr>
            <w:tcW w:w="2400" w:type="dxa"/>
            <w:shd w:val="clear" w:color="auto" w:fill="auto"/>
          </w:tcPr>
          <w:p w14:paraId="0885D918" w14:textId="77777777" w:rsidR="00F872DB" w:rsidRDefault="00F872DB" w:rsidP="00AF4C27">
            <w:pPr>
              <w:pStyle w:val="TableTextLeft"/>
              <w:rPr>
                <w:rFonts w:eastAsia="Segoe UI"/>
              </w:rPr>
            </w:pPr>
            <w:r w:rsidRPr="65495267">
              <w:rPr>
                <w:rFonts w:eastAsia="Segoe UI"/>
              </w:rPr>
              <w:t>Average household size</w:t>
            </w:r>
          </w:p>
        </w:tc>
        <w:tc>
          <w:tcPr>
            <w:tcW w:w="6645" w:type="dxa"/>
            <w:shd w:val="clear" w:color="auto" w:fill="auto"/>
          </w:tcPr>
          <w:p w14:paraId="11E62DB6" w14:textId="77777777" w:rsidR="00F872DB" w:rsidRDefault="00F872DB" w:rsidP="00AF4C27">
            <w:pPr>
              <w:pStyle w:val="TableTextLeft"/>
              <w:rPr>
                <w:rFonts w:eastAsia="Segoe UI"/>
              </w:rPr>
            </w:pPr>
            <w:r w:rsidRPr="65495267">
              <w:rPr>
                <w:rFonts w:eastAsia="Segoe UI"/>
              </w:rPr>
              <w:t xml:space="preserve">The average number of people living in a dwelling. </w:t>
            </w:r>
          </w:p>
        </w:tc>
      </w:tr>
      <w:tr w:rsidR="00F872DB" w14:paraId="16BD0538" w14:textId="77777777" w:rsidTr="00EC59F5">
        <w:trPr>
          <w:trHeight w:val="300"/>
        </w:trPr>
        <w:tc>
          <w:tcPr>
            <w:tcW w:w="2400" w:type="dxa"/>
            <w:shd w:val="clear" w:color="auto" w:fill="auto"/>
          </w:tcPr>
          <w:p w14:paraId="78439ADF" w14:textId="73F6EDD1" w:rsidR="00F872DB" w:rsidRDefault="00F872DB" w:rsidP="00AF4C27">
            <w:pPr>
              <w:pStyle w:val="TableTextLeft"/>
              <w:rPr>
                <w:rFonts w:eastAsia="Segoe UI"/>
              </w:rPr>
            </w:pPr>
            <w:r w:rsidRPr="65495267">
              <w:rPr>
                <w:rFonts w:eastAsia="Segoe UI"/>
              </w:rPr>
              <w:t>Community housing</w:t>
            </w:r>
          </w:p>
        </w:tc>
        <w:tc>
          <w:tcPr>
            <w:tcW w:w="6645" w:type="dxa"/>
            <w:shd w:val="clear" w:color="auto" w:fill="auto"/>
          </w:tcPr>
          <w:p w14:paraId="54994370" w14:textId="46E7DA2F" w:rsidR="00F872DB" w:rsidRDefault="00F872DB" w:rsidP="00AF4C27">
            <w:pPr>
              <w:pStyle w:val="TableTextLeft"/>
              <w:rPr>
                <w:rFonts w:eastAsia="Segoe UI"/>
              </w:rPr>
            </w:pPr>
            <w:r>
              <w:rPr>
                <w:rFonts w:eastAsia="Segoe UI"/>
              </w:rPr>
              <w:t>Social h</w:t>
            </w:r>
            <w:r w:rsidRPr="65495267">
              <w:rPr>
                <w:rFonts w:eastAsia="Segoe UI"/>
              </w:rPr>
              <w:t>ousing provided at below</w:t>
            </w:r>
            <w:r w:rsidR="00A15C79">
              <w:rPr>
                <w:rFonts w:eastAsia="Segoe UI"/>
              </w:rPr>
              <w:noBreakHyphen/>
            </w:r>
            <w:r w:rsidRPr="65495267">
              <w:rPr>
                <w:rFonts w:eastAsia="Segoe UI"/>
              </w:rPr>
              <w:t xml:space="preserve">market rents that </w:t>
            </w:r>
            <w:r w:rsidR="00A13D62">
              <w:rPr>
                <w:rFonts w:eastAsia="Segoe UI"/>
              </w:rPr>
              <w:t>is</w:t>
            </w:r>
            <w:r w:rsidRPr="65495267">
              <w:rPr>
                <w:rFonts w:eastAsia="Segoe UI"/>
              </w:rPr>
              <w:t xml:space="preserve"> owned or managed by community housing </w:t>
            </w:r>
            <w:r>
              <w:rPr>
                <w:rFonts w:eastAsia="Segoe UI"/>
              </w:rPr>
              <w:t>providers.</w:t>
            </w:r>
          </w:p>
        </w:tc>
      </w:tr>
      <w:tr w:rsidR="00F872DB" w:rsidRPr="00DE0BC2" w14:paraId="6B9572F1" w14:textId="77777777" w:rsidTr="00EC59F5">
        <w:trPr>
          <w:trHeight w:val="300"/>
        </w:trPr>
        <w:tc>
          <w:tcPr>
            <w:tcW w:w="2400" w:type="dxa"/>
            <w:shd w:val="clear" w:color="auto" w:fill="auto"/>
          </w:tcPr>
          <w:p w14:paraId="6C7DED8A" w14:textId="1A66D176" w:rsidR="00F872DB" w:rsidRPr="00DE0BC2" w:rsidRDefault="00F872DB" w:rsidP="00AF4C27">
            <w:pPr>
              <w:pStyle w:val="TableTextLeft"/>
              <w:rPr>
                <w:rFonts w:eastAsia="Segoe UI"/>
              </w:rPr>
            </w:pPr>
            <w:r>
              <w:rPr>
                <w:rFonts w:eastAsia="Segoe UI"/>
              </w:rPr>
              <w:t>Community housing provider (CHP)</w:t>
            </w:r>
          </w:p>
        </w:tc>
        <w:tc>
          <w:tcPr>
            <w:tcW w:w="6645" w:type="dxa"/>
            <w:shd w:val="clear" w:color="auto" w:fill="auto"/>
          </w:tcPr>
          <w:p w14:paraId="360EA9D0" w14:textId="32C17A19" w:rsidR="00F872DB" w:rsidRPr="00A8138A" w:rsidRDefault="00F872DB" w:rsidP="00AF4C27">
            <w:pPr>
              <w:pStyle w:val="TableTextLeft"/>
              <w:rPr>
                <w:rFonts w:eastAsia="Segoe UI"/>
              </w:rPr>
            </w:pPr>
            <w:r>
              <w:rPr>
                <w:rFonts w:eastAsia="Segoe UI"/>
              </w:rPr>
              <w:t>A not</w:t>
            </w:r>
            <w:r w:rsidR="00A15C79">
              <w:rPr>
                <w:rFonts w:eastAsia="Segoe UI"/>
              </w:rPr>
              <w:noBreakHyphen/>
            </w:r>
            <w:r>
              <w:rPr>
                <w:rFonts w:eastAsia="Segoe UI"/>
              </w:rPr>
              <w:t>for</w:t>
            </w:r>
            <w:r w:rsidR="00A15C79">
              <w:rPr>
                <w:rFonts w:eastAsia="Segoe UI"/>
              </w:rPr>
              <w:noBreakHyphen/>
            </w:r>
            <w:r>
              <w:rPr>
                <w:rFonts w:eastAsia="Segoe UI"/>
              </w:rPr>
              <w:t>profit organisation that aim</w:t>
            </w:r>
            <w:r w:rsidR="005F594E">
              <w:rPr>
                <w:rFonts w:eastAsia="Segoe UI"/>
              </w:rPr>
              <w:t>s</w:t>
            </w:r>
            <w:r>
              <w:rPr>
                <w:rFonts w:eastAsia="Segoe UI"/>
              </w:rPr>
              <w:t xml:space="preserve"> to provide safe, secure, affordable and appropriate rental housing. This may include community housing, affordable housing, specialist disability accommodation or transitional housing. </w:t>
            </w:r>
          </w:p>
        </w:tc>
      </w:tr>
      <w:tr w:rsidR="00F872DB" w:rsidRPr="00DE0BC2" w14:paraId="2A197EBB" w14:textId="77777777" w:rsidTr="00EC59F5">
        <w:trPr>
          <w:trHeight w:val="300"/>
        </w:trPr>
        <w:tc>
          <w:tcPr>
            <w:tcW w:w="2400" w:type="dxa"/>
            <w:shd w:val="clear" w:color="auto" w:fill="auto"/>
          </w:tcPr>
          <w:p w14:paraId="5F677458" w14:textId="1C2723E7" w:rsidR="00F872DB" w:rsidRPr="00DE0BC2" w:rsidRDefault="00F872DB" w:rsidP="00AF4C27">
            <w:pPr>
              <w:pStyle w:val="TableTextLeft"/>
              <w:rPr>
                <w:rFonts w:eastAsia="Segoe UI"/>
              </w:rPr>
            </w:pPr>
            <w:r>
              <w:rPr>
                <w:rFonts w:eastAsia="Segoe UI"/>
              </w:rPr>
              <w:t>Co</w:t>
            </w:r>
            <w:r w:rsidR="00A15C79">
              <w:rPr>
                <w:rFonts w:eastAsia="Segoe UI"/>
              </w:rPr>
              <w:noBreakHyphen/>
            </w:r>
            <w:r>
              <w:rPr>
                <w:rFonts w:eastAsia="Segoe UI"/>
              </w:rPr>
              <w:t>operative housing</w:t>
            </w:r>
          </w:p>
        </w:tc>
        <w:tc>
          <w:tcPr>
            <w:tcW w:w="6645" w:type="dxa"/>
            <w:shd w:val="clear" w:color="auto" w:fill="auto"/>
          </w:tcPr>
          <w:p w14:paraId="1EE74A48" w14:textId="5296F075" w:rsidR="00F872DB" w:rsidRPr="00A8138A" w:rsidRDefault="00F872DB" w:rsidP="00AF4C27">
            <w:pPr>
              <w:pStyle w:val="TableTextLeft"/>
              <w:rPr>
                <w:rFonts w:eastAsia="Segoe UI"/>
              </w:rPr>
            </w:pPr>
            <w:r>
              <w:rPr>
                <w:rFonts w:eastAsia="Segoe UI"/>
              </w:rPr>
              <w:t>A housing tenure where costs are shared through a collective ownership model.</w:t>
            </w:r>
          </w:p>
        </w:tc>
      </w:tr>
      <w:tr w:rsidR="00F872DB" w:rsidRPr="00DE0BC2" w14:paraId="3E9EADEA" w14:textId="77777777" w:rsidTr="00EC59F5">
        <w:trPr>
          <w:trHeight w:val="300"/>
        </w:trPr>
        <w:tc>
          <w:tcPr>
            <w:tcW w:w="2400" w:type="dxa"/>
            <w:shd w:val="clear" w:color="auto" w:fill="auto"/>
          </w:tcPr>
          <w:p w14:paraId="2F1F85DB" w14:textId="77777777" w:rsidR="00F872DB" w:rsidRDefault="00F872DB" w:rsidP="00AF4C27">
            <w:pPr>
              <w:pStyle w:val="TableTextLeft"/>
              <w:rPr>
                <w:rFonts w:eastAsia="Segoe UI"/>
              </w:rPr>
            </w:pPr>
            <w:r w:rsidRPr="006306A4">
              <w:rPr>
                <w:rFonts w:eastAsia="Segoe UI"/>
              </w:rPr>
              <w:t>Demolition rate</w:t>
            </w:r>
          </w:p>
        </w:tc>
        <w:tc>
          <w:tcPr>
            <w:tcW w:w="6645" w:type="dxa"/>
            <w:shd w:val="clear" w:color="auto" w:fill="auto"/>
          </w:tcPr>
          <w:p w14:paraId="675EE5B1" w14:textId="77777777" w:rsidR="00F872DB" w:rsidRDefault="00F872DB" w:rsidP="00AF4C27">
            <w:pPr>
              <w:pStyle w:val="TableTextLeft"/>
              <w:rPr>
                <w:rFonts w:eastAsia="Segoe UI"/>
              </w:rPr>
            </w:pPr>
            <w:r w:rsidRPr="006306A4">
              <w:rPr>
                <w:rFonts w:eastAsia="Segoe UI"/>
              </w:rPr>
              <w:t xml:space="preserve">The proportion of </w:t>
            </w:r>
            <w:r>
              <w:rPr>
                <w:rFonts w:eastAsia="Segoe UI"/>
              </w:rPr>
              <w:t>dwellings</w:t>
            </w:r>
            <w:r w:rsidRPr="006306A4">
              <w:rPr>
                <w:rFonts w:eastAsia="Segoe UI"/>
              </w:rPr>
              <w:t xml:space="preserve"> that </w:t>
            </w:r>
            <w:r>
              <w:rPr>
                <w:rFonts w:eastAsia="Segoe UI"/>
              </w:rPr>
              <w:t>are</w:t>
            </w:r>
            <w:r w:rsidRPr="006306A4">
              <w:rPr>
                <w:rFonts w:eastAsia="Segoe UI"/>
              </w:rPr>
              <w:t xml:space="preserve"> demolished or destroyed in </w:t>
            </w:r>
            <w:r>
              <w:rPr>
                <w:rFonts w:eastAsia="Segoe UI"/>
              </w:rPr>
              <w:t>a</w:t>
            </w:r>
            <w:r w:rsidRPr="006306A4">
              <w:rPr>
                <w:rFonts w:eastAsia="Segoe UI"/>
              </w:rPr>
              <w:t xml:space="preserve"> time period</w:t>
            </w:r>
            <w:r>
              <w:rPr>
                <w:rFonts w:eastAsia="Segoe UI"/>
              </w:rPr>
              <w:t>, usually 12 months</w:t>
            </w:r>
            <w:r w:rsidRPr="006306A4">
              <w:rPr>
                <w:rFonts w:eastAsia="Segoe UI"/>
              </w:rPr>
              <w:t>.</w:t>
            </w:r>
          </w:p>
        </w:tc>
      </w:tr>
      <w:tr w:rsidR="00F872DB" w14:paraId="33CE7F2B" w14:textId="77777777" w:rsidTr="00EC59F5">
        <w:trPr>
          <w:trHeight w:val="300"/>
        </w:trPr>
        <w:tc>
          <w:tcPr>
            <w:tcW w:w="2400" w:type="dxa"/>
            <w:shd w:val="clear" w:color="auto" w:fill="auto"/>
          </w:tcPr>
          <w:p w14:paraId="6882B216" w14:textId="77777777" w:rsidR="00F872DB" w:rsidRDefault="00F872DB" w:rsidP="00AF4C27">
            <w:pPr>
              <w:pStyle w:val="TableTextLeft"/>
              <w:rPr>
                <w:rFonts w:eastAsia="Segoe UI"/>
              </w:rPr>
            </w:pPr>
            <w:r w:rsidRPr="65495267">
              <w:rPr>
                <w:rFonts w:eastAsia="Segoe UI"/>
              </w:rPr>
              <w:t>Dwelling</w:t>
            </w:r>
          </w:p>
        </w:tc>
        <w:tc>
          <w:tcPr>
            <w:tcW w:w="6645" w:type="dxa"/>
            <w:shd w:val="clear" w:color="auto" w:fill="auto"/>
          </w:tcPr>
          <w:p w14:paraId="78F6EC27" w14:textId="21CE4F6A" w:rsidR="00F872DB" w:rsidRDefault="00F872DB" w:rsidP="00AF4C27">
            <w:pPr>
              <w:pStyle w:val="TableTextLeft"/>
              <w:rPr>
                <w:rFonts w:eastAsia="Segoe UI"/>
              </w:rPr>
            </w:pPr>
            <w:r w:rsidRPr="65495267">
              <w:rPr>
                <w:rFonts w:eastAsia="Segoe UI"/>
              </w:rPr>
              <w:t>A building primarily used for long</w:t>
            </w:r>
            <w:r w:rsidR="00A15C79">
              <w:rPr>
                <w:rFonts w:eastAsia="Segoe UI"/>
              </w:rPr>
              <w:noBreakHyphen/>
            </w:r>
            <w:r w:rsidRPr="65495267">
              <w:rPr>
                <w:rFonts w:eastAsia="Segoe UI"/>
              </w:rPr>
              <w:t xml:space="preserve">term residential purposes. Used interchangeably with </w:t>
            </w:r>
            <w:r w:rsidR="00A15C79">
              <w:rPr>
                <w:rFonts w:eastAsia="Segoe UI"/>
              </w:rPr>
              <w:t>‘</w:t>
            </w:r>
            <w:r w:rsidRPr="65495267">
              <w:rPr>
                <w:rFonts w:eastAsia="Segoe UI"/>
              </w:rPr>
              <w:t>housing</w:t>
            </w:r>
            <w:r w:rsidR="00A15C79">
              <w:rPr>
                <w:rFonts w:eastAsia="Segoe UI"/>
              </w:rPr>
              <w:t>’</w:t>
            </w:r>
            <w:r>
              <w:rPr>
                <w:rFonts w:eastAsia="Segoe UI"/>
              </w:rPr>
              <w:t xml:space="preserve"> </w:t>
            </w:r>
            <w:r w:rsidRPr="000251D8">
              <w:rPr>
                <w:rFonts w:eastAsia="Segoe UI"/>
              </w:rPr>
              <w:t xml:space="preserve">or </w:t>
            </w:r>
            <w:r w:rsidR="00A15C79">
              <w:rPr>
                <w:rFonts w:eastAsia="Segoe UI"/>
              </w:rPr>
              <w:t>‘</w:t>
            </w:r>
            <w:r w:rsidRPr="002C4637">
              <w:rPr>
                <w:rFonts w:eastAsia="Segoe UI"/>
              </w:rPr>
              <w:t>home</w:t>
            </w:r>
            <w:r w:rsidR="00A15C79">
              <w:rPr>
                <w:rFonts w:eastAsia="Segoe UI"/>
              </w:rPr>
              <w:t>’</w:t>
            </w:r>
            <w:r w:rsidRPr="002C4637">
              <w:rPr>
                <w:rFonts w:eastAsia="Segoe UI"/>
              </w:rPr>
              <w:t>.</w:t>
            </w:r>
            <w:r>
              <w:rPr>
                <w:rFonts w:eastAsia="Segoe UI"/>
              </w:rPr>
              <w:t xml:space="preserve"> </w:t>
            </w:r>
          </w:p>
        </w:tc>
      </w:tr>
      <w:tr w:rsidR="00F872DB" w:rsidRPr="00DE0BC2" w14:paraId="5610B012" w14:textId="77777777" w:rsidTr="00EC59F5">
        <w:trPr>
          <w:trHeight w:val="300"/>
        </w:trPr>
        <w:tc>
          <w:tcPr>
            <w:tcW w:w="2400" w:type="dxa"/>
            <w:shd w:val="clear" w:color="auto" w:fill="auto"/>
          </w:tcPr>
          <w:p w14:paraId="13F156C9" w14:textId="77777777" w:rsidR="00F872DB" w:rsidRPr="00DE0BC2" w:rsidRDefault="00F872DB" w:rsidP="00AF4C27">
            <w:pPr>
              <w:pStyle w:val="TableTextLeft"/>
              <w:rPr>
                <w:rFonts w:eastAsia="Segoe UI"/>
              </w:rPr>
            </w:pPr>
            <w:r>
              <w:rPr>
                <w:rFonts w:eastAsia="Segoe UI"/>
              </w:rPr>
              <w:t>Dwelling</w:t>
            </w:r>
            <w:r w:rsidRPr="006306A4">
              <w:rPr>
                <w:rFonts w:eastAsia="Segoe UI"/>
              </w:rPr>
              <w:t xml:space="preserve"> approval</w:t>
            </w:r>
          </w:p>
        </w:tc>
        <w:tc>
          <w:tcPr>
            <w:tcW w:w="6645" w:type="dxa"/>
            <w:shd w:val="clear" w:color="auto" w:fill="auto"/>
          </w:tcPr>
          <w:p w14:paraId="2C9B1F68" w14:textId="115461DF" w:rsidR="00F872DB" w:rsidRPr="00DE0BC2" w:rsidRDefault="00772859" w:rsidP="00AF4C27">
            <w:pPr>
              <w:pStyle w:val="TableTextLeft"/>
              <w:rPr>
                <w:rFonts w:eastAsia="Segoe UI"/>
              </w:rPr>
            </w:pPr>
            <w:r>
              <w:rPr>
                <w:rFonts w:eastAsia="Segoe UI"/>
              </w:rPr>
              <w:t>A formal approval for new dwelling construction, alteration or addition</w:t>
            </w:r>
            <w:r w:rsidR="00F872DB">
              <w:rPr>
                <w:rFonts w:eastAsia="Segoe UI"/>
              </w:rPr>
              <w:t xml:space="preserve"> to existing buildings</w:t>
            </w:r>
            <w:r w:rsidR="00856758">
              <w:rPr>
                <w:rFonts w:eastAsia="Segoe UI"/>
              </w:rPr>
              <w:t xml:space="preserve">, </w:t>
            </w:r>
            <w:r w:rsidR="00F872DB">
              <w:rPr>
                <w:rFonts w:eastAsia="Segoe UI"/>
              </w:rPr>
              <w:t>non</w:t>
            </w:r>
            <w:r w:rsidR="00A15C79">
              <w:rPr>
                <w:rFonts w:eastAsia="Segoe UI"/>
              </w:rPr>
              <w:noBreakHyphen/>
            </w:r>
            <w:r w:rsidR="00F872DB">
              <w:rPr>
                <w:rFonts w:eastAsia="Segoe UI"/>
              </w:rPr>
              <w:t>structural renovation</w:t>
            </w:r>
            <w:r w:rsidR="00856758">
              <w:rPr>
                <w:rFonts w:eastAsia="Segoe UI"/>
              </w:rPr>
              <w:t>,</w:t>
            </w:r>
            <w:r w:rsidR="00F872DB">
              <w:rPr>
                <w:rFonts w:eastAsia="Segoe UI"/>
              </w:rPr>
              <w:t xml:space="preserve"> installation of integral fixtures</w:t>
            </w:r>
            <w:r w:rsidR="00096106">
              <w:rPr>
                <w:rFonts w:eastAsia="Segoe UI"/>
              </w:rPr>
              <w:t>;</w:t>
            </w:r>
            <w:r w:rsidR="00F872DB">
              <w:rPr>
                <w:rFonts w:eastAsia="Segoe UI"/>
              </w:rPr>
              <w:t xml:space="preserve"> or demolition</w:t>
            </w:r>
            <w:r w:rsidR="00F872DB" w:rsidRPr="006306A4">
              <w:rPr>
                <w:rFonts w:eastAsia="Segoe UI"/>
              </w:rPr>
              <w:t xml:space="preserve"> of </w:t>
            </w:r>
            <w:r w:rsidR="00F872DB">
              <w:rPr>
                <w:rFonts w:eastAsia="Segoe UI"/>
              </w:rPr>
              <w:t>dwellings</w:t>
            </w:r>
            <w:r w:rsidR="00F872DB" w:rsidRPr="006306A4">
              <w:rPr>
                <w:rFonts w:eastAsia="Segoe UI"/>
              </w:rPr>
              <w:t xml:space="preserve"> provided by local government or other approving authorities. </w:t>
            </w:r>
          </w:p>
        </w:tc>
      </w:tr>
      <w:tr w:rsidR="00F872DB" w:rsidRPr="00DE0BC2" w14:paraId="4CF749D0" w14:textId="77777777" w:rsidTr="00EC59F5">
        <w:trPr>
          <w:trHeight w:val="300"/>
        </w:trPr>
        <w:tc>
          <w:tcPr>
            <w:tcW w:w="2400" w:type="dxa"/>
            <w:shd w:val="clear" w:color="auto" w:fill="auto"/>
          </w:tcPr>
          <w:p w14:paraId="593F93D4" w14:textId="77777777" w:rsidR="00F872DB" w:rsidRDefault="00F872DB" w:rsidP="00AF4C27">
            <w:pPr>
              <w:pStyle w:val="TableTextLeft"/>
              <w:rPr>
                <w:rFonts w:eastAsia="Segoe UI"/>
              </w:rPr>
            </w:pPr>
            <w:r>
              <w:rPr>
                <w:rFonts w:eastAsia="Segoe UI"/>
              </w:rPr>
              <w:t>Dwelling</w:t>
            </w:r>
            <w:r w:rsidRPr="006306A4">
              <w:rPr>
                <w:rFonts w:eastAsia="Segoe UI"/>
              </w:rPr>
              <w:t xml:space="preserve"> commencement</w:t>
            </w:r>
          </w:p>
        </w:tc>
        <w:tc>
          <w:tcPr>
            <w:tcW w:w="6645" w:type="dxa"/>
            <w:shd w:val="clear" w:color="auto" w:fill="auto"/>
          </w:tcPr>
          <w:p w14:paraId="77171E6E" w14:textId="24E6AF5F" w:rsidR="00F872DB" w:rsidRDefault="00554E6F" w:rsidP="00AF4C27">
            <w:pPr>
              <w:pStyle w:val="TableTextLeft"/>
              <w:rPr>
                <w:rFonts w:eastAsia="Segoe UI"/>
              </w:rPr>
            </w:pPr>
            <w:r>
              <w:rPr>
                <w:rFonts w:eastAsia="Segoe UI"/>
              </w:rPr>
              <w:t>The commencement of a new dwelling construction, alteration or addition</w:t>
            </w:r>
            <w:r w:rsidR="00F872DB">
              <w:rPr>
                <w:rFonts w:eastAsia="Segoe UI"/>
              </w:rPr>
              <w:t xml:space="preserve"> to existing buildings</w:t>
            </w:r>
            <w:r>
              <w:rPr>
                <w:rFonts w:eastAsia="Segoe UI"/>
              </w:rPr>
              <w:t>,</w:t>
            </w:r>
            <w:r w:rsidR="00F872DB">
              <w:rPr>
                <w:rFonts w:eastAsia="Segoe UI"/>
              </w:rPr>
              <w:t xml:space="preserve"> non</w:t>
            </w:r>
            <w:r w:rsidR="00A15C79">
              <w:rPr>
                <w:rFonts w:eastAsia="Segoe UI"/>
              </w:rPr>
              <w:noBreakHyphen/>
            </w:r>
            <w:r w:rsidR="00F872DB">
              <w:rPr>
                <w:rFonts w:eastAsia="Segoe UI"/>
              </w:rPr>
              <w:t>structural renovation and installation of integral building fixtures</w:t>
            </w:r>
            <w:r w:rsidR="00F872DB" w:rsidRPr="006306A4">
              <w:rPr>
                <w:rFonts w:eastAsia="Segoe UI"/>
              </w:rPr>
              <w:t xml:space="preserve">. A </w:t>
            </w:r>
            <w:r w:rsidR="00F872DB">
              <w:rPr>
                <w:rFonts w:eastAsia="Segoe UI"/>
              </w:rPr>
              <w:t>dwelling</w:t>
            </w:r>
            <w:r w:rsidR="00F872DB" w:rsidRPr="006306A4">
              <w:rPr>
                <w:rFonts w:eastAsia="Segoe UI"/>
              </w:rPr>
              <w:t xml:space="preserve"> is commenced when the first physical building activity has been performed on</w:t>
            </w:r>
            <w:r w:rsidR="00A15C79">
              <w:rPr>
                <w:rFonts w:eastAsia="Segoe UI"/>
              </w:rPr>
              <w:noBreakHyphen/>
            </w:r>
            <w:r w:rsidR="00F872DB" w:rsidRPr="006306A4">
              <w:rPr>
                <w:rFonts w:eastAsia="Segoe UI"/>
              </w:rPr>
              <w:t>site in the form of materials fixed in place and/or labour expended (this includes site preparation but excludes delivery of building materials, the drawing of plans and specifications and the construction of non</w:t>
            </w:r>
            <w:r w:rsidR="00A15C79">
              <w:rPr>
                <w:rFonts w:eastAsia="Segoe UI"/>
              </w:rPr>
              <w:noBreakHyphen/>
            </w:r>
            <w:r w:rsidR="00F872DB" w:rsidRPr="006306A4">
              <w:rPr>
                <w:rFonts w:eastAsia="Segoe UI"/>
              </w:rPr>
              <w:t>building infrastructures, such as roads).</w:t>
            </w:r>
          </w:p>
        </w:tc>
      </w:tr>
      <w:tr w:rsidR="00F872DB" w:rsidRPr="00DE0BC2" w14:paraId="28FBF84E" w14:textId="77777777" w:rsidTr="00EC59F5">
        <w:trPr>
          <w:trHeight w:val="300"/>
        </w:trPr>
        <w:tc>
          <w:tcPr>
            <w:tcW w:w="2400" w:type="dxa"/>
            <w:shd w:val="clear" w:color="auto" w:fill="auto"/>
          </w:tcPr>
          <w:p w14:paraId="45D7811C" w14:textId="77777777" w:rsidR="00F872DB" w:rsidRDefault="00F872DB" w:rsidP="00AF4C27">
            <w:pPr>
              <w:pStyle w:val="TableTextLeft"/>
              <w:rPr>
                <w:rFonts w:eastAsia="Segoe UI"/>
              </w:rPr>
            </w:pPr>
            <w:r>
              <w:rPr>
                <w:rFonts w:eastAsia="Segoe UI"/>
              </w:rPr>
              <w:t>Dwelling</w:t>
            </w:r>
            <w:r w:rsidRPr="006306A4">
              <w:rPr>
                <w:rFonts w:eastAsia="Segoe UI"/>
              </w:rPr>
              <w:t xml:space="preserve"> completion</w:t>
            </w:r>
          </w:p>
        </w:tc>
        <w:tc>
          <w:tcPr>
            <w:tcW w:w="6645" w:type="dxa"/>
            <w:shd w:val="clear" w:color="auto" w:fill="auto"/>
          </w:tcPr>
          <w:p w14:paraId="7780F320" w14:textId="4E858189" w:rsidR="00F872DB" w:rsidRDefault="00022349" w:rsidP="00AF4C27">
            <w:pPr>
              <w:pStyle w:val="TableTextLeft"/>
              <w:rPr>
                <w:rFonts w:eastAsia="Segoe UI"/>
              </w:rPr>
            </w:pPr>
            <w:r w:rsidRPr="00022349">
              <w:rPr>
                <w:rFonts w:eastAsia="Segoe UI"/>
              </w:rPr>
              <w:t xml:space="preserve">The completion of a new dwelling construction, alteration or addition </w:t>
            </w:r>
            <w:r w:rsidR="00F872DB">
              <w:rPr>
                <w:rFonts w:eastAsia="Segoe UI"/>
              </w:rPr>
              <w:t>to existing buildings</w:t>
            </w:r>
            <w:r w:rsidR="00554E6F">
              <w:rPr>
                <w:rFonts w:eastAsia="Segoe UI"/>
              </w:rPr>
              <w:t>,</w:t>
            </w:r>
            <w:r w:rsidR="00F872DB">
              <w:rPr>
                <w:rFonts w:eastAsia="Segoe UI"/>
              </w:rPr>
              <w:t xml:space="preserve"> non</w:t>
            </w:r>
            <w:r w:rsidR="00A15C79">
              <w:rPr>
                <w:rFonts w:eastAsia="Segoe UI"/>
              </w:rPr>
              <w:noBreakHyphen/>
            </w:r>
            <w:r w:rsidR="00F872DB">
              <w:rPr>
                <w:rFonts w:eastAsia="Segoe UI"/>
              </w:rPr>
              <w:t>structural renovation and refurbishment</w:t>
            </w:r>
            <w:r>
              <w:rPr>
                <w:rFonts w:eastAsia="Segoe UI"/>
              </w:rPr>
              <w:t>,</w:t>
            </w:r>
            <w:r w:rsidR="00F872DB">
              <w:rPr>
                <w:rFonts w:eastAsia="Segoe UI"/>
              </w:rPr>
              <w:t xml:space="preserve"> and installation of integral building fixtures</w:t>
            </w:r>
            <w:r w:rsidR="00F872DB" w:rsidRPr="006306A4">
              <w:rPr>
                <w:rFonts w:eastAsia="Segoe UI"/>
              </w:rPr>
              <w:t>.</w:t>
            </w:r>
            <w:r w:rsidR="00F872DB">
              <w:rPr>
                <w:rFonts w:eastAsia="Segoe UI"/>
              </w:rPr>
              <w:t xml:space="preserve"> </w:t>
            </w:r>
            <w:r w:rsidR="00F872DB" w:rsidRPr="006306A4">
              <w:rPr>
                <w:rFonts w:eastAsia="Segoe UI"/>
              </w:rPr>
              <w:t xml:space="preserve">A </w:t>
            </w:r>
            <w:r w:rsidR="00F872DB">
              <w:rPr>
                <w:rFonts w:eastAsia="Segoe UI"/>
              </w:rPr>
              <w:t>dwelling</w:t>
            </w:r>
            <w:r w:rsidR="00F872DB" w:rsidRPr="006306A4">
              <w:rPr>
                <w:rFonts w:eastAsia="Segoe UI"/>
              </w:rPr>
              <w:t xml:space="preserve"> is completed when building activity has progressed to the stage where the </w:t>
            </w:r>
            <w:r w:rsidR="00F872DB">
              <w:rPr>
                <w:rFonts w:eastAsia="Segoe UI"/>
              </w:rPr>
              <w:t>dwelling</w:t>
            </w:r>
            <w:r w:rsidR="00F872DB" w:rsidRPr="006306A4">
              <w:rPr>
                <w:rFonts w:eastAsia="Segoe UI"/>
              </w:rPr>
              <w:t xml:space="preserve"> can fulfil its intended function.</w:t>
            </w:r>
          </w:p>
        </w:tc>
      </w:tr>
      <w:tr w:rsidR="00D8049D" w:rsidRPr="00DE0BC2" w14:paraId="5FF0C23F" w14:textId="77777777" w:rsidTr="00EC59F5">
        <w:trPr>
          <w:trHeight w:val="300"/>
        </w:trPr>
        <w:tc>
          <w:tcPr>
            <w:tcW w:w="2400" w:type="dxa"/>
            <w:shd w:val="clear" w:color="auto" w:fill="auto"/>
          </w:tcPr>
          <w:p w14:paraId="66C9A5D8" w14:textId="32543BE8" w:rsidR="00D8049D" w:rsidRDefault="00ED2769" w:rsidP="00AF4C27">
            <w:pPr>
              <w:pStyle w:val="TableTextLeft"/>
              <w:rPr>
                <w:rFonts w:eastAsia="Segoe UI"/>
              </w:rPr>
            </w:pPr>
            <w:r w:rsidRPr="00ED2769">
              <w:rPr>
                <w:rFonts w:eastAsia="Segoe UI"/>
              </w:rPr>
              <w:t>Effective demand</w:t>
            </w:r>
          </w:p>
        </w:tc>
        <w:tc>
          <w:tcPr>
            <w:tcW w:w="6645" w:type="dxa"/>
            <w:shd w:val="clear" w:color="auto" w:fill="auto"/>
          </w:tcPr>
          <w:p w14:paraId="60EC2FC0" w14:textId="66F4DF9F" w:rsidR="00D8049D" w:rsidRPr="00022349" w:rsidRDefault="004C544D" w:rsidP="00AF4C27">
            <w:pPr>
              <w:pStyle w:val="TableTextLeft"/>
              <w:rPr>
                <w:rFonts w:eastAsia="Segoe UI"/>
              </w:rPr>
            </w:pPr>
            <w:r w:rsidRPr="004C544D">
              <w:rPr>
                <w:rFonts w:eastAsia="Segoe UI"/>
              </w:rPr>
              <w:t>A measure of housing demand that includes underlying demand as well as economic factors, such as household income and credit conditions.</w:t>
            </w:r>
          </w:p>
        </w:tc>
      </w:tr>
      <w:tr w:rsidR="00F872DB" w:rsidRPr="00DE0BC2" w14:paraId="654ABBDA" w14:textId="77777777" w:rsidTr="00EC59F5">
        <w:trPr>
          <w:trHeight w:val="300"/>
        </w:trPr>
        <w:tc>
          <w:tcPr>
            <w:tcW w:w="2400" w:type="dxa"/>
            <w:shd w:val="clear" w:color="auto" w:fill="auto"/>
          </w:tcPr>
          <w:p w14:paraId="65718E8B" w14:textId="77777777" w:rsidR="00F872DB" w:rsidRPr="00DE0BC2" w:rsidRDefault="00F872DB" w:rsidP="00AF4C27">
            <w:pPr>
              <w:pStyle w:val="TableTextLeft"/>
              <w:rPr>
                <w:rFonts w:eastAsia="Segoe UI"/>
              </w:rPr>
            </w:pPr>
            <w:r>
              <w:rPr>
                <w:rFonts w:eastAsia="Segoe UI"/>
              </w:rPr>
              <w:t>Enabling infrastructure</w:t>
            </w:r>
          </w:p>
        </w:tc>
        <w:tc>
          <w:tcPr>
            <w:tcW w:w="6645" w:type="dxa"/>
            <w:shd w:val="clear" w:color="auto" w:fill="auto"/>
          </w:tcPr>
          <w:p w14:paraId="50764BE7" w14:textId="65648F85" w:rsidR="00F872DB" w:rsidRPr="00DE0BC2" w:rsidRDefault="00F872DB" w:rsidP="00AF4C27">
            <w:pPr>
              <w:pStyle w:val="TableTextLeft"/>
              <w:rPr>
                <w:rFonts w:eastAsia="Segoe UI"/>
              </w:rPr>
            </w:pPr>
            <w:r w:rsidRPr="003E154B">
              <w:rPr>
                <w:rFonts w:eastAsia="Segoe UI"/>
              </w:rPr>
              <w:t xml:space="preserve">Enabling infrastructure for housing refers to the infrastructure required to enable the development of housing. </w:t>
            </w:r>
            <w:r w:rsidR="004F7650" w:rsidDel="00241166">
              <w:rPr>
                <w:rFonts w:eastAsia="Segoe UI"/>
              </w:rPr>
              <w:t>I</w:t>
            </w:r>
            <w:r w:rsidRPr="003E154B">
              <w:rPr>
                <w:rFonts w:eastAsia="Segoe UI"/>
              </w:rPr>
              <w:t>nfrastructure projects include the development or upgrad</w:t>
            </w:r>
            <w:r w:rsidR="00B20395">
              <w:rPr>
                <w:rFonts w:eastAsia="Segoe UI"/>
              </w:rPr>
              <w:t>ing</w:t>
            </w:r>
            <w:r w:rsidRPr="003E154B">
              <w:rPr>
                <w:rFonts w:eastAsia="Segoe UI"/>
              </w:rPr>
              <w:t xml:space="preserve"> of roads</w:t>
            </w:r>
            <w:r w:rsidR="00C30C4A">
              <w:rPr>
                <w:rFonts w:eastAsia="Segoe UI"/>
              </w:rPr>
              <w:t xml:space="preserve"> and</w:t>
            </w:r>
            <w:r w:rsidRPr="003E154B">
              <w:rPr>
                <w:rFonts w:eastAsia="Segoe UI"/>
              </w:rPr>
              <w:t xml:space="preserve"> intersections</w:t>
            </w:r>
            <w:r w:rsidR="00C30C4A">
              <w:rPr>
                <w:rFonts w:eastAsia="Segoe UI"/>
              </w:rPr>
              <w:t>;</w:t>
            </w:r>
            <w:r w:rsidRPr="003E154B">
              <w:rPr>
                <w:rFonts w:eastAsia="Segoe UI"/>
              </w:rPr>
              <w:t xml:space="preserve"> water, gas, sewerage, stormwater, telecommunications and electricity connections</w:t>
            </w:r>
            <w:r w:rsidR="00C30C4A">
              <w:rPr>
                <w:rFonts w:eastAsia="Segoe UI"/>
              </w:rPr>
              <w:t>;</w:t>
            </w:r>
            <w:r w:rsidRPr="003E154B">
              <w:rPr>
                <w:rFonts w:eastAsia="Segoe UI"/>
              </w:rPr>
              <w:t xml:space="preserve"> </w:t>
            </w:r>
            <w:r w:rsidR="004F7650">
              <w:rPr>
                <w:rFonts w:eastAsia="Segoe UI"/>
              </w:rPr>
              <w:t>and the building of</w:t>
            </w:r>
            <w:r w:rsidRPr="003E154B">
              <w:rPr>
                <w:rFonts w:eastAsia="Segoe UI"/>
              </w:rPr>
              <w:t xml:space="preserve"> wastewater treatment plants and electrical substations.</w:t>
            </w:r>
          </w:p>
        </w:tc>
      </w:tr>
      <w:tr w:rsidR="00F872DB" w:rsidRPr="00DE0BC2" w14:paraId="4995AB41" w14:textId="77777777" w:rsidTr="00EC59F5">
        <w:trPr>
          <w:trHeight w:val="300"/>
        </w:trPr>
        <w:tc>
          <w:tcPr>
            <w:tcW w:w="2400" w:type="dxa"/>
            <w:shd w:val="clear" w:color="auto" w:fill="auto"/>
          </w:tcPr>
          <w:p w14:paraId="7F15795A" w14:textId="77777777" w:rsidR="00F872DB" w:rsidRPr="00DE0BC2" w:rsidRDefault="00F872DB" w:rsidP="00AF4C27">
            <w:pPr>
              <w:pStyle w:val="TableTextLeft"/>
              <w:rPr>
                <w:rFonts w:eastAsia="Segoe UI"/>
              </w:rPr>
            </w:pPr>
            <w:r>
              <w:rPr>
                <w:rFonts w:eastAsia="Segoe UI"/>
              </w:rPr>
              <w:t>Essential infrastructure</w:t>
            </w:r>
          </w:p>
        </w:tc>
        <w:tc>
          <w:tcPr>
            <w:tcW w:w="6645" w:type="dxa"/>
            <w:shd w:val="clear" w:color="auto" w:fill="auto"/>
          </w:tcPr>
          <w:p w14:paraId="75DD65C2" w14:textId="078B1F32" w:rsidR="00F872DB" w:rsidRPr="00DE0BC2" w:rsidRDefault="0035165C" w:rsidP="00AF4C27">
            <w:pPr>
              <w:pStyle w:val="TableTextLeft"/>
              <w:rPr>
                <w:rFonts w:eastAsia="Segoe UI"/>
              </w:rPr>
            </w:pPr>
            <w:r w:rsidRPr="0035165C">
              <w:rPr>
                <w:rFonts w:eastAsia="Segoe UI"/>
              </w:rPr>
              <w:t>Spatially fixed durable capital that is required for societies to function efficiently, such as housing, transport and electricity networks.</w:t>
            </w:r>
          </w:p>
        </w:tc>
      </w:tr>
      <w:tr w:rsidR="00F872DB" w14:paraId="67D5D488" w14:textId="77777777" w:rsidTr="00EC59F5">
        <w:trPr>
          <w:trHeight w:val="300"/>
        </w:trPr>
        <w:tc>
          <w:tcPr>
            <w:tcW w:w="2400" w:type="dxa"/>
            <w:shd w:val="clear" w:color="auto" w:fill="auto"/>
          </w:tcPr>
          <w:p w14:paraId="248E1FAA" w14:textId="3E0EEFF7" w:rsidR="00F872DB" w:rsidRDefault="0099326B" w:rsidP="00AF4C27">
            <w:pPr>
              <w:pStyle w:val="TableTextLeft"/>
              <w:rPr>
                <w:rFonts w:eastAsia="Segoe UI"/>
              </w:rPr>
            </w:pPr>
            <w:r>
              <w:rPr>
                <w:rFonts w:eastAsia="Segoe UI"/>
              </w:rPr>
              <w:t>First Nations</w:t>
            </w:r>
            <w:r w:rsidR="00F872DB" w:rsidRPr="65495267">
              <w:rPr>
                <w:rFonts w:eastAsia="Segoe UI"/>
              </w:rPr>
              <w:t xml:space="preserve"> people</w:t>
            </w:r>
          </w:p>
        </w:tc>
        <w:tc>
          <w:tcPr>
            <w:tcW w:w="6645" w:type="dxa"/>
            <w:shd w:val="clear" w:color="auto" w:fill="auto"/>
          </w:tcPr>
          <w:p w14:paraId="7B61891B" w14:textId="5002C19F" w:rsidR="00F872DB" w:rsidRDefault="00F872DB" w:rsidP="00AF4C27">
            <w:pPr>
              <w:pStyle w:val="TableTextLeft"/>
              <w:rPr>
                <w:rFonts w:eastAsia="Segoe UI"/>
              </w:rPr>
            </w:pPr>
            <w:r w:rsidRPr="65495267">
              <w:rPr>
                <w:rFonts w:eastAsia="Segoe UI"/>
              </w:rPr>
              <w:t xml:space="preserve">People who have identified themselves, or have been identified by a representative (for example, their parent or guardian), as being of Aboriginal and/or </w:t>
            </w:r>
            <w:r w:rsidR="0099326B">
              <w:rPr>
                <w:rFonts w:eastAsia="Segoe UI"/>
              </w:rPr>
              <w:t>Torres Strait</w:t>
            </w:r>
            <w:r w:rsidRPr="65495267">
              <w:rPr>
                <w:rFonts w:eastAsia="Segoe UI"/>
              </w:rPr>
              <w:t xml:space="preserve"> Islander origin. </w:t>
            </w:r>
            <w:r w:rsidR="00A15C79">
              <w:rPr>
                <w:rFonts w:eastAsia="Segoe UI"/>
              </w:rPr>
              <w:t>‘</w:t>
            </w:r>
            <w:r w:rsidR="0099326B">
              <w:rPr>
                <w:rFonts w:eastAsia="Segoe UI"/>
              </w:rPr>
              <w:t>First Nations</w:t>
            </w:r>
            <w:r w:rsidRPr="65495267">
              <w:rPr>
                <w:rFonts w:eastAsia="Segoe UI"/>
              </w:rPr>
              <w:t xml:space="preserve"> people</w:t>
            </w:r>
            <w:r w:rsidR="00A15C79">
              <w:rPr>
                <w:rFonts w:eastAsia="Segoe UI"/>
              </w:rPr>
              <w:t>’</w:t>
            </w:r>
            <w:r w:rsidRPr="65495267">
              <w:rPr>
                <w:rFonts w:eastAsia="Segoe UI"/>
              </w:rPr>
              <w:t xml:space="preserve"> is the consistent term used in this report to refer to Indigenous Australians and Aboriginal and </w:t>
            </w:r>
            <w:r w:rsidR="0099326B">
              <w:rPr>
                <w:rFonts w:eastAsia="Segoe UI"/>
              </w:rPr>
              <w:t>Torres Strait</w:t>
            </w:r>
            <w:r w:rsidRPr="65495267">
              <w:rPr>
                <w:rFonts w:eastAsia="Segoe UI"/>
              </w:rPr>
              <w:t xml:space="preserve"> Islander people. However, where particular datasets, reports or organisations have referred specifically to these terms instead, the</w:t>
            </w:r>
            <w:r w:rsidR="006F6508">
              <w:rPr>
                <w:rFonts w:eastAsia="Segoe UI"/>
              </w:rPr>
              <w:t>y</w:t>
            </w:r>
            <w:r w:rsidRPr="65495267">
              <w:rPr>
                <w:rFonts w:eastAsia="Segoe UI"/>
              </w:rPr>
              <w:t xml:space="preserve"> have been adopted in the report.</w:t>
            </w:r>
          </w:p>
        </w:tc>
      </w:tr>
      <w:tr w:rsidR="00F872DB" w:rsidRPr="00DE0BC2" w14:paraId="49AD35F8" w14:textId="77777777" w:rsidTr="00EC59F5">
        <w:trPr>
          <w:trHeight w:val="300"/>
        </w:trPr>
        <w:tc>
          <w:tcPr>
            <w:tcW w:w="2400" w:type="dxa"/>
            <w:shd w:val="clear" w:color="auto" w:fill="auto"/>
          </w:tcPr>
          <w:p w14:paraId="11474BD6" w14:textId="77777777" w:rsidR="00F872DB" w:rsidRPr="00DE0BC2" w:rsidRDefault="00F872DB" w:rsidP="00AF4C27">
            <w:pPr>
              <w:pStyle w:val="TableTextLeft"/>
              <w:rPr>
                <w:rFonts w:eastAsia="Segoe UI"/>
              </w:rPr>
            </w:pPr>
            <w:r>
              <w:rPr>
                <w:rFonts w:eastAsia="Segoe UI"/>
              </w:rPr>
              <w:t>Funding gap</w:t>
            </w:r>
          </w:p>
        </w:tc>
        <w:tc>
          <w:tcPr>
            <w:tcW w:w="6645" w:type="dxa"/>
            <w:shd w:val="clear" w:color="auto" w:fill="auto"/>
          </w:tcPr>
          <w:p w14:paraId="77350FD4" w14:textId="62AB01F8" w:rsidR="00F872DB" w:rsidRPr="00DE0BC2" w:rsidRDefault="00F872DB" w:rsidP="00AF4C27">
            <w:pPr>
              <w:pStyle w:val="TableTextLeft"/>
              <w:rPr>
                <w:rFonts w:eastAsia="Segoe UI"/>
              </w:rPr>
            </w:pPr>
            <w:r>
              <w:rPr>
                <w:rFonts w:eastAsia="Segoe UI"/>
              </w:rPr>
              <w:t>The gap between the costs to supply, maintain and manage non</w:t>
            </w:r>
            <w:r w:rsidR="00A15C79">
              <w:rPr>
                <w:rFonts w:eastAsia="Segoe UI"/>
              </w:rPr>
              <w:noBreakHyphen/>
            </w:r>
            <w:r>
              <w:rPr>
                <w:rFonts w:eastAsia="Segoe UI"/>
              </w:rPr>
              <w:t xml:space="preserve">market housing and the rent received from tenants. </w:t>
            </w:r>
          </w:p>
        </w:tc>
      </w:tr>
      <w:tr w:rsidR="00F872DB" w:rsidRPr="00DE0BC2" w14:paraId="1BF81881" w14:textId="77777777" w:rsidTr="00EC59F5">
        <w:trPr>
          <w:trHeight w:val="300"/>
        </w:trPr>
        <w:tc>
          <w:tcPr>
            <w:tcW w:w="2400" w:type="dxa"/>
            <w:shd w:val="clear" w:color="auto" w:fill="auto"/>
          </w:tcPr>
          <w:p w14:paraId="14FC51F9" w14:textId="77777777" w:rsidR="00F872DB" w:rsidRDefault="00F872DB" w:rsidP="00AF4C27">
            <w:pPr>
              <w:pStyle w:val="TableTextLeft"/>
              <w:rPr>
                <w:rFonts w:eastAsia="Segoe UI"/>
              </w:rPr>
            </w:pPr>
            <w:r w:rsidRPr="006306A4">
              <w:rPr>
                <w:rFonts w:eastAsia="Segoe UI"/>
              </w:rPr>
              <w:t>Gross new housing supply</w:t>
            </w:r>
          </w:p>
        </w:tc>
        <w:tc>
          <w:tcPr>
            <w:tcW w:w="6645" w:type="dxa"/>
            <w:shd w:val="clear" w:color="auto" w:fill="auto"/>
          </w:tcPr>
          <w:p w14:paraId="2EE17FFF" w14:textId="77777777" w:rsidR="00F872DB" w:rsidRDefault="00F872DB" w:rsidP="00AF4C27">
            <w:pPr>
              <w:pStyle w:val="TableTextLeft"/>
              <w:rPr>
                <w:rFonts w:eastAsia="Segoe UI"/>
              </w:rPr>
            </w:pPr>
            <w:r w:rsidRPr="006306A4">
              <w:rPr>
                <w:rFonts w:eastAsia="Segoe UI"/>
              </w:rPr>
              <w:t xml:space="preserve">The number of new </w:t>
            </w:r>
            <w:r>
              <w:rPr>
                <w:rFonts w:eastAsia="Segoe UI"/>
              </w:rPr>
              <w:t>dwelling</w:t>
            </w:r>
            <w:r w:rsidRPr="006306A4">
              <w:rPr>
                <w:rFonts w:eastAsia="Segoe UI"/>
              </w:rPr>
              <w:t xml:space="preserve"> completions in a given time period.</w:t>
            </w:r>
          </w:p>
        </w:tc>
      </w:tr>
      <w:tr w:rsidR="00F872DB" w:rsidRPr="00DE0BC2" w14:paraId="4C7AC3FD" w14:textId="77777777" w:rsidTr="00EC59F5">
        <w:trPr>
          <w:trHeight w:val="300"/>
        </w:trPr>
        <w:tc>
          <w:tcPr>
            <w:tcW w:w="2400" w:type="dxa"/>
            <w:shd w:val="clear" w:color="auto" w:fill="auto"/>
          </w:tcPr>
          <w:p w14:paraId="17D0CF8D" w14:textId="62246798" w:rsidR="00F872DB" w:rsidRPr="006306A4" w:rsidRDefault="00F872DB" w:rsidP="00AF4C27">
            <w:pPr>
              <w:pStyle w:val="TableTextLeft"/>
              <w:rPr>
                <w:rFonts w:eastAsia="Segoe UI"/>
              </w:rPr>
            </w:pPr>
            <w:r w:rsidRPr="00DE0BC2">
              <w:rPr>
                <w:rFonts w:eastAsia="Segoe UI"/>
              </w:rPr>
              <w:lastRenderedPageBreak/>
              <w:t>Higher</w:t>
            </w:r>
            <w:r w:rsidR="00A15C79">
              <w:rPr>
                <w:rFonts w:eastAsia="Segoe UI"/>
              </w:rPr>
              <w:noBreakHyphen/>
            </w:r>
            <w:r w:rsidRPr="00DE0BC2">
              <w:rPr>
                <w:rFonts w:eastAsia="Segoe UI"/>
              </w:rPr>
              <w:t>density dwelling</w:t>
            </w:r>
            <w:r w:rsidR="00E503B6">
              <w:rPr>
                <w:rFonts w:eastAsia="Segoe UI"/>
              </w:rPr>
              <w:t>s</w:t>
            </w:r>
          </w:p>
        </w:tc>
        <w:tc>
          <w:tcPr>
            <w:tcW w:w="6645" w:type="dxa"/>
            <w:shd w:val="clear" w:color="auto" w:fill="auto"/>
          </w:tcPr>
          <w:p w14:paraId="40B72106" w14:textId="0C9892CF" w:rsidR="00F872DB" w:rsidRPr="006306A4" w:rsidRDefault="00F872DB" w:rsidP="00AF4C27">
            <w:pPr>
              <w:pStyle w:val="TableTextLeft"/>
              <w:rPr>
                <w:rFonts w:eastAsia="Segoe UI"/>
              </w:rPr>
            </w:pPr>
            <w:r>
              <w:rPr>
                <w:rFonts w:eastAsia="Segoe UI"/>
              </w:rPr>
              <w:t>N</w:t>
            </w:r>
            <w:r w:rsidRPr="00E90DF7">
              <w:rPr>
                <w:rFonts w:eastAsia="Segoe UI"/>
              </w:rPr>
              <w:t>on</w:t>
            </w:r>
            <w:r w:rsidR="00A15C79">
              <w:rPr>
                <w:rFonts w:eastAsia="Segoe UI"/>
              </w:rPr>
              <w:noBreakHyphen/>
            </w:r>
            <w:r w:rsidRPr="00E90DF7">
              <w:rPr>
                <w:rFonts w:eastAsia="Segoe UI"/>
              </w:rPr>
              <w:t>freestanding houses</w:t>
            </w:r>
            <w:r>
              <w:rPr>
                <w:rFonts w:eastAsia="Segoe UI"/>
              </w:rPr>
              <w:t>,</w:t>
            </w:r>
            <w:r w:rsidRPr="00E90DF7">
              <w:rPr>
                <w:rFonts w:eastAsia="Segoe UI"/>
              </w:rPr>
              <w:t xml:space="preserve"> </w:t>
            </w:r>
            <w:r>
              <w:rPr>
                <w:rFonts w:eastAsia="Segoe UI"/>
              </w:rPr>
              <w:t>which include</w:t>
            </w:r>
            <w:r w:rsidRPr="00E90DF7">
              <w:rPr>
                <w:rFonts w:eastAsia="Segoe UI"/>
              </w:rPr>
              <w:t xml:space="preserve"> apartments, duplex houses, flats, high rises and semi</w:t>
            </w:r>
            <w:r w:rsidR="00A15C79">
              <w:rPr>
                <w:rFonts w:eastAsia="Segoe UI"/>
              </w:rPr>
              <w:noBreakHyphen/>
            </w:r>
            <w:r w:rsidRPr="00E90DF7">
              <w:rPr>
                <w:rFonts w:eastAsia="Segoe UI"/>
              </w:rPr>
              <w:t>detached houses.</w:t>
            </w:r>
          </w:p>
        </w:tc>
      </w:tr>
      <w:tr w:rsidR="00F872DB" w:rsidRPr="00DE0BC2" w14:paraId="7216F78D" w14:textId="77777777" w:rsidTr="00EC59F5">
        <w:trPr>
          <w:trHeight w:val="300"/>
        </w:trPr>
        <w:tc>
          <w:tcPr>
            <w:tcW w:w="2400" w:type="dxa"/>
            <w:shd w:val="clear" w:color="auto" w:fill="auto"/>
          </w:tcPr>
          <w:p w14:paraId="1CBD8E77" w14:textId="77777777" w:rsidR="00F872DB" w:rsidRPr="006306A4" w:rsidRDefault="00F872DB" w:rsidP="00AF4C27">
            <w:pPr>
              <w:pStyle w:val="TableTextLeft"/>
              <w:rPr>
                <w:rFonts w:eastAsia="Segoe UI"/>
              </w:rPr>
            </w:pPr>
            <w:r w:rsidRPr="00DE0BC2">
              <w:rPr>
                <w:rFonts w:eastAsia="Segoe UI"/>
              </w:rPr>
              <w:t>Homelessness</w:t>
            </w:r>
          </w:p>
        </w:tc>
        <w:tc>
          <w:tcPr>
            <w:tcW w:w="6645" w:type="dxa"/>
            <w:shd w:val="clear" w:color="auto" w:fill="auto"/>
          </w:tcPr>
          <w:p w14:paraId="2F0F1EA2" w14:textId="445DB583" w:rsidR="00F872DB" w:rsidRPr="006306A4" w:rsidRDefault="00F872DB" w:rsidP="00AF4C27">
            <w:pPr>
              <w:pStyle w:val="TableTextLeft"/>
              <w:rPr>
                <w:rFonts w:eastAsia="Segoe UI"/>
              </w:rPr>
            </w:pPr>
            <w:r w:rsidRPr="00DE0BC2">
              <w:rPr>
                <w:rFonts w:eastAsia="Segoe UI"/>
              </w:rPr>
              <w:t xml:space="preserve">There is no singular definition of homelessness </w:t>
            </w:r>
            <w:r w:rsidR="00D73F37">
              <w:rPr>
                <w:rFonts w:eastAsia="Segoe UI"/>
              </w:rPr>
              <w:t>among</w:t>
            </w:r>
            <w:r w:rsidR="00D73F37" w:rsidRPr="00DE0BC2">
              <w:rPr>
                <w:rFonts w:eastAsia="Segoe UI"/>
              </w:rPr>
              <w:t xml:space="preserve"> </w:t>
            </w:r>
            <w:r w:rsidRPr="00DE0BC2">
              <w:rPr>
                <w:rFonts w:eastAsia="Segoe UI"/>
              </w:rPr>
              <w:t xml:space="preserve">OECD countries. The Australian Bureau of Statistics defines homelessness as </w:t>
            </w:r>
            <w:r w:rsidR="003B6BE4">
              <w:rPr>
                <w:rFonts w:eastAsia="Segoe UI"/>
              </w:rPr>
              <w:t xml:space="preserve">affecting </w:t>
            </w:r>
            <w:r w:rsidRPr="00DE0BC2">
              <w:rPr>
                <w:rFonts w:eastAsia="Segoe UI"/>
              </w:rPr>
              <w:t xml:space="preserve">those whose living arrangements are in an inadequate dwelling; </w:t>
            </w:r>
            <w:r w:rsidR="000B0833">
              <w:rPr>
                <w:rFonts w:eastAsia="Segoe UI"/>
              </w:rPr>
              <w:t xml:space="preserve">who lack or </w:t>
            </w:r>
            <w:r w:rsidRPr="00DE0BC2">
              <w:rPr>
                <w:rFonts w:eastAsia="Segoe UI"/>
              </w:rPr>
              <w:t xml:space="preserve">have no security of tenure; or </w:t>
            </w:r>
            <w:r w:rsidR="000B0833">
              <w:rPr>
                <w:rFonts w:eastAsia="Segoe UI"/>
              </w:rPr>
              <w:t xml:space="preserve">who </w:t>
            </w:r>
            <w:r w:rsidRPr="00DE0BC2">
              <w:rPr>
                <w:rFonts w:eastAsia="Segoe UI"/>
              </w:rPr>
              <w:t>have a lack of privacy, safety or ability to control one</w:t>
            </w:r>
            <w:r w:rsidR="00A15C79">
              <w:rPr>
                <w:rFonts w:eastAsia="Segoe UI"/>
              </w:rPr>
              <w:t>’</w:t>
            </w:r>
            <w:r w:rsidRPr="00DE0BC2">
              <w:rPr>
                <w:rFonts w:eastAsia="Segoe UI"/>
              </w:rPr>
              <w:t>s living space. The Australian Institute of Health and Welfare defines homelessness as those living in non</w:t>
            </w:r>
            <w:r w:rsidR="00A15C79">
              <w:rPr>
                <w:rFonts w:eastAsia="Segoe UI"/>
              </w:rPr>
              <w:noBreakHyphen/>
            </w:r>
            <w:r w:rsidRPr="00DE0BC2">
              <w:rPr>
                <w:rFonts w:eastAsia="Segoe UI"/>
              </w:rPr>
              <w:t>conventional accommodation or sleeping rough, in short</w:t>
            </w:r>
            <w:r w:rsidR="00A15C79">
              <w:rPr>
                <w:rFonts w:eastAsia="Segoe UI"/>
              </w:rPr>
              <w:noBreakHyphen/>
            </w:r>
            <w:r w:rsidRPr="00DE0BC2">
              <w:rPr>
                <w:rFonts w:eastAsia="Segoe UI"/>
              </w:rPr>
              <w:t>term or emergency accommodation, due to a lack of other options.</w:t>
            </w:r>
          </w:p>
        </w:tc>
      </w:tr>
      <w:tr w:rsidR="00F872DB" w:rsidRPr="00DE0BC2" w14:paraId="43865C2C" w14:textId="77777777" w:rsidTr="00EC59F5">
        <w:trPr>
          <w:trHeight w:val="300"/>
        </w:trPr>
        <w:tc>
          <w:tcPr>
            <w:tcW w:w="2400" w:type="dxa"/>
            <w:shd w:val="clear" w:color="auto" w:fill="auto"/>
          </w:tcPr>
          <w:p w14:paraId="7623E018" w14:textId="77777777" w:rsidR="00F872DB" w:rsidRPr="00DE0BC2" w:rsidRDefault="00F872DB" w:rsidP="00AF4C27">
            <w:pPr>
              <w:pStyle w:val="TableTextLeft"/>
              <w:rPr>
                <w:rFonts w:eastAsia="Segoe UI"/>
              </w:rPr>
            </w:pPr>
            <w:r>
              <w:rPr>
                <w:rFonts w:eastAsia="Segoe UI"/>
              </w:rPr>
              <w:t>Homelessness services</w:t>
            </w:r>
          </w:p>
        </w:tc>
        <w:tc>
          <w:tcPr>
            <w:tcW w:w="6645" w:type="dxa"/>
            <w:shd w:val="clear" w:color="auto" w:fill="auto"/>
          </w:tcPr>
          <w:p w14:paraId="5958ECEE" w14:textId="46431385" w:rsidR="00F872DB" w:rsidRPr="00DE0BC2" w:rsidRDefault="00F872DB" w:rsidP="00AF4C27">
            <w:pPr>
              <w:pStyle w:val="TableTextLeft"/>
              <w:rPr>
                <w:rFonts w:eastAsia="Segoe UI"/>
              </w:rPr>
            </w:pPr>
            <w:r>
              <w:rPr>
                <w:rFonts w:eastAsia="Segoe UI"/>
              </w:rPr>
              <w:t xml:space="preserve">Programs that offer support to clients </w:t>
            </w:r>
            <w:r w:rsidRPr="00E66BB8">
              <w:rPr>
                <w:rFonts w:eastAsia="Segoe UI"/>
              </w:rPr>
              <w:t xml:space="preserve">who are experiencing, or </w:t>
            </w:r>
            <w:r w:rsidR="00184DD0">
              <w:rPr>
                <w:rFonts w:eastAsia="Segoe UI"/>
              </w:rPr>
              <w:t xml:space="preserve">who are </w:t>
            </w:r>
            <w:r w:rsidRPr="00E66BB8">
              <w:rPr>
                <w:rFonts w:eastAsia="Segoe UI"/>
              </w:rPr>
              <w:t>at risk of, homelessness</w:t>
            </w:r>
            <w:r>
              <w:rPr>
                <w:rFonts w:eastAsia="Segoe UI"/>
              </w:rPr>
              <w:t xml:space="preserve">. Support may include </w:t>
            </w:r>
            <w:r w:rsidR="008D3768">
              <w:rPr>
                <w:rFonts w:eastAsia="Segoe UI"/>
              </w:rPr>
              <w:t xml:space="preserve">the provision of </w:t>
            </w:r>
            <w:r>
              <w:rPr>
                <w:rFonts w:eastAsia="Segoe UI"/>
              </w:rPr>
              <w:t xml:space="preserve">crisis </w:t>
            </w:r>
            <w:r w:rsidRPr="003A140D">
              <w:rPr>
                <w:rFonts w:eastAsia="Segoe UI"/>
              </w:rPr>
              <w:t>accommodation, assistance to sustain housing</w:t>
            </w:r>
            <w:r>
              <w:rPr>
                <w:rFonts w:eastAsia="Segoe UI"/>
              </w:rPr>
              <w:t xml:space="preserve">, mental health services and other </w:t>
            </w:r>
            <w:r w:rsidRPr="003A140D">
              <w:rPr>
                <w:rFonts w:eastAsia="Segoe UI"/>
              </w:rPr>
              <w:t xml:space="preserve">specialist services and general </w:t>
            </w:r>
            <w:r>
              <w:rPr>
                <w:rFonts w:eastAsia="Segoe UI"/>
              </w:rPr>
              <w:t xml:space="preserve">assistance. </w:t>
            </w:r>
          </w:p>
        </w:tc>
      </w:tr>
      <w:tr w:rsidR="00F872DB" w14:paraId="70643088" w14:textId="77777777" w:rsidTr="00EC59F5">
        <w:trPr>
          <w:trHeight w:val="300"/>
        </w:trPr>
        <w:tc>
          <w:tcPr>
            <w:tcW w:w="2400" w:type="dxa"/>
            <w:shd w:val="clear" w:color="auto" w:fill="auto"/>
          </w:tcPr>
          <w:p w14:paraId="148AEB8A" w14:textId="77777777" w:rsidR="00F872DB" w:rsidRDefault="00F872DB" w:rsidP="00AF4C27">
            <w:pPr>
              <w:pStyle w:val="TableTextLeft"/>
              <w:rPr>
                <w:rFonts w:eastAsia="Segoe UI"/>
              </w:rPr>
            </w:pPr>
            <w:r w:rsidRPr="65495267">
              <w:rPr>
                <w:rFonts w:eastAsia="Segoe UI"/>
              </w:rPr>
              <w:t>Home ownership</w:t>
            </w:r>
          </w:p>
        </w:tc>
        <w:tc>
          <w:tcPr>
            <w:tcW w:w="6645" w:type="dxa"/>
            <w:shd w:val="clear" w:color="auto" w:fill="auto"/>
          </w:tcPr>
          <w:p w14:paraId="307AC1A9" w14:textId="754E4CC5" w:rsidR="00F872DB" w:rsidRDefault="0035165C" w:rsidP="00AF4C27">
            <w:pPr>
              <w:pStyle w:val="TableTextLeft"/>
              <w:rPr>
                <w:rFonts w:eastAsia="Segoe UI"/>
              </w:rPr>
            </w:pPr>
            <w:r>
              <w:rPr>
                <w:rFonts w:eastAsia="Segoe UI"/>
              </w:rPr>
              <w:t>Having</w:t>
            </w:r>
            <w:r w:rsidR="00F872DB">
              <w:rPr>
                <w:rFonts w:eastAsia="Segoe UI"/>
              </w:rPr>
              <w:t xml:space="preserve"> rights (for example, rights to the capital appreciation) and responsibilities (for example, liability to pay land taxes) associated with</w:t>
            </w:r>
            <w:r w:rsidR="00F872DB" w:rsidRPr="65495267">
              <w:rPr>
                <w:rFonts w:eastAsia="Segoe UI"/>
              </w:rPr>
              <w:t xml:space="preserve"> ownership of a dwelling.</w:t>
            </w:r>
          </w:p>
        </w:tc>
      </w:tr>
      <w:tr w:rsidR="00F872DB" w:rsidRPr="00DE0BC2" w14:paraId="7D7E1E25" w14:textId="77777777" w:rsidTr="00EC59F5">
        <w:trPr>
          <w:trHeight w:val="300"/>
        </w:trPr>
        <w:tc>
          <w:tcPr>
            <w:tcW w:w="2400" w:type="dxa"/>
            <w:shd w:val="clear" w:color="auto" w:fill="auto"/>
          </w:tcPr>
          <w:p w14:paraId="4E58E828" w14:textId="77777777" w:rsidR="00F872DB" w:rsidRPr="00DE0BC2" w:rsidRDefault="00F872DB" w:rsidP="00AF4C27">
            <w:pPr>
              <w:pStyle w:val="TableTextLeft"/>
              <w:rPr>
                <w:rFonts w:eastAsia="Segoe UI"/>
              </w:rPr>
            </w:pPr>
            <w:r>
              <w:rPr>
                <w:rFonts w:eastAsia="Segoe UI"/>
              </w:rPr>
              <w:t>Housing assistance</w:t>
            </w:r>
          </w:p>
        </w:tc>
        <w:tc>
          <w:tcPr>
            <w:tcW w:w="6645" w:type="dxa"/>
            <w:shd w:val="clear" w:color="auto" w:fill="auto"/>
          </w:tcPr>
          <w:p w14:paraId="43CF29A9" w14:textId="42591EC7" w:rsidR="00F872DB" w:rsidRPr="00DE0BC2" w:rsidRDefault="004674D5" w:rsidP="00AF4C27">
            <w:pPr>
              <w:pStyle w:val="TableTextLeft"/>
              <w:rPr>
                <w:rFonts w:eastAsia="Segoe UI"/>
              </w:rPr>
            </w:pPr>
            <w:r>
              <w:rPr>
                <w:rFonts w:eastAsia="Segoe UI"/>
              </w:rPr>
              <w:t>May include enabling</w:t>
            </w:r>
            <w:r w:rsidR="00F872DB">
              <w:rPr>
                <w:rFonts w:eastAsia="Segoe UI"/>
              </w:rPr>
              <w:t xml:space="preserve"> access to non</w:t>
            </w:r>
            <w:r w:rsidR="00A15C79">
              <w:rPr>
                <w:rFonts w:eastAsia="Segoe UI"/>
              </w:rPr>
              <w:noBreakHyphen/>
            </w:r>
            <w:r w:rsidR="00F872DB">
              <w:rPr>
                <w:rFonts w:eastAsia="Segoe UI"/>
              </w:rPr>
              <w:t xml:space="preserve">market housing (such as social housing) and </w:t>
            </w:r>
            <w:r>
              <w:rPr>
                <w:rFonts w:eastAsia="Segoe UI"/>
              </w:rPr>
              <w:t xml:space="preserve">providing </w:t>
            </w:r>
            <w:r w:rsidR="00F872DB">
              <w:rPr>
                <w:rFonts w:eastAsia="Segoe UI"/>
              </w:rPr>
              <w:t xml:space="preserve">targeted financial assistance. </w:t>
            </w:r>
          </w:p>
        </w:tc>
      </w:tr>
      <w:tr w:rsidR="00F872DB" w14:paraId="2BBF26E2" w14:textId="77777777" w:rsidTr="00EC59F5">
        <w:trPr>
          <w:trHeight w:val="300"/>
        </w:trPr>
        <w:tc>
          <w:tcPr>
            <w:tcW w:w="2400" w:type="dxa"/>
            <w:shd w:val="clear" w:color="auto" w:fill="auto"/>
          </w:tcPr>
          <w:p w14:paraId="6A5764E7" w14:textId="77777777" w:rsidR="00F872DB" w:rsidRDefault="00F872DB" w:rsidP="00AF4C27">
            <w:pPr>
              <w:pStyle w:val="TableTextLeft"/>
              <w:rPr>
                <w:rFonts w:eastAsia="Segoe UI"/>
              </w:rPr>
            </w:pPr>
            <w:r w:rsidRPr="65495267">
              <w:rPr>
                <w:rFonts w:eastAsia="Segoe UI"/>
              </w:rPr>
              <w:t>Housing affordability</w:t>
            </w:r>
          </w:p>
        </w:tc>
        <w:tc>
          <w:tcPr>
            <w:tcW w:w="6645" w:type="dxa"/>
            <w:shd w:val="clear" w:color="auto" w:fill="auto"/>
          </w:tcPr>
          <w:p w14:paraId="35C6EEAD" w14:textId="1A98D275" w:rsidR="00F872DB" w:rsidRDefault="007A61BC" w:rsidP="00AF4C27">
            <w:pPr>
              <w:pStyle w:val="TableTextLeft"/>
              <w:rPr>
                <w:rFonts w:eastAsia="Segoe UI"/>
              </w:rPr>
            </w:pPr>
            <w:r w:rsidRPr="007A61BC">
              <w:rPr>
                <w:rFonts w:eastAsia="Segoe UI"/>
              </w:rPr>
              <w:t>The relationship between housing costs (such as mortgage costs and rent costs) and household income.</w:t>
            </w:r>
          </w:p>
        </w:tc>
      </w:tr>
      <w:tr w:rsidR="00F872DB" w14:paraId="1DA3C009" w14:textId="77777777" w:rsidTr="00EC59F5">
        <w:trPr>
          <w:trHeight w:val="300"/>
        </w:trPr>
        <w:tc>
          <w:tcPr>
            <w:tcW w:w="2400" w:type="dxa"/>
            <w:shd w:val="clear" w:color="auto" w:fill="auto"/>
          </w:tcPr>
          <w:p w14:paraId="5F43833E" w14:textId="77777777" w:rsidR="00F872DB" w:rsidRDefault="00F872DB" w:rsidP="00AF4C27">
            <w:pPr>
              <w:pStyle w:val="TableTextLeft"/>
              <w:rPr>
                <w:rFonts w:eastAsia="Segoe UI"/>
              </w:rPr>
            </w:pPr>
            <w:r w:rsidRPr="65495267">
              <w:rPr>
                <w:rFonts w:eastAsia="Segoe UI"/>
              </w:rPr>
              <w:t>Housing outcomes</w:t>
            </w:r>
          </w:p>
        </w:tc>
        <w:tc>
          <w:tcPr>
            <w:tcW w:w="6645" w:type="dxa"/>
            <w:shd w:val="clear" w:color="auto" w:fill="auto"/>
          </w:tcPr>
          <w:p w14:paraId="3C0EC4E1" w14:textId="77777777" w:rsidR="00F872DB" w:rsidRDefault="00F872DB" w:rsidP="00AF4C27">
            <w:pPr>
              <w:pStyle w:val="TableTextLeft"/>
              <w:rPr>
                <w:rFonts w:eastAsia="Segoe UI"/>
              </w:rPr>
            </w:pPr>
            <w:r w:rsidRPr="65495267">
              <w:rPr>
                <w:rFonts w:eastAsia="Segoe UI"/>
              </w:rPr>
              <w:t xml:space="preserve">The impacts of the housing system on households and individuals. </w:t>
            </w:r>
          </w:p>
        </w:tc>
      </w:tr>
      <w:tr w:rsidR="00F872DB" w:rsidRPr="002949B5" w14:paraId="31A8887D" w14:textId="77777777" w:rsidTr="00EC59F5">
        <w:trPr>
          <w:trHeight w:val="300"/>
        </w:trPr>
        <w:tc>
          <w:tcPr>
            <w:tcW w:w="2400" w:type="dxa"/>
            <w:shd w:val="clear" w:color="auto" w:fill="auto"/>
          </w:tcPr>
          <w:p w14:paraId="2E0ADA02" w14:textId="77777777" w:rsidR="00F872DB" w:rsidRDefault="00F872DB" w:rsidP="00AF4C27">
            <w:pPr>
              <w:pStyle w:val="TableTextLeft"/>
              <w:rPr>
                <w:rFonts w:eastAsia="Segoe UI"/>
              </w:rPr>
            </w:pPr>
            <w:r w:rsidRPr="65495267">
              <w:rPr>
                <w:rFonts w:eastAsia="Segoe UI"/>
              </w:rPr>
              <w:t>Housing stress</w:t>
            </w:r>
          </w:p>
        </w:tc>
        <w:tc>
          <w:tcPr>
            <w:tcW w:w="6645" w:type="dxa"/>
            <w:shd w:val="clear" w:color="auto" w:fill="auto"/>
          </w:tcPr>
          <w:p w14:paraId="715A562A" w14:textId="7F232DD1" w:rsidR="00F872DB" w:rsidRPr="002949B5" w:rsidRDefault="00FD0352" w:rsidP="00AF4C27">
            <w:pPr>
              <w:pStyle w:val="TableTextLeft"/>
              <w:rPr>
                <w:rFonts w:eastAsia="Segoe UI"/>
              </w:rPr>
            </w:pPr>
            <w:r w:rsidRPr="002949B5">
              <w:rPr>
                <w:rFonts w:eastAsia="Segoe UI"/>
              </w:rPr>
              <w:t>Housing stress can include mortgage stress and rental stress. Common measures of housing stress include the housing cost</w:t>
            </w:r>
            <w:r w:rsidR="00A15C79" w:rsidRPr="002949B5">
              <w:rPr>
                <w:rFonts w:eastAsia="Segoe UI"/>
              </w:rPr>
              <w:noBreakHyphen/>
            </w:r>
            <w:r w:rsidRPr="002949B5">
              <w:rPr>
                <w:rFonts w:eastAsia="Segoe UI"/>
              </w:rPr>
              <w:t>to</w:t>
            </w:r>
            <w:r w:rsidR="00A15C79" w:rsidRPr="002949B5">
              <w:rPr>
                <w:rFonts w:eastAsia="Segoe UI"/>
              </w:rPr>
              <w:noBreakHyphen/>
            </w:r>
            <w:r w:rsidRPr="002949B5">
              <w:rPr>
                <w:rFonts w:eastAsia="Segoe UI"/>
              </w:rPr>
              <w:t>income ratio exceeding 30</w:t>
            </w:r>
            <w:r w:rsidR="0099326B" w:rsidRPr="002949B5">
              <w:rPr>
                <w:rFonts w:eastAsia="Segoe UI"/>
              </w:rPr>
              <w:t> per cent</w:t>
            </w:r>
            <w:r w:rsidRPr="002949B5">
              <w:rPr>
                <w:rFonts w:eastAsia="Segoe UI"/>
              </w:rPr>
              <w:t>, and the housing cost</w:t>
            </w:r>
            <w:r w:rsidR="00A15C79" w:rsidRPr="002949B5">
              <w:rPr>
                <w:rFonts w:eastAsia="Segoe UI"/>
              </w:rPr>
              <w:noBreakHyphen/>
            </w:r>
            <w:r w:rsidRPr="002949B5">
              <w:rPr>
                <w:rFonts w:eastAsia="Segoe UI"/>
              </w:rPr>
              <w:t>to</w:t>
            </w:r>
            <w:r w:rsidR="00A15C79" w:rsidRPr="002949B5">
              <w:rPr>
                <w:rFonts w:eastAsia="Segoe UI"/>
              </w:rPr>
              <w:noBreakHyphen/>
            </w:r>
            <w:r w:rsidRPr="002949B5">
              <w:rPr>
                <w:rFonts w:eastAsia="Segoe UI"/>
              </w:rPr>
              <w:t>income ratio for lower</w:t>
            </w:r>
            <w:r w:rsidR="00A15C79" w:rsidRPr="002949B5">
              <w:rPr>
                <w:rFonts w:eastAsia="Segoe UI"/>
              </w:rPr>
              <w:noBreakHyphen/>
            </w:r>
            <w:r w:rsidRPr="002949B5">
              <w:rPr>
                <w:rFonts w:eastAsia="Segoe UI"/>
              </w:rPr>
              <w:t>income households (those in the two lowest income quintiles) exceeding 30</w:t>
            </w:r>
            <w:r w:rsidR="0099326B" w:rsidRPr="002949B5">
              <w:rPr>
                <w:rFonts w:eastAsia="Segoe UI"/>
              </w:rPr>
              <w:t> per cent</w:t>
            </w:r>
            <w:r w:rsidRPr="002949B5">
              <w:rPr>
                <w:rFonts w:eastAsia="Segoe UI"/>
              </w:rPr>
              <w:t xml:space="preserve"> (the </w:t>
            </w:r>
            <w:r w:rsidR="00A15C79" w:rsidRPr="002949B5">
              <w:rPr>
                <w:rFonts w:eastAsia="Segoe UI"/>
              </w:rPr>
              <w:t>‘</w:t>
            </w:r>
            <w:r w:rsidRPr="002949B5">
              <w:rPr>
                <w:rFonts w:eastAsia="Segoe UI"/>
              </w:rPr>
              <w:t>30/40 rule</w:t>
            </w:r>
            <w:r w:rsidR="00A15C79" w:rsidRPr="002949B5">
              <w:rPr>
                <w:rFonts w:eastAsia="Segoe UI"/>
              </w:rPr>
              <w:t>’</w:t>
            </w:r>
            <w:r w:rsidRPr="002949B5">
              <w:rPr>
                <w:rFonts w:eastAsia="Segoe UI"/>
              </w:rPr>
              <w:t>). The most extreme form of housing stress is homelessness</w:t>
            </w:r>
            <w:r w:rsidR="008E4210" w:rsidRPr="002949B5">
              <w:rPr>
                <w:rFonts w:eastAsia="Segoe UI"/>
              </w:rPr>
              <w:t xml:space="preserve">. </w:t>
            </w:r>
            <w:r w:rsidR="00497EFE" w:rsidRPr="002949B5">
              <w:rPr>
                <w:rFonts w:eastAsia="Segoe UI"/>
              </w:rPr>
              <w:t>Box 4.1 provides further information on housing stress.</w:t>
            </w:r>
          </w:p>
        </w:tc>
      </w:tr>
      <w:tr w:rsidR="00F872DB" w14:paraId="7FCADC0C" w14:textId="77777777" w:rsidTr="00EC59F5">
        <w:trPr>
          <w:trHeight w:val="300"/>
        </w:trPr>
        <w:tc>
          <w:tcPr>
            <w:tcW w:w="2400" w:type="dxa"/>
            <w:shd w:val="clear" w:color="auto" w:fill="auto"/>
          </w:tcPr>
          <w:p w14:paraId="2988E75F" w14:textId="77777777" w:rsidR="00F872DB" w:rsidRDefault="00F872DB" w:rsidP="00AF4C27">
            <w:pPr>
              <w:pStyle w:val="TableTextLeft"/>
              <w:rPr>
                <w:rFonts w:eastAsia="Segoe UI"/>
              </w:rPr>
            </w:pPr>
            <w:r w:rsidRPr="65495267">
              <w:rPr>
                <w:rFonts w:eastAsia="Segoe UI"/>
              </w:rPr>
              <w:t>Housing system</w:t>
            </w:r>
          </w:p>
        </w:tc>
        <w:tc>
          <w:tcPr>
            <w:tcW w:w="6645" w:type="dxa"/>
            <w:shd w:val="clear" w:color="auto" w:fill="auto"/>
          </w:tcPr>
          <w:p w14:paraId="0420F7B0" w14:textId="4A6FF42C" w:rsidR="00F872DB" w:rsidRDefault="00F872DB" w:rsidP="00AF4C27">
            <w:pPr>
              <w:pStyle w:val="TableTextLeft"/>
              <w:rPr>
                <w:rFonts w:eastAsia="Segoe UI"/>
              </w:rPr>
            </w:pPr>
            <w:r w:rsidRPr="65495267">
              <w:rPr>
                <w:rFonts w:eastAsia="Segoe UI"/>
              </w:rPr>
              <w:t>Includes the production, consumption, exchange and regulation of housing, as well as government policy</w:t>
            </w:r>
            <w:r w:rsidR="00120ABB" w:rsidRPr="00120ABB">
              <w:rPr>
                <w:rFonts w:eastAsia="Segoe UI"/>
              </w:rPr>
              <w:t>,</w:t>
            </w:r>
            <w:r w:rsidRPr="65495267">
              <w:rPr>
                <w:rFonts w:eastAsia="Segoe UI"/>
              </w:rPr>
              <w:t xml:space="preserve"> for private housing, non</w:t>
            </w:r>
            <w:r w:rsidR="00A15C79">
              <w:rPr>
                <w:rFonts w:eastAsia="Segoe UI"/>
              </w:rPr>
              <w:noBreakHyphen/>
            </w:r>
            <w:r w:rsidRPr="65495267">
              <w:rPr>
                <w:rFonts w:eastAsia="Segoe UI"/>
              </w:rPr>
              <w:t>market housing, marginal housing and those experiencing homelessness.</w:t>
            </w:r>
          </w:p>
        </w:tc>
      </w:tr>
      <w:tr w:rsidR="00F872DB" w14:paraId="2429ECB6" w14:textId="77777777" w:rsidTr="00EC59F5">
        <w:trPr>
          <w:trHeight w:val="300"/>
        </w:trPr>
        <w:tc>
          <w:tcPr>
            <w:tcW w:w="2400" w:type="dxa"/>
          </w:tcPr>
          <w:p w14:paraId="368C9665" w14:textId="77777777" w:rsidR="00F872DB" w:rsidRDefault="00F872DB" w:rsidP="00AF4C27">
            <w:pPr>
              <w:pStyle w:val="TableTextLeft"/>
              <w:rPr>
                <w:rFonts w:eastAsia="Segoe UI"/>
              </w:rPr>
            </w:pPr>
            <w:r w:rsidRPr="65495267">
              <w:rPr>
                <w:rFonts w:eastAsia="Segoe UI"/>
              </w:rPr>
              <w:t>Household formation</w:t>
            </w:r>
          </w:p>
        </w:tc>
        <w:tc>
          <w:tcPr>
            <w:tcW w:w="6645" w:type="dxa"/>
          </w:tcPr>
          <w:p w14:paraId="4A72761C" w14:textId="77777777" w:rsidR="00F872DB" w:rsidRDefault="00F872DB" w:rsidP="00AF4C27">
            <w:pPr>
              <w:pStyle w:val="TableTextLeft"/>
              <w:rPr>
                <w:rFonts w:eastAsia="Segoe UI"/>
              </w:rPr>
            </w:pPr>
            <w:r w:rsidRPr="65495267">
              <w:rPr>
                <w:rFonts w:eastAsia="Segoe UI"/>
              </w:rPr>
              <w:t xml:space="preserve">The change in the number of households from one year to the next. </w:t>
            </w:r>
          </w:p>
        </w:tc>
      </w:tr>
      <w:tr w:rsidR="00F872DB" w14:paraId="45056D09" w14:textId="77777777" w:rsidTr="00EC59F5">
        <w:trPr>
          <w:trHeight w:val="300"/>
        </w:trPr>
        <w:tc>
          <w:tcPr>
            <w:tcW w:w="2400" w:type="dxa"/>
          </w:tcPr>
          <w:p w14:paraId="776AC21A" w14:textId="6737B3D8" w:rsidR="00F872DB" w:rsidRDefault="00F872DB" w:rsidP="00AF4C27">
            <w:pPr>
              <w:pStyle w:val="TableTextLeft"/>
              <w:rPr>
                <w:rFonts w:eastAsia="Segoe UI"/>
              </w:rPr>
            </w:pPr>
            <w:r w:rsidRPr="65495267">
              <w:rPr>
                <w:rFonts w:eastAsia="Segoe UI"/>
              </w:rPr>
              <w:t>Indigenous community housing</w:t>
            </w:r>
            <w:r w:rsidR="000202B5">
              <w:rPr>
                <w:rFonts w:eastAsia="Segoe UI"/>
              </w:rPr>
              <w:t xml:space="preserve"> (ICH)</w:t>
            </w:r>
          </w:p>
        </w:tc>
        <w:tc>
          <w:tcPr>
            <w:tcW w:w="6645" w:type="dxa"/>
          </w:tcPr>
          <w:p w14:paraId="55A5644B" w14:textId="759F39EC" w:rsidR="00F872DB" w:rsidRDefault="00F872DB" w:rsidP="00AF4C27">
            <w:pPr>
              <w:pStyle w:val="TableTextLeft"/>
              <w:rPr>
                <w:rFonts w:eastAsia="Segoe UI"/>
              </w:rPr>
            </w:pPr>
            <w:r w:rsidRPr="65495267">
              <w:rPr>
                <w:rFonts w:eastAsia="Segoe UI"/>
              </w:rPr>
              <w:t>Housing that Indigenous community organisations own and/or manage. These organisations may either directly manage the dwellings they own or sublease tenancy management services to the relevant state</w:t>
            </w:r>
            <w:r w:rsidR="00D17893">
              <w:rPr>
                <w:rFonts w:eastAsia="Segoe UI"/>
              </w:rPr>
              <w:t xml:space="preserve"> or </w:t>
            </w:r>
            <w:r w:rsidRPr="65495267">
              <w:rPr>
                <w:rFonts w:eastAsia="Segoe UI"/>
              </w:rPr>
              <w:t>territory housing authority or another organisation. This type of housing is made available to households with at least one Indigenous member (</w:t>
            </w:r>
            <w:r w:rsidR="003C47F8" w:rsidRPr="003C47F8">
              <w:rPr>
                <w:rFonts w:eastAsia="Segoe UI"/>
              </w:rPr>
              <w:t>National Indigenous Australians Agency</w:t>
            </w:r>
            <w:r w:rsidRPr="65495267">
              <w:rPr>
                <w:rFonts w:eastAsia="Segoe UI"/>
              </w:rPr>
              <w:t xml:space="preserve"> 2022).</w:t>
            </w:r>
          </w:p>
        </w:tc>
      </w:tr>
      <w:tr w:rsidR="00F872DB" w:rsidRPr="00DE0BC2" w14:paraId="0BD3A861" w14:textId="77777777" w:rsidTr="00EC59F5">
        <w:trPr>
          <w:trHeight w:val="300"/>
        </w:trPr>
        <w:tc>
          <w:tcPr>
            <w:tcW w:w="2400" w:type="dxa"/>
          </w:tcPr>
          <w:p w14:paraId="7C34B94C" w14:textId="2655A441" w:rsidR="00F872DB" w:rsidRPr="00DE0BC2" w:rsidRDefault="00F872DB" w:rsidP="00AF4C27">
            <w:pPr>
              <w:pStyle w:val="TableTextLeft"/>
              <w:rPr>
                <w:rFonts w:eastAsia="Segoe UI"/>
              </w:rPr>
            </w:pPr>
            <w:r w:rsidRPr="001F5B23">
              <w:rPr>
                <w:rFonts w:eastAsia="Segoe UI"/>
              </w:rPr>
              <w:t>Indigenous Land Use Arrangement</w:t>
            </w:r>
          </w:p>
        </w:tc>
        <w:tc>
          <w:tcPr>
            <w:tcW w:w="6645" w:type="dxa"/>
          </w:tcPr>
          <w:p w14:paraId="0DB5A04F" w14:textId="77777777" w:rsidR="00F872DB" w:rsidRPr="00DE0BC2" w:rsidRDefault="00F872DB" w:rsidP="00AF4C27">
            <w:pPr>
              <w:pStyle w:val="TableTextLeft"/>
              <w:rPr>
                <w:rFonts w:eastAsia="Segoe UI"/>
              </w:rPr>
            </w:pPr>
            <w:r>
              <w:rPr>
                <w:rFonts w:eastAsia="Segoe UI"/>
              </w:rPr>
              <w:t>A</w:t>
            </w:r>
            <w:r w:rsidRPr="00EA4C96">
              <w:rPr>
                <w:rFonts w:eastAsia="Segoe UI"/>
              </w:rPr>
              <w:t xml:space="preserve"> voluntary agreement</w:t>
            </w:r>
            <w:r>
              <w:rPr>
                <w:rFonts w:eastAsia="Segoe UI"/>
              </w:rPr>
              <w:t xml:space="preserve"> </w:t>
            </w:r>
            <w:r w:rsidRPr="0037168E">
              <w:rPr>
                <w:rFonts w:eastAsia="Segoe UI"/>
              </w:rPr>
              <w:t xml:space="preserve">made under the </w:t>
            </w:r>
            <w:r w:rsidRPr="006D36B2">
              <w:rPr>
                <w:rFonts w:eastAsia="Segoe UI"/>
                <w:i/>
              </w:rPr>
              <w:t>Native Title Act 1993</w:t>
            </w:r>
            <w:r w:rsidRPr="00EA4C96">
              <w:rPr>
                <w:rFonts w:eastAsia="Segoe UI"/>
              </w:rPr>
              <w:t xml:space="preserve"> between native title parties and other people or bodies about the use and management of areas of land and/or waters.</w:t>
            </w:r>
          </w:p>
        </w:tc>
      </w:tr>
      <w:tr w:rsidR="00F872DB" w:rsidRPr="00DE0BC2" w14:paraId="7E32319C" w14:textId="77777777" w:rsidTr="00EC59F5">
        <w:trPr>
          <w:trHeight w:val="300"/>
        </w:trPr>
        <w:tc>
          <w:tcPr>
            <w:tcW w:w="2400" w:type="dxa"/>
          </w:tcPr>
          <w:p w14:paraId="51EF551F" w14:textId="77777777" w:rsidR="00F872DB" w:rsidRPr="001F5B23" w:rsidRDefault="00F872DB" w:rsidP="00AF4C27">
            <w:pPr>
              <w:pStyle w:val="TableTextLeft"/>
              <w:rPr>
                <w:rFonts w:eastAsia="Segoe UI"/>
              </w:rPr>
            </w:pPr>
            <w:r>
              <w:rPr>
                <w:rFonts w:eastAsia="Segoe UI"/>
              </w:rPr>
              <w:t>Institutional investment</w:t>
            </w:r>
          </w:p>
        </w:tc>
        <w:tc>
          <w:tcPr>
            <w:tcW w:w="6645" w:type="dxa"/>
          </w:tcPr>
          <w:p w14:paraId="65A175D4" w14:textId="782CDB69" w:rsidR="00F872DB" w:rsidRDefault="002B303E" w:rsidP="00AF4C27">
            <w:pPr>
              <w:pStyle w:val="TableTextLeft"/>
              <w:rPr>
                <w:rFonts w:eastAsia="Segoe UI"/>
              </w:rPr>
            </w:pPr>
            <w:r w:rsidRPr="002B303E">
              <w:rPr>
                <w:rFonts w:eastAsia="Segoe UI"/>
              </w:rPr>
              <w:t>Entities through which investors collectively invest large quantities of capital for the long term</w:t>
            </w:r>
            <w:r w:rsidR="00F872DB">
              <w:rPr>
                <w:rFonts w:eastAsia="Segoe UI"/>
              </w:rPr>
              <w:t xml:space="preserve">, typically </w:t>
            </w:r>
            <w:r w:rsidRPr="002B303E">
              <w:rPr>
                <w:rFonts w:eastAsia="Segoe UI"/>
              </w:rPr>
              <w:t xml:space="preserve">by spreading their funds across a diverse range of investments. In the housing market, institutional investment typically </w:t>
            </w:r>
            <w:r w:rsidR="00F872DB">
              <w:rPr>
                <w:rFonts w:eastAsia="Segoe UI"/>
              </w:rPr>
              <w:t xml:space="preserve">refers to equity finance invested in a collection of related dwellings to provide rental services at scale. </w:t>
            </w:r>
            <w:r w:rsidRPr="002B303E">
              <w:rPr>
                <w:rFonts w:eastAsia="Segoe UI"/>
              </w:rPr>
              <w:t>It can also include debt finance provided by non</w:t>
            </w:r>
            <w:r w:rsidR="00A15C79">
              <w:rPr>
                <w:rFonts w:eastAsia="Segoe UI"/>
              </w:rPr>
              <w:noBreakHyphen/>
            </w:r>
            <w:r w:rsidRPr="002B303E">
              <w:rPr>
                <w:rFonts w:eastAsia="Segoe UI"/>
              </w:rPr>
              <w:t>bank lenders.</w:t>
            </w:r>
          </w:p>
        </w:tc>
      </w:tr>
      <w:tr w:rsidR="00F872DB" w14:paraId="093512CF" w14:textId="77777777" w:rsidTr="00EC59F5">
        <w:trPr>
          <w:trHeight w:val="300"/>
        </w:trPr>
        <w:tc>
          <w:tcPr>
            <w:tcW w:w="2400" w:type="dxa"/>
            <w:shd w:val="clear" w:color="auto" w:fill="auto"/>
          </w:tcPr>
          <w:p w14:paraId="66A62794" w14:textId="77777777" w:rsidR="00F872DB" w:rsidRDefault="00F872DB" w:rsidP="00AF4C27">
            <w:pPr>
              <w:pStyle w:val="TableTextLeft"/>
              <w:rPr>
                <w:rFonts w:eastAsia="Segoe UI"/>
              </w:rPr>
            </w:pPr>
            <w:r w:rsidRPr="65495267">
              <w:rPr>
                <w:rFonts w:eastAsia="Segoe UI"/>
              </w:rPr>
              <w:t>Market housing</w:t>
            </w:r>
          </w:p>
        </w:tc>
        <w:tc>
          <w:tcPr>
            <w:tcW w:w="6645" w:type="dxa"/>
            <w:shd w:val="clear" w:color="auto" w:fill="auto"/>
          </w:tcPr>
          <w:p w14:paraId="0F4946FD" w14:textId="77777777" w:rsidR="00F872DB" w:rsidRDefault="00F872DB" w:rsidP="00AF4C27">
            <w:pPr>
              <w:pStyle w:val="TableTextLeft"/>
              <w:rPr>
                <w:rFonts w:eastAsia="Segoe UI"/>
              </w:rPr>
            </w:pPr>
            <w:r w:rsidRPr="65495267">
              <w:rPr>
                <w:rFonts w:eastAsia="Segoe UI"/>
              </w:rPr>
              <w:t>Housing provided in the private market.</w:t>
            </w:r>
          </w:p>
        </w:tc>
      </w:tr>
      <w:tr w:rsidR="00F872DB" w:rsidRPr="00DE0BC2" w14:paraId="4237D09C" w14:textId="77777777" w:rsidTr="00EC59F5">
        <w:trPr>
          <w:trHeight w:val="300"/>
        </w:trPr>
        <w:tc>
          <w:tcPr>
            <w:tcW w:w="2400" w:type="dxa"/>
            <w:shd w:val="clear" w:color="auto" w:fill="auto"/>
          </w:tcPr>
          <w:p w14:paraId="541F39D5" w14:textId="1B162DFB" w:rsidR="00F872DB" w:rsidRPr="00DE0BC2" w:rsidRDefault="00F872DB" w:rsidP="00AF4C27">
            <w:pPr>
              <w:pStyle w:val="TableTextLeft"/>
              <w:rPr>
                <w:rFonts w:eastAsia="Segoe UI"/>
              </w:rPr>
            </w:pPr>
            <w:r>
              <w:rPr>
                <w:rFonts w:eastAsia="Segoe UI"/>
              </w:rPr>
              <w:t>Modern methods of construction</w:t>
            </w:r>
            <w:r w:rsidR="000B1B22">
              <w:rPr>
                <w:rFonts w:eastAsia="Segoe UI"/>
              </w:rPr>
              <w:t xml:space="preserve"> (MMC)</w:t>
            </w:r>
          </w:p>
        </w:tc>
        <w:tc>
          <w:tcPr>
            <w:tcW w:w="6645" w:type="dxa"/>
            <w:shd w:val="clear" w:color="auto" w:fill="auto"/>
          </w:tcPr>
          <w:p w14:paraId="4CFA87C8" w14:textId="692EC60B" w:rsidR="00F872DB" w:rsidRPr="00DE0BC2" w:rsidRDefault="00F872DB" w:rsidP="00AF4C27">
            <w:pPr>
              <w:pStyle w:val="TableTextLeft"/>
              <w:rPr>
                <w:rFonts w:eastAsia="Segoe UI"/>
              </w:rPr>
            </w:pPr>
            <w:r>
              <w:rPr>
                <w:rFonts w:eastAsia="Segoe UI"/>
              </w:rPr>
              <w:t>Innovative building techniques that enhance the efficiency, quality and sustainability of work in the construction industry, such as prefabricated building or modular construction.</w:t>
            </w:r>
          </w:p>
        </w:tc>
      </w:tr>
      <w:tr w:rsidR="00F872DB" w:rsidRPr="00DE0BC2" w14:paraId="7D054211" w14:textId="77777777" w:rsidTr="00EC59F5">
        <w:trPr>
          <w:trHeight w:val="300"/>
        </w:trPr>
        <w:tc>
          <w:tcPr>
            <w:tcW w:w="2400" w:type="dxa"/>
            <w:shd w:val="clear" w:color="auto" w:fill="auto"/>
          </w:tcPr>
          <w:p w14:paraId="3478326C" w14:textId="77777777" w:rsidR="00F872DB" w:rsidRPr="00DE0BC2" w:rsidRDefault="00F872DB" w:rsidP="00AF4C27">
            <w:pPr>
              <w:pStyle w:val="TableTextLeft"/>
              <w:rPr>
                <w:rFonts w:eastAsia="Segoe UI"/>
              </w:rPr>
            </w:pPr>
            <w:r w:rsidRPr="006306A4">
              <w:rPr>
                <w:rFonts w:eastAsia="Segoe UI"/>
              </w:rPr>
              <w:t>Net new housing supply</w:t>
            </w:r>
          </w:p>
        </w:tc>
        <w:tc>
          <w:tcPr>
            <w:tcW w:w="6645" w:type="dxa"/>
            <w:shd w:val="clear" w:color="auto" w:fill="auto"/>
          </w:tcPr>
          <w:p w14:paraId="023316FB" w14:textId="77777777" w:rsidR="00F872DB" w:rsidRPr="00DE0BC2" w:rsidRDefault="00F872DB" w:rsidP="00AF4C27">
            <w:pPr>
              <w:pStyle w:val="TableTextLeft"/>
              <w:rPr>
                <w:rFonts w:eastAsia="Segoe UI"/>
              </w:rPr>
            </w:pPr>
            <w:r w:rsidRPr="006306A4">
              <w:rPr>
                <w:rFonts w:eastAsia="Segoe UI"/>
              </w:rPr>
              <w:t xml:space="preserve">The number of new </w:t>
            </w:r>
            <w:r>
              <w:rPr>
                <w:rFonts w:eastAsia="Segoe UI"/>
              </w:rPr>
              <w:t>dwelling</w:t>
            </w:r>
            <w:r w:rsidRPr="006306A4">
              <w:rPr>
                <w:rFonts w:eastAsia="Segoe UI"/>
              </w:rPr>
              <w:t xml:space="preserve"> completions in a given time period </w:t>
            </w:r>
            <w:r>
              <w:rPr>
                <w:rFonts w:eastAsia="Segoe UI"/>
              </w:rPr>
              <w:t>less</w:t>
            </w:r>
            <w:r w:rsidRPr="006306A4">
              <w:rPr>
                <w:rFonts w:eastAsia="Segoe UI"/>
              </w:rPr>
              <w:t xml:space="preserve"> the number of dwellings that are demolished or destroyed</w:t>
            </w:r>
            <w:r>
              <w:rPr>
                <w:rFonts w:eastAsia="Segoe UI"/>
              </w:rPr>
              <w:t xml:space="preserve"> in that period.</w:t>
            </w:r>
          </w:p>
        </w:tc>
      </w:tr>
      <w:tr w:rsidR="00F872DB" w:rsidRPr="00DE0BC2" w14:paraId="559C79A1" w14:textId="77777777" w:rsidTr="00EC59F5">
        <w:trPr>
          <w:trHeight w:val="300"/>
        </w:trPr>
        <w:tc>
          <w:tcPr>
            <w:tcW w:w="2400" w:type="dxa"/>
            <w:shd w:val="clear" w:color="auto" w:fill="auto"/>
          </w:tcPr>
          <w:p w14:paraId="4DC490CC" w14:textId="77777777" w:rsidR="00F872DB" w:rsidRPr="00DE0BC2" w:rsidRDefault="00F872DB" w:rsidP="00AF4C27">
            <w:pPr>
              <w:pStyle w:val="TableTextLeft"/>
              <w:rPr>
                <w:rFonts w:eastAsia="Segoe UI"/>
              </w:rPr>
            </w:pPr>
            <w:r w:rsidRPr="006306A4">
              <w:rPr>
                <w:rFonts w:eastAsia="Segoe UI"/>
              </w:rPr>
              <w:t>Net overseas migration</w:t>
            </w:r>
            <w:r>
              <w:rPr>
                <w:rFonts w:eastAsia="Segoe UI"/>
              </w:rPr>
              <w:t xml:space="preserve"> (NOM)</w:t>
            </w:r>
          </w:p>
        </w:tc>
        <w:tc>
          <w:tcPr>
            <w:tcW w:w="6645" w:type="dxa"/>
            <w:shd w:val="clear" w:color="auto" w:fill="auto"/>
          </w:tcPr>
          <w:p w14:paraId="07678302" w14:textId="2B59A828" w:rsidR="00F872DB" w:rsidRDefault="00F872DB" w:rsidP="00AF4C27">
            <w:pPr>
              <w:pStyle w:val="TableTextLeft"/>
              <w:rPr>
                <w:rFonts w:eastAsia="Segoe UI"/>
              </w:rPr>
            </w:pPr>
            <w:r>
              <w:rPr>
                <w:rFonts w:eastAsia="Segoe UI"/>
              </w:rPr>
              <w:t>T</w:t>
            </w:r>
            <w:r w:rsidRPr="006306A4">
              <w:rPr>
                <w:rFonts w:eastAsia="Segoe UI"/>
              </w:rPr>
              <w:t xml:space="preserve">he difference between the number of overseas migrant arrivals and the number of overseas migrant departures. </w:t>
            </w:r>
          </w:p>
          <w:p w14:paraId="29199601" w14:textId="0C9D4C07" w:rsidR="00F872DB" w:rsidRPr="00DE0BC2" w:rsidRDefault="00F872DB" w:rsidP="00AF4C27">
            <w:pPr>
              <w:pStyle w:val="TableTextLeft"/>
              <w:rPr>
                <w:rFonts w:eastAsia="Segoe UI"/>
              </w:rPr>
            </w:pPr>
            <w:r>
              <w:rPr>
                <w:rFonts w:eastAsia="Segoe UI"/>
              </w:rPr>
              <w:t>A</w:t>
            </w:r>
            <w:r w:rsidRPr="006306A4">
              <w:rPr>
                <w:rFonts w:eastAsia="Segoe UI"/>
              </w:rPr>
              <w:t>n overseas migrant arrival</w:t>
            </w:r>
            <w:r>
              <w:rPr>
                <w:rFonts w:eastAsia="Segoe UI"/>
              </w:rPr>
              <w:t xml:space="preserve"> occurs when a non</w:t>
            </w:r>
            <w:r w:rsidR="00A15C79">
              <w:rPr>
                <w:rFonts w:eastAsia="Segoe UI"/>
              </w:rPr>
              <w:noBreakHyphen/>
            </w:r>
            <w:r w:rsidRPr="006306A4">
              <w:rPr>
                <w:rFonts w:eastAsia="Segoe UI"/>
              </w:rPr>
              <w:t xml:space="preserve">resident </w:t>
            </w:r>
            <w:r>
              <w:rPr>
                <w:rFonts w:eastAsia="Segoe UI"/>
              </w:rPr>
              <w:t>enters</w:t>
            </w:r>
            <w:r w:rsidRPr="006306A4">
              <w:rPr>
                <w:rFonts w:eastAsia="Segoe UI"/>
              </w:rPr>
              <w:t xml:space="preserve"> Australia </w:t>
            </w:r>
            <w:r>
              <w:rPr>
                <w:rFonts w:eastAsia="Segoe UI"/>
              </w:rPr>
              <w:t xml:space="preserve">and </w:t>
            </w:r>
            <w:r w:rsidRPr="006306A4">
              <w:rPr>
                <w:rFonts w:eastAsia="Segoe UI"/>
              </w:rPr>
              <w:t>remain</w:t>
            </w:r>
            <w:r>
              <w:rPr>
                <w:rFonts w:eastAsia="Segoe UI"/>
              </w:rPr>
              <w:t>s</w:t>
            </w:r>
            <w:r w:rsidRPr="006306A4">
              <w:rPr>
                <w:rFonts w:eastAsia="Segoe UI"/>
              </w:rPr>
              <w:t xml:space="preserve"> for 12 months or more </w:t>
            </w:r>
            <w:r>
              <w:rPr>
                <w:rFonts w:eastAsia="Segoe UI"/>
              </w:rPr>
              <w:t>during the subsequent 16</w:t>
            </w:r>
            <w:r w:rsidR="00A15C79">
              <w:rPr>
                <w:rFonts w:eastAsia="Segoe UI"/>
              </w:rPr>
              <w:noBreakHyphen/>
            </w:r>
            <w:r>
              <w:rPr>
                <w:rFonts w:eastAsia="Segoe UI"/>
              </w:rPr>
              <w:t>month period</w:t>
            </w:r>
            <w:r w:rsidRPr="006306A4">
              <w:rPr>
                <w:rFonts w:eastAsia="Segoe UI"/>
              </w:rPr>
              <w:t xml:space="preserve">. </w:t>
            </w:r>
            <w:r>
              <w:rPr>
                <w:rFonts w:eastAsia="Segoe UI"/>
              </w:rPr>
              <w:t xml:space="preserve">An </w:t>
            </w:r>
            <w:r w:rsidRPr="006306A4">
              <w:rPr>
                <w:rFonts w:eastAsia="Segoe UI"/>
              </w:rPr>
              <w:t xml:space="preserve">overseas migrant </w:t>
            </w:r>
            <w:r w:rsidRPr="006306A4">
              <w:rPr>
                <w:rFonts w:eastAsia="Segoe UI"/>
              </w:rPr>
              <w:lastRenderedPageBreak/>
              <w:t>departure</w:t>
            </w:r>
            <w:r>
              <w:rPr>
                <w:rFonts w:eastAsia="Segoe UI"/>
              </w:rPr>
              <w:t xml:space="preserve"> occurs</w:t>
            </w:r>
            <w:r w:rsidRPr="006306A4">
              <w:rPr>
                <w:rFonts w:eastAsia="Segoe UI"/>
              </w:rPr>
              <w:t xml:space="preserve"> </w:t>
            </w:r>
            <w:r>
              <w:rPr>
                <w:rFonts w:eastAsia="Segoe UI"/>
              </w:rPr>
              <w:t>when</w:t>
            </w:r>
            <w:r w:rsidRPr="006306A4">
              <w:rPr>
                <w:rFonts w:eastAsia="Segoe UI"/>
              </w:rPr>
              <w:t xml:space="preserve"> a resident </w:t>
            </w:r>
            <w:r>
              <w:rPr>
                <w:rFonts w:eastAsia="Segoe UI"/>
              </w:rPr>
              <w:t xml:space="preserve">leaves Australia to remain overseas </w:t>
            </w:r>
            <w:r w:rsidRPr="006306A4">
              <w:rPr>
                <w:rFonts w:eastAsia="Segoe UI"/>
              </w:rPr>
              <w:t xml:space="preserve">for 12 months or more </w:t>
            </w:r>
            <w:r>
              <w:rPr>
                <w:rFonts w:eastAsia="Segoe UI"/>
              </w:rPr>
              <w:t>during the subsequent 16</w:t>
            </w:r>
            <w:r w:rsidR="00A15C79">
              <w:rPr>
                <w:rFonts w:eastAsia="Segoe UI"/>
              </w:rPr>
              <w:noBreakHyphen/>
            </w:r>
            <w:r>
              <w:rPr>
                <w:rFonts w:eastAsia="Segoe UI"/>
              </w:rPr>
              <w:t>month period</w:t>
            </w:r>
            <w:r w:rsidRPr="006306A4">
              <w:rPr>
                <w:rFonts w:eastAsia="Segoe UI"/>
              </w:rPr>
              <w:t>.</w:t>
            </w:r>
          </w:p>
        </w:tc>
      </w:tr>
      <w:tr w:rsidR="00F872DB" w:rsidRPr="00DE0BC2" w14:paraId="7081363F" w14:textId="77777777" w:rsidTr="00EC59F5">
        <w:trPr>
          <w:trHeight w:val="300"/>
        </w:trPr>
        <w:tc>
          <w:tcPr>
            <w:tcW w:w="2400" w:type="dxa"/>
            <w:shd w:val="clear" w:color="auto" w:fill="auto"/>
          </w:tcPr>
          <w:p w14:paraId="6EF30A73" w14:textId="77777777" w:rsidR="00F872DB" w:rsidRPr="006306A4" w:rsidRDefault="00F872DB" w:rsidP="00AF4C27">
            <w:pPr>
              <w:pStyle w:val="TableTextLeft"/>
              <w:rPr>
                <w:rFonts w:eastAsia="Segoe UI"/>
              </w:rPr>
            </w:pPr>
            <w:r w:rsidRPr="006306A4">
              <w:rPr>
                <w:rFonts w:eastAsia="Segoe UI"/>
              </w:rPr>
              <w:lastRenderedPageBreak/>
              <w:t>Nominal</w:t>
            </w:r>
          </w:p>
        </w:tc>
        <w:tc>
          <w:tcPr>
            <w:tcW w:w="6645" w:type="dxa"/>
            <w:shd w:val="clear" w:color="auto" w:fill="auto"/>
          </w:tcPr>
          <w:p w14:paraId="7CE4CC5E" w14:textId="77777777" w:rsidR="00F872DB" w:rsidRDefault="00F872DB" w:rsidP="00AF4C27">
            <w:pPr>
              <w:pStyle w:val="TableTextLeft"/>
              <w:rPr>
                <w:rFonts w:eastAsia="Segoe UI"/>
              </w:rPr>
            </w:pPr>
            <w:r>
              <w:rPr>
                <w:rFonts w:eastAsia="Segoe UI"/>
              </w:rPr>
              <w:t>Una</w:t>
            </w:r>
            <w:r w:rsidRPr="006306A4">
              <w:rPr>
                <w:rFonts w:eastAsia="Segoe UI"/>
              </w:rPr>
              <w:t>djusted for inflation.</w:t>
            </w:r>
          </w:p>
        </w:tc>
      </w:tr>
      <w:tr w:rsidR="00F872DB" w14:paraId="4A011BAA" w14:textId="77777777" w:rsidTr="00EC59F5">
        <w:trPr>
          <w:trHeight w:val="300"/>
        </w:trPr>
        <w:tc>
          <w:tcPr>
            <w:tcW w:w="2400" w:type="dxa"/>
            <w:shd w:val="clear" w:color="auto" w:fill="auto"/>
          </w:tcPr>
          <w:p w14:paraId="280AF1B8" w14:textId="392B5AD4" w:rsidR="00F872DB" w:rsidRDefault="00F872DB" w:rsidP="00AF4C27">
            <w:pPr>
              <w:pStyle w:val="TableTextLeft"/>
              <w:rPr>
                <w:rFonts w:eastAsia="Segoe UI"/>
              </w:rPr>
            </w:pPr>
            <w:r w:rsidRPr="65495267">
              <w:rPr>
                <w:rFonts w:eastAsia="Segoe UI"/>
              </w:rPr>
              <w:t>Non</w:t>
            </w:r>
            <w:r w:rsidR="00A15C79">
              <w:rPr>
                <w:rFonts w:eastAsia="Segoe UI"/>
              </w:rPr>
              <w:noBreakHyphen/>
            </w:r>
            <w:r w:rsidRPr="65495267">
              <w:rPr>
                <w:rFonts w:eastAsia="Segoe UI"/>
              </w:rPr>
              <w:t>Indigenous Australians</w:t>
            </w:r>
          </w:p>
        </w:tc>
        <w:tc>
          <w:tcPr>
            <w:tcW w:w="6645" w:type="dxa"/>
            <w:shd w:val="clear" w:color="auto" w:fill="auto"/>
          </w:tcPr>
          <w:p w14:paraId="46E7E9CC" w14:textId="1F46AB92" w:rsidR="00F872DB" w:rsidRDefault="00F872DB" w:rsidP="00AF4C27">
            <w:pPr>
              <w:pStyle w:val="TableTextLeft"/>
              <w:rPr>
                <w:rFonts w:eastAsia="Segoe UI"/>
              </w:rPr>
            </w:pPr>
            <w:r w:rsidRPr="65495267">
              <w:rPr>
                <w:rFonts w:eastAsia="Segoe UI"/>
              </w:rPr>
              <w:t xml:space="preserve">Australians who do not identify as </w:t>
            </w:r>
            <w:r w:rsidR="0099326B">
              <w:rPr>
                <w:rFonts w:eastAsia="Segoe UI"/>
              </w:rPr>
              <w:t>First Nations</w:t>
            </w:r>
            <w:r w:rsidRPr="65495267">
              <w:rPr>
                <w:rFonts w:eastAsia="Segoe UI"/>
              </w:rPr>
              <w:t xml:space="preserve"> people.</w:t>
            </w:r>
          </w:p>
        </w:tc>
      </w:tr>
      <w:tr w:rsidR="00F872DB" w14:paraId="515A3557" w14:textId="77777777" w:rsidTr="00EC59F5">
        <w:trPr>
          <w:trHeight w:val="300"/>
        </w:trPr>
        <w:tc>
          <w:tcPr>
            <w:tcW w:w="2400" w:type="dxa"/>
            <w:shd w:val="clear" w:color="auto" w:fill="auto"/>
          </w:tcPr>
          <w:p w14:paraId="278F1975" w14:textId="2577E60B" w:rsidR="00F872DB" w:rsidRDefault="00F872DB" w:rsidP="00AF4C27">
            <w:pPr>
              <w:pStyle w:val="TableTextLeft"/>
              <w:rPr>
                <w:rFonts w:eastAsia="Segoe UI"/>
              </w:rPr>
            </w:pPr>
            <w:r>
              <w:rPr>
                <w:rFonts w:eastAsia="Segoe UI"/>
              </w:rPr>
              <w:t>Non</w:t>
            </w:r>
            <w:r w:rsidR="00A15C79">
              <w:rPr>
                <w:rFonts w:eastAsia="Segoe UI"/>
              </w:rPr>
              <w:noBreakHyphen/>
            </w:r>
            <w:r>
              <w:rPr>
                <w:rFonts w:eastAsia="Segoe UI"/>
              </w:rPr>
              <w:t>market housing</w:t>
            </w:r>
          </w:p>
        </w:tc>
        <w:tc>
          <w:tcPr>
            <w:tcW w:w="6645" w:type="dxa"/>
            <w:shd w:val="clear" w:color="auto" w:fill="auto"/>
          </w:tcPr>
          <w:p w14:paraId="37D06908" w14:textId="1AAADC90" w:rsidR="00F872DB" w:rsidRDefault="00F872DB" w:rsidP="00AF4C27">
            <w:pPr>
              <w:pStyle w:val="TableTextLeft"/>
              <w:rPr>
                <w:rFonts w:eastAsia="Segoe UI"/>
              </w:rPr>
            </w:pPr>
            <w:r w:rsidRPr="65495267">
              <w:rPr>
                <w:rFonts w:eastAsia="Segoe UI"/>
              </w:rPr>
              <w:t xml:space="preserve">Housing </w:t>
            </w:r>
            <w:r>
              <w:rPr>
                <w:rFonts w:eastAsia="Segoe UI"/>
              </w:rPr>
              <w:t>provided at below</w:t>
            </w:r>
            <w:r w:rsidR="00A15C79">
              <w:rPr>
                <w:rFonts w:eastAsia="Segoe UI"/>
              </w:rPr>
              <w:noBreakHyphen/>
            </w:r>
            <w:r>
              <w:rPr>
                <w:rFonts w:eastAsia="Segoe UI"/>
              </w:rPr>
              <w:t xml:space="preserve">market prices, </w:t>
            </w:r>
            <w:r w:rsidRPr="65495267">
              <w:rPr>
                <w:rFonts w:eastAsia="Segoe UI"/>
              </w:rPr>
              <w:t>which includes social and affordable housing</w:t>
            </w:r>
            <w:r w:rsidR="008507A4">
              <w:rPr>
                <w:rFonts w:eastAsia="Segoe UI"/>
              </w:rPr>
              <w:t>,</w:t>
            </w:r>
            <w:r>
              <w:rPr>
                <w:rFonts w:eastAsia="Segoe UI"/>
              </w:rPr>
              <w:t xml:space="preserve"> crisis </w:t>
            </w:r>
            <w:r w:rsidR="008507A4">
              <w:rPr>
                <w:rFonts w:eastAsia="Segoe UI"/>
              </w:rPr>
              <w:t xml:space="preserve">housing </w:t>
            </w:r>
            <w:r>
              <w:rPr>
                <w:rFonts w:eastAsia="Segoe UI"/>
              </w:rPr>
              <w:t xml:space="preserve">and transitional housing. </w:t>
            </w:r>
          </w:p>
        </w:tc>
      </w:tr>
      <w:tr w:rsidR="00F872DB" w14:paraId="7689760F" w14:textId="77777777" w:rsidTr="00EC59F5">
        <w:trPr>
          <w:trHeight w:val="300"/>
        </w:trPr>
        <w:tc>
          <w:tcPr>
            <w:tcW w:w="2400" w:type="dxa"/>
            <w:shd w:val="clear" w:color="auto" w:fill="auto"/>
          </w:tcPr>
          <w:p w14:paraId="0CBD37DB" w14:textId="77777777" w:rsidR="00F872DB" w:rsidRDefault="00F872DB" w:rsidP="00AF4C27">
            <w:pPr>
              <w:pStyle w:val="TableTextLeft"/>
              <w:rPr>
                <w:rFonts w:eastAsia="Segoe UI"/>
              </w:rPr>
            </w:pPr>
            <w:r w:rsidRPr="65495267">
              <w:rPr>
                <w:rFonts w:eastAsia="Segoe UI"/>
              </w:rPr>
              <w:t>Overcrowding</w:t>
            </w:r>
          </w:p>
        </w:tc>
        <w:tc>
          <w:tcPr>
            <w:tcW w:w="6645" w:type="dxa"/>
            <w:shd w:val="clear" w:color="auto" w:fill="auto"/>
          </w:tcPr>
          <w:p w14:paraId="52147997" w14:textId="1EF6CDC3" w:rsidR="00F872DB" w:rsidRDefault="00F872DB" w:rsidP="00AF4C27">
            <w:pPr>
              <w:pStyle w:val="TableTextLeft"/>
              <w:rPr>
                <w:rFonts w:eastAsia="Segoe UI"/>
              </w:rPr>
            </w:pPr>
            <w:r>
              <w:rPr>
                <w:rFonts w:eastAsia="Segoe UI"/>
              </w:rPr>
              <w:t>The requirement of</w:t>
            </w:r>
            <w:r w:rsidRPr="00F1103F">
              <w:rPr>
                <w:rFonts w:eastAsia="Segoe UI"/>
              </w:rPr>
              <w:t xml:space="preserve"> one or more additional bedrooms</w:t>
            </w:r>
            <w:r>
              <w:rPr>
                <w:rFonts w:eastAsia="Segoe UI"/>
              </w:rPr>
              <w:t xml:space="preserve"> in a household to</w:t>
            </w:r>
            <w:r w:rsidRPr="00F1103F">
              <w:rPr>
                <w:rFonts w:eastAsia="Segoe UI"/>
              </w:rPr>
              <w:t xml:space="preserve"> meet</w:t>
            </w:r>
            <w:r>
              <w:rPr>
                <w:rFonts w:eastAsia="Segoe UI"/>
              </w:rPr>
              <w:t xml:space="preserve"> occupancy </w:t>
            </w:r>
            <w:r w:rsidRPr="00F1103F">
              <w:rPr>
                <w:rFonts w:eastAsia="Segoe UI"/>
              </w:rPr>
              <w:t>standard</w:t>
            </w:r>
            <w:r>
              <w:rPr>
                <w:rFonts w:eastAsia="Segoe UI"/>
              </w:rPr>
              <w:t xml:space="preserve">s. Occupancy standards are </w:t>
            </w:r>
            <w:r w:rsidRPr="65495267">
              <w:rPr>
                <w:rFonts w:eastAsia="Segoe UI"/>
              </w:rPr>
              <w:t>calculated by the Australian Bureau of Statistics according to the Canadian National Occupancy Standard.</w:t>
            </w:r>
          </w:p>
        </w:tc>
      </w:tr>
      <w:tr w:rsidR="00F872DB" w14:paraId="062EFB30" w14:textId="77777777" w:rsidTr="00EC59F5">
        <w:trPr>
          <w:trHeight w:val="300"/>
        </w:trPr>
        <w:tc>
          <w:tcPr>
            <w:tcW w:w="2400" w:type="dxa"/>
            <w:shd w:val="clear" w:color="auto" w:fill="auto"/>
          </w:tcPr>
          <w:p w14:paraId="12832659" w14:textId="77777777" w:rsidR="00F872DB" w:rsidRDefault="00F872DB" w:rsidP="00AF4C27">
            <w:pPr>
              <w:pStyle w:val="TableTextLeft"/>
              <w:rPr>
                <w:rFonts w:eastAsia="Segoe UI"/>
              </w:rPr>
            </w:pPr>
            <w:r w:rsidRPr="65495267">
              <w:rPr>
                <w:rFonts w:eastAsia="Segoe UI"/>
              </w:rPr>
              <w:t>Pandemic</w:t>
            </w:r>
          </w:p>
        </w:tc>
        <w:tc>
          <w:tcPr>
            <w:tcW w:w="6645" w:type="dxa"/>
            <w:shd w:val="clear" w:color="auto" w:fill="auto"/>
          </w:tcPr>
          <w:p w14:paraId="4C62D26A" w14:textId="26AAE35A" w:rsidR="00F872DB" w:rsidRDefault="00F872DB" w:rsidP="00AF4C27">
            <w:pPr>
              <w:pStyle w:val="TableTextLeft"/>
              <w:rPr>
                <w:rFonts w:eastAsia="Segoe UI"/>
              </w:rPr>
            </w:pPr>
            <w:r w:rsidRPr="65495267">
              <w:rPr>
                <w:rFonts w:eastAsia="Segoe UI"/>
              </w:rPr>
              <w:t>Refers to COVID</w:t>
            </w:r>
            <w:r w:rsidR="00A15C79">
              <w:rPr>
                <w:rFonts w:eastAsia="Segoe UI"/>
              </w:rPr>
              <w:noBreakHyphen/>
            </w:r>
            <w:r w:rsidRPr="65495267">
              <w:rPr>
                <w:rFonts w:eastAsia="Segoe UI"/>
              </w:rPr>
              <w:t>19, which was declared a worldwide pandemic by the World Health Organisation on 11 March 2020. Australia</w:t>
            </w:r>
            <w:r w:rsidR="00A15C79">
              <w:rPr>
                <w:rFonts w:eastAsia="Segoe UI"/>
              </w:rPr>
              <w:t>’</w:t>
            </w:r>
            <w:r w:rsidRPr="65495267">
              <w:rPr>
                <w:rFonts w:eastAsia="Segoe UI"/>
              </w:rPr>
              <w:t>s Chief Medical Officer declared COVID</w:t>
            </w:r>
            <w:r w:rsidR="00A15C79">
              <w:rPr>
                <w:rFonts w:eastAsia="Segoe UI"/>
              </w:rPr>
              <w:noBreakHyphen/>
            </w:r>
            <w:r w:rsidRPr="65495267">
              <w:rPr>
                <w:rFonts w:eastAsia="Segoe UI"/>
              </w:rPr>
              <w:t>19 to no longer be a Communicable Disease Incident of National Significance in October 2023.</w:t>
            </w:r>
          </w:p>
        </w:tc>
      </w:tr>
      <w:tr w:rsidR="00750B49" w14:paraId="0E0B543E" w14:textId="77777777" w:rsidTr="00EC59F5">
        <w:trPr>
          <w:trHeight w:val="300"/>
        </w:trPr>
        <w:tc>
          <w:tcPr>
            <w:tcW w:w="2400" w:type="dxa"/>
            <w:shd w:val="clear" w:color="auto" w:fill="auto"/>
          </w:tcPr>
          <w:p w14:paraId="421F6E17" w14:textId="3A83F3C3" w:rsidR="00750B49" w:rsidRPr="65495267" w:rsidRDefault="00191F00" w:rsidP="00AF4C27">
            <w:pPr>
              <w:pStyle w:val="TableTextLeft"/>
              <w:rPr>
                <w:rFonts w:eastAsia="Segoe UI"/>
              </w:rPr>
            </w:pPr>
            <w:r w:rsidRPr="00191F00">
              <w:rPr>
                <w:rFonts w:eastAsia="Segoe UI"/>
              </w:rPr>
              <w:t>Persistent homelessness</w:t>
            </w:r>
          </w:p>
        </w:tc>
        <w:tc>
          <w:tcPr>
            <w:tcW w:w="6645" w:type="dxa"/>
            <w:shd w:val="clear" w:color="auto" w:fill="auto"/>
          </w:tcPr>
          <w:p w14:paraId="4ACF4EB5" w14:textId="1BA9DFF7" w:rsidR="00750B49" w:rsidRPr="65495267" w:rsidRDefault="00396B1D" w:rsidP="00AF4C27">
            <w:pPr>
              <w:pStyle w:val="TableTextLeft"/>
              <w:rPr>
                <w:rFonts w:eastAsia="Segoe UI"/>
              </w:rPr>
            </w:pPr>
            <w:r w:rsidRPr="00396B1D">
              <w:rPr>
                <w:rFonts w:eastAsia="Segoe UI"/>
              </w:rPr>
              <w:t>Clients of specialist homelessness services who have been homeless for more than 7 months in the preceding 24 month period.</w:t>
            </w:r>
          </w:p>
        </w:tc>
      </w:tr>
      <w:tr w:rsidR="00F872DB" w14:paraId="2DFE3521" w14:textId="77777777" w:rsidTr="00EC59F5">
        <w:trPr>
          <w:trHeight w:val="300"/>
        </w:trPr>
        <w:tc>
          <w:tcPr>
            <w:tcW w:w="2400" w:type="dxa"/>
            <w:shd w:val="clear" w:color="auto" w:fill="auto"/>
          </w:tcPr>
          <w:p w14:paraId="53670946" w14:textId="77777777" w:rsidR="00F872DB" w:rsidRDefault="00F872DB" w:rsidP="00AF4C27">
            <w:pPr>
              <w:pStyle w:val="TableTextLeft"/>
              <w:rPr>
                <w:rFonts w:eastAsia="Segoe UI"/>
              </w:rPr>
            </w:pPr>
            <w:r w:rsidRPr="65495267">
              <w:rPr>
                <w:rFonts w:eastAsia="Segoe UI"/>
              </w:rPr>
              <w:t>Planning system</w:t>
            </w:r>
          </w:p>
        </w:tc>
        <w:tc>
          <w:tcPr>
            <w:tcW w:w="6645" w:type="dxa"/>
            <w:shd w:val="clear" w:color="auto" w:fill="auto"/>
          </w:tcPr>
          <w:p w14:paraId="32DB9C0C" w14:textId="77777777" w:rsidR="00F872DB" w:rsidRDefault="00F872DB" w:rsidP="00AF4C27">
            <w:pPr>
              <w:pStyle w:val="TableTextLeft"/>
              <w:rPr>
                <w:rFonts w:eastAsia="Segoe UI"/>
              </w:rPr>
            </w:pPr>
            <w:r w:rsidRPr="65495267">
              <w:rPr>
                <w:rFonts w:eastAsia="Segoe UI"/>
              </w:rPr>
              <w:t xml:space="preserve">The system under which land is made available </w:t>
            </w:r>
            <w:r>
              <w:rPr>
                <w:rFonts w:eastAsia="Segoe UI"/>
              </w:rPr>
              <w:t xml:space="preserve">and regulated, including </w:t>
            </w:r>
            <w:r w:rsidRPr="65495267">
              <w:rPr>
                <w:rFonts w:eastAsia="Segoe UI"/>
              </w:rPr>
              <w:t>for housing development.</w:t>
            </w:r>
          </w:p>
        </w:tc>
      </w:tr>
      <w:tr w:rsidR="00F872DB" w14:paraId="10BC1FED" w14:textId="77777777" w:rsidTr="00EC59F5">
        <w:trPr>
          <w:trHeight w:val="300"/>
        </w:trPr>
        <w:tc>
          <w:tcPr>
            <w:tcW w:w="2400" w:type="dxa"/>
            <w:shd w:val="clear" w:color="auto" w:fill="auto"/>
          </w:tcPr>
          <w:p w14:paraId="0C48F262" w14:textId="77777777" w:rsidR="00F872DB" w:rsidRDefault="00F872DB" w:rsidP="00AF4C27">
            <w:pPr>
              <w:pStyle w:val="TableTextLeft"/>
              <w:rPr>
                <w:rFonts w:eastAsia="Segoe UI"/>
              </w:rPr>
            </w:pPr>
            <w:r w:rsidRPr="65495267">
              <w:rPr>
                <w:rFonts w:eastAsia="Segoe UI"/>
              </w:rPr>
              <w:t>Public housing</w:t>
            </w:r>
          </w:p>
        </w:tc>
        <w:tc>
          <w:tcPr>
            <w:tcW w:w="6645" w:type="dxa"/>
            <w:shd w:val="clear" w:color="auto" w:fill="auto"/>
          </w:tcPr>
          <w:p w14:paraId="65874056" w14:textId="0DF5BC80" w:rsidR="00F872DB" w:rsidRDefault="00B10900" w:rsidP="00AF4C27">
            <w:pPr>
              <w:pStyle w:val="TableTextLeft"/>
              <w:rPr>
                <w:rFonts w:eastAsia="Segoe UI"/>
              </w:rPr>
            </w:pPr>
            <w:r w:rsidRPr="00B10900">
              <w:rPr>
                <w:rFonts w:eastAsia="Segoe UI"/>
              </w:rPr>
              <w:t>Housing owned and managed by state and territory governments.</w:t>
            </w:r>
          </w:p>
        </w:tc>
      </w:tr>
      <w:tr w:rsidR="00F872DB" w:rsidRPr="00DE0BC2" w14:paraId="197E434D" w14:textId="77777777" w:rsidTr="00EC59F5">
        <w:trPr>
          <w:trHeight w:val="300"/>
        </w:trPr>
        <w:tc>
          <w:tcPr>
            <w:tcW w:w="2400" w:type="dxa"/>
            <w:shd w:val="clear" w:color="auto" w:fill="auto"/>
          </w:tcPr>
          <w:p w14:paraId="1C21842B" w14:textId="77777777" w:rsidR="00F872DB" w:rsidRPr="00DE0BC2" w:rsidRDefault="00F872DB" w:rsidP="00AF4C27">
            <w:pPr>
              <w:pStyle w:val="TableTextLeft"/>
              <w:rPr>
                <w:rFonts w:eastAsia="Segoe UI"/>
              </w:rPr>
            </w:pPr>
            <w:r w:rsidRPr="006306A4">
              <w:rPr>
                <w:rFonts w:eastAsia="Segoe UI"/>
              </w:rPr>
              <w:t>Real</w:t>
            </w:r>
          </w:p>
        </w:tc>
        <w:tc>
          <w:tcPr>
            <w:tcW w:w="6645" w:type="dxa"/>
            <w:shd w:val="clear" w:color="auto" w:fill="auto"/>
          </w:tcPr>
          <w:p w14:paraId="4CD81A85" w14:textId="77777777" w:rsidR="00F872DB" w:rsidRPr="00DE0BC2" w:rsidRDefault="00F872DB" w:rsidP="00AF4C27">
            <w:pPr>
              <w:pStyle w:val="TableTextLeft"/>
              <w:rPr>
                <w:rFonts w:eastAsia="Segoe UI"/>
              </w:rPr>
            </w:pPr>
            <w:r>
              <w:rPr>
                <w:rFonts w:eastAsia="Segoe UI"/>
              </w:rPr>
              <w:t>A</w:t>
            </w:r>
            <w:r w:rsidRPr="006306A4">
              <w:rPr>
                <w:rFonts w:eastAsia="Segoe UI"/>
              </w:rPr>
              <w:t>djuste</w:t>
            </w:r>
            <w:r>
              <w:rPr>
                <w:rFonts w:eastAsia="Segoe UI"/>
              </w:rPr>
              <w:t>d</w:t>
            </w:r>
            <w:r w:rsidRPr="006306A4">
              <w:rPr>
                <w:rFonts w:eastAsia="Segoe UI"/>
              </w:rPr>
              <w:t xml:space="preserve"> for inflation.</w:t>
            </w:r>
          </w:p>
        </w:tc>
      </w:tr>
      <w:tr w:rsidR="00F872DB" w:rsidRPr="00DE0BC2" w14:paraId="5469D71E" w14:textId="77777777" w:rsidTr="00EC59F5">
        <w:trPr>
          <w:trHeight w:val="300"/>
        </w:trPr>
        <w:tc>
          <w:tcPr>
            <w:tcW w:w="2400" w:type="dxa"/>
            <w:shd w:val="clear" w:color="auto" w:fill="auto"/>
          </w:tcPr>
          <w:p w14:paraId="1BE8926E" w14:textId="77777777" w:rsidR="00F872DB" w:rsidRPr="00DE0BC2" w:rsidRDefault="00F872DB" w:rsidP="00AF4C27">
            <w:pPr>
              <w:pStyle w:val="TableTextLeft"/>
              <w:rPr>
                <w:rFonts w:eastAsia="Segoe UI"/>
              </w:rPr>
            </w:pPr>
            <w:r>
              <w:rPr>
                <w:rFonts w:eastAsia="Segoe UI"/>
              </w:rPr>
              <w:t>Shared equity scheme</w:t>
            </w:r>
          </w:p>
        </w:tc>
        <w:tc>
          <w:tcPr>
            <w:tcW w:w="6645" w:type="dxa"/>
            <w:shd w:val="clear" w:color="auto" w:fill="auto"/>
          </w:tcPr>
          <w:p w14:paraId="444634F1" w14:textId="77777777" w:rsidR="00F872DB" w:rsidRPr="00DE0BC2" w:rsidRDefault="00F872DB" w:rsidP="00AF4C27">
            <w:pPr>
              <w:pStyle w:val="TableTextLeft"/>
              <w:rPr>
                <w:rFonts w:eastAsia="Segoe UI"/>
              </w:rPr>
            </w:pPr>
            <w:r>
              <w:rPr>
                <w:rFonts w:eastAsia="Segoe UI"/>
              </w:rPr>
              <w:t>A scheme whereby the home buyers shares the capital cost of purchasing a home with an equity partner, such as the government.</w:t>
            </w:r>
          </w:p>
        </w:tc>
      </w:tr>
      <w:tr w:rsidR="00F872DB" w14:paraId="7712C8FE" w14:textId="77777777" w:rsidTr="00EC59F5">
        <w:trPr>
          <w:trHeight w:val="300"/>
        </w:trPr>
        <w:tc>
          <w:tcPr>
            <w:tcW w:w="2400" w:type="dxa"/>
            <w:shd w:val="clear" w:color="auto" w:fill="auto"/>
          </w:tcPr>
          <w:p w14:paraId="7B6E845E" w14:textId="77777777" w:rsidR="00F872DB" w:rsidRDefault="00F872DB" w:rsidP="00AF4C27">
            <w:pPr>
              <w:pStyle w:val="TableTextLeft"/>
              <w:rPr>
                <w:rFonts w:eastAsia="Segoe UI"/>
              </w:rPr>
            </w:pPr>
            <w:r w:rsidRPr="65495267">
              <w:rPr>
                <w:rFonts w:eastAsia="Segoe UI"/>
              </w:rPr>
              <w:t>Social housing</w:t>
            </w:r>
          </w:p>
        </w:tc>
        <w:tc>
          <w:tcPr>
            <w:tcW w:w="6645" w:type="dxa"/>
            <w:shd w:val="clear" w:color="auto" w:fill="auto"/>
          </w:tcPr>
          <w:p w14:paraId="59D90E9F" w14:textId="315431CF" w:rsidR="00F872DB" w:rsidRDefault="00F872DB" w:rsidP="00AF4C27">
            <w:pPr>
              <w:pStyle w:val="TableTextLeft"/>
              <w:rPr>
                <w:rFonts w:eastAsia="Segoe UI"/>
              </w:rPr>
            </w:pPr>
            <w:r w:rsidRPr="65495267">
              <w:rPr>
                <w:rFonts w:eastAsia="Segoe UI"/>
              </w:rPr>
              <w:t>Low cost or subsidised rental housing provided by government or non</w:t>
            </w:r>
            <w:r w:rsidR="00A15C79">
              <w:rPr>
                <w:rFonts w:eastAsia="Segoe UI"/>
              </w:rPr>
              <w:noBreakHyphen/>
            </w:r>
            <w:r w:rsidRPr="65495267">
              <w:rPr>
                <w:rFonts w:eastAsia="Segoe UI"/>
              </w:rPr>
              <w:t>government (including not</w:t>
            </w:r>
            <w:r w:rsidR="00A15C79">
              <w:rPr>
                <w:rFonts w:eastAsia="Segoe UI"/>
              </w:rPr>
              <w:noBreakHyphen/>
            </w:r>
            <w:r w:rsidRPr="65495267">
              <w:rPr>
                <w:rFonts w:eastAsia="Segoe UI"/>
              </w:rPr>
              <w:t>for</w:t>
            </w:r>
            <w:r w:rsidR="00A15C79">
              <w:rPr>
                <w:rFonts w:eastAsia="Segoe UI"/>
              </w:rPr>
              <w:noBreakHyphen/>
            </w:r>
            <w:r w:rsidRPr="65495267">
              <w:rPr>
                <w:rFonts w:eastAsia="Segoe UI"/>
              </w:rPr>
              <w:t xml:space="preserve">profit) organisations. Social housing includes community housing, public housing and </w:t>
            </w:r>
            <w:r w:rsidR="00E62726">
              <w:rPr>
                <w:rFonts w:eastAsia="Segoe UI"/>
              </w:rPr>
              <w:t>S</w:t>
            </w:r>
            <w:r w:rsidRPr="65495267">
              <w:rPr>
                <w:rFonts w:eastAsia="Segoe UI"/>
              </w:rPr>
              <w:t>tate</w:t>
            </w:r>
            <w:r w:rsidR="00E62726">
              <w:rPr>
                <w:rFonts w:eastAsia="Segoe UI"/>
              </w:rPr>
              <w:t xml:space="preserve"> </w:t>
            </w:r>
            <w:r w:rsidRPr="65495267">
              <w:rPr>
                <w:rFonts w:eastAsia="Segoe UI"/>
              </w:rPr>
              <w:t>owned and managed Indigenous housing.</w:t>
            </w:r>
          </w:p>
        </w:tc>
      </w:tr>
      <w:tr w:rsidR="00F872DB" w14:paraId="2FC5ABF3" w14:textId="77777777" w:rsidTr="00EC59F5">
        <w:trPr>
          <w:trHeight w:val="300"/>
        </w:trPr>
        <w:tc>
          <w:tcPr>
            <w:tcW w:w="2400" w:type="dxa"/>
            <w:shd w:val="clear" w:color="auto" w:fill="auto"/>
          </w:tcPr>
          <w:p w14:paraId="26B5B34F" w14:textId="7750B426" w:rsidR="00F872DB" w:rsidRPr="00E1556D" w:rsidRDefault="00F872DB" w:rsidP="00AF4C27">
            <w:pPr>
              <w:pStyle w:val="TableTextLeft"/>
              <w:rPr>
                <w:rFonts w:eastAsia="Segoe UI"/>
              </w:rPr>
            </w:pPr>
            <w:r w:rsidRPr="00E1556D">
              <w:rPr>
                <w:rFonts w:eastAsia="Segoe UI"/>
              </w:rPr>
              <w:t>State</w:t>
            </w:r>
            <w:r w:rsidR="00702FC7" w:rsidRPr="00E1556D">
              <w:rPr>
                <w:rFonts w:eastAsia="Segoe UI"/>
              </w:rPr>
              <w:t xml:space="preserve"> </w:t>
            </w:r>
            <w:r w:rsidRPr="00E1556D">
              <w:rPr>
                <w:rFonts w:eastAsia="Segoe UI"/>
              </w:rPr>
              <w:t>owned and managed Indigenous housing (SOMIH)</w:t>
            </w:r>
          </w:p>
        </w:tc>
        <w:tc>
          <w:tcPr>
            <w:tcW w:w="6645" w:type="dxa"/>
            <w:shd w:val="clear" w:color="auto" w:fill="auto"/>
          </w:tcPr>
          <w:p w14:paraId="23AC9B11" w14:textId="77777777" w:rsidR="00F872DB" w:rsidRDefault="00F872DB" w:rsidP="00AF4C27">
            <w:pPr>
              <w:pStyle w:val="TableTextLeft"/>
              <w:rPr>
                <w:rFonts w:eastAsia="Segoe UI"/>
              </w:rPr>
            </w:pPr>
            <w:r w:rsidRPr="65495267">
              <w:rPr>
                <w:rFonts w:eastAsia="Segoe UI"/>
              </w:rPr>
              <w:t xml:space="preserve">Housing administered by state and territory governments that is specifically targeted to Indigenous households. </w:t>
            </w:r>
          </w:p>
        </w:tc>
      </w:tr>
      <w:tr w:rsidR="00F872DB" w:rsidRPr="00DE0BC2" w14:paraId="0DAEFC26" w14:textId="77777777" w:rsidTr="00EC59F5">
        <w:trPr>
          <w:trHeight w:val="300"/>
        </w:trPr>
        <w:tc>
          <w:tcPr>
            <w:tcW w:w="2400" w:type="dxa"/>
            <w:shd w:val="clear" w:color="auto" w:fill="auto"/>
          </w:tcPr>
          <w:p w14:paraId="4D625BC6" w14:textId="77777777" w:rsidR="00F872DB" w:rsidRPr="00DE0BC2" w:rsidRDefault="00F872DB" w:rsidP="00AF4C27">
            <w:pPr>
              <w:pStyle w:val="TableTextLeft"/>
              <w:rPr>
                <w:rFonts w:eastAsia="Segoe UI"/>
              </w:rPr>
            </w:pPr>
            <w:r>
              <w:rPr>
                <w:rFonts w:eastAsia="Segoe UI"/>
              </w:rPr>
              <w:t>Supply s</w:t>
            </w:r>
            <w:r w:rsidRPr="006306A4">
              <w:rPr>
                <w:rFonts w:eastAsia="Segoe UI"/>
              </w:rPr>
              <w:t>hortfall</w:t>
            </w:r>
          </w:p>
        </w:tc>
        <w:tc>
          <w:tcPr>
            <w:tcW w:w="6645" w:type="dxa"/>
            <w:shd w:val="clear" w:color="auto" w:fill="auto"/>
          </w:tcPr>
          <w:p w14:paraId="5167943E" w14:textId="77777777" w:rsidR="00F872DB" w:rsidRPr="00DE0BC2" w:rsidRDefault="00F872DB" w:rsidP="00AF4C27">
            <w:pPr>
              <w:pStyle w:val="TableTextLeft"/>
              <w:rPr>
                <w:rFonts w:eastAsia="Segoe UI"/>
              </w:rPr>
            </w:pPr>
            <w:r>
              <w:rPr>
                <w:rFonts w:eastAsia="Segoe UI"/>
              </w:rPr>
              <w:t>N</w:t>
            </w:r>
            <w:r w:rsidRPr="006306A4">
              <w:rPr>
                <w:rFonts w:eastAsia="Segoe UI"/>
              </w:rPr>
              <w:t xml:space="preserve">ew underlying demand </w:t>
            </w:r>
            <w:r>
              <w:rPr>
                <w:rFonts w:eastAsia="Segoe UI"/>
              </w:rPr>
              <w:t>less</w:t>
            </w:r>
            <w:r w:rsidRPr="006306A4">
              <w:rPr>
                <w:rFonts w:eastAsia="Segoe UI"/>
              </w:rPr>
              <w:t xml:space="preserve"> net new housing supply in a given </w:t>
            </w:r>
            <w:r>
              <w:rPr>
                <w:rFonts w:eastAsia="Segoe UI"/>
              </w:rPr>
              <w:t>time period</w:t>
            </w:r>
            <w:r w:rsidRPr="006306A4">
              <w:rPr>
                <w:rFonts w:eastAsia="Segoe UI"/>
              </w:rPr>
              <w:t>.</w:t>
            </w:r>
            <w:r>
              <w:rPr>
                <w:rFonts w:eastAsia="Segoe UI"/>
              </w:rPr>
              <w:t xml:space="preserve"> </w:t>
            </w:r>
          </w:p>
        </w:tc>
      </w:tr>
      <w:tr w:rsidR="00F872DB" w:rsidRPr="00DE0BC2" w14:paraId="606A7241" w14:textId="77777777" w:rsidTr="00EC59F5">
        <w:trPr>
          <w:trHeight w:val="300"/>
        </w:trPr>
        <w:tc>
          <w:tcPr>
            <w:tcW w:w="2400" w:type="dxa"/>
            <w:shd w:val="clear" w:color="auto" w:fill="auto"/>
          </w:tcPr>
          <w:p w14:paraId="739B8709" w14:textId="77777777" w:rsidR="00F872DB" w:rsidRPr="00DE0BC2" w:rsidRDefault="00F872DB" w:rsidP="00AF4C27">
            <w:pPr>
              <w:pStyle w:val="TableTextLeft"/>
              <w:rPr>
                <w:rFonts w:eastAsia="Segoe UI"/>
              </w:rPr>
            </w:pPr>
            <w:r>
              <w:rPr>
                <w:rFonts w:eastAsia="Segoe UI"/>
              </w:rPr>
              <w:t>Supported market rental housing</w:t>
            </w:r>
          </w:p>
        </w:tc>
        <w:tc>
          <w:tcPr>
            <w:tcW w:w="6645" w:type="dxa"/>
            <w:shd w:val="clear" w:color="auto" w:fill="auto"/>
          </w:tcPr>
          <w:p w14:paraId="30985E67" w14:textId="1B132BC9" w:rsidR="00F872DB" w:rsidRPr="00DE0BC2" w:rsidRDefault="00F872DB" w:rsidP="00AF4C27">
            <w:pPr>
              <w:pStyle w:val="TableTextLeft"/>
              <w:rPr>
                <w:rFonts w:eastAsia="Segoe UI"/>
              </w:rPr>
            </w:pPr>
            <w:r>
              <w:rPr>
                <w:rFonts w:eastAsia="Segoe UI"/>
              </w:rPr>
              <w:t xml:space="preserve">Rental housing provided at a market rate by a private landlord where the tenant receives direct income support, usually </w:t>
            </w:r>
            <w:r w:rsidR="006A4F98">
              <w:rPr>
                <w:rFonts w:eastAsia="Segoe UI"/>
              </w:rPr>
              <w:t>from</w:t>
            </w:r>
            <w:r>
              <w:rPr>
                <w:rFonts w:eastAsia="Segoe UI"/>
              </w:rPr>
              <w:t xml:space="preserve"> the government, to help reduce housing costs (such as Commonwealth </w:t>
            </w:r>
            <w:r w:rsidR="00B10900">
              <w:rPr>
                <w:rFonts w:eastAsia="Segoe UI"/>
              </w:rPr>
              <w:t xml:space="preserve">Rent </w:t>
            </w:r>
            <w:r>
              <w:rPr>
                <w:rFonts w:eastAsia="Segoe UI"/>
              </w:rPr>
              <w:t>Assistance)</w:t>
            </w:r>
            <w:r w:rsidR="006A4F98">
              <w:rPr>
                <w:rFonts w:eastAsia="Segoe UI"/>
              </w:rPr>
              <w:t>.</w:t>
            </w:r>
          </w:p>
        </w:tc>
      </w:tr>
      <w:tr w:rsidR="00F872DB" w:rsidRPr="00DE0BC2" w14:paraId="2E7F8014" w14:textId="77777777" w:rsidTr="00EC59F5">
        <w:trPr>
          <w:trHeight w:val="300"/>
        </w:trPr>
        <w:tc>
          <w:tcPr>
            <w:tcW w:w="2400" w:type="dxa"/>
            <w:shd w:val="clear" w:color="auto" w:fill="auto"/>
          </w:tcPr>
          <w:p w14:paraId="6EAE0379" w14:textId="77777777" w:rsidR="00F872DB" w:rsidRDefault="00F872DB" w:rsidP="00AF4C27">
            <w:pPr>
              <w:pStyle w:val="TableTextLeft"/>
              <w:rPr>
                <w:rFonts w:eastAsia="Segoe UI"/>
              </w:rPr>
            </w:pPr>
            <w:r>
              <w:rPr>
                <w:rFonts w:eastAsia="Segoe UI"/>
              </w:rPr>
              <w:t>The National Housing Accord</w:t>
            </w:r>
          </w:p>
        </w:tc>
        <w:tc>
          <w:tcPr>
            <w:tcW w:w="6645" w:type="dxa"/>
            <w:shd w:val="clear" w:color="auto" w:fill="auto"/>
          </w:tcPr>
          <w:p w14:paraId="24C82D53" w14:textId="25F0A9E3" w:rsidR="00F872DB" w:rsidRDefault="006A4F98" w:rsidP="00AF4C27">
            <w:pPr>
              <w:pStyle w:val="TableTextLeft"/>
              <w:rPr>
                <w:rFonts w:eastAsia="Segoe UI"/>
              </w:rPr>
            </w:pPr>
            <w:r>
              <w:rPr>
                <w:rFonts w:eastAsia="Segoe UI"/>
              </w:rPr>
              <w:t>A</w:t>
            </w:r>
            <w:r w:rsidR="00F872DB">
              <w:rPr>
                <w:rFonts w:eastAsia="Segoe UI"/>
              </w:rPr>
              <w:t xml:space="preserve">n </w:t>
            </w:r>
            <w:r w:rsidR="0099326B">
              <w:rPr>
                <w:rFonts w:eastAsia="Segoe UI"/>
              </w:rPr>
              <w:t>Australian Government</w:t>
            </w:r>
            <w:r w:rsidR="00F872DB">
              <w:rPr>
                <w:rFonts w:eastAsia="Segoe UI"/>
              </w:rPr>
              <w:t xml:space="preserve"> initiative that </w:t>
            </w:r>
            <w:r w:rsidR="00F872DB" w:rsidRPr="005163DC">
              <w:rPr>
                <w:rFonts w:eastAsia="Segoe UI"/>
              </w:rPr>
              <w:t>brings together all levels</w:t>
            </w:r>
            <w:r w:rsidR="00F872DB">
              <w:rPr>
                <w:rFonts w:eastAsia="Segoe UI"/>
              </w:rPr>
              <w:t xml:space="preserve"> </w:t>
            </w:r>
            <w:r w:rsidR="00F872DB" w:rsidRPr="005163DC">
              <w:rPr>
                <w:rFonts w:eastAsia="Segoe UI"/>
              </w:rPr>
              <w:t>of government, investors and the residential development,</w:t>
            </w:r>
            <w:r w:rsidR="00F872DB">
              <w:rPr>
                <w:rFonts w:eastAsia="Segoe UI"/>
              </w:rPr>
              <w:t xml:space="preserve"> </w:t>
            </w:r>
            <w:r w:rsidR="00F872DB" w:rsidRPr="005163DC">
              <w:rPr>
                <w:rFonts w:eastAsia="Segoe UI"/>
              </w:rPr>
              <w:t>building and construction sectors to unlock quality,</w:t>
            </w:r>
            <w:r w:rsidR="00F872DB">
              <w:rPr>
                <w:rFonts w:eastAsia="Segoe UI"/>
              </w:rPr>
              <w:t xml:space="preserve"> </w:t>
            </w:r>
            <w:r w:rsidR="00F872DB" w:rsidRPr="005163DC">
              <w:rPr>
                <w:rFonts w:eastAsia="Segoe UI"/>
              </w:rPr>
              <w:t>affordable housing supply over the medium ter</w:t>
            </w:r>
            <w:r w:rsidR="00F872DB">
              <w:rPr>
                <w:rFonts w:eastAsia="Segoe UI"/>
              </w:rPr>
              <w:t xml:space="preserve">m. </w:t>
            </w:r>
            <w:r w:rsidR="00447360">
              <w:rPr>
                <w:rFonts w:eastAsia="Segoe UI"/>
              </w:rPr>
              <w:t>I</w:t>
            </w:r>
            <w:r w:rsidR="00F872DB">
              <w:rPr>
                <w:rFonts w:eastAsia="Segoe UI"/>
              </w:rPr>
              <w:t xml:space="preserve">ncludes an aspirational target to build </w:t>
            </w:r>
            <w:r w:rsidR="00F872DB" w:rsidRPr="00F83195">
              <w:rPr>
                <w:rFonts w:eastAsia="Segoe UI"/>
              </w:rPr>
              <w:t>1.2</w:t>
            </w:r>
            <w:r w:rsidR="0099326B">
              <w:rPr>
                <w:rFonts w:eastAsia="Segoe UI"/>
              </w:rPr>
              <w:t> million</w:t>
            </w:r>
            <w:r w:rsidR="00F872DB" w:rsidRPr="00F83195">
              <w:rPr>
                <w:rFonts w:eastAsia="Segoe UI"/>
              </w:rPr>
              <w:t xml:space="preserve"> new well</w:t>
            </w:r>
            <w:r w:rsidR="00A15C79">
              <w:rPr>
                <w:rFonts w:eastAsia="Segoe UI"/>
              </w:rPr>
              <w:noBreakHyphen/>
            </w:r>
            <w:r w:rsidR="00F872DB" w:rsidRPr="00F83195">
              <w:rPr>
                <w:rFonts w:eastAsia="Segoe UI"/>
              </w:rPr>
              <w:t>located homes over 5 years from mid</w:t>
            </w:r>
            <w:r w:rsidR="00A15C79">
              <w:rPr>
                <w:rFonts w:eastAsia="Segoe UI"/>
              </w:rPr>
              <w:noBreakHyphen/>
            </w:r>
            <w:r w:rsidR="00F872DB" w:rsidRPr="00F83195">
              <w:rPr>
                <w:rFonts w:eastAsia="Segoe UI"/>
              </w:rPr>
              <w:t>2024</w:t>
            </w:r>
            <w:r w:rsidR="00F872DB">
              <w:rPr>
                <w:rFonts w:eastAsia="Segoe UI"/>
              </w:rPr>
              <w:t xml:space="preserve"> together with </w:t>
            </w:r>
            <w:r w:rsidR="00F872DB" w:rsidRPr="00F41D28">
              <w:rPr>
                <w:rFonts w:eastAsia="Segoe UI"/>
              </w:rPr>
              <w:t>immediate and longer</w:t>
            </w:r>
            <w:r w:rsidR="00A15C79">
              <w:rPr>
                <w:rFonts w:eastAsia="Segoe UI"/>
              </w:rPr>
              <w:noBreakHyphen/>
            </w:r>
            <w:r w:rsidR="00F872DB" w:rsidRPr="00F41D28">
              <w:rPr>
                <w:rFonts w:eastAsia="Segoe UI"/>
              </w:rPr>
              <w:t>term actions for all parties to support the delivery of more affordable homes</w:t>
            </w:r>
            <w:r w:rsidR="00F872DB">
              <w:rPr>
                <w:rFonts w:eastAsia="Segoe UI"/>
              </w:rPr>
              <w:t xml:space="preserve">. </w:t>
            </w:r>
          </w:p>
        </w:tc>
      </w:tr>
      <w:tr w:rsidR="00F872DB" w:rsidRPr="00DE0BC2" w14:paraId="0F1767FD" w14:textId="77777777" w:rsidTr="00EC59F5">
        <w:trPr>
          <w:trHeight w:val="300"/>
        </w:trPr>
        <w:tc>
          <w:tcPr>
            <w:tcW w:w="2400" w:type="dxa"/>
            <w:shd w:val="clear" w:color="auto" w:fill="auto"/>
          </w:tcPr>
          <w:p w14:paraId="6C613835" w14:textId="77777777" w:rsidR="00F872DB" w:rsidRPr="00DE0BC2" w:rsidRDefault="00F872DB" w:rsidP="00AF4C27">
            <w:pPr>
              <w:pStyle w:val="TableTextLeft"/>
              <w:rPr>
                <w:rFonts w:eastAsia="Segoe UI"/>
              </w:rPr>
            </w:pPr>
            <w:r>
              <w:rPr>
                <w:rFonts w:eastAsia="Segoe UI"/>
              </w:rPr>
              <w:t>Underlying demand</w:t>
            </w:r>
          </w:p>
        </w:tc>
        <w:tc>
          <w:tcPr>
            <w:tcW w:w="6645" w:type="dxa"/>
            <w:shd w:val="clear" w:color="auto" w:fill="auto"/>
          </w:tcPr>
          <w:p w14:paraId="3471DC26" w14:textId="54F58290" w:rsidR="00F872DB" w:rsidRPr="00DE0BC2" w:rsidRDefault="00F872DB" w:rsidP="00AF4C27">
            <w:pPr>
              <w:pStyle w:val="TableTextLeft"/>
              <w:rPr>
                <w:rFonts w:eastAsia="Segoe UI"/>
              </w:rPr>
            </w:pPr>
            <w:r>
              <w:rPr>
                <w:rFonts w:eastAsia="Segoe UI"/>
              </w:rPr>
              <w:t>An estimate of the number of dwellings that would be required to accommodate the population based on its demographic characteristics, which influence the way individuals to group themselves to form various living arrangements.</w:t>
            </w:r>
          </w:p>
        </w:tc>
      </w:tr>
      <w:tr w:rsidR="00F872DB" w:rsidRPr="00DE0BC2" w14:paraId="4FC90C37" w14:textId="77777777" w:rsidTr="00EC59F5">
        <w:trPr>
          <w:trHeight w:val="300"/>
        </w:trPr>
        <w:tc>
          <w:tcPr>
            <w:tcW w:w="2400" w:type="dxa"/>
            <w:shd w:val="clear" w:color="auto" w:fill="auto"/>
          </w:tcPr>
          <w:p w14:paraId="39708B5C" w14:textId="77777777" w:rsidR="00F872DB" w:rsidRPr="00DE0BC2" w:rsidRDefault="00F872DB" w:rsidP="00AF4C27">
            <w:pPr>
              <w:pStyle w:val="TableTextLeft"/>
              <w:rPr>
                <w:rFonts w:eastAsia="Segoe UI"/>
              </w:rPr>
            </w:pPr>
            <w:r>
              <w:rPr>
                <w:rFonts w:eastAsia="Segoe UI"/>
              </w:rPr>
              <w:t>Unmet housing need</w:t>
            </w:r>
          </w:p>
        </w:tc>
        <w:tc>
          <w:tcPr>
            <w:tcW w:w="6645" w:type="dxa"/>
            <w:shd w:val="clear" w:color="auto" w:fill="auto"/>
          </w:tcPr>
          <w:p w14:paraId="4D6250F8" w14:textId="0FF1D9D2" w:rsidR="00F872DB" w:rsidRPr="00DE0BC2" w:rsidRDefault="00F872DB" w:rsidP="00AF4C27">
            <w:pPr>
              <w:pStyle w:val="TableTextLeft"/>
              <w:rPr>
                <w:rFonts w:eastAsia="Segoe UI"/>
              </w:rPr>
            </w:pPr>
            <w:r>
              <w:rPr>
                <w:rFonts w:eastAsia="Segoe UI"/>
              </w:rPr>
              <w:t>An estimate of the number of households without access to appropriate housing. This includes households on low incomes paying more than 30</w:t>
            </w:r>
            <w:r w:rsidR="0099326B">
              <w:rPr>
                <w:rFonts w:eastAsia="Segoe UI"/>
              </w:rPr>
              <w:t> per cent</w:t>
            </w:r>
            <w:r>
              <w:rPr>
                <w:rFonts w:eastAsia="Segoe UI"/>
              </w:rPr>
              <w:t xml:space="preserve"> of their income on rent and households that would be formed by the homeless population if their housing needs were met (this can be estimated by dividing the homeless population by the average household size).</w:t>
            </w:r>
          </w:p>
        </w:tc>
      </w:tr>
      <w:tr w:rsidR="00F872DB" w14:paraId="4AF61288" w14:textId="77777777" w:rsidTr="00EC59F5">
        <w:trPr>
          <w:trHeight w:val="300"/>
        </w:trPr>
        <w:tc>
          <w:tcPr>
            <w:tcW w:w="2400" w:type="dxa"/>
          </w:tcPr>
          <w:p w14:paraId="6EE676D0" w14:textId="77777777" w:rsidR="00F872DB" w:rsidRDefault="00F872DB" w:rsidP="00AF4C27">
            <w:pPr>
              <w:pStyle w:val="TableTextLeft"/>
              <w:rPr>
                <w:rFonts w:eastAsia="Segoe UI"/>
              </w:rPr>
            </w:pPr>
            <w:r w:rsidRPr="65495267">
              <w:rPr>
                <w:rFonts w:eastAsia="Segoe UI"/>
              </w:rPr>
              <w:t>Vacancy rate</w:t>
            </w:r>
          </w:p>
        </w:tc>
        <w:tc>
          <w:tcPr>
            <w:tcW w:w="6645" w:type="dxa"/>
          </w:tcPr>
          <w:p w14:paraId="1A690BCA" w14:textId="41DD8FE2" w:rsidR="00F872DB" w:rsidRDefault="00185676" w:rsidP="00AF4C27">
            <w:pPr>
              <w:pStyle w:val="TableTextLeft"/>
              <w:rPr>
                <w:rFonts w:eastAsia="Segoe UI"/>
              </w:rPr>
            </w:pPr>
            <w:r w:rsidRPr="00185676">
              <w:rPr>
                <w:rFonts w:eastAsia="Segoe UI"/>
              </w:rPr>
              <w:t>The proportion of inhabitable rental premises which are vacant.</w:t>
            </w:r>
          </w:p>
        </w:tc>
      </w:tr>
    </w:tbl>
    <w:p w14:paraId="61025A53" w14:textId="77777777" w:rsidR="006F5BB5" w:rsidRDefault="006F5BB5" w:rsidP="006F5BB5">
      <w:pPr>
        <w:sectPr w:rsidR="006F5BB5" w:rsidSect="00CC5EA5">
          <w:footerReference w:type="even" r:id="rId164"/>
          <w:footerReference w:type="default" r:id="rId165"/>
          <w:pgSz w:w="11906" w:h="16838" w:code="9"/>
          <w:pgMar w:top="1843" w:right="1418" w:bottom="1418" w:left="1418" w:header="709" w:footer="709" w:gutter="0"/>
          <w:cols w:space="708"/>
          <w:docGrid w:linePitch="360"/>
        </w:sectPr>
      </w:pPr>
    </w:p>
    <w:p w14:paraId="3B9907FA" w14:textId="3A06EE52" w:rsidR="006103E2" w:rsidRDefault="006103E2" w:rsidP="006F5BB5">
      <w:pPr>
        <w:pStyle w:val="AppendixHeading"/>
        <w:spacing w:before="0"/>
      </w:pPr>
      <w:bookmarkStart w:id="185" w:name="_Toc196395916"/>
      <w:r>
        <w:lastRenderedPageBreak/>
        <w:t xml:space="preserve">Appendix B: </w:t>
      </w:r>
      <w:r w:rsidR="008E24A1">
        <w:t xml:space="preserve">The </w:t>
      </w:r>
      <w:r>
        <w:t>Council</w:t>
      </w:r>
      <w:r w:rsidR="00A15C79">
        <w:t>’</w:t>
      </w:r>
      <w:r>
        <w:t xml:space="preserve">s work over the </w:t>
      </w:r>
      <w:r w:rsidRPr="00AF4C27">
        <w:t>year</w:t>
      </w:r>
      <w:bookmarkEnd w:id="185"/>
    </w:p>
    <w:p w14:paraId="78D3DC41" w14:textId="48201497" w:rsidR="006103E2" w:rsidRDefault="006103E2" w:rsidP="00AF4C27">
      <w:pPr>
        <w:pStyle w:val="Heading2"/>
      </w:pPr>
      <w:bookmarkStart w:id="186" w:name="_Toc194476428"/>
      <w:bookmarkStart w:id="187" w:name="_Toc194478454"/>
      <w:bookmarkStart w:id="188" w:name="_Toc194478995"/>
      <w:bookmarkStart w:id="189" w:name="_Toc194482592"/>
      <w:bookmarkStart w:id="190" w:name="_Toc195026371"/>
      <w:bookmarkStart w:id="191" w:name="_Toc195026626"/>
      <w:bookmarkStart w:id="192" w:name="_Toc195106385"/>
      <w:bookmarkStart w:id="193" w:name="_Toc196395917"/>
      <w:r>
        <w:t xml:space="preserve">Council </w:t>
      </w:r>
      <w:r w:rsidRPr="00AF4C27">
        <w:t>activity</w:t>
      </w:r>
      <w:r>
        <w:t xml:space="preserve"> in 2024</w:t>
      </w:r>
      <w:r w:rsidR="00B46D92">
        <w:t>–</w:t>
      </w:r>
      <w:r>
        <w:t>25</w:t>
      </w:r>
      <w:bookmarkEnd w:id="186"/>
      <w:bookmarkEnd w:id="187"/>
      <w:bookmarkEnd w:id="188"/>
      <w:bookmarkEnd w:id="189"/>
      <w:bookmarkEnd w:id="190"/>
      <w:bookmarkEnd w:id="191"/>
      <w:bookmarkEnd w:id="192"/>
      <w:bookmarkEnd w:id="193"/>
    </w:p>
    <w:p w14:paraId="72B5B307" w14:textId="1439BA83" w:rsidR="006103E2" w:rsidRDefault="006103E2">
      <w:r w:rsidRPr="00516083">
        <w:t xml:space="preserve">Under the </w:t>
      </w:r>
      <w:r w:rsidRPr="00A15C79">
        <w:rPr>
          <w:rStyle w:val="Emphasis"/>
        </w:rPr>
        <w:t>National Housing Supply and Affordability Council Act 2023</w:t>
      </w:r>
      <w:r w:rsidRPr="00516083">
        <w:t>, the Council is required to report to the Minister</w:t>
      </w:r>
      <w:r w:rsidR="005A273E">
        <w:t xml:space="preserve"> </w:t>
      </w:r>
      <w:r w:rsidRPr="00516083">
        <w:t xml:space="preserve">each financial year on research into housing supply and affordability </w:t>
      </w:r>
      <w:r w:rsidR="00AE3059">
        <w:t xml:space="preserve">it has </w:t>
      </w:r>
      <w:r w:rsidRPr="00516083">
        <w:t>undertaken, and any findings, conclusions or recommendations resulting from that research.</w:t>
      </w:r>
      <w:r w:rsidR="004605A5">
        <w:t xml:space="preserve"> The results of</w:t>
      </w:r>
      <w:r w:rsidR="00FC4B26">
        <w:t xml:space="preserve"> the Council</w:t>
      </w:r>
      <w:r w:rsidR="00A15C79">
        <w:t>’</w:t>
      </w:r>
      <w:r w:rsidR="00FC4B26">
        <w:t>s 2024–25 research is included in this report.</w:t>
      </w:r>
    </w:p>
    <w:p w14:paraId="3FA218D7" w14:textId="11687076" w:rsidR="006103E2" w:rsidRDefault="006103E2">
      <w:pPr>
        <w:pStyle w:val="Heading3"/>
      </w:pPr>
      <w:r w:rsidRPr="00516083">
        <w:t xml:space="preserve">Submission to the Senate </w:t>
      </w:r>
      <w:r w:rsidR="00A7702B">
        <w:t>i</w:t>
      </w:r>
      <w:r w:rsidRPr="00516083">
        <w:t>nquiry into improving consumer experiences</w:t>
      </w:r>
    </w:p>
    <w:p w14:paraId="489FCF57" w14:textId="4CDCA53A" w:rsidR="006103E2" w:rsidRDefault="006103E2">
      <w:r>
        <w:t xml:space="preserve">On 6 May 2024, the Council made a </w:t>
      </w:r>
      <w:r w:rsidRPr="00B538C1">
        <w:t>submission</w:t>
      </w:r>
      <w:r>
        <w:t xml:space="preserve"> to the Senate Inquiry </w:t>
      </w:r>
      <w:r w:rsidRPr="007D4024">
        <w:t>into improving consumer experiences, choice and outcomes in Australia</w:t>
      </w:r>
      <w:r w:rsidR="00A15C79">
        <w:t>’</w:t>
      </w:r>
      <w:r w:rsidRPr="007D4024">
        <w:t>s retirement system</w:t>
      </w:r>
      <w:r>
        <w:t xml:space="preserve">. The submission included </w:t>
      </w:r>
      <w:r w:rsidR="00A7702B">
        <w:t>the Council</w:t>
      </w:r>
      <w:r w:rsidR="00A15C79">
        <w:t>’</w:t>
      </w:r>
      <w:r w:rsidR="00A7702B">
        <w:t xml:space="preserve">s </w:t>
      </w:r>
      <w:r w:rsidRPr="00FA417F" w:rsidDel="00A7702B">
        <w:t xml:space="preserve">published </w:t>
      </w:r>
      <w:r w:rsidRPr="00FA417F">
        <w:t>research</w:t>
      </w:r>
      <w:r w:rsidRPr="00FA417F" w:rsidDel="00A7702B">
        <w:t xml:space="preserve"> </w:t>
      </w:r>
      <w:r>
        <w:t>on the s</w:t>
      </w:r>
      <w:r w:rsidRPr="00FA417F">
        <w:t xml:space="preserve">tate of the </w:t>
      </w:r>
      <w:r>
        <w:t>h</w:t>
      </w:r>
      <w:r w:rsidRPr="00FA417F">
        <w:t xml:space="preserve">ousing </w:t>
      </w:r>
      <w:r>
        <w:t>s</w:t>
      </w:r>
      <w:r w:rsidRPr="00FA417F">
        <w:t>ystem</w:t>
      </w:r>
      <w:r>
        <w:t xml:space="preserve"> and barriers to institutional investment, finance and innovation in housing.</w:t>
      </w:r>
    </w:p>
    <w:p w14:paraId="35E21146" w14:textId="67003EF0" w:rsidR="006103E2" w:rsidRDefault="006103E2">
      <w:pPr>
        <w:pStyle w:val="Heading3"/>
      </w:pPr>
      <w:r>
        <w:t xml:space="preserve">Submission to the Help to Buy </w:t>
      </w:r>
      <w:r w:rsidR="002D0475">
        <w:t>p</w:t>
      </w:r>
      <w:r>
        <w:t xml:space="preserve">rogram </w:t>
      </w:r>
      <w:r w:rsidR="002D0475">
        <w:t>d</w:t>
      </w:r>
      <w:r>
        <w:t>irections</w:t>
      </w:r>
    </w:p>
    <w:p w14:paraId="3CBD8E03" w14:textId="0365682B" w:rsidR="006103E2" w:rsidRDefault="006103E2">
      <w:r>
        <w:t xml:space="preserve">On 22 May 2024, </w:t>
      </w:r>
      <w:r w:rsidRPr="00176F6D">
        <w:t>the Council made a submission to Treasury</w:t>
      </w:r>
      <w:r w:rsidR="00A15C79">
        <w:t>’</w:t>
      </w:r>
      <w:r w:rsidRPr="00176F6D">
        <w:t xml:space="preserve">s consultation on the </w:t>
      </w:r>
      <w:r w:rsidRPr="00B538C1">
        <w:t>Help to Buy program directions</w:t>
      </w:r>
      <w:r w:rsidRPr="00176F6D">
        <w:t>.</w:t>
      </w:r>
      <w:r>
        <w:t xml:space="preserve"> The submission provided suggestions for improving and refining the communication of applicant eligibility, income thresholds, the frequency of reviews and the administration of the program, including insurance and valuation requirements</w:t>
      </w:r>
      <w:r w:rsidR="00A15C79">
        <w:t xml:space="preserve">. </w:t>
      </w:r>
      <w:r>
        <w:t xml:space="preserve"> </w:t>
      </w:r>
    </w:p>
    <w:p w14:paraId="4EFDCBED" w14:textId="77777777" w:rsidR="006103E2" w:rsidRDefault="006103E2">
      <w:pPr>
        <w:pStyle w:val="Heading3"/>
      </w:pPr>
      <w:r>
        <w:t xml:space="preserve">Housing Australia Future Fund annual disbursement allocation </w:t>
      </w:r>
    </w:p>
    <w:p w14:paraId="79851DD5" w14:textId="5284D677" w:rsidR="006103E2" w:rsidRDefault="006103E2">
      <w:r>
        <w:t xml:space="preserve">On 23 May 2024, the Council provided advice to the Minister for Housing on the Housing Australia Future Fund </w:t>
      </w:r>
      <w:r w:rsidDel="001761E8">
        <w:t>d</w:t>
      </w:r>
      <w:r>
        <w:t>isbursement</w:t>
      </w:r>
      <w:r w:rsidR="00B06557">
        <w:t>s</w:t>
      </w:r>
      <w:r>
        <w:t xml:space="preserve"> for the 2024</w:t>
      </w:r>
      <w:r w:rsidR="008C63D2">
        <w:t>–</w:t>
      </w:r>
      <w:r>
        <w:t xml:space="preserve">25 financial year, in line with requirements under the </w:t>
      </w:r>
      <w:r w:rsidRPr="00A15C79">
        <w:rPr>
          <w:rStyle w:val="Emphasis"/>
        </w:rPr>
        <w:t xml:space="preserve">National Housing Supply and Affordability Council Act 2023. </w:t>
      </w:r>
    </w:p>
    <w:p w14:paraId="02D67350" w14:textId="60E95141" w:rsidR="006103E2" w:rsidRDefault="006103E2">
      <w:pPr>
        <w:pStyle w:val="Heading3"/>
      </w:pPr>
      <w:r>
        <w:t>Workshop on the Council</w:t>
      </w:r>
      <w:r w:rsidR="00A15C79">
        <w:t>’</w:t>
      </w:r>
      <w:r>
        <w:t>s demand and supply model</w:t>
      </w:r>
    </w:p>
    <w:p w14:paraId="1E769BB4" w14:textId="1BC14A96" w:rsidR="00B46D92" w:rsidRDefault="006103E2" w:rsidP="006F5BB5">
      <w:r>
        <w:t>On 16 August 2024, the Council convened a workshop with staff from Treasury and members of the academic community to discuss the Council</w:t>
      </w:r>
      <w:r w:rsidR="00A15C79">
        <w:t>’</w:t>
      </w:r>
      <w:r>
        <w:t>s capability for forecasting housing demand and supply.</w:t>
      </w:r>
      <w:r w:rsidR="00B46D92">
        <w:br w:type="page"/>
      </w:r>
    </w:p>
    <w:p w14:paraId="75CBCE76" w14:textId="64369ECA" w:rsidR="006103E2" w:rsidRDefault="006103E2">
      <w:pPr>
        <w:pStyle w:val="Heading3"/>
      </w:pPr>
      <w:r>
        <w:lastRenderedPageBreak/>
        <w:t>Submission to the Senate Inquiry into the financial regulatory framework and home ownership</w:t>
      </w:r>
    </w:p>
    <w:p w14:paraId="26BC81ED" w14:textId="7B28235A" w:rsidR="006103E2" w:rsidRDefault="006103E2">
      <w:r>
        <w:t xml:space="preserve">On 23 September 2024, </w:t>
      </w:r>
      <w:r w:rsidRPr="0049637F">
        <w:t xml:space="preserve">the Council </w:t>
      </w:r>
      <w:r>
        <w:t>made</w:t>
      </w:r>
      <w:r w:rsidRPr="0049637F">
        <w:t xml:space="preserve"> a </w:t>
      </w:r>
      <w:r w:rsidRPr="00B538C1">
        <w:t>submission</w:t>
      </w:r>
      <w:r w:rsidRPr="0049637F">
        <w:t xml:space="preserve"> to the Senate Inquiry into </w:t>
      </w:r>
      <w:r>
        <w:t xml:space="preserve">the financial regulatory framework and home ownership. The submission included </w:t>
      </w:r>
      <w:r w:rsidR="00282B3B">
        <w:t>the Council</w:t>
      </w:r>
      <w:r w:rsidR="00A15C79">
        <w:t>’</w:t>
      </w:r>
      <w:r w:rsidR="00282B3B">
        <w:t>s published</w:t>
      </w:r>
      <w:r w:rsidRPr="00FA417F">
        <w:t xml:space="preserve"> research </w:t>
      </w:r>
      <w:r>
        <w:t>on the s</w:t>
      </w:r>
      <w:r w:rsidRPr="00FA417F">
        <w:t xml:space="preserve">tate of the </w:t>
      </w:r>
      <w:r>
        <w:t>h</w:t>
      </w:r>
      <w:r w:rsidRPr="00FA417F">
        <w:t xml:space="preserve">ousing </w:t>
      </w:r>
      <w:r>
        <w:t>s</w:t>
      </w:r>
      <w:r w:rsidRPr="00FA417F">
        <w:t>ystem</w:t>
      </w:r>
      <w:r>
        <w:t>, barriers to institutional investment, finance and innovation in housing</w:t>
      </w:r>
      <w:r w:rsidR="004D242A">
        <w:t>,</w:t>
      </w:r>
      <w:r>
        <w:t xml:space="preserve"> and the </w:t>
      </w:r>
      <w:r w:rsidRPr="00D21A44">
        <w:t>Chair</w:t>
      </w:r>
      <w:r w:rsidR="00A15C79">
        <w:t>’</w:t>
      </w:r>
      <w:r w:rsidRPr="00D21A44">
        <w:t>s address at the National Press Club</w:t>
      </w:r>
      <w:r>
        <w:t>.</w:t>
      </w:r>
    </w:p>
    <w:p w14:paraId="28D11AB8" w14:textId="77777777" w:rsidR="006103E2" w:rsidRDefault="006103E2">
      <w:pPr>
        <w:pStyle w:val="Heading3"/>
      </w:pPr>
      <w:r>
        <w:t>Best practice principles on</w:t>
      </w:r>
      <w:r w:rsidRPr="00691018">
        <w:t xml:space="preserve"> planning reform</w:t>
      </w:r>
    </w:p>
    <w:p w14:paraId="78FAD277" w14:textId="08508602" w:rsidR="006103E2" w:rsidRPr="00691018" w:rsidRDefault="006103E2">
      <w:r>
        <w:t>On 9 December 2024, the Council provided the Minister for Housing</w:t>
      </w:r>
      <w:r w:rsidR="00013611">
        <w:t xml:space="preserve"> </w:t>
      </w:r>
      <w:r>
        <w:t>its views o</w:t>
      </w:r>
      <w:r w:rsidR="00013611">
        <w:t>n</w:t>
      </w:r>
      <w:r>
        <w:t xml:space="preserve"> best practice principles </w:t>
      </w:r>
      <w:r w:rsidR="00013611">
        <w:t>for</w:t>
      </w:r>
      <w:r>
        <w:t xml:space="preserve"> planning reforms. </w:t>
      </w:r>
    </w:p>
    <w:p w14:paraId="49692653" w14:textId="77777777" w:rsidR="006103E2" w:rsidRDefault="006103E2">
      <w:pPr>
        <w:pStyle w:val="Heading2"/>
      </w:pPr>
      <w:bookmarkStart w:id="194" w:name="_Toc194476429"/>
      <w:bookmarkStart w:id="195" w:name="_Toc194478455"/>
      <w:bookmarkStart w:id="196" w:name="_Toc194478996"/>
      <w:bookmarkStart w:id="197" w:name="_Toc194482593"/>
      <w:bookmarkStart w:id="198" w:name="_Toc195026372"/>
      <w:bookmarkStart w:id="199" w:name="_Toc195026627"/>
      <w:bookmarkStart w:id="200" w:name="_Toc195106386"/>
      <w:bookmarkStart w:id="201" w:name="_Toc196395918"/>
      <w:r>
        <w:t>Data and modelling</w:t>
      </w:r>
      <w:bookmarkEnd w:id="194"/>
      <w:bookmarkEnd w:id="195"/>
      <w:bookmarkEnd w:id="196"/>
      <w:bookmarkEnd w:id="197"/>
      <w:bookmarkEnd w:id="198"/>
      <w:bookmarkEnd w:id="199"/>
      <w:bookmarkEnd w:id="200"/>
      <w:bookmarkEnd w:id="201"/>
      <w:r>
        <w:t xml:space="preserve"> </w:t>
      </w:r>
    </w:p>
    <w:p w14:paraId="61F02B2C" w14:textId="5800006F" w:rsidR="006103E2" w:rsidRDefault="006103E2">
      <w:r>
        <w:t xml:space="preserve">The Council further developed its housing system model to better support </w:t>
      </w:r>
      <w:r w:rsidR="00412DD9">
        <w:t>its</w:t>
      </w:r>
      <w:r>
        <w:t xml:space="preserve"> responsibilities as an independent body providing advice and evidence base for housing policy making. Specifically, </w:t>
      </w:r>
      <w:r w:rsidR="00035748">
        <w:t xml:space="preserve">it </w:t>
      </w:r>
      <w:r>
        <w:t>has expanded the model</w:t>
      </w:r>
      <w:r w:rsidR="00A15C79">
        <w:t>’</w:t>
      </w:r>
      <w:r>
        <w:t>s capability to forecast variables at the state and territory level</w:t>
      </w:r>
      <w:r w:rsidR="00E75BD2">
        <w:t xml:space="preserve">. </w:t>
      </w:r>
      <w:r w:rsidR="00035748">
        <w:t xml:space="preserve">The Council </w:t>
      </w:r>
      <w:r w:rsidR="00E75BD2">
        <w:t>has also</w:t>
      </w:r>
      <w:r>
        <w:t xml:space="preserve"> improved the way</w:t>
      </w:r>
      <w:r w:rsidDel="00E75BD2">
        <w:t xml:space="preserve"> </w:t>
      </w:r>
      <w:r>
        <w:t xml:space="preserve">construction costs are incorporated into forecasts, and improved how shocks to the housing market impact </w:t>
      </w:r>
      <w:r w:rsidR="004D404E">
        <w:t>its</w:t>
      </w:r>
      <w:r>
        <w:t xml:space="preserve"> outlook over the Housing Accord period. </w:t>
      </w:r>
      <w:r w:rsidR="00F77409">
        <w:t>The Council</w:t>
      </w:r>
      <w:r w:rsidR="00A7526B">
        <w:t xml:space="preserve"> has used th</w:t>
      </w:r>
      <w:r w:rsidR="00192565">
        <w:t>is capability to</w:t>
      </w:r>
      <w:r w:rsidR="00F77409">
        <w:t xml:space="preserve"> provide advice to government on a range of </w:t>
      </w:r>
      <w:r w:rsidR="00192565">
        <w:t xml:space="preserve">housing related </w:t>
      </w:r>
      <w:r w:rsidR="00F77409">
        <w:t xml:space="preserve">matters. </w:t>
      </w:r>
    </w:p>
    <w:p w14:paraId="55B51BD6" w14:textId="4319FAD2" w:rsidR="006103E2" w:rsidRDefault="006103E2">
      <w:pPr>
        <w:pStyle w:val="Heading3"/>
      </w:pPr>
      <w:r>
        <w:t>Suitability of the national new homes housing target</w:t>
      </w:r>
    </w:p>
    <w:p w14:paraId="1FF9CD51" w14:textId="3D69DD3D" w:rsidR="006103E2" w:rsidRPr="004149BE" w:rsidRDefault="006103E2">
      <w:r>
        <w:t>Under the National Housing Accord, the Council is required to regularly advise on the suitability of the 1.2</w:t>
      </w:r>
      <w:r w:rsidR="0099326B">
        <w:t> million</w:t>
      </w:r>
      <w:r>
        <w:t xml:space="preserve"> national new homes target in consultation with the states and territories, and in response to ongoing monitoring of the capacity of the residential building industry. The Council</w:t>
      </w:r>
      <w:r w:rsidR="00A15C79">
        <w:t>’</w:t>
      </w:r>
      <w:r>
        <w:t xml:space="preserve">s model, developed to fulfil </w:t>
      </w:r>
      <w:r w:rsidR="00E91CDC">
        <w:t>its</w:t>
      </w:r>
      <w:r>
        <w:t xml:space="preserve"> legislative obligations, was used to advise on the suitability of the national housing target and fulfils this commitment under the </w:t>
      </w:r>
      <w:r w:rsidR="006E08E0">
        <w:t xml:space="preserve">Housing </w:t>
      </w:r>
      <w:r>
        <w:t>Accord. This report provides the Council</w:t>
      </w:r>
      <w:r w:rsidR="00A15C79">
        <w:t>’</w:t>
      </w:r>
      <w:r>
        <w:t>s analysis of the suitability of the national housing target.</w:t>
      </w:r>
    </w:p>
    <w:p w14:paraId="4D465778" w14:textId="3FFF3D0E" w:rsidR="006103E2" w:rsidRDefault="004266A1" w:rsidP="004266A1">
      <w:pPr>
        <w:pStyle w:val="TableMainHeadingnonumbering"/>
      </w:pPr>
      <w:bookmarkStart w:id="202" w:name="_Toc194476430"/>
      <w:bookmarkStart w:id="203" w:name="_Toc194478456"/>
      <w:bookmarkStart w:id="204" w:name="_Toc194478997"/>
      <w:bookmarkStart w:id="205" w:name="_Toc194482594"/>
      <w:bookmarkStart w:id="206" w:name="_Toc195026373"/>
      <w:bookmarkStart w:id="207" w:name="_Toc195026628"/>
      <w:bookmarkStart w:id="208" w:name="_Toc195106387"/>
      <w:r>
        <w:rPr>
          <w:rFonts w:eastAsia="Calibri Light"/>
        </w:rPr>
        <w:t xml:space="preserve">Table B.1 </w:t>
      </w:r>
      <w:r w:rsidR="006103E2" w:rsidRPr="004266A1">
        <w:rPr>
          <w:rFonts w:eastAsia="Calibri Light"/>
        </w:rPr>
        <w:t>Significant meeting dates</w:t>
      </w:r>
      <w:bookmarkEnd w:id="202"/>
      <w:bookmarkEnd w:id="203"/>
      <w:bookmarkEnd w:id="204"/>
      <w:bookmarkEnd w:id="205"/>
      <w:bookmarkEnd w:id="206"/>
      <w:bookmarkEnd w:id="207"/>
      <w:bookmarkEnd w:id="208"/>
    </w:p>
    <w:tbl>
      <w:tblPr>
        <w:tblStyle w:val="TableGrid"/>
        <w:tblW w:w="0" w:type="auto"/>
        <w:tblLook w:val="04A0" w:firstRow="1" w:lastRow="0" w:firstColumn="1" w:lastColumn="0" w:noHBand="0" w:noVBand="1"/>
      </w:tblPr>
      <w:tblGrid>
        <w:gridCol w:w="3023"/>
        <w:gridCol w:w="3023"/>
        <w:gridCol w:w="3024"/>
      </w:tblGrid>
      <w:tr w:rsidR="006103E2" w14:paraId="36B6738F" w14:textId="77777777" w:rsidTr="00EC59F5">
        <w:trPr>
          <w:cnfStyle w:val="100000000000" w:firstRow="1" w:lastRow="0" w:firstColumn="0" w:lastColumn="0" w:oddVBand="0" w:evenVBand="0" w:oddHBand="0" w:evenHBand="0" w:firstRowFirstColumn="0" w:firstRowLastColumn="0" w:lastRowFirstColumn="0" w:lastRowLastColumn="0"/>
        </w:trPr>
        <w:tc>
          <w:tcPr>
            <w:tcW w:w="3023" w:type="dxa"/>
            <w:tcBorders>
              <w:bottom w:val="single" w:sz="8" w:space="0" w:color="F2E3C7" w:themeColor="background2"/>
            </w:tcBorders>
          </w:tcPr>
          <w:p w14:paraId="1E967588" w14:textId="77777777" w:rsidR="006103E2" w:rsidRPr="00B46D92" w:rsidRDefault="006103E2" w:rsidP="00B46D92">
            <w:pPr>
              <w:pStyle w:val="TableColumnHeadingLeft"/>
              <w:rPr>
                <w:b/>
                <w:bCs/>
              </w:rPr>
            </w:pPr>
            <w:r w:rsidRPr="00B46D92">
              <w:rPr>
                <w:b/>
                <w:bCs/>
              </w:rPr>
              <w:t>Meeting</w:t>
            </w:r>
          </w:p>
        </w:tc>
        <w:tc>
          <w:tcPr>
            <w:tcW w:w="3023" w:type="dxa"/>
            <w:tcBorders>
              <w:bottom w:val="single" w:sz="8" w:space="0" w:color="F2E3C7" w:themeColor="background2"/>
            </w:tcBorders>
          </w:tcPr>
          <w:p w14:paraId="0D279B35" w14:textId="77777777" w:rsidR="006103E2" w:rsidRPr="00B46D92" w:rsidRDefault="006103E2" w:rsidP="00B46D92">
            <w:pPr>
              <w:pStyle w:val="TableColumnHeadingLeft"/>
              <w:rPr>
                <w:b/>
                <w:bCs/>
              </w:rPr>
            </w:pPr>
            <w:r w:rsidRPr="00B46D92">
              <w:rPr>
                <w:b/>
                <w:bCs/>
              </w:rPr>
              <w:t>Location</w:t>
            </w:r>
          </w:p>
        </w:tc>
        <w:tc>
          <w:tcPr>
            <w:tcW w:w="3024" w:type="dxa"/>
            <w:tcBorders>
              <w:bottom w:val="single" w:sz="8" w:space="0" w:color="F2E3C7" w:themeColor="background2"/>
            </w:tcBorders>
          </w:tcPr>
          <w:p w14:paraId="4379E797" w14:textId="77777777" w:rsidR="006103E2" w:rsidRPr="00B46D92" w:rsidRDefault="006103E2" w:rsidP="00B46D92">
            <w:pPr>
              <w:pStyle w:val="TableColumnHeadingLeft"/>
              <w:rPr>
                <w:b/>
                <w:bCs/>
              </w:rPr>
            </w:pPr>
            <w:r w:rsidRPr="00B46D92">
              <w:rPr>
                <w:b/>
                <w:bCs/>
              </w:rPr>
              <w:t>Date</w:t>
            </w:r>
          </w:p>
        </w:tc>
      </w:tr>
      <w:tr w:rsidR="006103E2" w14:paraId="37A3965C" w14:textId="77777777" w:rsidTr="00EC59F5">
        <w:tc>
          <w:tcPr>
            <w:tcW w:w="3023" w:type="dxa"/>
            <w:tcBorders>
              <w:top w:val="single" w:sz="8" w:space="0" w:color="F2E3C7" w:themeColor="background2"/>
              <w:bottom w:val="single" w:sz="8" w:space="0" w:color="F2E3C7" w:themeColor="background2"/>
            </w:tcBorders>
          </w:tcPr>
          <w:p w14:paraId="107BF76A" w14:textId="77777777" w:rsidR="006103E2" w:rsidRDefault="006103E2" w:rsidP="00B46D92">
            <w:pPr>
              <w:pStyle w:val="TableTextLeft"/>
            </w:pPr>
            <w:r>
              <w:t>Council meeting</w:t>
            </w:r>
          </w:p>
        </w:tc>
        <w:tc>
          <w:tcPr>
            <w:tcW w:w="3023" w:type="dxa"/>
            <w:tcBorders>
              <w:top w:val="single" w:sz="8" w:space="0" w:color="F2E3C7" w:themeColor="background2"/>
              <w:bottom w:val="single" w:sz="8" w:space="0" w:color="F2E3C7" w:themeColor="background2"/>
            </w:tcBorders>
          </w:tcPr>
          <w:p w14:paraId="7ECF5567" w14:textId="77777777" w:rsidR="006103E2" w:rsidRDefault="006103E2" w:rsidP="00B46D92">
            <w:pPr>
              <w:pStyle w:val="TableTextLeft"/>
            </w:pPr>
            <w:r>
              <w:t>Perth</w:t>
            </w:r>
          </w:p>
        </w:tc>
        <w:tc>
          <w:tcPr>
            <w:tcW w:w="3024" w:type="dxa"/>
            <w:tcBorders>
              <w:top w:val="single" w:sz="8" w:space="0" w:color="F2E3C7" w:themeColor="background2"/>
              <w:bottom w:val="single" w:sz="8" w:space="0" w:color="F2E3C7" w:themeColor="background2"/>
            </w:tcBorders>
          </w:tcPr>
          <w:p w14:paraId="730C3D96" w14:textId="77777777" w:rsidR="006103E2" w:rsidRDefault="006103E2" w:rsidP="00B46D92">
            <w:pPr>
              <w:pStyle w:val="TableTextLeft"/>
            </w:pPr>
            <w:r>
              <w:t>28 June 2024</w:t>
            </w:r>
          </w:p>
        </w:tc>
      </w:tr>
      <w:tr w:rsidR="006103E2" w14:paraId="4A80218A" w14:textId="77777777" w:rsidTr="00EC59F5">
        <w:tc>
          <w:tcPr>
            <w:tcW w:w="3023" w:type="dxa"/>
            <w:tcBorders>
              <w:top w:val="single" w:sz="8" w:space="0" w:color="F2E3C7" w:themeColor="background2"/>
              <w:bottom w:val="single" w:sz="8" w:space="0" w:color="F2E3C7" w:themeColor="background2"/>
            </w:tcBorders>
          </w:tcPr>
          <w:p w14:paraId="19CC0C6F" w14:textId="77777777" w:rsidR="006103E2" w:rsidRDefault="006103E2" w:rsidP="00B46D92">
            <w:pPr>
              <w:pStyle w:val="TableTextLeft"/>
            </w:pPr>
            <w:r>
              <w:t>Council meeting</w:t>
            </w:r>
          </w:p>
        </w:tc>
        <w:tc>
          <w:tcPr>
            <w:tcW w:w="3023" w:type="dxa"/>
            <w:tcBorders>
              <w:top w:val="single" w:sz="8" w:space="0" w:color="F2E3C7" w:themeColor="background2"/>
              <w:bottom w:val="single" w:sz="8" w:space="0" w:color="F2E3C7" w:themeColor="background2"/>
            </w:tcBorders>
          </w:tcPr>
          <w:p w14:paraId="4405BCF7" w14:textId="77777777" w:rsidR="006103E2" w:rsidRDefault="006103E2" w:rsidP="00B46D92">
            <w:pPr>
              <w:pStyle w:val="TableTextLeft"/>
            </w:pPr>
            <w:r>
              <w:t>Canberra</w:t>
            </w:r>
          </w:p>
        </w:tc>
        <w:tc>
          <w:tcPr>
            <w:tcW w:w="3024" w:type="dxa"/>
            <w:tcBorders>
              <w:top w:val="single" w:sz="8" w:space="0" w:color="F2E3C7" w:themeColor="background2"/>
              <w:bottom w:val="single" w:sz="8" w:space="0" w:color="F2E3C7" w:themeColor="background2"/>
            </w:tcBorders>
          </w:tcPr>
          <w:p w14:paraId="2B2F23E0" w14:textId="77777777" w:rsidR="006103E2" w:rsidRDefault="006103E2" w:rsidP="00B46D92">
            <w:pPr>
              <w:pStyle w:val="TableTextLeft"/>
            </w:pPr>
            <w:r>
              <w:t>5 September 2024</w:t>
            </w:r>
          </w:p>
        </w:tc>
      </w:tr>
      <w:tr w:rsidR="006103E2" w14:paraId="4F6CCC47" w14:textId="77777777" w:rsidTr="00EC59F5">
        <w:tc>
          <w:tcPr>
            <w:tcW w:w="3023" w:type="dxa"/>
            <w:tcBorders>
              <w:top w:val="single" w:sz="8" w:space="0" w:color="F2E3C7" w:themeColor="background2"/>
              <w:bottom w:val="single" w:sz="8" w:space="0" w:color="F2E3C7" w:themeColor="background2"/>
            </w:tcBorders>
          </w:tcPr>
          <w:p w14:paraId="30938AD1" w14:textId="77777777" w:rsidR="006103E2" w:rsidRDefault="006103E2" w:rsidP="00B46D92">
            <w:pPr>
              <w:pStyle w:val="TableTextLeft"/>
            </w:pPr>
            <w:r>
              <w:t xml:space="preserve">Council meeting </w:t>
            </w:r>
          </w:p>
        </w:tc>
        <w:tc>
          <w:tcPr>
            <w:tcW w:w="3023" w:type="dxa"/>
            <w:tcBorders>
              <w:top w:val="single" w:sz="8" w:space="0" w:color="F2E3C7" w:themeColor="background2"/>
              <w:bottom w:val="single" w:sz="8" w:space="0" w:color="F2E3C7" w:themeColor="background2"/>
            </w:tcBorders>
          </w:tcPr>
          <w:p w14:paraId="27414C0B" w14:textId="77777777" w:rsidR="006103E2" w:rsidRDefault="006103E2" w:rsidP="00B46D92">
            <w:pPr>
              <w:pStyle w:val="TableTextLeft"/>
            </w:pPr>
            <w:r>
              <w:t>Melbourne</w:t>
            </w:r>
          </w:p>
        </w:tc>
        <w:tc>
          <w:tcPr>
            <w:tcW w:w="3024" w:type="dxa"/>
            <w:tcBorders>
              <w:top w:val="single" w:sz="8" w:space="0" w:color="F2E3C7" w:themeColor="background2"/>
              <w:bottom w:val="single" w:sz="8" w:space="0" w:color="F2E3C7" w:themeColor="background2"/>
            </w:tcBorders>
          </w:tcPr>
          <w:p w14:paraId="0F0F0CDA" w14:textId="77777777" w:rsidR="006103E2" w:rsidRDefault="006103E2" w:rsidP="00B46D92">
            <w:pPr>
              <w:pStyle w:val="TableTextLeft"/>
            </w:pPr>
            <w:r>
              <w:t>15 October 2024</w:t>
            </w:r>
          </w:p>
        </w:tc>
      </w:tr>
      <w:tr w:rsidR="006103E2" w14:paraId="18599CD6" w14:textId="77777777" w:rsidTr="00EC59F5">
        <w:tc>
          <w:tcPr>
            <w:tcW w:w="3023" w:type="dxa"/>
            <w:tcBorders>
              <w:top w:val="single" w:sz="8" w:space="0" w:color="F2E3C7" w:themeColor="background2"/>
              <w:bottom w:val="single" w:sz="8" w:space="0" w:color="F2E3C7" w:themeColor="background2"/>
            </w:tcBorders>
          </w:tcPr>
          <w:p w14:paraId="1BE5ABC4" w14:textId="77777777" w:rsidR="006103E2" w:rsidRDefault="006103E2" w:rsidP="00B46D92">
            <w:pPr>
              <w:pStyle w:val="TableTextLeft"/>
            </w:pPr>
            <w:r>
              <w:t>Council meeting</w:t>
            </w:r>
          </w:p>
        </w:tc>
        <w:tc>
          <w:tcPr>
            <w:tcW w:w="3023" w:type="dxa"/>
            <w:tcBorders>
              <w:top w:val="single" w:sz="8" w:space="0" w:color="F2E3C7" w:themeColor="background2"/>
              <w:bottom w:val="single" w:sz="8" w:space="0" w:color="F2E3C7" w:themeColor="background2"/>
            </w:tcBorders>
          </w:tcPr>
          <w:p w14:paraId="54FB4E3A" w14:textId="77777777" w:rsidR="006103E2" w:rsidRDefault="006103E2" w:rsidP="00B46D92">
            <w:pPr>
              <w:pStyle w:val="TableTextLeft"/>
            </w:pPr>
            <w:r>
              <w:t>Hobart</w:t>
            </w:r>
          </w:p>
        </w:tc>
        <w:tc>
          <w:tcPr>
            <w:tcW w:w="3024" w:type="dxa"/>
            <w:tcBorders>
              <w:top w:val="single" w:sz="8" w:space="0" w:color="F2E3C7" w:themeColor="background2"/>
              <w:bottom w:val="single" w:sz="8" w:space="0" w:color="F2E3C7" w:themeColor="background2"/>
            </w:tcBorders>
          </w:tcPr>
          <w:p w14:paraId="47F4E09C" w14:textId="77777777" w:rsidR="006103E2" w:rsidRDefault="006103E2" w:rsidP="00B46D92">
            <w:pPr>
              <w:pStyle w:val="TableTextLeft"/>
            </w:pPr>
            <w:r>
              <w:t>29 November 2024</w:t>
            </w:r>
          </w:p>
        </w:tc>
      </w:tr>
      <w:tr w:rsidR="006103E2" w14:paraId="36003D16" w14:textId="77777777" w:rsidTr="00EC59F5">
        <w:tc>
          <w:tcPr>
            <w:tcW w:w="3023" w:type="dxa"/>
            <w:tcBorders>
              <w:top w:val="single" w:sz="8" w:space="0" w:color="F2E3C7" w:themeColor="background2"/>
              <w:bottom w:val="single" w:sz="8" w:space="0" w:color="F2E3C7" w:themeColor="background2"/>
            </w:tcBorders>
          </w:tcPr>
          <w:p w14:paraId="40E28141" w14:textId="77777777" w:rsidR="006103E2" w:rsidRDefault="006103E2" w:rsidP="00B46D92">
            <w:pPr>
              <w:pStyle w:val="TableTextLeft"/>
            </w:pPr>
            <w:r>
              <w:t>Council meeting</w:t>
            </w:r>
          </w:p>
        </w:tc>
        <w:tc>
          <w:tcPr>
            <w:tcW w:w="3023" w:type="dxa"/>
            <w:tcBorders>
              <w:top w:val="single" w:sz="8" w:space="0" w:color="F2E3C7" w:themeColor="background2"/>
              <w:bottom w:val="single" w:sz="8" w:space="0" w:color="F2E3C7" w:themeColor="background2"/>
            </w:tcBorders>
          </w:tcPr>
          <w:p w14:paraId="4C856757" w14:textId="77777777" w:rsidR="006103E2" w:rsidRDefault="006103E2" w:rsidP="00B46D92">
            <w:pPr>
              <w:pStyle w:val="TableTextLeft"/>
            </w:pPr>
            <w:r>
              <w:t xml:space="preserve">Virtual </w:t>
            </w:r>
          </w:p>
        </w:tc>
        <w:tc>
          <w:tcPr>
            <w:tcW w:w="3024" w:type="dxa"/>
            <w:tcBorders>
              <w:top w:val="single" w:sz="8" w:space="0" w:color="F2E3C7" w:themeColor="background2"/>
              <w:bottom w:val="single" w:sz="8" w:space="0" w:color="F2E3C7" w:themeColor="background2"/>
            </w:tcBorders>
          </w:tcPr>
          <w:p w14:paraId="34DA4E72" w14:textId="77777777" w:rsidR="006103E2" w:rsidRDefault="006103E2" w:rsidP="00B46D92">
            <w:pPr>
              <w:pStyle w:val="TableTextLeft"/>
            </w:pPr>
            <w:r>
              <w:t>16 January 2025</w:t>
            </w:r>
          </w:p>
        </w:tc>
      </w:tr>
      <w:tr w:rsidR="006103E2" w14:paraId="608E4C9E" w14:textId="77777777" w:rsidTr="00EC59F5">
        <w:tc>
          <w:tcPr>
            <w:tcW w:w="3023" w:type="dxa"/>
            <w:tcBorders>
              <w:top w:val="single" w:sz="8" w:space="0" w:color="F2E3C7" w:themeColor="background2"/>
              <w:bottom w:val="single" w:sz="8" w:space="0" w:color="F2E3C7" w:themeColor="background2"/>
            </w:tcBorders>
          </w:tcPr>
          <w:p w14:paraId="42344E62" w14:textId="77777777" w:rsidR="006103E2" w:rsidRDefault="006103E2" w:rsidP="00B46D92">
            <w:pPr>
              <w:pStyle w:val="TableTextLeft"/>
            </w:pPr>
            <w:r>
              <w:t xml:space="preserve">Council meeting </w:t>
            </w:r>
          </w:p>
        </w:tc>
        <w:tc>
          <w:tcPr>
            <w:tcW w:w="3023" w:type="dxa"/>
            <w:tcBorders>
              <w:top w:val="single" w:sz="8" w:space="0" w:color="F2E3C7" w:themeColor="background2"/>
              <w:bottom w:val="single" w:sz="8" w:space="0" w:color="F2E3C7" w:themeColor="background2"/>
            </w:tcBorders>
          </w:tcPr>
          <w:p w14:paraId="6BAFD3D3" w14:textId="77777777" w:rsidR="006103E2" w:rsidRDefault="006103E2" w:rsidP="00B46D92">
            <w:pPr>
              <w:pStyle w:val="TableTextLeft"/>
            </w:pPr>
            <w:r>
              <w:t>Virtual</w:t>
            </w:r>
          </w:p>
        </w:tc>
        <w:tc>
          <w:tcPr>
            <w:tcW w:w="3024" w:type="dxa"/>
            <w:tcBorders>
              <w:top w:val="single" w:sz="8" w:space="0" w:color="F2E3C7" w:themeColor="background2"/>
              <w:bottom w:val="single" w:sz="8" w:space="0" w:color="F2E3C7" w:themeColor="background2"/>
            </w:tcBorders>
          </w:tcPr>
          <w:p w14:paraId="535E37C4" w14:textId="77777777" w:rsidR="006103E2" w:rsidRDefault="006103E2" w:rsidP="00B46D92">
            <w:pPr>
              <w:pStyle w:val="TableTextLeft"/>
            </w:pPr>
            <w:r>
              <w:t xml:space="preserve">11 February 2025 </w:t>
            </w:r>
          </w:p>
        </w:tc>
      </w:tr>
    </w:tbl>
    <w:p w14:paraId="6B47007D" w14:textId="77777777" w:rsidR="00ED2169" w:rsidRDefault="00ED2169" w:rsidP="000B3417">
      <w:bookmarkStart w:id="209" w:name="_Toc194476431"/>
      <w:bookmarkStart w:id="210" w:name="_Toc194478457"/>
      <w:bookmarkStart w:id="211" w:name="_Toc194478998"/>
      <w:bookmarkStart w:id="212" w:name="_Toc194482595"/>
      <w:bookmarkStart w:id="213" w:name="_Toc195026374"/>
      <w:bookmarkStart w:id="214" w:name="_Toc195026629"/>
      <w:bookmarkStart w:id="215" w:name="_Toc195106388"/>
      <w:bookmarkStart w:id="216" w:name="_Toc196395919"/>
      <w:r>
        <w:br w:type="page"/>
      </w:r>
    </w:p>
    <w:p w14:paraId="4E1E3140" w14:textId="365B6539" w:rsidR="006103E2" w:rsidRDefault="006103E2">
      <w:pPr>
        <w:pStyle w:val="Heading2"/>
      </w:pPr>
      <w:r>
        <w:lastRenderedPageBreak/>
        <w:t>Managing declarations of interest</w:t>
      </w:r>
      <w:bookmarkEnd w:id="209"/>
      <w:bookmarkEnd w:id="210"/>
      <w:bookmarkEnd w:id="211"/>
      <w:bookmarkEnd w:id="212"/>
      <w:bookmarkEnd w:id="213"/>
      <w:bookmarkEnd w:id="214"/>
      <w:bookmarkEnd w:id="215"/>
      <w:bookmarkEnd w:id="216"/>
    </w:p>
    <w:p w14:paraId="775434A5" w14:textId="4BF2AD93" w:rsidR="006103E2" w:rsidRDefault="006103E2">
      <w:r>
        <w:t xml:space="preserve">Council members are statutory officials and are bound by legislation related to conflicts of interest. To manage potential or perceived conflicts of interest, the Council has established processes to declare and manage these interests, including maintaining an annual disclosure register and </w:t>
      </w:r>
      <w:r w:rsidR="000705B4">
        <w:t xml:space="preserve">providing </w:t>
      </w:r>
      <w:r>
        <w:t>updates at each Council meeting.</w:t>
      </w:r>
    </w:p>
    <w:p w14:paraId="74749A52" w14:textId="77777777" w:rsidR="006103E2" w:rsidRDefault="006103E2">
      <w:pPr>
        <w:pStyle w:val="Heading3"/>
      </w:pPr>
      <w:r>
        <w:t>Annual disclosure register</w:t>
      </w:r>
    </w:p>
    <w:p w14:paraId="385129B6" w14:textId="266F4CB2" w:rsidR="006103E2" w:rsidRDefault="006103E2">
      <w:r>
        <w:t>To uphold best practice in managing conflicts of interest, the Council provides an annual letter to the Minister</w:t>
      </w:r>
      <w:r w:rsidR="000705B4">
        <w:t xml:space="preserve"> </w:t>
      </w:r>
      <w:r>
        <w:t xml:space="preserve">noting how </w:t>
      </w:r>
      <w:r w:rsidR="00E86989">
        <w:t>it</w:t>
      </w:r>
      <w:r>
        <w:t xml:space="preserve"> manages its conflict of interest, and an annual disclosure register that lists relevant private interests declared by members. If members </w:t>
      </w:r>
      <w:r w:rsidR="001535AE">
        <w:t>make</w:t>
      </w:r>
      <w:r>
        <w:t xml:space="preserve"> a material declaration</w:t>
      </w:r>
      <w:r w:rsidDel="001535AE">
        <w:t xml:space="preserve"> </w:t>
      </w:r>
      <w:r>
        <w:t xml:space="preserve">between these annual updates, the Minister will be notified, as per requirements under the </w:t>
      </w:r>
      <w:r w:rsidRPr="00FF21AA">
        <w:rPr>
          <w:rStyle w:val="Emphasis"/>
        </w:rPr>
        <w:t>Public Governance, Performance and Accountability Act 2013</w:t>
      </w:r>
      <w:r>
        <w:t>. Declarations are revised and resubmitted whenever there is a change in personal circumstances and/or a change in work responsibilities that could involve a new real or apparent conflict of interest.</w:t>
      </w:r>
    </w:p>
    <w:p w14:paraId="1CB9F094" w14:textId="79A9754C" w:rsidR="006103E2" w:rsidRDefault="006103E2">
      <w:r>
        <w:t>On 9 October 2024 the Council provided an updated annual disclosure register to the Minister for Housing, the Hon Clare O</w:t>
      </w:r>
      <w:r w:rsidR="00A15C79">
        <w:t>’</w:t>
      </w:r>
      <w:r>
        <w:t xml:space="preserve">Neil. </w:t>
      </w:r>
    </w:p>
    <w:p w14:paraId="244F1FDB" w14:textId="77777777" w:rsidR="006103E2" w:rsidRDefault="006103E2">
      <w:pPr>
        <w:pStyle w:val="Heading3"/>
      </w:pPr>
      <w:r>
        <w:t>Disclosure at each Council meeting</w:t>
      </w:r>
    </w:p>
    <w:p w14:paraId="49E6FD76" w14:textId="77777777" w:rsidR="006F5BB5" w:rsidRDefault="006103E2" w:rsidP="00B46D92">
      <w:pPr>
        <w:sectPr w:rsidR="006F5BB5" w:rsidSect="00CC5EA5">
          <w:footerReference w:type="even" r:id="rId166"/>
          <w:footerReference w:type="default" r:id="rId167"/>
          <w:pgSz w:w="11906" w:h="16838" w:code="9"/>
          <w:pgMar w:top="1843" w:right="1418" w:bottom="1418" w:left="1418" w:header="709" w:footer="709" w:gutter="0"/>
          <w:cols w:space="708"/>
          <w:docGrid w:linePitch="360"/>
        </w:sectPr>
      </w:pPr>
      <w:r>
        <w:t xml:space="preserve">At the beginning of each Council meeting, the Chair asks members to declare any conflicts of interest relating to items on the agenda and to advise of any necessary changes in circumstances. Should a member be conflicted with an item on the agenda, they may be recused from the discussion. If this was to occur, it would be recorded in the meeting minutes and appropriate steps would be taken to manage the risk. Any additional declarations made at the meeting are recorded in the meeting minutes and updated in the Disclosure Register, which </w:t>
      </w:r>
      <w:r w:rsidR="00C46ED6">
        <w:t>is</w:t>
      </w:r>
      <w:r>
        <w:t xml:space="preserve"> provided to the Minister as an update to the annual record.</w:t>
      </w:r>
    </w:p>
    <w:p w14:paraId="411186AC" w14:textId="35918A02" w:rsidR="006103E2" w:rsidRDefault="006103E2" w:rsidP="00ED2169">
      <w:pPr>
        <w:pStyle w:val="AppendixHeading"/>
        <w:spacing w:before="0"/>
      </w:pPr>
      <w:bookmarkStart w:id="217" w:name="_Toc196395920"/>
      <w:r>
        <w:lastRenderedPageBreak/>
        <w:t xml:space="preserve">Appendix </w:t>
      </w:r>
      <w:r w:rsidR="00B01C20">
        <w:t>C</w:t>
      </w:r>
      <w:r w:rsidR="00A60D77">
        <w:t xml:space="preserve">: </w:t>
      </w:r>
      <w:r w:rsidRPr="00B169DD">
        <w:t>Report</w:t>
      </w:r>
      <w:r>
        <w:t xml:space="preserve"> methodology</w:t>
      </w:r>
      <w:bookmarkEnd w:id="217"/>
    </w:p>
    <w:p w14:paraId="5868415C" w14:textId="61D8EC4D" w:rsidR="006103E2" w:rsidRDefault="006103E2">
      <w:r w:rsidRPr="615DC1BB">
        <w:rPr>
          <w:rFonts w:ascii="Calibri" w:eastAsia="Calibri" w:hAnsi="Calibri" w:cs="Calibri"/>
          <w:szCs w:val="22"/>
        </w:rPr>
        <w:t>The Council</w:t>
      </w:r>
      <w:r w:rsidR="00A15C79">
        <w:rPr>
          <w:rFonts w:ascii="Calibri" w:eastAsia="Calibri" w:hAnsi="Calibri" w:cs="Calibri"/>
          <w:szCs w:val="22"/>
        </w:rPr>
        <w:t>’</w:t>
      </w:r>
      <w:r w:rsidRPr="615DC1BB">
        <w:rPr>
          <w:rFonts w:ascii="Calibri" w:eastAsia="Calibri" w:hAnsi="Calibri" w:cs="Calibri"/>
          <w:szCs w:val="22"/>
        </w:rPr>
        <w:t xml:space="preserve">s </w:t>
      </w:r>
      <w:r w:rsidRPr="002949B5">
        <w:rPr>
          <w:rStyle w:val="Emphasis"/>
          <w:rFonts w:eastAsia="Calibri"/>
        </w:rPr>
        <w:t xml:space="preserve">State of the Housing System </w:t>
      </w:r>
      <w:r w:rsidR="00646AC9" w:rsidRPr="002949B5">
        <w:rPr>
          <w:rStyle w:val="Emphasis"/>
          <w:rFonts w:eastAsia="Calibri"/>
        </w:rPr>
        <w:t xml:space="preserve">2025 </w:t>
      </w:r>
      <w:r w:rsidRPr="002949B5">
        <w:rPr>
          <w:rFonts w:ascii="Calibri" w:eastAsia="Calibri" w:hAnsi="Calibri" w:cs="Calibri"/>
          <w:szCs w:val="22"/>
        </w:rPr>
        <w:t>provides</w:t>
      </w:r>
      <w:r w:rsidRPr="615DC1BB">
        <w:rPr>
          <w:rFonts w:ascii="Calibri" w:eastAsia="Calibri" w:hAnsi="Calibri" w:cs="Calibri"/>
          <w:szCs w:val="22"/>
        </w:rPr>
        <w:t xml:space="preserve"> an overview of the state of the housing system in 2024–25, including </w:t>
      </w:r>
      <w:r w:rsidR="009C3A7A">
        <w:rPr>
          <w:rFonts w:ascii="Calibri" w:eastAsia="Calibri" w:hAnsi="Calibri" w:cs="Calibri"/>
          <w:szCs w:val="22"/>
        </w:rPr>
        <w:t>housing</w:t>
      </w:r>
      <w:r w:rsidRPr="615DC1BB">
        <w:rPr>
          <w:rFonts w:ascii="Calibri" w:eastAsia="Calibri" w:hAnsi="Calibri" w:cs="Calibri"/>
          <w:szCs w:val="22"/>
        </w:rPr>
        <w:t xml:space="preserve"> demand, supply and affordability</w:t>
      </w:r>
      <w:r w:rsidR="00A15C79">
        <w:rPr>
          <w:rFonts w:ascii="Calibri" w:eastAsia="Calibri" w:hAnsi="Calibri" w:cs="Calibri"/>
          <w:szCs w:val="22"/>
        </w:rPr>
        <w:t xml:space="preserve">. </w:t>
      </w:r>
    </w:p>
    <w:p w14:paraId="32A04E33" w14:textId="77777777" w:rsidR="006103E2" w:rsidRDefault="006103E2">
      <w:pPr>
        <w:pStyle w:val="Heading2"/>
      </w:pPr>
      <w:bookmarkStart w:id="218" w:name="_Toc194476433"/>
      <w:bookmarkStart w:id="219" w:name="_Toc194478459"/>
      <w:bookmarkStart w:id="220" w:name="_Toc194479000"/>
      <w:bookmarkStart w:id="221" w:name="_Toc194482597"/>
      <w:bookmarkStart w:id="222" w:name="_Toc195026376"/>
      <w:bookmarkStart w:id="223" w:name="_Toc195026631"/>
      <w:bookmarkStart w:id="224" w:name="_Toc195106390"/>
      <w:bookmarkStart w:id="225" w:name="_Toc196395921"/>
      <w:r>
        <w:t>Timeline and process</w:t>
      </w:r>
      <w:bookmarkEnd w:id="218"/>
      <w:bookmarkEnd w:id="219"/>
      <w:bookmarkEnd w:id="220"/>
      <w:bookmarkEnd w:id="221"/>
      <w:bookmarkEnd w:id="222"/>
      <w:bookmarkEnd w:id="223"/>
      <w:bookmarkEnd w:id="224"/>
      <w:bookmarkEnd w:id="225"/>
    </w:p>
    <w:p w14:paraId="4AE4C3F5" w14:textId="0A7B4967" w:rsidR="006103E2" w:rsidRDefault="006103E2">
      <w:r>
        <w:t xml:space="preserve">Under the </w:t>
      </w:r>
      <w:r w:rsidRPr="00FF21AA">
        <w:rPr>
          <w:rStyle w:val="Emphasis"/>
        </w:rPr>
        <w:t>National Housing Supply and Affordability Council Act 2023</w:t>
      </w:r>
      <w:r>
        <w:t xml:space="preserve">, the Council is required to submit </w:t>
      </w:r>
      <w:r w:rsidR="008B1856">
        <w:t xml:space="preserve">an annual </w:t>
      </w:r>
      <w:r w:rsidR="009C3A7A">
        <w:t xml:space="preserve">State of the Housing System </w:t>
      </w:r>
      <w:r w:rsidR="008B1856">
        <w:t>r</w:t>
      </w:r>
      <w:r>
        <w:t>eport to the Minister no later than 10 months after the end of the financial year. Th</w:t>
      </w:r>
      <w:r w:rsidR="009C3A7A">
        <w:t>e 2024–25</w:t>
      </w:r>
      <w:r>
        <w:t xml:space="preserve"> </w:t>
      </w:r>
      <w:r w:rsidR="009C3A7A">
        <w:t>r</w:t>
      </w:r>
      <w:r>
        <w:t>eport was provided to the Minister for Housing, the Hon Clare O</w:t>
      </w:r>
      <w:r w:rsidR="00A15C79">
        <w:t>’</w:t>
      </w:r>
      <w:r>
        <w:t>Neil on 24 April 2025.</w:t>
      </w:r>
    </w:p>
    <w:p w14:paraId="453E6825" w14:textId="587DE9DA" w:rsidR="006103E2" w:rsidRDefault="006103E2">
      <w:r>
        <w:t xml:space="preserve">The </w:t>
      </w:r>
      <w:r w:rsidR="006C4003">
        <w:t>Council led the report</w:t>
      </w:r>
      <w:r w:rsidR="00A15C79">
        <w:t>’</w:t>
      </w:r>
      <w:r w:rsidR="006C4003">
        <w:t xml:space="preserve">s </w:t>
      </w:r>
      <w:r>
        <w:t>development with the assistance of the Office of the National Housing Supply and Affordability Council (the Office). The Office is staffed by Australian Public Service employees</w:t>
      </w:r>
      <w:r w:rsidR="003F2DB1">
        <w:t>,</w:t>
      </w:r>
      <w:r>
        <w:t xml:space="preserve"> who are made available to the Council by Treasury. The Office works under the direction of the Council. </w:t>
      </w:r>
    </w:p>
    <w:p w14:paraId="062E1AA1" w14:textId="203E0F95" w:rsidR="006103E2" w:rsidRDefault="006103E2" w:rsidP="00AF4C27">
      <w:pPr>
        <w:pStyle w:val="TableMainHeadingnonumbering"/>
        <w:rPr>
          <w:rFonts w:eastAsia="Calibri Light"/>
        </w:rPr>
      </w:pPr>
      <w:r w:rsidRPr="1F732931">
        <w:rPr>
          <w:rFonts w:eastAsia="Calibri Light"/>
        </w:rPr>
        <w:t xml:space="preserve">Table </w:t>
      </w:r>
      <w:r>
        <w:rPr>
          <w:rFonts w:eastAsia="Calibri Light"/>
        </w:rPr>
        <w:t>C</w:t>
      </w:r>
      <w:r w:rsidRPr="1F732931">
        <w:rPr>
          <w:rFonts w:eastAsia="Calibri Light"/>
        </w:rPr>
        <w:t>.1 National Housing Supply and Affordability Council members</w:t>
      </w:r>
    </w:p>
    <w:tbl>
      <w:tblPr>
        <w:tblStyle w:val="TableGrid"/>
        <w:tblW w:w="9188" w:type="dxa"/>
        <w:tblBorders>
          <w:insideH w:val="single" w:sz="2" w:space="0" w:color="F2E3C7" w:themeColor="accent6"/>
          <w:insideV w:val="single" w:sz="2" w:space="0" w:color="F2E3C7" w:themeColor="accent6"/>
        </w:tblBorders>
        <w:tblLayout w:type="fixed"/>
        <w:tblLook w:val="04A0" w:firstRow="1" w:lastRow="0" w:firstColumn="1" w:lastColumn="0" w:noHBand="0" w:noVBand="1"/>
      </w:tblPr>
      <w:tblGrid>
        <w:gridCol w:w="9188"/>
      </w:tblGrid>
      <w:tr w:rsidR="006103E2" w14:paraId="35BF43A2" w14:textId="77777777" w:rsidTr="00EC59F5">
        <w:trPr>
          <w:cnfStyle w:val="100000000000" w:firstRow="1" w:lastRow="0" w:firstColumn="0" w:lastColumn="0" w:oddVBand="0" w:evenVBand="0" w:oddHBand="0" w:evenHBand="0" w:firstRowFirstColumn="0" w:firstRowLastColumn="0" w:lastRowFirstColumn="0" w:lastRowLastColumn="0"/>
          <w:trHeight w:val="300"/>
        </w:trPr>
        <w:tc>
          <w:tcPr>
            <w:tcW w:w="9188" w:type="dxa"/>
            <w:tcMar>
              <w:left w:w="105" w:type="dxa"/>
              <w:right w:w="105" w:type="dxa"/>
            </w:tcMar>
          </w:tcPr>
          <w:p w14:paraId="31C03508" w14:textId="77777777" w:rsidR="006103E2" w:rsidRDefault="006103E2" w:rsidP="00B46D92">
            <w:pPr>
              <w:pStyle w:val="TableColumnHeadingLeft"/>
              <w:rPr>
                <w:rFonts w:eastAsia="Calibri"/>
              </w:rPr>
            </w:pPr>
            <w:r w:rsidRPr="1F732931">
              <w:rPr>
                <w:rFonts w:eastAsia="Calibri"/>
                <w:b/>
              </w:rPr>
              <w:t>National Housing Supply and Affordability Council members</w:t>
            </w:r>
          </w:p>
        </w:tc>
      </w:tr>
      <w:tr w:rsidR="006103E2" w14:paraId="5ACDC399" w14:textId="77777777" w:rsidTr="00EC59F5">
        <w:trPr>
          <w:trHeight w:val="300"/>
        </w:trPr>
        <w:tc>
          <w:tcPr>
            <w:tcW w:w="9188" w:type="dxa"/>
            <w:tcMar>
              <w:left w:w="105" w:type="dxa"/>
              <w:right w:w="105" w:type="dxa"/>
            </w:tcMar>
          </w:tcPr>
          <w:p w14:paraId="05925B85" w14:textId="786C0DF4" w:rsidR="006103E2" w:rsidRDefault="006103E2" w:rsidP="00B46D92">
            <w:pPr>
              <w:pStyle w:val="TableTextLeft"/>
              <w:rPr>
                <w:rFonts w:eastAsia="Calibri"/>
              </w:rPr>
            </w:pPr>
            <w:r w:rsidRPr="1F732931">
              <w:rPr>
                <w:rFonts w:eastAsia="Calibri"/>
              </w:rPr>
              <w:t>Ms Susan Lloyd</w:t>
            </w:r>
            <w:r w:rsidR="00A15C79">
              <w:rPr>
                <w:rFonts w:eastAsia="Calibri"/>
              </w:rPr>
              <w:noBreakHyphen/>
            </w:r>
            <w:r w:rsidRPr="1F732931">
              <w:rPr>
                <w:rFonts w:eastAsia="Calibri"/>
              </w:rPr>
              <w:t>Hurwitz (Chair)</w:t>
            </w:r>
          </w:p>
        </w:tc>
      </w:tr>
      <w:tr w:rsidR="006103E2" w14:paraId="7A590DD0" w14:textId="77777777" w:rsidTr="00EC59F5">
        <w:trPr>
          <w:trHeight w:val="300"/>
        </w:trPr>
        <w:tc>
          <w:tcPr>
            <w:tcW w:w="9188" w:type="dxa"/>
            <w:tcMar>
              <w:left w:w="105" w:type="dxa"/>
              <w:right w:w="105" w:type="dxa"/>
            </w:tcMar>
          </w:tcPr>
          <w:p w14:paraId="22D5ACF6" w14:textId="77777777" w:rsidR="006103E2" w:rsidRDefault="006103E2" w:rsidP="00B46D92">
            <w:pPr>
              <w:pStyle w:val="TableTextLeft"/>
              <w:rPr>
                <w:rFonts w:eastAsia="Calibri"/>
              </w:rPr>
            </w:pPr>
            <w:r w:rsidRPr="1F732931">
              <w:rPr>
                <w:rFonts w:eastAsia="Calibri"/>
              </w:rPr>
              <w:t>Dr Marcus Spiller (Deputy Chair)</w:t>
            </w:r>
          </w:p>
        </w:tc>
      </w:tr>
      <w:tr w:rsidR="006103E2" w14:paraId="0AF67B20" w14:textId="77777777" w:rsidTr="00EC59F5">
        <w:trPr>
          <w:trHeight w:val="300"/>
        </w:trPr>
        <w:tc>
          <w:tcPr>
            <w:tcW w:w="9188" w:type="dxa"/>
            <w:tcMar>
              <w:left w:w="105" w:type="dxa"/>
              <w:right w:w="105" w:type="dxa"/>
            </w:tcMar>
          </w:tcPr>
          <w:p w14:paraId="4573EA76" w14:textId="77777777" w:rsidR="006103E2" w:rsidRDefault="006103E2" w:rsidP="00B46D92">
            <w:pPr>
              <w:pStyle w:val="TableTextLeft"/>
              <w:rPr>
                <w:rFonts w:eastAsia="Calibri"/>
              </w:rPr>
            </w:pPr>
            <w:r w:rsidRPr="1F732931">
              <w:rPr>
                <w:rFonts w:eastAsia="Calibri"/>
              </w:rPr>
              <w:t>Mr Michael Lennon</w:t>
            </w:r>
          </w:p>
        </w:tc>
      </w:tr>
      <w:tr w:rsidR="006103E2" w14:paraId="62A40CBA" w14:textId="77777777" w:rsidTr="00EC59F5">
        <w:trPr>
          <w:trHeight w:val="300"/>
        </w:trPr>
        <w:tc>
          <w:tcPr>
            <w:tcW w:w="9188" w:type="dxa"/>
            <w:tcMar>
              <w:left w:w="105" w:type="dxa"/>
              <w:right w:w="105" w:type="dxa"/>
            </w:tcMar>
          </w:tcPr>
          <w:p w14:paraId="2CDE2E54" w14:textId="77777777" w:rsidR="006103E2" w:rsidRDefault="006103E2" w:rsidP="00B46D92">
            <w:pPr>
              <w:pStyle w:val="TableTextLeft"/>
              <w:rPr>
                <w:rFonts w:eastAsia="Calibri"/>
              </w:rPr>
            </w:pPr>
            <w:r w:rsidRPr="1F732931">
              <w:rPr>
                <w:rFonts w:eastAsia="Calibri"/>
              </w:rPr>
              <w:t xml:space="preserve">Professor Rachel Ong </w:t>
            </w:r>
            <w:proofErr w:type="spellStart"/>
            <w:r w:rsidRPr="1F732931">
              <w:rPr>
                <w:rFonts w:eastAsia="Calibri"/>
              </w:rPr>
              <w:t>ViforJ</w:t>
            </w:r>
            <w:proofErr w:type="spellEnd"/>
          </w:p>
        </w:tc>
      </w:tr>
      <w:tr w:rsidR="006103E2" w14:paraId="0BDB62B8" w14:textId="77777777" w:rsidTr="00EC59F5">
        <w:trPr>
          <w:trHeight w:val="300"/>
        </w:trPr>
        <w:tc>
          <w:tcPr>
            <w:tcW w:w="9188" w:type="dxa"/>
            <w:tcMar>
              <w:left w:w="105" w:type="dxa"/>
              <w:right w:w="105" w:type="dxa"/>
            </w:tcMar>
          </w:tcPr>
          <w:p w14:paraId="4A892EF6" w14:textId="77777777" w:rsidR="006103E2" w:rsidRDefault="006103E2" w:rsidP="00B46D92">
            <w:pPr>
              <w:pStyle w:val="TableTextLeft"/>
              <w:rPr>
                <w:rFonts w:eastAsia="Calibri"/>
              </w:rPr>
            </w:pPr>
            <w:r w:rsidRPr="1F732931">
              <w:rPr>
                <w:rFonts w:eastAsia="Calibri"/>
              </w:rPr>
              <w:t>Ms Helen Waters Silvia</w:t>
            </w:r>
          </w:p>
        </w:tc>
      </w:tr>
      <w:tr w:rsidR="006103E2" w14:paraId="59C683CB" w14:textId="77777777" w:rsidTr="00EC59F5">
        <w:trPr>
          <w:trHeight w:val="300"/>
        </w:trPr>
        <w:tc>
          <w:tcPr>
            <w:tcW w:w="9188" w:type="dxa"/>
            <w:tcMar>
              <w:left w:w="105" w:type="dxa"/>
              <w:right w:w="105" w:type="dxa"/>
            </w:tcMar>
          </w:tcPr>
          <w:p w14:paraId="7A66EE07" w14:textId="77777777" w:rsidR="006103E2" w:rsidRDefault="006103E2" w:rsidP="00B46D92">
            <w:pPr>
              <w:pStyle w:val="TableTextLeft"/>
              <w:rPr>
                <w:rFonts w:eastAsia="Calibri"/>
              </w:rPr>
            </w:pPr>
            <w:r w:rsidRPr="1F732931">
              <w:rPr>
                <w:rFonts w:eastAsia="Calibri"/>
              </w:rPr>
              <w:t>Ms Gail McGowan PSM</w:t>
            </w:r>
          </w:p>
        </w:tc>
      </w:tr>
      <w:tr w:rsidR="006103E2" w14:paraId="3095E22E" w14:textId="77777777" w:rsidTr="00EC59F5">
        <w:trPr>
          <w:trHeight w:val="300"/>
        </w:trPr>
        <w:tc>
          <w:tcPr>
            <w:tcW w:w="9188" w:type="dxa"/>
            <w:tcMar>
              <w:left w:w="105" w:type="dxa"/>
              <w:right w:w="105" w:type="dxa"/>
            </w:tcMar>
          </w:tcPr>
          <w:p w14:paraId="2FBAE953" w14:textId="77777777" w:rsidR="006103E2" w:rsidRDefault="006103E2" w:rsidP="00B46D92">
            <w:pPr>
              <w:pStyle w:val="TableTextLeft"/>
              <w:rPr>
                <w:rFonts w:eastAsia="Calibri"/>
              </w:rPr>
            </w:pPr>
            <w:r w:rsidRPr="1F732931">
              <w:rPr>
                <w:rFonts w:eastAsia="Calibri"/>
              </w:rPr>
              <w:t xml:space="preserve">Ms Carolyn </w:t>
            </w:r>
            <w:proofErr w:type="spellStart"/>
            <w:r w:rsidRPr="1F732931">
              <w:rPr>
                <w:rFonts w:eastAsia="Calibri"/>
              </w:rPr>
              <w:t>Viney</w:t>
            </w:r>
            <w:proofErr w:type="spellEnd"/>
          </w:p>
        </w:tc>
      </w:tr>
      <w:tr w:rsidR="006103E2" w14:paraId="4977FD00" w14:textId="77777777" w:rsidTr="00EC59F5">
        <w:trPr>
          <w:trHeight w:val="300"/>
        </w:trPr>
        <w:tc>
          <w:tcPr>
            <w:tcW w:w="9188" w:type="dxa"/>
            <w:tcMar>
              <w:left w:w="105" w:type="dxa"/>
              <w:right w:w="105" w:type="dxa"/>
            </w:tcMar>
          </w:tcPr>
          <w:p w14:paraId="0112CE10" w14:textId="77777777" w:rsidR="006103E2" w:rsidRDefault="006103E2" w:rsidP="00B46D92">
            <w:pPr>
              <w:pStyle w:val="TableTextLeft"/>
              <w:rPr>
                <w:rFonts w:eastAsia="Calibri"/>
              </w:rPr>
            </w:pPr>
            <w:r w:rsidRPr="1F732931">
              <w:rPr>
                <w:rFonts w:eastAsia="Calibri"/>
              </w:rPr>
              <w:t xml:space="preserve">Mr Neil </w:t>
            </w:r>
            <w:proofErr w:type="spellStart"/>
            <w:r w:rsidRPr="1F732931">
              <w:rPr>
                <w:rFonts w:eastAsia="Calibri"/>
              </w:rPr>
              <w:t>Willmett</w:t>
            </w:r>
            <w:proofErr w:type="spellEnd"/>
          </w:p>
        </w:tc>
      </w:tr>
      <w:tr w:rsidR="006103E2" w14:paraId="5F34CD6E" w14:textId="77777777" w:rsidTr="00EC59F5">
        <w:trPr>
          <w:trHeight w:val="300"/>
        </w:trPr>
        <w:tc>
          <w:tcPr>
            <w:tcW w:w="9188" w:type="dxa"/>
            <w:tcMar>
              <w:left w:w="105" w:type="dxa"/>
              <w:right w:w="105" w:type="dxa"/>
            </w:tcMar>
          </w:tcPr>
          <w:p w14:paraId="1B31C3E4" w14:textId="5E2E6781" w:rsidR="006103E2" w:rsidRDefault="006103E2" w:rsidP="00B46D92">
            <w:pPr>
              <w:pStyle w:val="TableTextLeft"/>
              <w:rPr>
                <w:rFonts w:eastAsia="Calibri"/>
              </w:rPr>
            </w:pPr>
            <w:r w:rsidRPr="1F732931">
              <w:rPr>
                <w:rFonts w:eastAsia="Calibri"/>
              </w:rPr>
              <w:t>Ms Victoria Anderson (ex</w:t>
            </w:r>
            <w:r w:rsidR="00A15C79">
              <w:rPr>
                <w:rFonts w:eastAsia="Calibri"/>
              </w:rPr>
              <w:noBreakHyphen/>
            </w:r>
            <w:r w:rsidRPr="1F732931">
              <w:rPr>
                <w:rFonts w:eastAsia="Calibri"/>
              </w:rPr>
              <w:t>officio)</w:t>
            </w:r>
          </w:p>
        </w:tc>
      </w:tr>
    </w:tbl>
    <w:p w14:paraId="07B9D95E" w14:textId="77777777" w:rsidR="006103E2" w:rsidRDefault="006103E2">
      <w:pPr>
        <w:pStyle w:val="Heading2"/>
      </w:pPr>
      <w:bookmarkStart w:id="226" w:name="_Toc194476434"/>
      <w:bookmarkStart w:id="227" w:name="_Toc194478460"/>
      <w:bookmarkStart w:id="228" w:name="_Toc194479001"/>
      <w:bookmarkStart w:id="229" w:name="_Toc194482598"/>
      <w:bookmarkStart w:id="230" w:name="_Toc195026377"/>
      <w:bookmarkStart w:id="231" w:name="_Toc195026632"/>
      <w:bookmarkStart w:id="232" w:name="_Toc195106391"/>
      <w:bookmarkStart w:id="233" w:name="_Toc196395922"/>
      <w:r>
        <w:t>Information sources</w:t>
      </w:r>
      <w:bookmarkEnd w:id="226"/>
      <w:bookmarkEnd w:id="227"/>
      <w:bookmarkEnd w:id="228"/>
      <w:bookmarkEnd w:id="229"/>
      <w:bookmarkEnd w:id="230"/>
      <w:bookmarkEnd w:id="231"/>
      <w:bookmarkEnd w:id="232"/>
      <w:bookmarkEnd w:id="233"/>
    </w:p>
    <w:p w14:paraId="2A2D8121" w14:textId="54319D8F" w:rsidR="00B46D92" w:rsidRPr="000B3417" w:rsidRDefault="006103E2" w:rsidP="000B3417">
      <w:r w:rsidRPr="5096E9DC">
        <w:rPr>
          <w:rFonts w:eastAsia="Calibri"/>
        </w:rPr>
        <w:t xml:space="preserve">The Council </w:t>
      </w:r>
      <w:r>
        <w:rPr>
          <w:rFonts w:eastAsia="Calibri"/>
        </w:rPr>
        <w:t>used</w:t>
      </w:r>
      <w:r w:rsidRPr="5096E9DC">
        <w:rPr>
          <w:rFonts w:eastAsia="Calibri"/>
        </w:rPr>
        <w:t xml:space="preserve"> </w:t>
      </w:r>
      <w:r>
        <w:rPr>
          <w:rFonts w:eastAsia="Calibri"/>
        </w:rPr>
        <w:t xml:space="preserve">a range of information sources </w:t>
      </w:r>
      <w:r w:rsidRPr="5096E9DC">
        <w:rPr>
          <w:rFonts w:eastAsia="Calibri"/>
        </w:rPr>
        <w:t>to inform its research and analysis</w:t>
      </w:r>
      <w:r>
        <w:rPr>
          <w:rFonts w:eastAsia="Calibri"/>
        </w:rPr>
        <w:t>, including existing housing l</w:t>
      </w:r>
      <w:r w:rsidRPr="0504A763">
        <w:rPr>
          <w:rFonts w:eastAsia="Calibri"/>
        </w:rPr>
        <w:t>iterature</w:t>
      </w:r>
      <w:r>
        <w:rPr>
          <w:rFonts w:eastAsia="Calibri"/>
        </w:rPr>
        <w:t xml:space="preserve"> </w:t>
      </w:r>
      <w:r w:rsidRPr="0504A763">
        <w:rPr>
          <w:rFonts w:eastAsia="Calibri"/>
        </w:rPr>
        <w:t>(see references at Appendix D)</w:t>
      </w:r>
      <w:r>
        <w:rPr>
          <w:rFonts w:eastAsia="Calibri"/>
        </w:rPr>
        <w:t>, g</w:t>
      </w:r>
      <w:r w:rsidRPr="5096E9DC">
        <w:rPr>
          <w:rFonts w:eastAsia="Calibri"/>
        </w:rPr>
        <w:t>overnment and non</w:t>
      </w:r>
      <w:r w:rsidR="00A15C79">
        <w:rPr>
          <w:rFonts w:eastAsia="Calibri"/>
        </w:rPr>
        <w:noBreakHyphen/>
      </w:r>
      <w:r w:rsidRPr="5096E9DC">
        <w:rPr>
          <w:rFonts w:eastAsia="Calibri"/>
        </w:rPr>
        <w:t>government data</w:t>
      </w:r>
      <w:r w:rsidR="00E7308F">
        <w:rPr>
          <w:rFonts w:eastAsia="Calibri"/>
        </w:rPr>
        <w:t>,</w:t>
      </w:r>
      <w:r>
        <w:rPr>
          <w:rFonts w:eastAsia="Calibri"/>
        </w:rPr>
        <w:t xml:space="preserve"> and insights from stakeholder consultations</w:t>
      </w:r>
      <w:r w:rsidRPr="5096E9DC">
        <w:rPr>
          <w:rFonts w:eastAsia="Calibri"/>
        </w:rPr>
        <w:t>.</w:t>
      </w:r>
      <w:r>
        <w:rPr>
          <w:rFonts w:eastAsia="Calibri"/>
        </w:rPr>
        <w:t xml:space="preserve"> The Council also considered international housing experiences where relevant.</w:t>
      </w:r>
      <w:r w:rsidR="00B46D92">
        <w:br w:type="page"/>
      </w:r>
    </w:p>
    <w:p w14:paraId="1D20976B" w14:textId="5C46FB8F" w:rsidR="006103E2" w:rsidRDefault="006103E2">
      <w:pPr>
        <w:pStyle w:val="Heading3"/>
      </w:pPr>
      <w:r>
        <w:lastRenderedPageBreak/>
        <w:t>Bilateral interviews and roundtable discussions</w:t>
      </w:r>
    </w:p>
    <w:p w14:paraId="065D9A59" w14:textId="77777777" w:rsidR="006103E2" w:rsidRDefault="006103E2">
      <w:r>
        <w:t>The Council convened a series of bilateral interviews and roundtable discussions between December 2024 and February 2025. These consultations consisted of:</w:t>
      </w:r>
    </w:p>
    <w:p w14:paraId="4FF6FDD5" w14:textId="59EE3D1B" w:rsidR="006103E2" w:rsidRPr="00B46D92" w:rsidRDefault="006103E2" w:rsidP="00B46D92">
      <w:pPr>
        <w:pStyle w:val="Bullet"/>
      </w:pPr>
      <w:r>
        <w:t xml:space="preserve">bilateral </w:t>
      </w:r>
      <w:r w:rsidRPr="00AF4C27">
        <w:t>interviews</w:t>
      </w:r>
      <w:r>
        <w:t xml:space="preserve"> with representatives from all state and territory governments, and </w:t>
      </w:r>
      <w:r w:rsidR="001B43E4">
        <w:t>6</w:t>
      </w:r>
      <w:r>
        <w:t xml:space="preserve"> stakeholder </w:t>
      </w:r>
      <w:r w:rsidRPr="00B46D92">
        <w:t>organisations</w:t>
      </w:r>
    </w:p>
    <w:p w14:paraId="5174A261" w14:textId="6B7A1D0F" w:rsidR="006103E2" w:rsidRDefault="006103E2" w:rsidP="00B46D92">
      <w:pPr>
        <w:pStyle w:val="Bullet"/>
      </w:pPr>
      <w:r w:rsidRPr="00B46D92">
        <w:t>4 roundtable</w:t>
      </w:r>
      <w:r>
        <w:t xml:space="preserve"> discussions on academic perspectives on housing, the housing industry, the community </w:t>
      </w:r>
      <w:r w:rsidRPr="00AF4C27">
        <w:t>housing</w:t>
      </w:r>
      <w:r>
        <w:t xml:space="preserve"> sector and </w:t>
      </w:r>
      <w:r w:rsidR="0099326B">
        <w:t>First Nations</w:t>
      </w:r>
      <w:r>
        <w:t xml:space="preserve"> housing.</w:t>
      </w:r>
    </w:p>
    <w:p w14:paraId="02864074" w14:textId="7903D26F" w:rsidR="006103E2" w:rsidRDefault="006103E2" w:rsidP="00AF4C27">
      <w:pPr>
        <w:rPr>
          <w:b/>
        </w:rPr>
      </w:pPr>
      <w:r w:rsidRPr="61DDEA88">
        <w:t xml:space="preserve">The Council is grateful to all stakeholders who contributed their time and insights to aid the development of the </w:t>
      </w:r>
      <w:r w:rsidR="00F220C8">
        <w:t>r</w:t>
      </w:r>
      <w:r w:rsidRPr="61DDEA88">
        <w:t>eport (Table C.2).</w:t>
      </w:r>
    </w:p>
    <w:p w14:paraId="7363541D" w14:textId="31E93157" w:rsidR="006103E2" w:rsidRDefault="006103E2" w:rsidP="00AF4C27">
      <w:pPr>
        <w:pStyle w:val="TableMainHeadingnonumbering"/>
        <w:rPr>
          <w:rFonts w:eastAsia="Calibri Light"/>
        </w:rPr>
      </w:pPr>
      <w:r w:rsidRPr="00E02180">
        <w:rPr>
          <w:rFonts w:eastAsia="Calibri Light"/>
        </w:rPr>
        <w:t xml:space="preserve">Table </w:t>
      </w:r>
      <w:r>
        <w:rPr>
          <w:rFonts w:eastAsia="Calibri Light"/>
        </w:rPr>
        <w:t>C</w:t>
      </w:r>
      <w:r w:rsidRPr="00E02180">
        <w:rPr>
          <w:rFonts w:eastAsia="Calibri Light"/>
        </w:rPr>
        <w:t>.2</w:t>
      </w:r>
      <w:r w:rsidRPr="5C8F557F">
        <w:rPr>
          <w:rFonts w:eastAsia="Calibri Light"/>
        </w:rPr>
        <w:t xml:space="preserve"> Stakeholder consultations</w:t>
      </w:r>
    </w:p>
    <w:tbl>
      <w:tblPr>
        <w:tblStyle w:val="TableGrid"/>
        <w:tblW w:w="0" w:type="auto"/>
        <w:tblBorders>
          <w:top w:val="single" w:sz="8" w:space="0" w:color="F2E3C7" w:themeColor="background2"/>
          <w:bottom w:val="single" w:sz="8" w:space="0" w:color="F2E3C7" w:themeColor="background2"/>
          <w:insideH w:val="single" w:sz="8" w:space="0" w:color="F2E3C7" w:themeColor="background2"/>
        </w:tblBorders>
        <w:tblLayout w:type="fixed"/>
        <w:tblLook w:val="04A0" w:firstRow="1" w:lastRow="0" w:firstColumn="1" w:lastColumn="0" w:noHBand="0" w:noVBand="1"/>
      </w:tblPr>
      <w:tblGrid>
        <w:gridCol w:w="8850"/>
      </w:tblGrid>
      <w:tr w:rsidR="006103E2" w14:paraId="1E6A3D32" w14:textId="77777777" w:rsidTr="00EC59F5">
        <w:trPr>
          <w:cnfStyle w:val="100000000000" w:firstRow="1" w:lastRow="0" w:firstColumn="0" w:lastColumn="0" w:oddVBand="0" w:evenVBand="0" w:oddHBand="0" w:evenHBand="0" w:firstRowFirstColumn="0" w:firstRowLastColumn="0" w:lastRowFirstColumn="0" w:lastRowLastColumn="0"/>
          <w:trHeight w:val="300"/>
        </w:trPr>
        <w:tc>
          <w:tcPr>
            <w:tcW w:w="8850" w:type="dxa"/>
            <w:tcMar>
              <w:left w:w="105" w:type="dxa"/>
              <w:right w:w="105" w:type="dxa"/>
            </w:tcMar>
          </w:tcPr>
          <w:p w14:paraId="449EE2A9" w14:textId="77777777" w:rsidR="006103E2" w:rsidRPr="00B46D92" w:rsidRDefault="006103E2" w:rsidP="00B46D92">
            <w:pPr>
              <w:pStyle w:val="TableColumnHeadingLeft"/>
              <w:rPr>
                <w:rFonts w:eastAsia="Calibri"/>
                <w:b/>
                <w:bCs/>
              </w:rPr>
            </w:pPr>
            <w:r w:rsidRPr="00B46D92">
              <w:rPr>
                <w:rFonts w:eastAsia="Calibri"/>
                <w:b/>
                <w:bCs/>
              </w:rPr>
              <w:t xml:space="preserve">State and territory government agencies </w:t>
            </w:r>
          </w:p>
        </w:tc>
      </w:tr>
      <w:tr w:rsidR="006103E2" w14:paraId="6513BF1B" w14:textId="77777777" w:rsidTr="00EC59F5">
        <w:trPr>
          <w:trHeight w:val="300"/>
        </w:trPr>
        <w:tc>
          <w:tcPr>
            <w:tcW w:w="8850" w:type="dxa"/>
            <w:tcMar>
              <w:left w:w="105" w:type="dxa"/>
              <w:right w:w="105" w:type="dxa"/>
            </w:tcMar>
          </w:tcPr>
          <w:p w14:paraId="6CBA6BCC" w14:textId="77777777" w:rsidR="006103E2" w:rsidRPr="00B46D92" w:rsidRDefault="006103E2" w:rsidP="00B46D92">
            <w:pPr>
              <w:pStyle w:val="TableTextLeft"/>
              <w:rPr>
                <w:rStyle w:val="Strong"/>
                <w:rFonts w:eastAsia="Calibri"/>
              </w:rPr>
            </w:pPr>
            <w:r w:rsidRPr="00B46D92">
              <w:rPr>
                <w:rStyle w:val="Strong"/>
                <w:rFonts w:eastAsia="Calibri"/>
              </w:rPr>
              <w:t>Australian Capital Territory</w:t>
            </w:r>
          </w:p>
          <w:p w14:paraId="46C659A2" w14:textId="77777777" w:rsidR="006103E2" w:rsidRPr="00864299" w:rsidRDefault="006103E2" w:rsidP="00B46D92">
            <w:pPr>
              <w:pStyle w:val="TableTextLeft"/>
              <w:rPr>
                <w:rFonts w:eastAsia="Calibri"/>
              </w:rPr>
            </w:pPr>
            <w:r w:rsidRPr="00864299">
              <w:rPr>
                <w:rFonts w:eastAsia="Calibri"/>
              </w:rPr>
              <w:t>ACT Treasury</w:t>
            </w:r>
          </w:p>
          <w:p w14:paraId="426984AD" w14:textId="77777777" w:rsidR="006103E2" w:rsidRDefault="006103E2" w:rsidP="00B46D92">
            <w:pPr>
              <w:pStyle w:val="TableTextLeft"/>
              <w:rPr>
                <w:rFonts w:eastAsia="Calibri"/>
              </w:rPr>
            </w:pPr>
            <w:r w:rsidRPr="00864299">
              <w:rPr>
                <w:rFonts w:eastAsia="Calibri"/>
              </w:rPr>
              <w:t>Suburban Land Agency</w:t>
            </w:r>
          </w:p>
        </w:tc>
      </w:tr>
      <w:tr w:rsidR="006103E2" w14:paraId="4A9E2B28" w14:textId="77777777" w:rsidTr="00EC59F5">
        <w:trPr>
          <w:trHeight w:val="300"/>
        </w:trPr>
        <w:tc>
          <w:tcPr>
            <w:tcW w:w="8850" w:type="dxa"/>
            <w:tcMar>
              <w:left w:w="105" w:type="dxa"/>
              <w:right w:w="105" w:type="dxa"/>
            </w:tcMar>
          </w:tcPr>
          <w:p w14:paraId="41975BFB" w14:textId="77777777" w:rsidR="006103E2" w:rsidRPr="00B46D92" w:rsidRDefault="006103E2" w:rsidP="00B46D92">
            <w:pPr>
              <w:pStyle w:val="TableTextLeft"/>
              <w:rPr>
                <w:rStyle w:val="Strong"/>
                <w:rFonts w:eastAsia="Calibri"/>
              </w:rPr>
            </w:pPr>
            <w:r w:rsidRPr="00B46D92">
              <w:rPr>
                <w:rStyle w:val="Strong"/>
                <w:rFonts w:eastAsia="Calibri"/>
              </w:rPr>
              <w:t>New South Wales</w:t>
            </w:r>
          </w:p>
          <w:p w14:paraId="66B0789C" w14:textId="7E2A08A3" w:rsidR="006103E2" w:rsidRPr="00864299" w:rsidRDefault="006103E2" w:rsidP="00B46D92">
            <w:pPr>
              <w:pStyle w:val="TableTextLeft"/>
              <w:rPr>
                <w:rFonts w:eastAsia="Calibri"/>
              </w:rPr>
            </w:pPr>
            <w:r w:rsidRPr="00864299">
              <w:rPr>
                <w:rFonts w:eastAsia="Calibri"/>
              </w:rPr>
              <w:t>Dep</w:t>
            </w:r>
            <w:r>
              <w:rPr>
                <w:rFonts w:eastAsia="Calibri"/>
              </w:rPr>
              <w:t>artment</w:t>
            </w:r>
            <w:r w:rsidRPr="00864299">
              <w:rPr>
                <w:rFonts w:eastAsia="Calibri"/>
              </w:rPr>
              <w:t xml:space="preserve"> of Planning, Housing and Infrastructure</w:t>
            </w:r>
            <w:r w:rsidR="00F92894">
              <w:rPr>
                <w:rFonts w:eastAsia="Calibri"/>
              </w:rPr>
              <w:br/>
              <w:t>NSW Treasury</w:t>
            </w:r>
          </w:p>
          <w:p w14:paraId="1B0FDD01" w14:textId="77777777" w:rsidR="006103E2" w:rsidRDefault="006103E2" w:rsidP="00B46D92">
            <w:pPr>
              <w:pStyle w:val="TableTextLeft"/>
              <w:rPr>
                <w:rFonts w:eastAsia="Calibri"/>
              </w:rPr>
            </w:pPr>
            <w:r w:rsidRPr="69B9A160">
              <w:rPr>
                <w:rFonts w:eastAsia="Calibri"/>
              </w:rPr>
              <w:t>The</w:t>
            </w:r>
            <w:r w:rsidRPr="00864299">
              <w:rPr>
                <w:rFonts w:eastAsia="Calibri"/>
              </w:rPr>
              <w:t xml:space="preserve"> Cabinet Office</w:t>
            </w:r>
          </w:p>
        </w:tc>
      </w:tr>
      <w:tr w:rsidR="006103E2" w14:paraId="3D457076" w14:textId="77777777" w:rsidTr="00EC59F5">
        <w:trPr>
          <w:trHeight w:val="300"/>
        </w:trPr>
        <w:tc>
          <w:tcPr>
            <w:tcW w:w="8850" w:type="dxa"/>
            <w:tcMar>
              <w:left w:w="105" w:type="dxa"/>
              <w:right w:w="105" w:type="dxa"/>
            </w:tcMar>
          </w:tcPr>
          <w:p w14:paraId="30EA756C" w14:textId="77777777" w:rsidR="006103E2" w:rsidRPr="00B46D92" w:rsidRDefault="006103E2" w:rsidP="00B46D92">
            <w:pPr>
              <w:pStyle w:val="TableTextLeft"/>
              <w:rPr>
                <w:rStyle w:val="Strong"/>
                <w:rFonts w:eastAsia="Calibri"/>
              </w:rPr>
            </w:pPr>
            <w:r w:rsidRPr="00B46D92">
              <w:rPr>
                <w:rStyle w:val="Strong"/>
                <w:rFonts w:eastAsia="Calibri"/>
              </w:rPr>
              <w:t>Northern Territory</w:t>
            </w:r>
          </w:p>
          <w:p w14:paraId="2DA78C8C" w14:textId="1EAA2C15" w:rsidR="006103E2" w:rsidRDefault="00115A1B" w:rsidP="00B46D92">
            <w:pPr>
              <w:pStyle w:val="TableTextLeft"/>
              <w:rPr>
                <w:rFonts w:eastAsia="Calibri"/>
              </w:rPr>
            </w:pPr>
            <w:r w:rsidRPr="00CC02E3">
              <w:rPr>
                <w:rFonts w:eastAsia="Calibri"/>
              </w:rPr>
              <w:t>Department of Housing, Local Government and Community Development</w:t>
            </w:r>
            <w:r>
              <w:rPr>
                <w:rFonts w:eastAsia="Calibri"/>
              </w:rPr>
              <w:br/>
            </w:r>
            <w:r w:rsidR="006103E2" w:rsidRPr="4725BB18">
              <w:rPr>
                <w:rFonts w:eastAsia="Calibri"/>
              </w:rPr>
              <w:t xml:space="preserve">Department of Lands, Planning and Environment </w:t>
            </w:r>
          </w:p>
          <w:p w14:paraId="0FC7A84F" w14:textId="342EAD7A" w:rsidR="006103E2" w:rsidRPr="00864299" w:rsidRDefault="006103E2" w:rsidP="00B46D92">
            <w:pPr>
              <w:pStyle w:val="TableTextLeft"/>
              <w:rPr>
                <w:rFonts w:eastAsia="Calibri"/>
              </w:rPr>
            </w:pPr>
            <w:r w:rsidRPr="34D0754E">
              <w:rPr>
                <w:rFonts w:eastAsia="Calibri"/>
              </w:rPr>
              <w:t xml:space="preserve">Department of </w:t>
            </w:r>
            <w:r w:rsidRPr="5110CEC2">
              <w:rPr>
                <w:rFonts w:eastAsia="Calibri"/>
              </w:rPr>
              <w:t xml:space="preserve">Logistics and </w:t>
            </w:r>
            <w:r w:rsidRPr="34D0754E">
              <w:rPr>
                <w:rFonts w:eastAsia="Calibri"/>
              </w:rPr>
              <w:t>Infrastructure</w:t>
            </w:r>
            <w:r w:rsidR="00115A1B">
              <w:rPr>
                <w:rFonts w:eastAsia="Calibri"/>
              </w:rPr>
              <w:br/>
            </w:r>
            <w:r w:rsidR="00115A1B" w:rsidRPr="00CC02E3">
              <w:rPr>
                <w:rFonts w:eastAsia="Calibri"/>
              </w:rPr>
              <w:t>Department of Territory Families, Housing and Communities</w:t>
            </w:r>
          </w:p>
          <w:p w14:paraId="7990A32E" w14:textId="77777777" w:rsidR="006103E2" w:rsidRPr="00791EA6" w:rsidRDefault="006103E2" w:rsidP="00B46D92">
            <w:pPr>
              <w:pStyle w:val="TableTextLeft"/>
              <w:rPr>
                <w:rFonts w:eastAsia="Calibri"/>
              </w:rPr>
            </w:pPr>
            <w:r w:rsidRPr="1540AE28">
              <w:rPr>
                <w:rFonts w:eastAsia="Calibri"/>
              </w:rPr>
              <w:t xml:space="preserve">Department of the </w:t>
            </w:r>
            <w:r w:rsidRPr="002B38E4">
              <w:rPr>
                <w:rFonts w:eastAsia="Calibri"/>
              </w:rPr>
              <w:t xml:space="preserve">Chief Minister </w:t>
            </w:r>
            <w:r>
              <w:rPr>
                <w:rFonts w:eastAsia="Calibri"/>
              </w:rPr>
              <w:t>and</w:t>
            </w:r>
            <w:r w:rsidRPr="002B38E4">
              <w:rPr>
                <w:rFonts w:eastAsia="Calibri"/>
              </w:rPr>
              <w:t xml:space="preserve"> Cabinet</w:t>
            </w:r>
          </w:p>
          <w:p w14:paraId="3CD11CAA" w14:textId="2B0B0ED0" w:rsidR="006103E2" w:rsidRPr="00791EA6" w:rsidRDefault="006103E2" w:rsidP="00B46D92">
            <w:pPr>
              <w:pStyle w:val="TableTextLeft"/>
              <w:rPr>
                <w:rFonts w:eastAsia="Calibri"/>
              </w:rPr>
            </w:pPr>
            <w:r w:rsidRPr="38966FD4">
              <w:rPr>
                <w:rFonts w:eastAsia="Calibri"/>
              </w:rPr>
              <w:t xml:space="preserve">Department of </w:t>
            </w:r>
            <w:r w:rsidRPr="6C00897B">
              <w:rPr>
                <w:rFonts w:eastAsia="Calibri"/>
              </w:rPr>
              <w:t>Treasury</w:t>
            </w:r>
            <w:r w:rsidRPr="38966FD4">
              <w:rPr>
                <w:rFonts w:eastAsia="Calibri"/>
              </w:rPr>
              <w:t xml:space="preserve"> and Finance</w:t>
            </w:r>
          </w:p>
        </w:tc>
      </w:tr>
      <w:tr w:rsidR="006103E2" w14:paraId="12BA664B" w14:textId="77777777" w:rsidTr="00EC59F5">
        <w:trPr>
          <w:trHeight w:val="300"/>
        </w:trPr>
        <w:tc>
          <w:tcPr>
            <w:tcW w:w="8850" w:type="dxa"/>
            <w:tcMar>
              <w:left w:w="105" w:type="dxa"/>
              <w:right w:w="105" w:type="dxa"/>
            </w:tcMar>
          </w:tcPr>
          <w:p w14:paraId="2BF83C61" w14:textId="77777777" w:rsidR="006103E2" w:rsidRPr="00B46D92" w:rsidRDefault="006103E2" w:rsidP="00B46D92">
            <w:pPr>
              <w:pStyle w:val="TableTextLeft"/>
              <w:rPr>
                <w:rStyle w:val="Strong"/>
                <w:rFonts w:eastAsia="Calibri"/>
              </w:rPr>
            </w:pPr>
            <w:r w:rsidRPr="00B46D92">
              <w:rPr>
                <w:rStyle w:val="Strong"/>
                <w:rFonts w:eastAsia="Calibri"/>
              </w:rPr>
              <w:t>Queensland</w:t>
            </w:r>
          </w:p>
          <w:p w14:paraId="6D312316" w14:textId="77777777" w:rsidR="006103E2" w:rsidRPr="00CA162F" w:rsidRDefault="006103E2" w:rsidP="00B46D92">
            <w:pPr>
              <w:pStyle w:val="TableTextLeft"/>
              <w:rPr>
                <w:rFonts w:eastAsia="Calibri"/>
                <w:lang w:val="en-GB"/>
              </w:rPr>
            </w:pPr>
            <w:r w:rsidRPr="00CA162F">
              <w:rPr>
                <w:rFonts w:eastAsia="Calibri"/>
                <w:lang w:val="en-GB"/>
              </w:rPr>
              <w:t>Department of Housing</w:t>
            </w:r>
            <w:r>
              <w:rPr>
                <w:rFonts w:eastAsia="Calibri"/>
                <w:lang w:val="en-GB"/>
              </w:rPr>
              <w:t xml:space="preserve"> and</w:t>
            </w:r>
            <w:r w:rsidRPr="00CA162F">
              <w:rPr>
                <w:rFonts w:eastAsia="Calibri"/>
                <w:lang w:val="en-GB"/>
              </w:rPr>
              <w:t xml:space="preserve"> Public Works</w:t>
            </w:r>
          </w:p>
          <w:p w14:paraId="111BF8A2" w14:textId="77777777" w:rsidR="006103E2" w:rsidRPr="00864299" w:rsidRDefault="006103E2" w:rsidP="00B46D92">
            <w:pPr>
              <w:pStyle w:val="TableTextLeft"/>
              <w:rPr>
                <w:rFonts w:eastAsia="Calibri"/>
              </w:rPr>
            </w:pPr>
            <w:r w:rsidRPr="00864299">
              <w:rPr>
                <w:rFonts w:eastAsia="Calibri"/>
              </w:rPr>
              <w:t>Department of State Development, Infrastructure and Planning</w:t>
            </w:r>
          </w:p>
          <w:p w14:paraId="791E1938" w14:textId="77777777" w:rsidR="006103E2" w:rsidRDefault="006103E2" w:rsidP="00B46D92">
            <w:pPr>
              <w:pStyle w:val="TableTextLeft"/>
              <w:rPr>
                <w:rFonts w:eastAsia="Calibri"/>
              </w:rPr>
            </w:pPr>
            <w:r w:rsidRPr="00864299">
              <w:rPr>
                <w:rFonts w:eastAsia="Calibri"/>
              </w:rPr>
              <w:t>Queensland Treasury</w:t>
            </w:r>
          </w:p>
        </w:tc>
      </w:tr>
      <w:tr w:rsidR="006103E2" w14:paraId="2D04AF45" w14:textId="77777777" w:rsidTr="00EC59F5">
        <w:trPr>
          <w:trHeight w:val="300"/>
        </w:trPr>
        <w:tc>
          <w:tcPr>
            <w:tcW w:w="8850" w:type="dxa"/>
            <w:tcMar>
              <w:left w:w="105" w:type="dxa"/>
              <w:right w:w="105" w:type="dxa"/>
            </w:tcMar>
          </w:tcPr>
          <w:p w14:paraId="13F302EC" w14:textId="77777777" w:rsidR="006103E2" w:rsidRPr="00B46D92" w:rsidRDefault="006103E2" w:rsidP="00B46D92">
            <w:pPr>
              <w:pStyle w:val="TableTextLeft"/>
              <w:rPr>
                <w:rStyle w:val="Strong"/>
                <w:rFonts w:eastAsia="Calibri"/>
              </w:rPr>
            </w:pPr>
            <w:r w:rsidRPr="00B46D92">
              <w:rPr>
                <w:rStyle w:val="Strong"/>
                <w:rFonts w:eastAsia="Calibri"/>
              </w:rPr>
              <w:t>South Australia</w:t>
            </w:r>
          </w:p>
          <w:p w14:paraId="6CC3C9A2" w14:textId="77777777" w:rsidR="006103E2" w:rsidRPr="00864299" w:rsidRDefault="006103E2" w:rsidP="00B46D92">
            <w:pPr>
              <w:pStyle w:val="TableTextLeft"/>
              <w:rPr>
                <w:rFonts w:eastAsia="Calibri"/>
              </w:rPr>
            </w:pPr>
            <w:r w:rsidRPr="00864299">
              <w:rPr>
                <w:rFonts w:eastAsia="Calibri"/>
              </w:rPr>
              <w:t>Department for Housing and Urban Development</w:t>
            </w:r>
          </w:p>
          <w:p w14:paraId="2E1B4B02" w14:textId="77777777" w:rsidR="006103E2" w:rsidRDefault="006103E2" w:rsidP="00B46D92">
            <w:pPr>
              <w:pStyle w:val="TableTextLeft"/>
              <w:rPr>
                <w:rFonts w:eastAsia="Calibri"/>
              </w:rPr>
            </w:pPr>
            <w:r w:rsidRPr="00864299">
              <w:rPr>
                <w:rFonts w:eastAsia="Calibri"/>
              </w:rPr>
              <w:t>Department of Treasury and Finance</w:t>
            </w:r>
          </w:p>
          <w:p w14:paraId="681948A4" w14:textId="77777777" w:rsidR="006103E2" w:rsidRDefault="006103E2" w:rsidP="00B46D92">
            <w:pPr>
              <w:pStyle w:val="TableTextLeft"/>
              <w:rPr>
                <w:rFonts w:eastAsia="Calibri"/>
              </w:rPr>
            </w:pPr>
            <w:r w:rsidRPr="00864299">
              <w:rPr>
                <w:rFonts w:eastAsia="Calibri"/>
              </w:rPr>
              <w:t>SA Housing Trust</w:t>
            </w:r>
          </w:p>
        </w:tc>
      </w:tr>
      <w:tr w:rsidR="006103E2" w14:paraId="33DF07C9" w14:textId="77777777" w:rsidTr="00EC59F5">
        <w:trPr>
          <w:trHeight w:val="300"/>
        </w:trPr>
        <w:tc>
          <w:tcPr>
            <w:tcW w:w="8850" w:type="dxa"/>
            <w:tcMar>
              <w:left w:w="105" w:type="dxa"/>
              <w:right w:w="105" w:type="dxa"/>
            </w:tcMar>
          </w:tcPr>
          <w:p w14:paraId="27C4AEED" w14:textId="77777777" w:rsidR="006103E2" w:rsidRPr="00B46D92" w:rsidRDefault="006103E2" w:rsidP="00B46D92">
            <w:pPr>
              <w:pStyle w:val="TableTextLeft"/>
              <w:rPr>
                <w:rStyle w:val="Strong"/>
                <w:rFonts w:eastAsia="Calibri"/>
              </w:rPr>
            </w:pPr>
            <w:r w:rsidRPr="00B46D92">
              <w:rPr>
                <w:rStyle w:val="Strong"/>
                <w:rFonts w:eastAsia="Calibri"/>
              </w:rPr>
              <w:t>Tasmania</w:t>
            </w:r>
          </w:p>
          <w:p w14:paraId="3F77912A" w14:textId="77777777" w:rsidR="006103E2" w:rsidRDefault="006103E2" w:rsidP="00B46D92">
            <w:pPr>
              <w:pStyle w:val="TableTextLeft"/>
              <w:rPr>
                <w:rFonts w:eastAsia="Calibri"/>
              </w:rPr>
            </w:pPr>
            <w:r w:rsidRPr="00864299">
              <w:rPr>
                <w:rFonts w:eastAsia="Calibri"/>
              </w:rPr>
              <w:t>Department of Premier and Cabinet</w:t>
            </w:r>
          </w:p>
          <w:p w14:paraId="6908D4A4" w14:textId="77777777" w:rsidR="006103E2" w:rsidRDefault="006103E2" w:rsidP="00B46D92">
            <w:pPr>
              <w:pStyle w:val="TableTextLeft"/>
              <w:rPr>
                <w:rFonts w:eastAsia="Calibri"/>
              </w:rPr>
            </w:pPr>
            <w:r>
              <w:rPr>
                <w:rFonts w:eastAsia="Calibri"/>
              </w:rPr>
              <w:t>Department of State Growth</w:t>
            </w:r>
          </w:p>
          <w:p w14:paraId="12D2965C" w14:textId="77777777" w:rsidR="006103E2" w:rsidRDefault="006103E2" w:rsidP="00B46D92">
            <w:pPr>
              <w:pStyle w:val="TableTextLeft"/>
              <w:rPr>
                <w:rFonts w:eastAsia="Calibri"/>
              </w:rPr>
            </w:pPr>
            <w:r w:rsidRPr="00864299">
              <w:rPr>
                <w:rFonts w:eastAsia="Calibri"/>
              </w:rPr>
              <w:t xml:space="preserve">Homes Tasmania </w:t>
            </w:r>
          </w:p>
        </w:tc>
      </w:tr>
      <w:tr w:rsidR="006103E2" w14:paraId="361417D8" w14:textId="77777777" w:rsidTr="00EC59F5">
        <w:trPr>
          <w:trHeight w:val="300"/>
        </w:trPr>
        <w:tc>
          <w:tcPr>
            <w:tcW w:w="8850" w:type="dxa"/>
            <w:tcMar>
              <w:left w:w="105" w:type="dxa"/>
              <w:right w:w="105" w:type="dxa"/>
            </w:tcMar>
          </w:tcPr>
          <w:p w14:paraId="0E3A84FC" w14:textId="77777777" w:rsidR="006103E2" w:rsidRPr="00B46D92" w:rsidRDefault="006103E2" w:rsidP="00B46D92">
            <w:pPr>
              <w:pStyle w:val="TableTextLeft"/>
              <w:rPr>
                <w:rStyle w:val="Strong"/>
                <w:rFonts w:eastAsia="Calibri"/>
              </w:rPr>
            </w:pPr>
            <w:r w:rsidRPr="00B46D92">
              <w:rPr>
                <w:rStyle w:val="Strong"/>
                <w:rFonts w:eastAsia="Calibri"/>
              </w:rPr>
              <w:t>Victoria</w:t>
            </w:r>
          </w:p>
          <w:p w14:paraId="760C7EA7" w14:textId="77777777" w:rsidR="006103E2" w:rsidRPr="00864299" w:rsidRDefault="006103E2" w:rsidP="00B46D92">
            <w:pPr>
              <w:pStyle w:val="TableTextLeft"/>
              <w:rPr>
                <w:rFonts w:eastAsia="Calibri"/>
              </w:rPr>
            </w:pPr>
            <w:r w:rsidRPr="00864299">
              <w:rPr>
                <w:rFonts w:eastAsia="Calibri"/>
              </w:rPr>
              <w:t>Department of Transport</w:t>
            </w:r>
            <w:r>
              <w:rPr>
                <w:rFonts w:eastAsia="Calibri"/>
              </w:rPr>
              <w:t xml:space="preserve"> and Planning</w:t>
            </w:r>
          </w:p>
          <w:p w14:paraId="5863B4F8" w14:textId="67E3BEA2" w:rsidR="006103E2" w:rsidRDefault="006103E2" w:rsidP="00B46D92">
            <w:pPr>
              <w:pStyle w:val="TableTextLeft"/>
              <w:rPr>
                <w:rFonts w:eastAsia="Calibri"/>
              </w:rPr>
            </w:pPr>
            <w:r w:rsidRPr="00864299">
              <w:rPr>
                <w:rFonts w:eastAsia="Calibri"/>
              </w:rPr>
              <w:t xml:space="preserve">Department </w:t>
            </w:r>
            <w:r w:rsidR="001B43E4">
              <w:rPr>
                <w:rFonts w:eastAsia="Calibri"/>
              </w:rPr>
              <w:t>o</w:t>
            </w:r>
            <w:r w:rsidRPr="00864299">
              <w:rPr>
                <w:rFonts w:eastAsia="Calibri"/>
              </w:rPr>
              <w:t>f Treasury and Finance Victoria</w:t>
            </w:r>
          </w:p>
          <w:p w14:paraId="042261F1" w14:textId="77777777" w:rsidR="006103E2" w:rsidRDefault="006103E2" w:rsidP="00B46D92">
            <w:pPr>
              <w:pStyle w:val="TableTextLeft"/>
              <w:rPr>
                <w:rFonts w:eastAsia="Calibri"/>
              </w:rPr>
            </w:pPr>
            <w:r w:rsidRPr="00864299">
              <w:rPr>
                <w:rFonts w:eastAsia="Calibri"/>
              </w:rPr>
              <w:t>Homes Victoria</w:t>
            </w:r>
          </w:p>
        </w:tc>
      </w:tr>
      <w:tr w:rsidR="006103E2" w14:paraId="2359044D" w14:textId="77777777" w:rsidTr="00EC59F5">
        <w:trPr>
          <w:trHeight w:val="300"/>
        </w:trPr>
        <w:tc>
          <w:tcPr>
            <w:tcW w:w="8850" w:type="dxa"/>
            <w:tcMar>
              <w:left w:w="105" w:type="dxa"/>
              <w:right w:w="105" w:type="dxa"/>
            </w:tcMar>
          </w:tcPr>
          <w:p w14:paraId="3BE38346" w14:textId="77777777" w:rsidR="006103E2" w:rsidRPr="00B46D92" w:rsidRDefault="006103E2" w:rsidP="00B46D92">
            <w:pPr>
              <w:pStyle w:val="TableTextLeft"/>
              <w:rPr>
                <w:rStyle w:val="Strong"/>
                <w:rFonts w:eastAsia="Calibri"/>
              </w:rPr>
            </w:pPr>
            <w:r w:rsidRPr="00B46D92">
              <w:rPr>
                <w:rStyle w:val="Strong"/>
                <w:rFonts w:eastAsia="Calibri"/>
              </w:rPr>
              <w:t>Western Australia</w:t>
            </w:r>
          </w:p>
          <w:p w14:paraId="222FEB0D" w14:textId="77777777" w:rsidR="006103E2" w:rsidRDefault="006103E2" w:rsidP="00B46D92">
            <w:pPr>
              <w:pStyle w:val="TableTextLeft"/>
              <w:rPr>
                <w:rFonts w:eastAsia="Calibri"/>
              </w:rPr>
            </w:pPr>
            <w:r w:rsidRPr="00864299">
              <w:rPr>
                <w:rFonts w:eastAsia="Calibri"/>
              </w:rPr>
              <w:t>Department of Treasur</w:t>
            </w:r>
            <w:r>
              <w:rPr>
                <w:rFonts w:eastAsia="Calibri"/>
              </w:rPr>
              <w:t>y</w:t>
            </w:r>
          </w:p>
        </w:tc>
      </w:tr>
    </w:tbl>
    <w:p w14:paraId="43DC2A37" w14:textId="01BF38DC" w:rsidR="00B46D92" w:rsidRDefault="00B46D92" w:rsidP="000B3417">
      <w:pPr>
        <w:pStyle w:val="SingleParagraph"/>
      </w:pPr>
    </w:p>
    <w:p w14:paraId="0FD10BF4" w14:textId="6B2181B8" w:rsidR="00B46D92" w:rsidRPr="00B46D92" w:rsidRDefault="00B46D92" w:rsidP="00B46D92">
      <w:pPr>
        <w:pStyle w:val="TableMainHeadingnonumbering"/>
        <w:rPr>
          <w:rFonts w:eastAsia="Calibri Light"/>
        </w:rPr>
      </w:pPr>
      <w:r w:rsidRPr="00E02180">
        <w:rPr>
          <w:rFonts w:eastAsia="Calibri Light"/>
        </w:rPr>
        <w:lastRenderedPageBreak/>
        <w:t xml:space="preserve">Table </w:t>
      </w:r>
      <w:r>
        <w:rPr>
          <w:rFonts w:eastAsia="Calibri Light"/>
        </w:rPr>
        <w:t>C</w:t>
      </w:r>
      <w:r w:rsidRPr="00E02180">
        <w:rPr>
          <w:rFonts w:eastAsia="Calibri Light"/>
        </w:rPr>
        <w:t>.2</w:t>
      </w:r>
      <w:r w:rsidRPr="5C8F557F">
        <w:rPr>
          <w:rFonts w:eastAsia="Calibri Light"/>
        </w:rPr>
        <w:t xml:space="preserve"> Stakeholder consultations</w:t>
      </w:r>
      <w:r>
        <w:rPr>
          <w:rFonts w:eastAsia="Calibri Light"/>
        </w:rPr>
        <w:t xml:space="preserve"> (continued)</w:t>
      </w:r>
    </w:p>
    <w:tbl>
      <w:tblPr>
        <w:tblStyle w:val="TableGrid"/>
        <w:tblW w:w="0" w:type="auto"/>
        <w:tblBorders>
          <w:top w:val="single" w:sz="8" w:space="0" w:color="F2E3C7" w:themeColor="background2"/>
          <w:bottom w:val="single" w:sz="8" w:space="0" w:color="F2E3C7" w:themeColor="background2"/>
          <w:insideH w:val="single" w:sz="8" w:space="0" w:color="F2E3C7" w:themeColor="background2"/>
          <w:insideV w:val="single" w:sz="6" w:space="0" w:color="D4B08C" w:themeColor="accent4"/>
        </w:tblBorders>
        <w:tblLayout w:type="fixed"/>
        <w:tblLook w:val="04A0" w:firstRow="1" w:lastRow="0" w:firstColumn="1" w:lastColumn="0" w:noHBand="0" w:noVBand="1"/>
      </w:tblPr>
      <w:tblGrid>
        <w:gridCol w:w="8850"/>
      </w:tblGrid>
      <w:tr w:rsidR="006103E2" w14:paraId="0450523C" w14:textId="77777777" w:rsidTr="00EC59F5">
        <w:trPr>
          <w:cnfStyle w:val="100000000000" w:firstRow="1" w:lastRow="0" w:firstColumn="0" w:lastColumn="0" w:oddVBand="0" w:evenVBand="0" w:oddHBand="0" w:evenHBand="0" w:firstRowFirstColumn="0" w:firstRowLastColumn="0" w:lastRowFirstColumn="0" w:lastRowLastColumn="0"/>
          <w:trHeight w:val="300"/>
        </w:trPr>
        <w:tc>
          <w:tcPr>
            <w:tcW w:w="8850" w:type="dxa"/>
            <w:shd w:val="clear" w:color="auto" w:fill="F2E3C7" w:themeFill="accent6"/>
            <w:tcMar>
              <w:left w:w="105" w:type="dxa"/>
              <w:right w:w="105" w:type="dxa"/>
            </w:tcMar>
          </w:tcPr>
          <w:p w14:paraId="2906C8C1" w14:textId="1FF509D8" w:rsidR="006103E2" w:rsidRPr="00227854" w:rsidRDefault="00D36CDE" w:rsidP="00B46D92">
            <w:pPr>
              <w:pStyle w:val="TableColumnHeadingLeft"/>
              <w:rPr>
                <w:rFonts w:eastAsia="Calibri"/>
                <w:b/>
              </w:rPr>
            </w:pPr>
            <w:r>
              <w:rPr>
                <w:rFonts w:eastAsia="Calibri"/>
                <w:b/>
              </w:rPr>
              <w:t>S</w:t>
            </w:r>
            <w:r w:rsidR="006103E2" w:rsidRPr="00227854">
              <w:rPr>
                <w:rFonts w:eastAsia="Calibri"/>
                <w:b/>
              </w:rPr>
              <w:t>takeholder organisations</w:t>
            </w:r>
          </w:p>
        </w:tc>
      </w:tr>
      <w:tr w:rsidR="006103E2" w14:paraId="0643F860" w14:textId="77777777" w:rsidTr="00EC59F5">
        <w:trPr>
          <w:trHeight w:val="280"/>
        </w:trPr>
        <w:tc>
          <w:tcPr>
            <w:tcW w:w="8850" w:type="dxa"/>
            <w:tcMar>
              <w:left w:w="105" w:type="dxa"/>
              <w:right w:w="105" w:type="dxa"/>
            </w:tcMar>
          </w:tcPr>
          <w:p w14:paraId="0D761658" w14:textId="77777777" w:rsidR="006103E2" w:rsidRPr="00CC02E3" w:rsidRDefault="006103E2" w:rsidP="00B46D92">
            <w:pPr>
              <w:pStyle w:val="TableTextLeft"/>
              <w:rPr>
                <w:rFonts w:eastAsia="Calibri"/>
              </w:rPr>
            </w:pPr>
            <w:r w:rsidRPr="00CC02E3">
              <w:rPr>
                <w:rFonts w:eastAsia="Calibri"/>
              </w:rPr>
              <w:t>Aboriginal Community Housing Limited</w:t>
            </w:r>
          </w:p>
        </w:tc>
      </w:tr>
      <w:tr w:rsidR="006103E2" w14:paraId="1CCA4BED" w14:textId="77777777" w:rsidTr="00EC59F5">
        <w:trPr>
          <w:trHeight w:val="280"/>
        </w:trPr>
        <w:tc>
          <w:tcPr>
            <w:tcW w:w="8850" w:type="dxa"/>
            <w:tcMar>
              <w:left w:w="105" w:type="dxa"/>
              <w:right w:w="105" w:type="dxa"/>
            </w:tcMar>
          </w:tcPr>
          <w:p w14:paraId="789C3C82" w14:textId="77777777" w:rsidR="006103E2" w:rsidRPr="00CC02E3" w:rsidRDefault="006103E2" w:rsidP="00B46D92">
            <w:pPr>
              <w:pStyle w:val="TableTextLeft"/>
              <w:rPr>
                <w:rFonts w:eastAsia="Calibri"/>
              </w:rPr>
            </w:pPr>
            <w:r w:rsidRPr="00CC02E3">
              <w:rPr>
                <w:rFonts w:eastAsia="Calibri"/>
              </w:rPr>
              <w:t>Aboriginal Housing Northern Territory</w:t>
            </w:r>
          </w:p>
        </w:tc>
      </w:tr>
      <w:tr w:rsidR="00FF1029" w14:paraId="2C770BEF" w14:textId="77777777" w:rsidTr="00EC59F5">
        <w:trPr>
          <w:trHeight w:val="280"/>
        </w:trPr>
        <w:tc>
          <w:tcPr>
            <w:tcW w:w="8850" w:type="dxa"/>
            <w:tcMar>
              <w:left w:w="105" w:type="dxa"/>
              <w:right w:w="105" w:type="dxa"/>
            </w:tcMar>
          </w:tcPr>
          <w:p w14:paraId="7E1CA872" w14:textId="35579118" w:rsidR="00FF1029" w:rsidRPr="00CC02E3" w:rsidRDefault="00FF1029" w:rsidP="00B46D92">
            <w:pPr>
              <w:pStyle w:val="TableTextLeft"/>
              <w:rPr>
                <w:rFonts w:eastAsia="Calibri"/>
              </w:rPr>
            </w:pPr>
            <w:r w:rsidRPr="00FF1029">
              <w:rPr>
                <w:rFonts w:eastAsia="Calibri"/>
              </w:rPr>
              <w:t>Aboriginal Housing Office NSW</w:t>
            </w:r>
          </w:p>
        </w:tc>
      </w:tr>
      <w:tr w:rsidR="006103E2" w14:paraId="10F8898E" w14:textId="77777777" w:rsidTr="00EC59F5">
        <w:trPr>
          <w:trHeight w:val="280"/>
        </w:trPr>
        <w:tc>
          <w:tcPr>
            <w:tcW w:w="8850" w:type="dxa"/>
            <w:tcMar>
              <w:left w:w="105" w:type="dxa"/>
              <w:right w:w="105" w:type="dxa"/>
            </w:tcMar>
          </w:tcPr>
          <w:p w14:paraId="17CF90F3" w14:textId="77777777" w:rsidR="006103E2" w:rsidRPr="00CC02E3" w:rsidRDefault="006103E2" w:rsidP="00B46D92">
            <w:pPr>
              <w:pStyle w:val="TableTextLeft"/>
              <w:rPr>
                <w:rFonts w:eastAsia="Calibri"/>
              </w:rPr>
            </w:pPr>
            <w:r w:rsidRPr="00CC02E3">
              <w:rPr>
                <w:rFonts w:eastAsia="Calibri"/>
              </w:rPr>
              <w:t>Aboriginal Housing Victoria</w:t>
            </w:r>
          </w:p>
        </w:tc>
      </w:tr>
      <w:tr w:rsidR="006103E2" w14:paraId="09F4ABD9" w14:textId="77777777" w:rsidTr="00EC59F5">
        <w:trPr>
          <w:trHeight w:val="280"/>
        </w:trPr>
        <w:tc>
          <w:tcPr>
            <w:tcW w:w="8850" w:type="dxa"/>
            <w:tcMar>
              <w:left w:w="105" w:type="dxa"/>
              <w:right w:w="105" w:type="dxa"/>
            </w:tcMar>
          </w:tcPr>
          <w:p w14:paraId="29C1C6CF" w14:textId="77777777" w:rsidR="006103E2" w:rsidRDefault="006103E2" w:rsidP="00B46D92">
            <w:pPr>
              <w:pStyle w:val="TableTextLeft"/>
              <w:rPr>
                <w:rFonts w:eastAsia="Calibri"/>
              </w:rPr>
            </w:pPr>
            <w:r w:rsidRPr="4BDA6D81">
              <w:rPr>
                <w:rFonts w:eastAsia="Calibri"/>
              </w:rPr>
              <w:t>Australian Alliance to End Homelessness</w:t>
            </w:r>
          </w:p>
        </w:tc>
      </w:tr>
      <w:tr w:rsidR="00961C77" w14:paraId="0E703D40" w14:textId="77777777" w:rsidTr="00EC59F5">
        <w:trPr>
          <w:trHeight w:val="280"/>
        </w:trPr>
        <w:tc>
          <w:tcPr>
            <w:tcW w:w="8850" w:type="dxa"/>
            <w:tcMar>
              <w:left w:w="105" w:type="dxa"/>
              <w:right w:w="105" w:type="dxa"/>
            </w:tcMar>
          </w:tcPr>
          <w:p w14:paraId="6EB770D3" w14:textId="06C19599" w:rsidR="00961C77" w:rsidRPr="4BDA6D81" w:rsidRDefault="00961C77" w:rsidP="00B46D92">
            <w:pPr>
              <w:pStyle w:val="TableTextLeft"/>
              <w:rPr>
                <w:rFonts w:eastAsia="Calibri"/>
              </w:rPr>
            </w:pPr>
            <w:r w:rsidRPr="00961C77">
              <w:rPr>
                <w:rFonts w:eastAsia="Calibri"/>
              </w:rPr>
              <w:t>Australian Government Department of Social Services</w:t>
            </w:r>
          </w:p>
        </w:tc>
      </w:tr>
      <w:tr w:rsidR="006103E2" w14:paraId="5D9A0965" w14:textId="77777777" w:rsidTr="00EC59F5">
        <w:trPr>
          <w:trHeight w:val="282"/>
        </w:trPr>
        <w:tc>
          <w:tcPr>
            <w:tcW w:w="8850" w:type="dxa"/>
            <w:tcMar>
              <w:left w:w="105" w:type="dxa"/>
              <w:right w:w="105" w:type="dxa"/>
            </w:tcMar>
          </w:tcPr>
          <w:p w14:paraId="0A5442F9" w14:textId="77777777" w:rsidR="006103E2" w:rsidRDefault="006103E2" w:rsidP="00B46D92">
            <w:pPr>
              <w:pStyle w:val="TableTextLeft"/>
              <w:rPr>
                <w:rFonts w:eastAsia="Calibri"/>
              </w:rPr>
            </w:pPr>
            <w:bookmarkStart w:id="234" w:name="_Hlk191555074"/>
            <w:r>
              <w:rPr>
                <w:rFonts w:eastAsia="Calibri"/>
              </w:rPr>
              <w:t>Australian Housing and Urban Research Institute</w:t>
            </w:r>
          </w:p>
        </w:tc>
      </w:tr>
      <w:tr w:rsidR="006103E2" w14:paraId="0C9CA9CD" w14:textId="77777777" w:rsidTr="00EC59F5">
        <w:trPr>
          <w:trHeight w:val="300"/>
        </w:trPr>
        <w:tc>
          <w:tcPr>
            <w:tcW w:w="8850" w:type="dxa"/>
            <w:tcMar>
              <w:left w:w="105" w:type="dxa"/>
              <w:right w:w="105" w:type="dxa"/>
            </w:tcMar>
          </w:tcPr>
          <w:p w14:paraId="796757B5" w14:textId="77777777" w:rsidR="006103E2" w:rsidRPr="00425380" w:rsidRDefault="006103E2" w:rsidP="00B46D92">
            <w:pPr>
              <w:pStyle w:val="TableTextLeft"/>
              <w:rPr>
                <w:rFonts w:eastAsia="Calibri"/>
              </w:rPr>
            </w:pPr>
            <w:r w:rsidRPr="00425380">
              <w:rPr>
                <w:rFonts w:eastAsia="Calibri"/>
              </w:rPr>
              <w:t>Australian Local Government Association</w:t>
            </w:r>
          </w:p>
        </w:tc>
      </w:tr>
      <w:tr w:rsidR="006103E2" w14:paraId="13BE3F05" w14:textId="77777777" w:rsidTr="00EC59F5">
        <w:trPr>
          <w:trHeight w:val="280"/>
        </w:trPr>
        <w:tc>
          <w:tcPr>
            <w:tcW w:w="8850" w:type="dxa"/>
            <w:tcMar>
              <w:left w:w="105" w:type="dxa"/>
              <w:right w:w="105" w:type="dxa"/>
            </w:tcMar>
          </w:tcPr>
          <w:p w14:paraId="712AD870" w14:textId="4A1FBF83" w:rsidR="006103E2" w:rsidRPr="00CC02E3" w:rsidRDefault="006103E2" w:rsidP="00B46D92">
            <w:pPr>
              <w:pStyle w:val="TableTextLeft"/>
              <w:rPr>
                <w:rFonts w:eastAsia="Calibri"/>
              </w:rPr>
            </w:pPr>
            <w:proofErr w:type="spellStart"/>
            <w:r w:rsidRPr="00CC02E3">
              <w:rPr>
                <w:rFonts w:eastAsia="Calibri"/>
              </w:rPr>
              <w:t>Birrib</w:t>
            </w:r>
            <w:r w:rsidR="001B43E4">
              <w:rPr>
                <w:rFonts w:eastAsia="Calibri"/>
              </w:rPr>
              <w:t>ee</w:t>
            </w:r>
            <w:proofErr w:type="spellEnd"/>
            <w:r w:rsidRPr="00CC02E3">
              <w:rPr>
                <w:rFonts w:eastAsia="Calibri"/>
              </w:rPr>
              <w:t xml:space="preserve"> Housing</w:t>
            </w:r>
          </w:p>
        </w:tc>
      </w:tr>
      <w:tr w:rsidR="006103E2" w14:paraId="655F3C5D" w14:textId="77777777" w:rsidTr="00EC59F5">
        <w:trPr>
          <w:trHeight w:val="280"/>
        </w:trPr>
        <w:tc>
          <w:tcPr>
            <w:tcW w:w="8850" w:type="dxa"/>
            <w:tcMar>
              <w:left w:w="105" w:type="dxa"/>
              <w:right w:w="105" w:type="dxa"/>
            </w:tcMar>
          </w:tcPr>
          <w:p w14:paraId="04845FE3" w14:textId="77777777" w:rsidR="006103E2" w:rsidRPr="00CC02E3" w:rsidRDefault="006103E2" w:rsidP="00B46D92">
            <w:pPr>
              <w:pStyle w:val="TableTextLeft"/>
              <w:rPr>
                <w:rFonts w:eastAsia="Calibri"/>
              </w:rPr>
            </w:pPr>
            <w:r w:rsidRPr="00CC02E3">
              <w:rPr>
                <w:rFonts w:eastAsia="Calibri"/>
              </w:rPr>
              <w:t>Coalition of Peaks</w:t>
            </w:r>
          </w:p>
        </w:tc>
      </w:tr>
      <w:tr w:rsidR="006103E2" w14:paraId="205A6077" w14:textId="77777777" w:rsidTr="00EC59F5">
        <w:trPr>
          <w:trHeight w:val="280"/>
        </w:trPr>
        <w:tc>
          <w:tcPr>
            <w:tcW w:w="8850" w:type="dxa"/>
            <w:tcMar>
              <w:left w:w="105" w:type="dxa"/>
              <w:right w:w="105" w:type="dxa"/>
            </w:tcMar>
          </w:tcPr>
          <w:p w14:paraId="56629E29" w14:textId="77777777" w:rsidR="006103E2" w:rsidRPr="4BDA6D81" w:rsidRDefault="006103E2" w:rsidP="00B46D92">
            <w:pPr>
              <w:pStyle w:val="TableTextLeft"/>
              <w:rPr>
                <w:rFonts w:eastAsia="Calibri"/>
              </w:rPr>
            </w:pPr>
            <w:r w:rsidRPr="5C8F557F">
              <w:rPr>
                <w:rFonts w:eastAsia="Calibri"/>
              </w:rPr>
              <w:t>Community Housing Industry Association </w:t>
            </w:r>
          </w:p>
        </w:tc>
      </w:tr>
      <w:tr w:rsidR="00961C77" w14:paraId="5F08FAD0" w14:textId="77777777" w:rsidTr="00EC59F5">
        <w:trPr>
          <w:trHeight w:val="280"/>
        </w:trPr>
        <w:tc>
          <w:tcPr>
            <w:tcW w:w="8850" w:type="dxa"/>
            <w:tcMar>
              <w:left w:w="105" w:type="dxa"/>
              <w:right w:w="105" w:type="dxa"/>
            </w:tcMar>
          </w:tcPr>
          <w:p w14:paraId="0D6E6442" w14:textId="6EDCD01B" w:rsidR="00961C77" w:rsidRPr="00961C77" w:rsidRDefault="00961C77" w:rsidP="00B46D92">
            <w:pPr>
              <w:pStyle w:val="TableTextLeft"/>
              <w:rPr>
                <w:rFonts w:eastAsia="Calibri"/>
              </w:rPr>
            </w:pPr>
            <w:r w:rsidRPr="00961C77">
              <w:rPr>
                <w:rFonts w:eastAsia="Calibri"/>
              </w:rPr>
              <w:t>Community Housing Industry Association NSW</w:t>
            </w:r>
          </w:p>
        </w:tc>
      </w:tr>
      <w:tr w:rsidR="006103E2" w14:paraId="3FC2DCB7" w14:textId="77777777" w:rsidTr="00EC59F5">
        <w:trPr>
          <w:trHeight w:val="281"/>
        </w:trPr>
        <w:tc>
          <w:tcPr>
            <w:tcW w:w="8850" w:type="dxa"/>
            <w:tcMar>
              <w:left w:w="105" w:type="dxa"/>
              <w:right w:w="105" w:type="dxa"/>
            </w:tcMar>
          </w:tcPr>
          <w:p w14:paraId="46337957" w14:textId="77777777" w:rsidR="006103E2" w:rsidRDefault="006103E2" w:rsidP="00B46D92">
            <w:pPr>
              <w:pStyle w:val="TableTextLeft"/>
              <w:rPr>
                <w:rFonts w:eastAsia="Calibri"/>
              </w:rPr>
            </w:pPr>
            <w:r w:rsidRPr="7AB25396">
              <w:rPr>
                <w:rFonts w:eastAsia="Calibri"/>
              </w:rPr>
              <w:t>Curtin University</w:t>
            </w:r>
          </w:p>
        </w:tc>
      </w:tr>
      <w:tr w:rsidR="006103E2" w14:paraId="688F942E" w14:textId="77777777" w:rsidTr="00EC59F5">
        <w:trPr>
          <w:trHeight w:val="300"/>
        </w:trPr>
        <w:tc>
          <w:tcPr>
            <w:tcW w:w="8850" w:type="dxa"/>
            <w:tcMar>
              <w:left w:w="105" w:type="dxa"/>
              <w:right w:w="105" w:type="dxa"/>
            </w:tcMar>
          </w:tcPr>
          <w:p w14:paraId="29F2F436" w14:textId="77777777" w:rsidR="006103E2" w:rsidRPr="00425380" w:rsidRDefault="006103E2" w:rsidP="00B46D92">
            <w:pPr>
              <w:pStyle w:val="TableTextLeft"/>
              <w:rPr>
                <w:rFonts w:eastAsia="Calibri"/>
              </w:rPr>
            </w:pPr>
            <w:r>
              <w:rPr>
                <w:rFonts w:eastAsia="Calibri"/>
              </w:rPr>
              <w:t>Domain</w:t>
            </w:r>
          </w:p>
        </w:tc>
      </w:tr>
      <w:tr w:rsidR="006103E2" w14:paraId="68863E98" w14:textId="77777777" w:rsidTr="00EC59F5">
        <w:trPr>
          <w:trHeight w:val="280"/>
        </w:trPr>
        <w:tc>
          <w:tcPr>
            <w:tcW w:w="8850" w:type="dxa"/>
            <w:tcMar>
              <w:left w:w="105" w:type="dxa"/>
              <w:right w:w="105" w:type="dxa"/>
            </w:tcMar>
          </w:tcPr>
          <w:p w14:paraId="67349D5F" w14:textId="77777777" w:rsidR="006103E2" w:rsidRPr="00CC02E3" w:rsidRDefault="006103E2" w:rsidP="00B46D92">
            <w:pPr>
              <w:pStyle w:val="TableTextLeft"/>
              <w:rPr>
                <w:rFonts w:eastAsia="Calibri"/>
              </w:rPr>
            </w:pPr>
            <w:r w:rsidRPr="00CC02E3">
              <w:rPr>
                <w:rFonts w:eastAsia="Calibri"/>
              </w:rPr>
              <w:t>First Peoples Disability Network</w:t>
            </w:r>
          </w:p>
        </w:tc>
      </w:tr>
      <w:tr w:rsidR="006103E2" w14:paraId="332118F2" w14:textId="77777777" w:rsidTr="00EC59F5">
        <w:trPr>
          <w:trHeight w:val="300"/>
        </w:trPr>
        <w:tc>
          <w:tcPr>
            <w:tcW w:w="8850" w:type="dxa"/>
            <w:tcMar>
              <w:left w:w="105" w:type="dxa"/>
              <w:right w:w="105" w:type="dxa"/>
            </w:tcMar>
          </w:tcPr>
          <w:p w14:paraId="011C3B71" w14:textId="77777777" w:rsidR="006103E2" w:rsidRPr="00425380" w:rsidRDefault="006103E2" w:rsidP="00B46D92">
            <w:pPr>
              <w:pStyle w:val="TableTextLeft"/>
              <w:rPr>
                <w:rFonts w:eastAsia="Calibri"/>
              </w:rPr>
            </w:pPr>
            <w:r w:rsidRPr="00425380">
              <w:rPr>
                <w:rFonts w:eastAsia="Calibri"/>
              </w:rPr>
              <w:t>Henley</w:t>
            </w:r>
          </w:p>
        </w:tc>
      </w:tr>
      <w:tr w:rsidR="006103E2" w14:paraId="40AFF98C" w14:textId="77777777" w:rsidTr="00EC59F5">
        <w:trPr>
          <w:trHeight w:val="280"/>
        </w:trPr>
        <w:tc>
          <w:tcPr>
            <w:tcW w:w="8850" w:type="dxa"/>
            <w:tcMar>
              <w:left w:w="105" w:type="dxa"/>
              <w:right w:w="105" w:type="dxa"/>
            </w:tcMar>
          </w:tcPr>
          <w:p w14:paraId="17C6CCEA" w14:textId="77777777" w:rsidR="006103E2" w:rsidRPr="4BDA6D81" w:rsidRDefault="006103E2" w:rsidP="00B46D92">
            <w:pPr>
              <w:pStyle w:val="TableTextLeft"/>
              <w:rPr>
                <w:rFonts w:eastAsia="Calibri"/>
              </w:rPr>
            </w:pPr>
            <w:r w:rsidRPr="5C61929A">
              <w:rPr>
                <w:rFonts w:eastAsia="Calibri"/>
              </w:rPr>
              <w:t>Homelessness Australia </w:t>
            </w:r>
          </w:p>
        </w:tc>
      </w:tr>
      <w:tr w:rsidR="006103E2" w:rsidDel="00914AB5" w14:paraId="18049D9A" w14:textId="41343186" w:rsidTr="00EC59F5">
        <w:trPr>
          <w:trHeight w:val="300"/>
        </w:trPr>
        <w:tc>
          <w:tcPr>
            <w:tcW w:w="8850" w:type="dxa"/>
            <w:tcMar>
              <w:left w:w="105" w:type="dxa"/>
              <w:right w:w="105" w:type="dxa"/>
            </w:tcMar>
          </w:tcPr>
          <w:p w14:paraId="54994BFA" w14:textId="70A691CC" w:rsidR="006103E2" w:rsidRPr="00425380" w:rsidDel="00914AB5" w:rsidRDefault="006103E2" w:rsidP="00B46D92">
            <w:pPr>
              <w:pStyle w:val="TableTextLeft"/>
              <w:rPr>
                <w:rFonts w:eastAsia="Calibri"/>
              </w:rPr>
            </w:pPr>
            <w:r w:rsidRPr="00425380" w:rsidDel="00914AB5">
              <w:rPr>
                <w:rFonts w:eastAsia="Calibri"/>
              </w:rPr>
              <w:t>Housing Australia</w:t>
            </w:r>
          </w:p>
        </w:tc>
      </w:tr>
      <w:tr w:rsidR="006103E2" w14:paraId="2C70D971" w14:textId="77777777" w:rsidTr="00EC59F5">
        <w:trPr>
          <w:trHeight w:val="280"/>
        </w:trPr>
        <w:tc>
          <w:tcPr>
            <w:tcW w:w="8850" w:type="dxa"/>
            <w:tcMar>
              <w:left w:w="105" w:type="dxa"/>
              <w:right w:w="105" w:type="dxa"/>
            </w:tcMar>
          </w:tcPr>
          <w:p w14:paraId="041ECB7B" w14:textId="77777777" w:rsidR="006103E2" w:rsidRPr="00CC02E3" w:rsidRDefault="006103E2" w:rsidP="00B46D92">
            <w:pPr>
              <w:pStyle w:val="TableTextLeft"/>
              <w:rPr>
                <w:rFonts w:eastAsia="Calibri"/>
              </w:rPr>
            </w:pPr>
            <w:r w:rsidRPr="00CC02E3">
              <w:rPr>
                <w:rFonts w:eastAsia="Calibri"/>
              </w:rPr>
              <w:t>Indigenous Business Australia</w:t>
            </w:r>
          </w:p>
        </w:tc>
      </w:tr>
      <w:tr w:rsidR="006103E2" w14:paraId="7CF30053" w14:textId="77777777" w:rsidTr="00EC59F5">
        <w:trPr>
          <w:trHeight w:val="270"/>
        </w:trPr>
        <w:tc>
          <w:tcPr>
            <w:tcW w:w="8850" w:type="dxa"/>
            <w:tcMar>
              <w:left w:w="105" w:type="dxa"/>
              <w:right w:w="105" w:type="dxa"/>
            </w:tcMar>
          </w:tcPr>
          <w:p w14:paraId="0052A0E4" w14:textId="5F444CF7" w:rsidR="006103E2" w:rsidRPr="00B628B0" w:rsidRDefault="006103E2" w:rsidP="00B46D92">
            <w:pPr>
              <w:pStyle w:val="TableTextLeft"/>
              <w:rPr>
                <w:rFonts w:eastAsia="Calibri"/>
              </w:rPr>
            </w:pPr>
            <w:r w:rsidRPr="2A7F8575">
              <w:rPr>
                <w:rFonts w:eastAsia="Calibri"/>
              </w:rPr>
              <w:t>Master Builders A</w:t>
            </w:r>
            <w:r w:rsidR="00290DAF">
              <w:rPr>
                <w:rFonts w:eastAsia="Calibri"/>
              </w:rPr>
              <w:t>ustralia</w:t>
            </w:r>
          </w:p>
        </w:tc>
      </w:tr>
      <w:tr w:rsidR="006103E2" w14:paraId="39FD07A0" w14:textId="77777777" w:rsidTr="00EC59F5">
        <w:trPr>
          <w:trHeight w:val="300"/>
        </w:trPr>
        <w:tc>
          <w:tcPr>
            <w:tcW w:w="8850" w:type="dxa"/>
            <w:tcMar>
              <w:left w:w="105" w:type="dxa"/>
              <w:right w:w="105" w:type="dxa"/>
            </w:tcMar>
          </w:tcPr>
          <w:p w14:paraId="11606485" w14:textId="77777777" w:rsidR="006103E2" w:rsidRPr="00425380" w:rsidRDefault="006103E2" w:rsidP="00B46D92">
            <w:pPr>
              <w:pStyle w:val="TableTextLeft"/>
              <w:rPr>
                <w:rFonts w:eastAsia="Calibri"/>
              </w:rPr>
            </w:pPr>
            <w:r w:rsidRPr="00425380">
              <w:rPr>
                <w:rFonts w:eastAsia="Calibri"/>
              </w:rPr>
              <w:t>Metricon</w:t>
            </w:r>
          </w:p>
        </w:tc>
      </w:tr>
      <w:tr w:rsidR="006103E2" w14:paraId="7DD3DA3C" w14:textId="77777777" w:rsidTr="00EC59F5">
        <w:trPr>
          <w:trHeight w:val="280"/>
        </w:trPr>
        <w:tc>
          <w:tcPr>
            <w:tcW w:w="8850" w:type="dxa"/>
            <w:tcMar>
              <w:left w:w="105" w:type="dxa"/>
              <w:right w:w="105" w:type="dxa"/>
            </w:tcMar>
          </w:tcPr>
          <w:p w14:paraId="3B1A5FA4" w14:textId="77777777" w:rsidR="006103E2" w:rsidRPr="00CC02E3" w:rsidRDefault="006103E2" w:rsidP="00B46D92">
            <w:pPr>
              <w:pStyle w:val="TableTextLeft"/>
              <w:rPr>
                <w:rFonts w:eastAsia="Calibri"/>
              </w:rPr>
            </w:pPr>
            <w:r w:rsidRPr="00CC02E3">
              <w:rPr>
                <w:rFonts w:eastAsia="Calibri"/>
              </w:rPr>
              <w:t>National Indigenous Australians Agency</w:t>
            </w:r>
          </w:p>
        </w:tc>
      </w:tr>
      <w:tr w:rsidR="006103E2" w14:paraId="0F25E067" w14:textId="77777777" w:rsidTr="00EC59F5">
        <w:trPr>
          <w:trHeight w:val="280"/>
        </w:trPr>
        <w:tc>
          <w:tcPr>
            <w:tcW w:w="8850" w:type="dxa"/>
            <w:tcMar>
              <w:left w:w="105" w:type="dxa"/>
              <w:right w:w="105" w:type="dxa"/>
            </w:tcMar>
          </w:tcPr>
          <w:p w14:paraId="436830D3" w14:textId="77777777" w:rsidR="006103E2" w:rsidRPr="4BDA6D81" w:rsidRDefault="006103E2" w:rsidP="00B46D92">
            <w:pPr>
              <w:pStyle w:val="TableTextLeft"/>
              <w:rPr>
                <w:rFonts w:eastAsia="Calibri"/>
              </w:rPr>
            </w:pPr>
            <w:r w:rsidRPr="5C61929A">
              <w:rPr>
                <w:rFonts w:eastAsia="Calibri"/>
              </w:rPr>
              <w:t>National Shelter  </w:t>
            </w:r>
          </w:p>
        </w:tc>
      </w:tr>
      <w:tr w:rsidR="006103E2" w14:paraId="3FA95980" w14:textId="77777777" w:rsidTr="00EC59F5">
        <w:trPr>
          <w:trHeight w:val="300"/>
        </w:trPr>
        <w:tc>
          <w:tcPr>
            <w:tcW w:w="8850" w:type="dxa"/>
            <w:tcMar>
              <w:left w:w="105" w:type="dxa"/>
              <w:right w:w="105" w:type="dxa"/>
            </w:tcMar>
          </w:tcPr>
          <w:p w14:paraId="0D2E2E0D" w14:textId="77777777" w:rsidR="006103E2" w:rsidRPr="00425380" w:rsidRDefault="006103E2" w:rsidP="00B46D92">
            <w:pPr>
              <w:pStyle w:val="TableTextLeft"/>
              <w:rPr>
                <w:rFonts w:eastAsia="Calibri"/>
              </w:rPr>
            </w:pPr>
            <w:r w:rsidRPr="00425380">
              <w:rPr>
                <w:rFonts w:eastAsia="Calibri"/>
              </w:rPr>
              <w:t>Planning Institute of Australia</w:t>
            </w:r>
          </w:p>
        </w:tc>
      </w:tr>
      <w:tr w:rsidR="006103E2" w14:paraId="2205B3DB" w14:textId="77777777" w:rsidTr="00EC59F5">
        <w:trPr>
          <w:trHeight w:val="280"/>
        </w:trPr>
        <w:tc>
          <w:tcPr>
            <w:tcW w:w="8850" w:type="dxa"/>
            <w:tcMar>
              <w:left w:w="105" w:type="dxa"/>
              <w:right w:w="105" w:type="dxa"/>
            </w:tcMar>
          </w:tcPr>
          <w:p w14:paraId="5EDB66DA" w14:textId="77777777" w:rsidR="006103E2" w:rsidRPr="4BDA6D81" w:rsidRDefault="006103E2" w:rsidP="00B46D92">
            <w:pPr>
              <w:pStyle w:val="TableTextLeft"/>
              <w:rPr>
                <w:rFonts w:eastAsia="Calibri"/>
              </w:rPr>
            </w:pPr>
            <w:proofErr w:type="spellStart"/>
            <w:r w:rsidRPr="5C8F557F">
              <w:rPr>
                <w:rFonts w:eastAsia="Calibri"/>
              </w:rPr>
              <w:t>PowerHousing</w:t>
            </w:r>
            <w:proofErr w:type="spellEnd"/>
            <w:r w:rsidRPr="5C8F557F">
              <w:rPr>
                <w:rFonts w:eastAsia="Calibri"/>
              </w:rPr>
              <w:t> Australia</w:t>
            </w:r>
          </w:p>
        </w:tc>
      </w:tr>
      <w:tr w:rsidR="006103E2" w14:paraId="36F2D00D" w14:textId="77777777" w:rsidTr="00EC59F5">
        <w:trPr>
          <w:trHeight w:val="270"/>
        </w:trPr>
        <w:tc>
          <w:tcPr>
            <w:tcW w:w="8850" w:type="dxa"/>
            <w:tcMar>
              <w:left w:w="105" w:type="dxa"/>
              <w:right w:w="105" w:type="dxa"/>
            </w:tcMar>
          </w:tcPr>
          <w:p w14:paraId="4FD1994C" w14:textId="77777777" w:rsidR="006103E2" w:rsidRPr="2A7F8575" w:rsidRDefault="006103E2" w:rsidP="00B46D92">
            <w:pPr>
              <w:pStyle w:val="TableTextLeft"/>
              <w:rPr>
                <w:rFonts w:eastAsia="Calibri"/>
              </w:rPr>
            </w:pPr>
            <w:r w:rsidRPr="2A7F8575">
              <w:rPr>
                <w:rFonts w:eastAsia="Calibri"/>
              </w:rPr>
              <w:t>Property Council of Australia</w:t>
            </w:r>
          </w:p>
        </w:tc>
      </w:tr>
      <w:tr w:rsidR="006103E2" w14:paraId="39DA73AB" w14:textId="77777777" w:rsidTr="00EC59F5">
        <w:trPr>
          <w:trHeight w:val="281"/>
        </w:trPr>
        <w:tc>
          <w:tcPr>
            <w:tcW w:w="8850" w:type="dxa"/>
            <w:tcMar>
              <w:left w:w="105" w:type="dxa"/>
              <w:right w:w="105" w:type="dxa"/>
            </w:tcMar>
          </w:tcPr>
          <w:p w14:paraId="1C245B97" w14:textId="77777777" w:rsidR="006103E2" w:rsidRDefault="006103E2" w:rsidP="00B46D92">
            <w:pPr>
              <w:pStyle w:val="TableTextLeft"/>
              <w:rPr>
                <w:rFonts w:eastAsia="Calibri"/>
              </w:rPr>
            </w:pPr>
            <w:r w:rsidRPr="3F6B906C">
              <w:rPr>
                <w:rFonts w:eastAsia="Calibri"/>
              </w:rPr>
              <w:t>RMIT University</w:t>
            </w:r>
          </w:p>
        </w:tc>
      </w:tr>
      <w:tr w:rsidR="006103E2" w14:paraId="2B0377C7" w14:textId="77777777" w:rsidTr="00EC59F5">
        <w:trPr>
          <w:trHeight w:val="280"/>
        </w:trPr>
        <w:tc>
          <w:tcPr>
            <w:tcW w:w="8850" w:type="dxa"/>
            <w:tcMar>
              <w:left w:w="105" w:type="dxa"/>
              <w:right w:w="105" w:type="dxa"/>
            </w:tcMar>
          </w:tcPr>
          <w:p w14:paraId="0C94295C" w14:textId="77777777" w:rsidR="006103E2" w:rsidRPr="4BDA6D81" w:rsidRDefault="006103E2" w:rsidP="00B46D92">
            <w:pPr>
              <w:pStyle w:val="TableTextLeft"/>
              <w:rPr>
                <w:rFonts w:eastAsia="Calibri"/>
              </w:rPr>
            </w:pPr>
            <w:r w:rsidRPr="009D52D0">
              <w:rPr>
                <w:rFonts w:eastAsia="Calibri"/>
              </w:rPr>
              <w:t>Shelter NSW</w:t>
            </w:r>
          </w:p>
        </w:tc>
      </w:tr>
      <w:tr w:rsidR="006103E2" w14:paraId="69B06D37" w14:textId="77777777" w:rsidTr="00EC59F5">
        <w:trPr>
          <w:trHeight w:val="280"/>
        </w:trPr>
        <w:tc>
          <w:tcPr>
            <w:tcW w:w="8850" w:type="dxa"/>
            <w:tcMar>
              <w:left w:w="105" w:type="dxa"/>
              <w:right w:w="105" w:type="dxa"/>
            </w:tcMar>
          </w:tcPr>
          <w:p w14:paraId="0D57504E" w14:textId="77777777" w:rsidR="006103E2" w:rsidRPr="00CC02E3" w:rsidRDefault="006103E2" w:rsidP="00B46D92">
            <w:pPr>
              <w:pStyle w:val="TableTextLeft"/>
              <w:rPr>
                <w:rFonts w:eastAsia="Calibri"/>
              </w:rPr>
            </w:pPr>
            <w:r w:rsidRPr="00CC02E3">
              <w:rPr>
                <w:rFonts w:eastAsia="Calibri"/>
              </w:rPr>
              <w:t>Tasmanian Aboriginal Centre</w:t>
            </w:r>
          </w:p>
        </w:tc>
      </w:tr>
      <w:tr w:rsidR="006103E2" w14:paraId="26DBA4CF" w14:textId="77777777" w:rsidTr="00EC59F5">
        <w:trPr>
          <w:trHeight w:val="281"/>
        </w:trPr>
        <w:tc>
          <w:tcPr>
            <w:tcW w:w="8850" w:type="dxa"/>
            <w:tcMar>
              <w:left w:w="105" w:type="dxa"/>
              <w:right w:w="105" w:type="dxa"/>
            </w:tcMar>
          </w:tcPr>
          <w:p w14:paraId="305ACF9E" w14:textId="77777777" w:rsidR="006103E2" w:rsidRDefault="006103E2" w:rsidP="00B46D92">
            <w:pPr>
              <w:pStyle w:val="TableTextLeft"/>
              <w:rPr>
                <w:rFonts w:eastAsia="Calibri"/>
              </w:rPr>
            </w:pPr>
            <w:r w:rsidRPr="04210CC7">
              <w:rPr>
                <w:rFonts w:eastAsia="Calibri"/>
              </w:rPr>
              <w:t>University of Adelaide</w:t>
            </w:r>
          </w:p>
        </w:tc>
      </w:tr>
      <w:tr w:rsidR="006103E2" w14:paraId="781549F7" w14:textId="77777777" w:rsidTr="00EC59F5">
        <w:trPr>
          <w:trHeight w:val="270"/>
        </w:trPr>
        <w:tc>
          <w:tcPr>
            <w:tcW w:w="8850" w:type="dxa"/>
            <w:tcMar>
              <w:left w:w="105" w:type="dxa"/>
              <w:right w:w="105" w:type="dxa"/>
            </w:tcMar>
          </w:tcPr>
          <w:p w14:paraId="6EFCECCC" w14:textId="77777777" w:rsidR="006103E2" w:rsidRPr="2A7F8575" w:rsidRDefault="006103E2" w:rsidP="00B46D92">
            <w:pPr>
              <w:pStyle w:val="TableTextLeft"/>
              <w:rPr>
                <w:rFonts w:eastAsia="Calibri"/>
              </w:rPr>
            </w:pPr>
            <w:r w:rsidRPr="2A7F8575">
              <w:rPr>
                <w:rFonts w:eastAsia="Calibri"/>
              </w:rPr>
              <w:t>Urban Development Institute of Australia</w:t>
            </w:r>
          </w:p>
        </w:tc>
      </w:tr>
      <w:tr w:rsidR="006103E2" w14:paraId="5E8E9466" w14:textId="77777777" w:rsidTr="00EC59F5">
        <w:trPr>
          <w:trHeight w:val="280"/>
        </w:trPr>
        <w:tc>
          <w:tcPr>
            <w:tcW w:w="8850" w:type="dxa"/>
            <w:tcMar>
              <w:left w:w="105" w:type="dxa"/>
              <w:right w:w="105" w:type="dxa"/>
            </w:tcMar>
          </w:tcPr>
          <w:p w14:paraId="63C3833D" w14:textId="77777777" w:rsidR="006103E2" w:rsidRPr="00CC02E3" w:rsidRDefault="006103E2" w:rsidP="00B46D92">
            <w:pPr>
              <w:pStyle w:val="TableTextLeft"/>
              <w:rPr>
                <w:rFonts w:eastAsia="Calibri"/>
              </w:rPr>
            </w:pPr>
            <w:r w:rsidRPr="00CC02E3">
              <w:rPr>
                <w:rFonts w:eastAsia="Calibri"/>
              </w:rPr>
              <w:t>Yindjibarndi Nation Limited</w:t>
            </w:r>
          </w:p>
        </w:tc>
      </w:tr>
      <w:bookmarkEnd w:id="234"/>
    </w:tbl>
    <w:p w14:paraId="74B5C503" w14:textId="77777777" w:rsidR="00B66BD5" w:rsidRDefault="00B66BD5" w:rsidP="000B3417">
      <w:r>
        <w:br w:type="page"/>
      </w:r>
    </w:p>
    <w:p w14:paraId="1EDFF3B5" w14:textId="700EA2CB" w:rsidR="006103E2" w:rsidRPr="00AF4C27" w:rsidRDefault="006103E2" w:rsidP="00AF4C27">
      <w:pPr>
        <w:pStyle w:val="Heading3"/>
      </w:pPr>
      <w:r w:rsidRPr="00AF4C27">
        <w:lastRenderedPageBreak/>
        <w:t>Disclaimers</w:t>
      </w:r>
    </w:p>
    <w:p w14:paraId="10953AC0" w14:textId="77777777" w:rsidR="006103E2" w:rsidRPr="00D8204A" w:rsidRDefault="006103E2" w:rsidP="00AF4C27">
      <w:pPr>
        <w:pStyle w:val="Heading4"/>
        <w:rPr>
          <w:rFonts w:eastAsia="Calibri Light"/>
          <w:b w:val="0"/>
        </w:rPr>
      </w:pPr>
      <w:r w:rsidRPr="229EBA2B">
        <w:rPr>
          <w:rFonts w:eastAsia="Calibri Light"/>
        </w:rPr>
        <w:t xml:space="preserve">Hilda Survey </w:t>
      </w:r>
      <w:r w:rsidRPr="00AF4C27">
        <w:rPr>
          <w:rFonts w:eastAsia="Calibri Light"/>
        </w:rPr>
        <w:t>Disclaimer</w:t>
      </w:r>
    </w:p>
    <w:p w14:paraId="47FBA2FA" w14:textId="106581C5" w:rsidR="006103E2" w:rsidRPr="00D8204A" w:rsidRDefault="006103E2">
      <w:pPr>
        <w:rPr>
          <w:rFonts w:ascii="Calibri" w:eastAsia="Calibri" w:hAnsi="Calibri" w:cs="Calibri"/>
          <w:szCs w:val="22"/>
        </w:rPr>
      </w:pPr>
      <w:r w:rsidRPr="229EBA2B">
        <w:rPr>
          <w:rFonts w:ascii="Calibri" w:eastAsia="Calibri" w:hAnsi="Calibri" w:cs="Calibri"/>
          <w:szCs w:val="22"/>
        </w:rPr>
        <w:t xml:space="preserve">This paper uses unit record data from </w:t>
      </w:r>
      <w:r w:rsidR="003042C6">
        <w:rPr>
          <w:rFonts w:ascii="Calibri" w:eastAsia="Calibri" w:hAnsi="Calibri" w:cs="Calibri"/>
          <w:szCs w:val="22"/>
        </w:rPr>
        <w:t xml:space="preserve">the </w:t>
      </w:r>
      <w:r w:rsidRPr="229EBA2B">
        <w:rPr>
          <w:rFonts w:ascii="Calibri" w:eastAsia="Calibri" w:hAnsi="Calibri" w:cs="Calibri"/>
          <w:szCs w:val="22"/>
        </w:rPr>
        <w:t>Household, Income and Labour Dynamics in Australia</w:t>
      </w:r>
      <w:r w:rsidR="00805C33">
        <w:rPr>
          <w:rFonts w:ascii="Calibri" w:eastAsia="Calibri" w:hAnsi="Calibri" w:cs="Calibri"/>
          <w:szCs w:val="22"/>
        </w:rPr>
        <w:t xml:space="preserve"> </w:t>
      </w:r>
      <w:r w:rsidR="00805C33" w:rsidRPr="00805C33">
        <w:rPr>
          <w:rFonts w:ascii="Calibri" w:eastAsia="Calibri" w:hAnsi="Calibri" w:cs="Calibri"/>
          <w:szCs w:val="22"/>
        </w:rPr>
        <w:t xml:space="preserve">(HILDA) </w:t>
      </w:r>
      <w:r w:rsidRPr="229EBA2B">
        <w:rPr>
          <w:rFonts w:ascii="Calibri" w:eastAsia="Calibri" w:hAnsi="Calibri" w:cs="Calibri"/>
          <w:szCs w:val="22"/>
        </w:rPr>
        <w:t>Survey</w:t>
      </w:r>
      <w:r w:rsidRPr="229EBA2B" w:rsidDel="00805C33">
        <w:rPr>
          <w:rFonts w:ascii="Calibri" w:eastAsia="Calibri" w:hAnsi="Calibri" w:cs="Calibri"/>
          <w:szCs w:val="22"/>
        </w:rPr>
        <w:t xml:space="preserve"> </w:t>
      </w:r>
      <w:r w:rsidRPr="229EBA2B">
        <w:rPr>
          <w:rFonts w:ascii="Calibri" w:eastAsia="Calibri" w:hAnsi="Calibri" w:cs="Calibri"/>
          <w:szCs w:val="22"/>
        </w:rPr>
        <w:t xml:space="preserve">conducted by the </w:t>
      </w:r>
      <w:r w:rsidR="0099326B">
        <w:rPr>
          <w:rFonts w:ascii="Calibri" w:eastAsia="Calibri" w:hAnsi="Calibri" w:cs="Calibri"/>
          <w:szCs w:val="22"/>
        </w:rPr>
        <w:t>Australian Government</w:t>
      </w:r>
      <w:r w:rsidRPr="229EBA2B">
        <w:rPr>
          <w:rFonts w:ascii="Calibri" w:eastAsia="Calibri" w:hAnsi="Calibri" w:cs="Calibri"/>
          <w:szCs w:val="22"/>
        </w:rPr>
        <w:t xml:space="preserve"> Department of Social Services (DSS). The findings and views reported in this paper, however, are those of the authors and should not be attributed to the </w:t>
      </w:r>
      <w:r w:rsidR="0099326B">
        <w:rPr>
          <w:rFonts w:ascii="Calibri" w:eastAsia="Calibri" w:hAnsi="Calibri" w:cs="Calibri"/>
          <w:szCs w:val="22"/>
        </w:rPr>
        <w:t>Australian Government</w:t>
      </w:r>
      <w:r w:rsidRPr="229EBA2B">
        <w:rPr>
          <w:rFonts w:ascii="Calibri" w:eastAsia="Calibri" w:hAnsi="Calibri" w:cs="Calibri"/>
          <w:szCs w:val="22"/>
        </w:rPr>
        <w:t>, DSS or any of DSS</w:t>
      </w:r>
      <w:r w:rsidR="00A15C79">
        <w:rPr>
          <w:rFonts w:ascii="Calibri" w:eastAsia="Calibri" w:hAnsi="Calibri" w:cs="Calibri"/>
          <w:szCs w:val="22"/>
        </w:rPr>
        <w:t>’</w:t>
      </w:r>
      <w:r w:rsidR="00805C33">
        <w:rPr>
          <w:rFonts w:ascii="Calibri" w:eastAsia="Calibri" w:hAnsi="Calibri" w:cs="Calibri"/>
          <w:szCs w:val="22"/>
        </w:rPr>
        <w:t>s</w:t>
      </w:r>
      <w:r w:rsidRPr="229EBA2B">
        <w:rPr>
          <w:rFonts w:ascii="Calibri" w:eastAsia="Calibri" w:hAnsi="Calibri" w:cs="Calibri"/>
          <w:szCs w:val="22"/>
        </w:rPr>
        <w:t xml:space="preserve"> contractors or partners. </w:t>
      </w:r>
      <w:r w:rsidR="007E5D1C" w:rsidRPr="002949B5">
        <w:rPr>
          <w:rFonts w:ascii="Calibri" w:eastAsia="Calibri" w:hAnsi="Calibri" w:cs="Calibri"/>
          <w:szCs w:val="22"/>
        </w:rPr>
        <w:t>DOI:10.26193/J4NSZO.</w:t>
      </w:r>
      <w:r w:rsidR="007E5D1C" w:rsidRPr="007E5D1C">
        <w:rPr>
          <w:rFonts w:ascii="Calibri" w:eastAsia="Calibri" w:hAnsi="Calibri" w:cs="Calibri"/>
          <w:szCs w:val="22"/>
        </w:rPr>
        <w:t xml:space="preserve"> </w:t>
      </w:r>
    </w:p>
    <w:p w14:paraId="1BA838C0" w14:textId="77777777" w:rsidR="006103E2" w:rsidRPr="00D8204A" w:rsidRDefault="006103E2">
      <w:pPr>
        <w:pStyle w:val="Heading4"/>
        <w:rPr>
          <w:rFonts w:eastAsia="Calibri Light" w:cs="Calibri Light"/>
          <w:b w:val="0"/>
        </w:rPr>
      </w:pPr>
      <w:r w:rsidRPr="67159A1D">
        <w:rPr>
          <w:rFonts w:eastAsia="Calibri Light" w:cs="Calibri Light"/>
        </w:rPr>
        <w:t>CoreLogic Disclaimer</w:t>
      </w:r>
    </w:p>
    <w:p w14:paraId="34D36E51" w14:textId="21300CC1" w:rsidR="001D3BC0" w:rsidRPr="001D3BC0" w:rsidRDefault="001D3BC0" w:rsidP="001D3BC0">
      <w:pPr>
        <w:rPr>
          <w:rFonts w:ascii="Calibri" w:eastAsia="Calibri" w:hAnsi="Calibri" w:cs="Calibri"/>
          <w:szCs w:val="22"/>
        </w:rPr>
      </w:pPr>
      <w:r w:rsidRPr="00192565">
        <w:rPr>
          <w:rFonts w:ascii="Calibri" w:eastAsia="Calibri" w:hAnsi="Calibri" w:cs="Calibri"/>
          <w:szCs w:val="22"/>
        </w:rPr>
        <w:t>This publication contains data, analytics, statistics, results and other information licensed to us by RP Data Pty Ltd trading as CoreLogic Asia Pacific (CoreLogic Data)</w:t>
      </w:r>
      <w:r w:rsidR="00202D1D">
        <w:rPr>
          <w:rFonts w:ascii="Calibri" w:eastAsia="Calibri" w:hAnsi="Calibri" w:cs="Calibri"/>
          <w:szCs w:val="22"/>
        </w:rPr>
        <w:t>.</w:t>
      </w:r>
    </w:p>
    <w:p w14:paraId="2E3BF211" w14:textId="77777777" w:rsidR="001D3BC0" w:rsidRPr="001D3BC0" w:rsidRDefault="001D3BC0" w:rsidP="001D3BC0">
      <w:pPr>
        <w:rPr>
          <w:rFonts w:ascii="Calibri" w:eastAsia="Calibri" w:hAnsi="Calibri" w:cs="Calibri"/>
          <w:szCs w:val="22"/>
        </w:rPr>
      </w:pPr>
      <w:r w:rsidRPr="00192565">
        <w:rPr>
          <w:rFonts w:ascii="Calibri" w:eastAsia="Calibri" w:hAnsi="Calibri" w:cs="Calibri"/>
          <w:szCs w:val="22"/>
        </w:rPr>
        <w:t xml:space="preserve">© Copyright 2024. RP Data Pty Ltd trading as CoreLogic Asia Pacific (CoreLogic) and its licensors are the sole and exclusive owners of all rights, title and interest (including intellectual property rights) subsisting in the CoreLogic Data reproduced in this publication. All rights reserved. </w:t>
      </w:r>
    </w:p>
    <w:p w14:paraId="4CC24B72" w14:textId="77777777" w:rsidR="001D3BC0" w:rsidRPr="001D3BC0" w:rsidRDefault="001D3BC0" w:rsidP="001D3BC0">
      <w:pPr>
        <w:rPr>
          <w:rFonts w:ascii="Calibri" w:eastAsia="Calibri" w:hAnsi="Calibri" w:cs="Calibri"/>
          <w:szCs w:val="22"/>
        </w:rPr>
      </w:pPr>
      <w:r w:rsidRPr="00192565">
        <w:rPr>
          <w:rFonts w:ascii="Calibri" w:eastAsia="Calibri" w:hAnsi="Calibri" w:cs="Calibri"/>
          <w:szCs w:val="22"/>
        </w:rPr>
        <w:t xml:space="preserve">The CoreLogic Data provided in this publication is of a general nature and should not be construed as specific advice or relied upon in lieu of appropriate professional advice. </w:t>
      </w:r>
    </w:p>
    <w:p w14:paraId="794F39CE" w14:textId="22D9820F" w:rsidR="00C7775D" w:rsidRDefault="006103E2" w:rsidP="00687E9B">
      <w:pPr>
        <w:rPr>
          <w:rFonts w:ascii="Calibri" w:eastAsia="Calibri" w:hAnsi="Calibri" w:cs="Calibri"/>
          <w:szCs w:val="22"/>
        </w:rPr>
        <w:sectPr w:rsidR="00C7775D" w:rsidSect="00CC5EA5">
          <w:footerReference w:type="even" r:id="rId168"/>
          <w:footerReference w:type="default" r:id="rId169"/>
          <w:pgSz w:w="11906" w:h="16838" w:code="9"/>
          <w:pgMar w:top="1843" w:right="1418" w:bottom="1418" w:left="1418" w:header="709" w:footer="709" w:gutter="0"/>
          <w:cols w:space="708"/>
          <w:docGrid w:linePitch="360"/>
        </w:sectPr>
      </w:pPr>
      <w:r w:rsidRPr="00C31CB2">
        <w:rPr>
          <w:rFonts w:ascii="Calibri" w:eastAsia="Calibri" w:hAnsi="Calibri" w:cs="Calibri"/>
          <w:szCs w:val="22"/>
        </w:rPr>
        <w:t>While CoreLogic uses commercially reasonable efforts to ensure the CoreLogic Data is current, CoreLogic does not warrant the accuracy, currency or completeness of the CoreLogic Data and to the full extent permitted by law excludes all loss or damage howsoever arising (including through negligence) in connection with the CoreLogic Data</w:t>
      </w:r>
      <w:r w:rsidRPr="229EBA2B">
        <w:rPr>
          <w:rFonts w:ascii="Calibri" w:eastAsia="Calibri" w:hAnsi="Calibri" w:cs="Calibri"/>
          <w:szCs w:val="22"/>
        </w:rPr>
        <w:t>.</w:t>
      </w:r>
    </w:p>
    <w:p w14:paraId="49F93EED" w14:textId="17126FEB" w:rsidR="00687E9B" w:rsidRDefault="00687E9B" w:rsidP="00442C68">
      <w:pPr>
        <w:pStyle w:val="Heading1"/>
      </w:pPr>
      <w:bookmarkStart w:id="235" w:name="_Toc196395923"/>
      <w:r>
        <w:lastRenderedPageBreak/>
        <w:t>Appendix D</w:t>
      </w:r>
      <w:r w:rsidR="00DF3B6D">
        <w:t>:</w:t>
      </w:r>
      <w:r>
        <w:t xml:space="preserve"> References</w:t>
      </w:r>
    </w:p>
    <w:sdt>
      <w:sdtPr>
        <w:rPr>
          <w:b/>
        </w:rPr>
        <w:id w:val="491530992"/>
        <w:docPartObj>
          <w:docPartGallery w:val="Bibliographies"/>
          <w:docPartUnique/>
        </w:docPartObj>
      </w:sdtPr>
      <w:sdtEndPr>
        <w:rPr>
          <w:b w:val="0"/>
        </w:rPr>
      </w:sdtEndPr>
      <w:sdtContent>
        <w:sdt>
          <w:sdtPr>
            <w:id w:val="-573587230"/>
            <w:bibliography/>
          </w:sdtPr>
          <w:sdtEndPr/>
          <w:sdtContent>
            <w:p w14:paraId="023C290C" w14:textId="40FB417E" w:rsidR="00687E9B" w:rsidRPr="00E44C17" w:rsidRDefault="00687E9B" w:rsidP="00E44C17">
              <w:pPr>
                <w:pStyle w:val="Bibliography"/>
                <w:rPr>
                  <w:noProof/>
                </w:rPr>
              </w:pPr>
              <w:r w:rsidRPr="00E44C17">
                <w:rPr>
                  <w:noProof/>
                </w:rPr>
                <w:fldChar w:fldCharType="begin"/>
              </w:r>
              <w:r w:rsidRPr="00E44C17">
                <w:rPr>
                  <w:noProof/>
                </w:rPr>
                <w:instrText xml:space="preserve"> BIBLIOGRAPHY </w:instrText>
              </w:r>
              <w:r w:rsidRPr="00E44C17">
                <w:rPr>
                  <w:noProof/>
                </w:rPr>
                <w:fldChar w:fldCharType="separate"/>
              </w:r>
              <w:r w:rsidRPr="00E44C17">
                <w:rPr>
                  <w:noProof/>
                </w:rPr>
                <w:t>Aboriginal Housing Office. (2022). Strong Family, Strong Communities. Retrieved from Aboriginal</w:t>
              </w:r>
              <w:r w:rsidR="00522BEF" w:rsidRPr="00E44C17">
                <w:rPr>
                  <w:noProof/>
                </w:rPr>
                <w:t xml:space="preserve">  </w:t>
              </w:r>
              <w:r w:rsidRPr="00E44C17">
                <w:rPr>
                  <w:noProof/>
                </w:rPr>
                <w:t>Housing Office, NSW Government: https://www.aho.nsw.gov.au/strategy#:~:text=Our%20strategy,core%20business%20and%20key%20programs.</w:t>
              </w:r>
            </w:p>
            <w:p w14:paraId="58FF5626" w14:textId="77777777" w:rsidR="00687E9B" w:rsidRPr="00E44C17" w:rsidRDefault="00687E9B" w:rsidP="00E44C17">
              <w:pPr>
                <w:pStyle w:val="Bibliography"/>
                <w:rPr>
                  <w:noProof/>
                </w:rPr>
              </w:pPr>
              <w:r w:rsidRPr="00E44C17">
                <w:rPr>
                  <w:noProof/>
                </w:rPr>
                <w:t xml:space="preserve">Aboriginal Housing Victoria. (2023). The Victorian Aboriginal Housing and Homelessness Framework. </w:t>
              </w:r>
            </w:p>
            <w:p w14:paraId="5698D0C3" w14:textId="77777777" w:rsidR="00687E9B" w:rsidRPr="00E44C17" w:rsidRDefault="00687E9B" w:rsidP="00E44C17">
              <w:pPr>
                <w:pStyle w:val="Bibliography"/>
                <w:rPr>
                  <w:noProof/>
                </w:rPr>
              </w:pPr>
              <w:r w:rsidRPr="00E44C17">
                <w:rPr>
                  <w:noProof/>
                </w:rPr>
                <w:t>ABS (Australian Bureau of Statistics). (1983). Census of Population and Housing, 30 June 1981, Summary characteristics of persons and dwellings, Australia. Australian Government.</w:t>
              </w:r>
            </w:p>
            <w:p w14:paraId="3F8DBB55" w14:textId="77777777" w:rsidR="00687E9B" w:rsidRPr="00E44C17" w:rsidRDefault="00687E9B" w:rsidP="00E44C17">
              <w:pPr>
                <w:pStyle w:val="Bibliography"/>
                <w:rPr>
                  <w:noProof/>
                </w:rPr>
              </w:pPr>
              <w:r w:rsidRPr="00E44C17">
                <w:rPr>
                  <w:noProof/>
                </w:rPr>
                <w:t>ABS. (2012, September 5). 2049.0.55.001 - Information Paper - Methodology for Estimating Homelessness from the Census of Population and Housing, 2012. Retrieved February 2025, from ABS: https://www.abs.gov.au/ausstats/abs@.nsf/mf/2049.0.55.001</w:t>
              </w:r>
            </w:p>
            <w:p w14:paraId="3B587456" w14:textId="328BF39F" w:rsidR="00687E9B" w:rsidRPr="00E44C17" w:rsidRDefault="00687E9B" w:rsidP="00E44C17">
              <w:pPr>
                <w:pStyle w:val="Bibliography"/>
                <w:rPr>
                  <w:noProof/>
                </w:rPr>
              </w:pPr>
              <w:r w:rsidRPr="00E44C17">
                <w:rPr>
                  <w:noProof/>
                </w:rPr>
                <w:t>ABS. (2016, April 28). 4714.0 - National Aboriginal and Torres Strait Islander Social Survey, 2014</w:t>
              </w:r>
              <w:r w:rsidR="004C605B" w:rsidRPr="00E44C17">
                <w:rPr>
                  <w:noProof/>
                </w:rPr>
                <w:t>–</w:t>
              </w:r>
              <w:r w:rsidRPr="00E44C17">
                <w:rPr>
                  <w:noProof/>
                </w:rPr>
                <w:t>15. Retrieved February 2025, from ABS: https://www.abs.gov.au/ausstats/abs@.nsf/mf/4714.0</w:t>
              </w:r>
            </w:p>
            <w:p w14:paraId="4B73D385" w14:textId="77777777" w:rsidR="00687E9B" w:rsidRPr="00E44C17" w:rsidRDefault="00687E9B" w:rsidP="00E44C17">
              <w:pPr>
                <w:pStyle w:val="Bibliography"/>
                <w:rPr>
                  <w:noProof/>
                </w:rPr>
              </w:pPr>
              <w:r w:rsidRPr="00E44C17">
                <w:rPr>
                  <w:noProof/>
                </w:rPr>
                <w:t>ABS. (2022a, August 31). Census of Population and Housing - Counts of Aboriginal and Torres Strait Islander Australians. Retrieved February 2025, from ABS: https://www.abs.gov.au/statistics/people/aboriginal-and-torres-strait-islander-peoples/census-population-and-housing-counts-aboriginal-and-torres-strait-islander-australians/2021</w:t>
              </w:r>
            </w:p>
            <w:p w14:paraId="35866BB6" w14:textId="77777777" w:rsidR="00687E9B" w:rsidRPr="00E44C17" w:rsidRDefault="00687E9B" w:rsidP="00E44C17">
              <w:pPr>
                <w:pStyle w:val="Bibliography"/>
                <w:rPr>
                  <w:noProof/>
                </w:rPr>
              </w:pPr>
              <w:r w:rsidRPr="00E44C17">
                <w:rPr>
                  <w:noProof/>
                </w:rPr>
                <w:t>ABS. (2022b, July 29). Housing Mobility and Conditions. Retrieved March 2025, from ABS: https://www.abs.gov.au/statistics/people/housing/housing-mobility-and-conditions/latest-release</w:t>
              </w:r>
            </w:p>
            <w:p w14:paraId="00DEE928" w14:textId="77777777" w:rsidR="00687E9B" w:rsidRPr="00E44C17" w:rsidRDefault="00687E9B" w:rsidP="00E44C17">
              <w:pPr>
                <w:pStyle w:val="Bibliography"/>
                <w:rPr>
                  <w:noProof/>
                </w:rPr>
              </w:pPr>
              <w:r w:rsidRPr="00E44C17">
                <w:rPr>
                  <w:noProof/>
                </w:rPr>
                <w:t>ABS. (2022c, May 25). Housing Occupancy and Costs. Retrieved March 2025, from ABS: https://www.abs.gov.au/statistics/people/housing/housing-occupancy-and-costs/2019-20</w:t>
              </w:r>
            </w:p>
            <w:p w14:paraId="02A35450" w14:textId="77777777" w:rsidR="00687E9B" w:rsidRPr="00E44C17" w:rsidRDefault="00687E9B" w:rsidP="00E44C17">
              <w:pPr>
                <w:pStyle w:val="Bibliography"/>
                <w:rPr>
                  <w:noProof/>
                </w:rPr>
              </w:pPr>
              <w:r w:rsidRPr="00E44C17">
                <w:rPr>
                  <w:noProof/>
                </w:rPr>
                <w:t>ABS. (2022d, September 16). Housing Statistics for Aboriginal and Torres Strait Islander Peoples. Retrieved February 2025, from ABS: https://www.abs.gov.au/statistics/people/aboriginal-and-torres-strait-islander-peoples/housing-statistics-aboriginal-and-torres-strait-islander-peoples/latest-release</w:t>
              </w:r>
            </w:p>
            <w:p w14:paraId="4EE63E0E" w14:textId="77777777" w:rsidR="00687E9B" w:rsidRPr="00E44C17" w:rsidRDefault="00687E9B" w:rsidP="00E44C17">
              <w:pPr>
                <w:pStyle w:val="Bibliography"/>
                <w:rPr>
                  <w:noProof/>
                </w:rPr>
              </w:pPr>
              <w:r w:rsidRPr="00E44C17">
                <w:rPr>
                  <w:noProof/>
                </w:rPr>
                <w:t>ABS. (2023a, 27 June). Aboriginal and Torres Strait Islander peoples experiencing homelessness. Retrieved February 2025, from ABS: https://www.abs.gov.au/articles/aboriginal-and-torres-strait-islander-peoples-experiencing-homelessness</w:t>
              </w:r>
            </w:p>
            <w:p w14:paraId="71E77EE0" w14:textId="35F805F1" w:rsidR="00687E9B" w:rsidRPr="00E44C17" w:rsidRDefault="00687E9B" w:rsidP="00E44C17">
              <w:pPr>
                <w:pStyle w:val="Bibliography"/>
                <w:rPr>
                  <w:noProof/>
                </w:rPr>
              </w:pPr>
              <w:r w:rsidRPr="00E44C17">
                <w:rPr>
                  <w:noProof/>
                </w:rPr>
                <w:t>ABS. (2023b, September 5). Insights into Government Finance Statistics, June 2023. Retrieved March</w:t>
              </w:r>
              <w:r w:rsidR="004C605B" w:rsidRPr="00E44C17">
                <w:rPr>
                  <w:noProof/>
                </w:rPr>
                <w:t> </w:t>
              </w:r>
              <w:r w:rsidRPr="00E44C17">
                <w:rPr>
                  <w:noProof/>
                </w:rPr>
                <w:t>2025, from ABS: https://www.abs.gov.au/articles/insights-government-finance-statistics-june-2023#revenue</w:t>
              </w:r>
            </w:p>
            <w:p w14:paraId="1A8AE30A" w14:textId="6E3FD204" w:rsidR="00980A62" w:rsidRDefault="00687E9B" w:rsidP="000B3417">
              <w:pPr>
                <w:pStyle w:val="Bibliography"/>
                <w:rPr>
                  <w:noProof/>
                </w:rPr>
              </w:pPr>
              <w:r w:rsidRPr="00E44C17">
                <w:rPr>
                  <w:noProof/>
                </w:rPr>
                <w:t>ABS. (2023c, June 15). National, state and territory population. Retrieved from ABS: https://www.abs.gov.au/statistics/people/population/national-state-and-territory-population/dec-2022</w:t>
              </w:r>
              <w:r w:rsidR="00980A62">
                <w:rPr>
                  <w:noProof/>
                </w:rPr>
                <w:br w:type="page"/>
              </w:r>
            </w:p>
            <w:p w14:paraId="3E1951FA" w14:textId="1D2AB8D7" w:rsidR="00687E9B" w:rsidRPr="00E44C17" w:rsidRDefault="00687E9B" w:rsidP="00E44C17">
              <w:pPr>
                <w:pStyle w:val="Bibliography"/>
                <w:rPr>
                  <w:noProof/>
                </w:rPr>
              </w:pPr>
              <w:r w:rsidRPr="00E44C17">
                <w:rPr>
                  <w:noProof/>
                </w:rPr>
                <w:lastRenderedPageBreak/>
                <w:t>ABS. (2024a, December). Australian National Accounts: National Income, Expenditure and Product. Retrieved March 2025, from ABS: https://www.abs.gov.au/statistics/economy/national-accounts/australian-national-accounts-national-income-expenditure-and-product/dec-2024#cite-window1</w:t>
              </w:r>
            </w:p>
            <w:p w14:paraId="6C6AC0BB" w14:textId="77777777" w:rsidR="00687E9B" w:rsidRPr="00E44C17" w:rsidRDefault="00687E9B" w:rsidP="00E44C17">
              <w:pPr>
                <w:pStyle w:val="Bibliography"/>
                <w:rPr>
                  <w:noProof/>
                </w:rPr>
              </w:pPr>
              <w:r w:rsidRPr="00E44C17">
                <w:rPr>
                  <w:noProof/>
                </w:rPr>
                <w:t>ABS. (2024b, July 24). Estimates and projections, Australian Aboriginal and Torres Strait Islander population (2011-to-2031). Retrieved February 2025, from ABS: https://www.abs.gov.au/statistics/people/aboriginal-and-torres-strait-islander-peoples/estimates-and-projections-australian-aboriginal-and-torres-strait-islander-population/latest-release</w:t>
              </w:r>
            </w:p>
            <w:p w14:paraId="5670A8C3" w14:textId="77777777" w:rsidR="00687E9B" w:rsidRPr="00E44C17" w:rsidRDefault="00687E9B" w:rsidP="00E44C17">
              <w:pPr>
                <w:pStyle w:val="Bibliography"/>
                <w:rPr>
                  <w:noProof/>
                </w:rPr>
              </w:pPr>
              <w:r w:rsidRPr="00E44C17">
                <w:rPr>
                  <w:noProof/>
                </w:rPr>
                <w:t>ABS. (2024c, November 19). Home building through the pandemic. Retrieved February 2025, from ABS: https://www.abs.gov.au/articles/home-building-through-pandemic</w:t>
              </w:r>
            </w:p>
            <w:p w14:paraId="3B073128" w14:textId="77777777" w:rsidR="00687E9B" w:rsidRPr="00E44C17" w:rsidRDefault="00687E9B" w:rsidP="00E44C17">
              <w:pPr>
                <w:pStyle w:val="Bibliography"/>
                <w:rPr>
                  <w:noProof/>
                </w:rPr>
              </w:pPr>
              <w:r w:rsidRPr="00E44C17">
                <w:rPr>
                  <w:noProof/>
                </w:rPr>
                <w:t>ABS. (2024d, November 26). National Aboriginal and Torres Strait Islander Health Survey. Retrieved February 2025, from ABS: https://www.abs.gov.au/statistics/people/aboriginal-and-torres-strait-islander-peoples/national-aboriginal-and-torres-strait-islander-health-survey/latest-release</w:t>
              </w:r>
            </w:p>
            <w:p w14:paraId="1DF5B016" w14:textId="77777777" w:rsidR="00687E9B" w:rsidRPr="00E44C17" w:rsidRDefault="00687E9B" w:rsidP="00E44C17">
              <w:pPr>
                <w:pStyle w:val="Bibliography"/>
                <w:rPr>
                  <w:noProof/>
                </w:rPr>
              </w:pPr>
              <w:r w:rsidRPr="00E44C17">
                <w:rPr>
                  <w:noProof/>
                </w:rPr>
                <w:t>ABS. (2024e, December 12). National, state and territory population. Retrieved February 2025, from ABS: https://www.abs.gov.au/statistics/people/population/national-state-and-territory-population/jun-2024</w:t>
              </w:r>
            </w:p>
            <w:p w14:paraId="75710CB0" w14:textId="77777777" w:rsidR="00687E9B" w:rsidRPr="00E44C17" w:rsidRDefault="00687E9B" w:rsidP="00E44C17">
              <w:pPr>
                <w:pStyle w:val="Bibliography"/>
                <w:rPr>
                  <w:noProof/>
                </w:rPr>
              </w:pPr>
              <w:r w:rsidRPr="00E44C17">
                <w:rPr>
                  <w:noProof/>
                </w:rPr>
                <w:t>ABS. (2025a, April 16). Building Activity, Australia. Retrieved April 2025, from ABS: https://www.abs.gov.au/statistics/industry/building-and-construction/building-activity-australia/latest-release</w:t>
              </w:r>
            </w:p>
            <w:p w14:paraId="0D00ADD5" w14:textId="77777777" w:rsidR="00687E9B" w:rsidRPr="00E44C17" w:rsidRDefault="00687E9B" w:rsidP="00E44C17">
              <w:pPr>
                <w:pStyle w:val="Bibliography"/>
                <w:rPr>
                  <w:noProof/>
                </w:rPr>
              </w:pPr>
              <w:r w:rsidRPr="00E44C17">
                <w:rPr>
                  <w:noProof/>
                </w:rPr>
                <w:t>ABS. (2025b, April 2). Building Approvals, Australia. Retrieved April 2025, from ABS: https://www.abs.gov.au/statistics/industry/building-and-construction/building-approvals-australia/latest-release</w:t>
              </w:r>
            </w:p>
            <w:p w14:paraId="6E197B73" w14:textId="77777777" w:rsidR="00687E9B" w:rsidRPr="00E44C17" w:rsidRDefault="00687E9B" w:rsidP="00E44C17">
              <w:pPr>
                <w:pStyle w:val="Bibliography"/>
                <w:rPr>
                  <w:noProof/>
                </w:rPr>
              </w:pPr>
              <w:r w:rsidRPr="00E44C17">
                <w:rPr>
                  <w:noProof/>
                </w:rPr>
                <w:t>ABS. (2025c, March 6). Building Approvals, Australia methodology. Retrieved March 2025, from ABS: https://www.abs.gov.au/methodologies/building-approvals-australia-methodology/jan-2025</w:t>
              </w:r>
            </w:p>
            <w:p w14:paraId="62A1D805" w14:textId="77777777" w:rsidR="00687E9B" w:rsidRPr="00E44C17" w:rsidRDefault="00687E9B" w:rsidP="00E44C17">
              <w:pPr>
                <w:pStyle w:val="Bibliography"/>
                <w:rPr>
                  <w:noProof/>
                </w:rPr>
              </w:pPr>
              <w:r w:rsidRPr="00E44C17">
                <w:rPr>
                  <w:noProof/>
                </w:rPr>
                <w:t>ABS. (2025d, January 29). Consumer Price Index, Australia. Retrieved April 2025, from ABS: https://www.abs.gov.au/statistics/economy/price-indexes-and-inflation/consumer-price-index-australia/latest-release</w:t>
              </w:r>
            </w:p>
            <w:p w14:paraId="75E931B9" w14:textId="77777777" w:rsidR="00687E9B" w:rsidRPr="00E44C17" w:rsidRDefault="00687E9B" w:rsidP="00E44C17">
              <w:pPr>
                <w:pStyle w:val="Bibliography"/>
                <w:rPr>
                  <w:noProof/>
                </w:rPr>
              </w:pPr>
              <w:r w:rsidRPr="00E44C17">
                <w:rPr>
                  <w:noProof/>
                </w:rPr>
                <w:t>ABS. (2025e, January 15). Engineering Construction Activity, Australia. Retrieved February 2025, from ABS: https://www.abs.gov.au/statistics/industry/building-and-construction/engineering-construction-activity-australia/sep-2024</w:t>
              </w:r>
            </w:p>
            <w:p w14:paraId="0E25745B" w14:textId="77777777" w:rsidR="00687E9B" w:rsidRPr="00E44C17" w:rsidRDefault="00687E9B" w:rsidP="00E44C17">
              <w:pPr>
                <w:pStyle w:val="Bibliography"/>
                <w:rPr>
                  <w:noProof/>
                </w:rPr>
              </w:pPr>
              <w:r w:rsidRPr="00E44C17">
                <w:rPr>
                  <w:noProof/>
                </w:rPr>
                <w:t>ABS. (2025f, January 22). Estimates of Industry Multifactor Productivity. Retrieved January 2025, from ABS: https://www.abs.gov.au/statistics/industry/industry-overview/estimates-industry-multifactor-productivity/latest-release</w:t>
              </w:r>
            </w:p>
            <w:p w14:paraId="4DED7B22" w14:textId="77777777" w:rsidR="00687E9B" w:rsidRPr="00E44C17" w:rsidRDefault="00687E9B" w:rsidP="00E44C17">
              <w:pPr>
                <w:pStyle w:val="Bibliography"/>
                <w:rPr>
                  <w:noProof/>
                </w:rPr>
              </w:pPr>
              <w:r w:rsidRPr="00E44C17">
                <w:rPr>
                  <w:noProof/>
                </w:rPr>
                <w:t>ABS. (2025g, April 17). Labour Force, Australia. Retrieved April 2025, from ABS: https://www.abs.gov.au/statistics/labour/employment-and-unemployment/labour-force-australia/latest-release.</w:t>
              </w:r>
            </w:p>
            <w:p w14:paraId="2A99AA69" w14:textId="77777777" w:rsidR="00687E9B" w:rsidRPr="00E44C17" w:rsidRDefault="00687E9B" w:rsidP="00E44C17">
              <w:pPr>
                <w:pStyle w:val="Bibliography"/>
                <w:rPr>
                  <w:noProof/>
                </w:rPr>
              </w:pPr>
              <w:r w:rsidRPr="00E44C17">
                <w:rPr>
                  <w:noProof/>
                </w:rPr>
                <w:t>ABS. (2025h, February 12). Lending indicators. Retrieved February 2025, from ABS: https://www.abs.gov.au/statistics/economy/finance/lending-indicators/dec-quarter-2024.</w:t>
              </w:r>
            </w:p>
            <w:p w14:paraId="642B3690" w14:textId="77777777" w:rsidR="00687E9B" w:rsidRPr="00E44C17" w:rsidRDefault="00687E9B" w:rsidP="00E44C17">
              <w:pPr>
                <w:pStyle w:val="Bibliography"/>
                <w:rPr>
                  <w:noProof/>
                </w:rPr>
              </w:pPr>
              <w:r w:rsidRPr="00E44C17">
                <w:rPr>
                  <w:noProof/>
                </w:rPr>
                <w:lastRenderedPageBreak/>
                <w:t>ABS. (2025i, March 28). Microdata: Longitudinal Labour Force, Australia. Retrieved February 2025, from ABS: https://www.abs.gov.au/statistics/microdata-tablebuilder/available-microdata-tablebuilder/longitudinal-labour-force-australia.</w:t>
              </w:r>
            </w:p>
            <w:p w14:paraId="68D929E5" w14:textId="77777777" w:rsidR="00687E9B" w:rsidRPr="00E44C17" w:rsidRDefault="00687E9B" w:rsidP="00E44C17">
              <w:pPr>
                <w:pStyle w:val="Bibliography"/>
                <w:rPr>
                  <w:noProof/>
                </w:rPr>
              </w:pPr>
              <w:r w:rsidRPr="00E44C17">
                <w:rPr>
                  <w:noProof/>
                </w:rPr>
                <w:t>ABS. (2025j, March 20). National, state and territory population. Retrieved March 2025, from ABS: https://www.abs.gov.au/statistics/people/population/national-state-and-territory-population/latest-release</w:t>
              </w:r>
            </w:p>
            <w:p w14:paraId="6E29327F" w14:textId="77777777" w:rsidR="00687E9B" w:rsidRPr="00E44C17" w:rsidRDefault="00687E9B" w:rsidP="00E44C17">
              <w:pPr>
                <w:pStyle w:val="Bibliography"/>
                <w:rPr>
                  <w:noProof/>
                </w:rPr>
              </w:pPr>
              <w:r w:rsidRPr="00E44C17">
                <w:rPr>
                  <w:noProof/>
                </w:rPr>
                <w:t>ABS. (2025k, January 31). Producer Price Indexes, Australia. Retrieved February 2025, from ABS: https://www.abs.gov.au/statistics/economy/price-indexes-and-inflation/producer-price-indexes-australia/dec-2024</w:t>
              </w:r>
            </w:p>
            <w:p w14:paraId="3D831917" w14:textId="77777777" w:rsidR="00687E9B" w:rsidRPr="00E44C17" w:rsidRDefault="00687E9B" w:rsidP="00E44C17">
              <w:pPr>
                <w:pStyle w:val="Bibliography"/>
                <w:rPr>
                  <w:noProof/>
                </w:rPr>
              </w:pPr>
              <w:r w:rsidRPr="00E44C17">
                <w:rPr>
                  <w:noProof/>
                </w:rPr>
                <w:t>ABS. (2025l, March 11). Total Value of Dwellings, December Quarter 2024. Retrieved March 2025, from ABS: https://www.abs.gov.au/statistics/economy/price-indexes-and-inflation/total-value-dwellings/latest-release</w:t>
              </w:r>
            </w:p>
            <w:p w14:paraId="69665102" w14:textId="77777777" w:rsidR="00687E9B" w:rsidRPr="00E44C17" w:rsidRDefault="00687E9B" w:rsidP="00E44C17">
              <w:pPr>
                <w:pStyle w:val="Bibliography"/>
                <w:rPr>
                  <w:noProof/>
                </w:rPr>
              </w:pPr>
              <w:r w:rsidRPr="00E44C17">
                <w:rPr>
                  <w:noProof/>
                </w:rPr>
                <w:t>ABS. (2025m, February 19). Wage price index, Australia. Retrieved February 2025, from ABS: https://www.abs.gov.au/statistics/economy/price-indexes-and-inflation/wage-price-index-australia/latest-release</w:t>
              </w:r>
            </w:p>
            <w:p w14:paraId="153EA8C6" w14:textId="63107AD8" w:rsidR="00687E9B" w:rsidRPr="00E44C17" w:rsidRDefault="00687E9B" w:rsidP="00E44C17">
              <w:pPr>
                <w:pStyle w:val="Bibliography"/>
                <w:rPr>
                  <w:noProof/>
                </w:rPr>
              </w:pPr>
              <w:r w:rsidRPr="00E44C17">
                <w:rPr>
                  <w:noProof/>
                </w:rPr>
                <w:t>ACT Government. (2019). ACT Aboriginal and Torres Strait Islander Agreement 2019</w:t>
              </w:r>
              <w:r w:rsidR="00980A62">
                <w:rPr>
                  <w:noProof/>
                </w:rPr>
                <w:t>–</w:t>
              </w:r>
              <w:r w:rsidRPr="00E44C17">
                <w:rPr>
                  <w:noProof/>
                </w:rPr>
                <w:t xml:space="preserve">2028. </w:t>
              </w:r>
            </w:p>
            <w:p w14:paraId="1FDD6EC0" w14:textId="77777777" w:rsidR="00687E9B" w:rsidRPr="00E44C17" w:rsidRDefault="00687E9B" w:rsidP="00E44C17">
              <w:pPr>
                <w:pStyle w:val="Bibliography"/>
                <w:rPr>
                  <w:noProof/>
                </w:rPr>
              </w:pPr>
              <w:r w:rsidRPr="00E44C17">
                <w:rPr>
                  <w:noProof/>
                </w:rPr>
                <w:t>ACT Government. (2022). Inclusionary Zoning in Australia: Can it encourage supply of affordable housing across the spectrum of community need? Canberra.</w:t>
              </w:r>
            </w:p>
            <w:p w14:paraId="0CEE85C8" w14:textId="77777777" w:rsidR="00687E9B" w:rsidRPr="00E44C17" w:rsidRDefault="00687E9B" w:rsidP="00E44C17">
              <w:pPr>
                <w:pStyle w:val="Bibliography"/>
                <w:rPr>
                  <w:noProof/>
                </w:rPr>
              </w:pPr>
              <w:r w:rsidRPr="00E44C17">
                <w:rPr>
                  <w:noProof/>
                </w:rPr>
                <w:t>ACT Government. (2024a). Apply for a discount on your public housing rent. Retrieved December 2024, from ACT Government: https://www.act.gov.au/housing-planning-and-property/public-housing/apply-for-a-discount-on-your-public-housing-rent</w:t>
              </w:r>
            </w:p>
            <w:p w14:paraId="358F0ED1" w14:textId="77777777" w:rsidR="00687E9B" w:rsidRPr="00E44C17" w:rsidRDefault="00687E9B" w:rsidP="00E44C17">
              <w:pPr>
                <w:pStyle w:val="Bibliography"/>
                <w:rPr>
                  <w:noProof/>
                </w:rPr>
              </w:pPr>
              <w:r w:rsidRPr="00E44C17">
                <w:rPr>
                  <w:noProof/>
                </w:rPr>
                <w:t>ACT Government. (2024b). Incentives to provide rental housing. Retrieved November 2024, from ACT Government: https://www.act.gov.au/housing-planning-and-property/housing/incentives-to-provide-rental-housing</w:t>
              </w:r>
            </w:p>
            <w:p w14:paraId="4C383481" w14:textId="77777777" w:rsidR="00687E9B" w:rsidRPr="00E44C17" w:rsidRDefault="00687E9B" w:rsidP="00E44C17">
              <w:pPr>
                <w:pStyle w:val="Bibliography"/>
                <w:rPr>
                  <w:noProof/>
                </w:rPr>
              </w:pPr>
              <w:r w:rsidRPr="00E44C17">
                <w:rPr>
                  <w:noProof/>
                </w:rPr>
                <w:t>AHURI (Australian Housing and Urban Research Institute). (2019, May 23). Understanding the 30:40 indicator of housing affordability stress. Retrieved February 2025, from AHURI: https://www.ahuri.edu.au/analysis/brief/understanding-3040-indicator-housing-affordability-stress</w:t>
              </w:r>
            </w:p>
            <w:p w14:paraId="234304C5" w14:textId="77777777" w:rsidR="00687E9B" w:rsidRPr="00E44C17" w:rsidRDefault="00687E9B" w:rsidP="00E44C17">
              <w:pPr>
                <w:pStyle w:val="Bibliography"/>
                <w:rPr>
                  <w:noProof/>
                </w:rPr>
              </w:pPr>
              <w:r w:rsidRPr="00E44C17">
                <w:rPr>
                  <w:noProof/>
                </w:rPr>
                <w:t>AHURI. (2022, July 06). What is the right level of social housing for Australia? Retrieved January 2025, from Australian Housing and Urban Research Institute: https://www.ahuri.edu.au/analysis/brief/what-right-level-social-housing-australia</w:t>
              </w:r>
            </w:p>
            <w:p w14:paraId="5D1AAD1E" w14:textId="4F063CFE" w:rsidR="00ED2169" w:rsidRPr="00E44C17" w:rsidRDefault="00687E9B" w:rsidP="00E44C17">
              <w:pPr>
                <w:pStyle w:val="Bibliography"/>
                <w:rPr>
                  <w:noProof/>
                </w:rPr>
              </w:pPr>
              <w:r w:rsidRPr="00E44C17">
                <w:rPr>
                  <w:noProof/>
                </w:rPr>
                <w:t>AHURI. (2023, August 29). What is Inclusionary zoning, and how does it help deliver affordable housing. Retrieved March 2025, from AHURI: https://www.ahuri.edu.au/analysis/brief/what-inclusionary-zoning-and-how-does-it-help-deliver-affordable-housing</w:t>
              </w:r>
            </w:p>
            <w:p w14:paraId="63703089" w14:textId="77777777" w:rsidR="00687E9B" w:rsidRPr="00E44C17" w:rsidRDefault="00687E9B" w:rsidP="00E44C17">
              <w:pPr>
                <w:pStyle w:val="Bibliography"/>
                <w:rPr>
                  <w:noProof/>
                </w:rPr>
              </w:pPr>
              <w:r w:rsidRPr="00E44C17">
                <w:rPr>
                  <w:noProof/>
                </w:rPr>
                <w:t>AHURI. (2024, August 21). A year on from National Cabinet announcements, are renters getting the ‘better deal’? Retrieved February 2025, from AHURI: https://www.ahuri.edu.au/analysis/brief/year-national-cabinet-announcements-are-renters-getting-better-deal</w:t>
              </w:r>
            </w:p>
            <w:p w14:paraId="6202F366" w14:textId="77777777" w:rsidR="00687E9B" w:rsidRPr="00E44C17" w:rsidRDefault="00687E9B" w:rsidP="00E44C17">
              <w:pPr>
                <w:pStyle w:val="Bibliography"/>
                <w:rPr>
                  <w:noProof/>
                </w:rPr>
              </w:pPr>
              <w:r w:rsidRPr="00E44C17">
                <w:rPr>
                  <w:noProof/>
                </w:rPr>
                <w:lastRenderedPageBreak/>
                <w:t>AIHW (Australian Institute of Health and Welfare). (2022, June 29). Housing assistance in Australia 2022. Retrieved March 2025, from AIHW: https://www.aihw.gov.au/reports/housing-assistance/housing-assistance-in-australia-2022/contents/housing-assistance</w:t>
              </w:r>
            </w:p>
            <w:p w14:paraId="26408505" w14:textId="77777777" w:rsidR="00687E9B" w:rsidRPr="00E44C17" w:rsidRDefault="00687E9B" w:rsidP="00E44C17">
              <w:pPr>
                <w:pStyle w:val="Bibliography"/>
                <w:rPr>
                  <w:noProof/>
                </w:rPr>
              </w:pPr>
              <w:r w:rsidRPr="00E44C17">
                <w:rPr>
                  <w:noProof/>
                </w:rPr>
                <w:t>AIHW. (2023a, July 14). Housing Assistance in Australia 2023. Retrieved December 2024, from Australian Institute of Health and Welfare: https://www.aihw.gov.au/reports/housing-assistance/housing-assistance-in-australia-2023/contents-2023/state-and-territory-summary-data</w:t>
              </w:r>
            </w:p>
            <w:p w14:paraId="143BD90D" w14:textId="77777777" w:rsidR="00687E9B" w:rsidRPr="00E44C17" w:rsidRDefault="00687E9B" w:rsidP="00E44C17">
              <w:pPr>
                <w:pStyle w:val="Bibliography"/>
                <w:rPr>
                  <w:noProof/>
                </w:rPr>
              </w:pPr>
              <w:r w:rsidRPr="00E44C17">
                <w:rPr>
                  <w:noProof/>
                </w:rPr>
                <w:t>AIHW. (2023b, September 7). Housing Circumstances of First Nations people. Retrieved January 2025, from Australian Institute of Health and Welfare : https://www.aihw.gov.au/reports/australias-welfare/indigenous-housing</w:t>
              </w:r>
            </w:p>
            <w:p w14:paraId="57027F18" w14:textId="77777777" w:rsidR="00687E9B" w:rsidRPr="00E44C17" w:rsidRDefault="00687E9B" w:rsidP="00E44C17">
              <w:pPr>
                <w:pStyle w:val="Bibliography"/>
                <w:rPr>
                  <w:noProof/>
                </w:rPr>
              </w:pPr>
              <w:r w:rsidRPr="00E44C17">
                <w:rPr>
                  <w:noProof/>
                </w:rPr>
                <w:t>AIHW. (2024a, July 12). Housing Assistance in Australia 2024. Retrieved March 2025, from Australian Institute of Health and Welfare: https://www.aihw.gov.au/reports/housing-assistance/housing-assistance-in-australia/contents/about</w:t>
              </w:r>
            </w:p>
            <w:p w14:paraId="15D29E7A" w14:textId="77777777" w:rsidR="00687E9B" w:rsidRPr="00E44C17" w:rsidRDefault="00687E9B" w:rsidP="00E44C17">
              <w:pPr>
                <w:pStyle w:val="Bibliography"/>
                <w:rPr>
                  <w:noProof/>
                </w:rPr>
              </w:pPr>
              <w:r w:rsidRPr="00E44C17">
                <w:rPr>
                  <w:noProof/>
                </w:rPr>
                <w:t>AIHW. (2024b). Specialist Homelessness Services Annual Report 2023–24. Australian Government.</w:t>
              </w:r>
            </w:p>
            <w:p w14:paraId="4C16713B" w14:textId="77777777" w:rsidR="00687E9B" w:rsidRPr="00E44C17" w:rsidRDefault="00687E9B" w:rsidP="00E44C17">
              <w:pPr>
                <w:pStyle w:val="Bibliography"/>
                <w:rPr>
                  <w:noProof/>
                </w:rPr>
              </w:pPr>
              <w:r w:rsidRPr="00E44C17">
                <w:rPr>
                  <w:noProof/>
                </w:rPr>
                <w:t>AIHW. (2025, February 13). Homelessness and homelessness services. Retrieved February 2025, from https://www.aihw.gov.au/reports/australias-welfare/homelessness-and-homelessness-services</w:t>
              </w:r>
            </w:p>
            <w:p w14:paraId="1402C625" w14:textId="77777777" w:rsidR="00687E9B" w:rsidRPr="00E44C17" w:rsidRDefault="00687E9B" w:rsidP="00E44C17">
              <w:pPr>
                <w:pStyle w:val="Bibliography"/>
                <w:rPr>
                  <w:noProof/>
                </w:rPr>
              </w:pPr>
              <w:r w:rsidRPr="00E44C17">
                <w:rPr>
                  <w:noProof/>
                </w:rPr>
                <w:t>AIHW and NIAA (National Indigenous Australians Agency). (2024). 2.01 Housing. Retrieved February 2025, from Australian Institute of Health and Welfare and National Indigenous Australians Agency: https://www.indigenoushpf.gov.au/measures/2-01-housing#:~:text=Among%20Indigenous%20households%20who%20were,increase%20from%2074.6%25%20in%202011.</w:t>
              </w:r>
            </w:p>
            <w:p w14:paraId="49782786" w14:textId="77777777" w:rsidR="00687E9B" w:rsidRPr="00E44C17" w:rsidRDefault="00687E9B" w:rsidP="00E44C17">
              <w:pPr>
                <w:pStyle w:val="Bibliography"/>
                <w:rPr>
                  <w:noProof/>
                </w:rPr>
              </w:pPr>
              <w:r w:rsidRPr="00E44C17">
                <w:rPr>
                  <w:noProof/>
                </w:rPr>
                <w:t>AIHW and NIAA. (2025). 2.14 Indigenous people with access to their traditional lands. Retrieved February 2025, from Australian Institute of Health and Welfare and National Indigenous Australians Agency: https://www.indigenoushpf.gov.au/measures/2-14-access-to-traditional-lands</w:t>
              </w:r>
            </w:p>
            <w:p w14:paraId="21910E5B" w14:textId="77777777" w:rsidR="00687E9B" w:rsidRPr="00E44C17" w:rsidRDefault="00687E9B" w:rsidP="00E44C17">
              <w:pPr>
                <w:pStyle w:val="Bibliography"/>
                <w:rPr>
                  <w:noProof/>
                </w:rPr>
              </w:pPr>
              <w:r w:rsidRPr="00E44C17">
                <w:rPr>
                  <w:noProof/>
                </w:rPr>
                <w:t>Albanese, A. (2023a, June 17). Albanese Government delivers immediate $2 billion for accelerated Social Housing Program [Press release]. Retrieved January 2025, from https://www.pm.gov.au/media/albanese-government-delivers-immediate-2-billion-accelerated-social-housing-program</w:t>
              </w:r>
            </w:p>
            <w:p w14:paraId="54E08842" w14:textId="3D5ECC98" w:rsidR="00ED2169" w:rsidRPr="00E44C17" w:rsidRDefault="00687E9B" w:rsidP="00E44C17">
              <w:pPr>
                <w:pStyle w:val="Bibliography"/>
                <w:rPr>
                  <w:noProof/>
                </w:rPr>
              </w:pPr>
              <w:r w:rsidRPr="00E44C17">
                <w:rPr>
                  <w:noProof/>
                </w:rPr>
                <w:t>Albanese, A. (2023b, August 16). Meeting of National Cabinet - Working together to deliver better housing outcomes [Press release]. Retrieved January 2025, from https://www.pm.gov.au/media/meeting-national-cabinet-working-together-deliver-better-housing-outcomes</w:t>
              </w:r>
            </w:p>
            <w:p w14:paraId="44D82597" w14:textId="77777777" w:rsidR="00687E9B" w:rsidRPr="00E44C17" w:rsidRDefault="00687E9B" w:rsidP="00E44C17">
              <w:pPr>
                <w:pStyle w:val="Bibliography"/>
                <w:rPr>
                  <w:noProof/>
                </w:rPr>
              </w:pPr>
              <w:r w:rsidRPr="00E44C17">
                <w:rPr>
                  <w:noProof/>
                </w:rPr>
                <w:t>Albanese, A., Scrymgour, M., Lawler, E., &amp; Uibo, S. (2024, March 12). Landmark $4 billion investment for remote housing in the Northern Territory to help Close the Gap. Retrieved March 2025, from Prime Minister of Australia: https://www.pm.gov.au/media/landmark-4-billion-investment-remote-housing-northern-territory-help-close-gap</w:t>
              </w:r>
            </w:p>
            <w:p w14:paraId="3326F4FD" w14:textId="77777777" w:rsidR="00687E9B" w:rsidRPr="00E44C17" w:rsidRDefault="00687E9B" w:rsidP="00E44C17">
              <w:pPr>
                <w:pStyle w:val="Bibliography"/>
                <w:rPr>
                  <w:noProof/>
                </w:rPr>
              </w:pPr>
              <w:r w:rsidRPr="00E44C17">
                <w:rPr>
                  <w:noProof/>
                </w:rPr>
                <w:t>Allam, L. (2021, November 4). Australia’s Indigenous housing won’t cope with climate change, research finds. Retrieved February 2025, from The Guardian: https://www.theguardian.com/australia-news/2021/nov/04/australias-indigenous-housing-wont-cope-with-climate-change-research-finds</w:t>
              </w:r>
            </w:p>
            <w:p w14:paraId="78914D4C" w14:textId="77777777" w:rsidR="00687E9B" w:rsidRPr="00E44C17" w:rsidRDefault="00687E9B" w:rsidP="00E44C17">
              <w:pPr>
                <w:pStyle w:val="Bibliography"/>
                <w:rPr>
                  <w:noProof/>
                </w:rPr>
              </w:pPr>
              <w:r w:rsidRPr="00E44C17">
                <w:rPr>
                  <w:noProof/>
                </w:rPr>
                <w:lastRenderedPageBreak/>
                <w:t>ANZ and CoreLogic. (2024). ANZ CoreLogic Housing Affordability Report 2024. Sydney: ANZ and Corelogic. Retrieved February 2025, from https://www.anz.com.au/newsroom/news/2024/november/november-corelogic-housing-affordability/</w:t>
              </w:r>
            </w:p>
            <w:p w14:paraId="794F5012" w14:textId="77777777" w:rsidR="00687E9B" w:rsidRPr="00E44C17" w:rsidRDefault="00687E9B" w:rsidP="00E44C17">
              <w:pPr>
                <w:pStyle w:val="Bibliography"/>
                <w:rPr>
                  <w:noProof/>
                </w:rPr>
              </w:pPr>
              <w:r w:rsidRPr="00E44C17">
                <w:rPr>
                  <w:noProof/>
                </w:rPr>
                <w:t>APRA (Australian Prudential Regulation Authority). (2017). Letter to ADIs: Commercial property lending. Retrieved April 2025</w:t>
              </w:r>
            </w:p>
            <w:p w14:paraId="72BFBF4B" w14:textId="77777777" w:rsidR="00687E9B" w:rsidRPr="00E44C17" w:rsidRDefault="00687E9B" w:rsidP="00E44C17">
              <w:pPr>
                <w:pStyle w:val="Bibliography"/>
                <w:rPr>
                  <w:noProof/>
                </w:rPr>
              </w:pPr>
              <w:r w:rsidRPr="00E44C17">
                <w:rPr>
                  <w:noProof/>
                </w:rPr>
                <w:t>Arabena, K., Holland, C., &amp; Hamilton, S. (2020). Reimagining Indigenous Housing, Health and Wealth: The Necessary Ecological Response to Unlock the Potential in the Indigenous Estate. Melbourne: Karabena Publishing. Retrieved February 2025, from https://www.karabenaconsulting.com/resources/reimagining-indigenous-housing-health-and-wealth</w:t>
              </w:r>
            </w:p>
            <w:p w14:paraId="411A8AB8" w14:textId="77777777" w:rsidR="00687E9B" w:rsidRPr="00E44C17" w:rsidRDefault="00687E9B" w:rsidP="00E44C17">
              <w:pPr>
                <w:pStyle w:val="Bibliography"/>
                <w:rPr>
                  <w:noProof/>
                </w:rPr>
              </w:pPr>
              <w:r w:rsidRPr="00E44C17">
                <w:rPr>
                  <w:noProof/>
                </w:rPr>
                <w:t>ASIC (Australian Securities and Investments Commission). (2024). Insolvency statistics. Retrieved February 2025, from Australian Securities and Investments Commission: https://asic.gov.au/regulatory-resources/find-a-document/statistics/insolvency-statistics/</w:t>
              </w:r>
            </w:p>
            <w:p w14:paraId="32489308" w14:textId="77777777" w:rsidR="00687E9B" w:rsidRPr="00E44C17" w:rsidRDefault="00687E9B" w:rsidP="00E44C17">
              <w:pPr>
                <w:pStyle w:val="Bibliography"/>
                <w:rPr>
                  <w:noProof/>
                </w:rPr>
              </w:pPr>
              <w:r w:rsidRPr="00E44C17">
                <w:rPr>
                  <w:noProof/>
                </w:rPr>
                <w:t>ATO (Australian Taxation Office). (2024a, August 26). Applying benchmark market values. Retrieved March 2025, from Australian Tax Office: https://www.ato.gov.au/businesses-and-organisations/not-for-profit-organisations/your-organisation/gst-for-not-for-profits/gst-and-supplies-by-charities-benchmark-market-values/applying-benchmark-market-values</w:t>
              </w:r>
            </w:p>
            <w:p w14:paraId="253D59BF" w14:textId="77777777" w:rsidR="00687E9B" w:rsidRPr="00E44C17" w:rsidRDefault="00687E9B" w:rsidP="00E44C17">
              <w:pPr>
                <w:pStyle w:val="Bibliography"/>
                <w:rPr>
                  <w:noProof/>
                </w:rPr>
              </w:pPr>
              <w:r w:rsidRPr="00E44C17">
                <w:rPr>
                  <w:noProof/>
                </w:rPr>
                <w:t>ATO. (2024b, October 15). First Home Super Saver Scheme Data. Retrieved January 2025, from Australian Taxation Office: https://www.ato.gov.au/about-ato/research-and-statistics/in-detail/super-statistics/early-release/first-home-super-saver-scheme-data</w:t>
              </w:r>
            </w:p>
            <w:p w14:paraId="3DA8C4EF" w14:textId="77777777" w:rsidR="00687E9B" w:rsidRPr="00E44C17" w:rsidRDefault="00687E9B" w:rsidP="00E44C17">
              <w:pPr>
                <w:pStyle w:val="Bibliography"/>
                <w:rPr>
                  <w:noProof/>
                </w:rPr>
              </w:pPr>
              <w:r w:rsidRPr="00E44C17">
                <w:rPr>
                  <w:noProof/>
                </w:rPr>
                <w:t>Australian Human Rights Commission. (2008). Native Title Report 2008. Retrieved February 2025, from https://humanrights.gov.au/our-work/aboriginal-and-torres-strait-islander-social-justice/publications/native-title-report-2008</w:t>
              </w:r>
            </w:p>
            <w:p w14:paraId="0E97E8C8" w14:textId="77777777" w:rsidR="00687E9B" w:rsidRPr="00E44C17" w:rsidRDefault="00687E9B" w:rsidP="00E44C17">
              <w:pPr>
                <w:pStyle w:val="Bibliography"/>
                <w:rPr>
                  <w:noProof/>
                </w:rPr>
              </w:pPr>
              <w:r w:rsidRPr="00E44C17">
                <w:rPr>
                  <w:noProof/>
                </w:rPr>
                <w:t>Baker, E., Beer, A., Leishman, C., Vij, A., Stone, W., Morey, C., . . . Pomeroy, S. (2024). Planning for a two-tenure future. AHURI Final Report No. 431. doi:10.18408/ahuri3130901</w:t>
              </w:r>
            </w:p>
            <w:p w14:paraId="74C9FFF8" w14:textId="77777777" w:rsidR="00687E9B" w:rsidRPr="00E44C17" w:rsidRDefault="00687E9B" w:rsidP="00E44C17">
              <w:pPr>
                <w:pStyle w:val="Bibliography"/>
                <w:rPr>
                  <w:noProof/>
                </w:rPr>
              </w:pPr>
              <w:r w:rsidRPr="00E44C17">
                <w:rPr>
                  <w:noProof/>
                </w:rPr>
                <w:t>Banerjee, R., Gorea, D., Igan, D., &amp; Pinter, G. (2024, December 10). Monetary policy and housing markets: insights using a novel measure of housing supply elasticity. Bank for International Settlements Quarterly Review, 53-67. Retrieved February 2025, from https://www.bis.org/publ/qtrpdf/r_qt2412c.htm</w:t>
              </w:r>
            </w:p>
            <w:p w14:paraId="046DB998" w14:textId="77777777" w:rsidR="00687E9B" w:rsidRPr="00E44C17" w:rsidRDefault="00687E9B" w:rsidP="00E44C17">
              <w:pPr>
                <w:pStyle w:val="Bibliography"/>
                <w:rPr>
                  <w:noProof/>
                </w:rPr>
              </w:pPr>
              <w:r w:rsidRPr="00E44C17">
                <w:rPr>
                  <w:noProof/>
                </w:rPr>
                <w:t>Bertram, N., Fuchs, S., Mischke, J., Palter, R., Strube, G., &amp; Woetzel, J. (2019). Modular construction: From projects to products. McKinsey &amp; Company. Retrieved January 2025</w:t>
              </w:r>
            </w:p>
            <w:p w14:paraId="0075B04C" w14:textId="77777777" w:rsidR="00687E9B" w:rsidRPr="00E44C17" w:rsidRDefault="00687E9B" w:rsidP="00E44C17">
              <w:pPr>
                <w:pStyle w:val="Bibliography"/>
                <w:rPr>
                  <w:noProof/>
                </w:rPr>
              </w:pPr>
              <w:r w:rsidRPr="00E44C17">
                <w:rPr>
                  <w:noProof/>
                </w:rPr>
                <w:t>Blacktown City Council. (2025). Western Sydney Regional Affordable Rental Housing Contribution Schem. Exhibition Draft, Sydeny. Retrieved March 2025</w:t>
              </w:r>
            </w:p>
            <w:p w14:paraId="3DF9104D" w14:textId="77777777" w:rsidR="00687E9B" w:rsidRPr="00E44C17" w:rsidRDefault="00687E9B" w:rsidP="00E44C17">
              <w:pPr>
                <w:pStyle w:val="Bibliography"/>
                <w:rPr>
                  <w:noProof/>
                </w:rPr>
              </w:pPr>
              <w:r w:rsidRPr="00E44C17">
                <w:rPr>
                  <w:noProof/>
                </w:rPr>
                <w:t>Blanc, F., Scanlon, K., &amp; Williams, P. (2018). Build to rent in London: a report for the University of New South Wales and NSW Landcom. LSE London. Retrieved January 2025, from http://eprints.lse.ac.uk/id/eprint/106241</w:t>
              </w:r>
            </w:p>
            <w:p w14:paraId="16F338C3" w14:textId="77777777" w:rsidR="00687E9B" w:rsidRPr="00E44C17" w:rsidRDefault="00687E9B" w:rsidP="00E44C17">
              <w:pPr>
                <w:pStyle w:val="Bibliography"/>
                <w:rPr>
                  <w:noProof/>
                </w:rPr>
              </w:pPr>
              <w:r w:rsidRPr="00E44C17">
                <w:rPr>
                  <w:noProof/>
                </w:rPr>
                <w:t>BuildSkills Australia. (2024a). Shaping the future of the build environment. Retrieved February 2025, from https://buildskills.com.au/workforce-plan</w:t>
              </w:r>
            </w:p>
            <w:p w14:paraId="0BD5472B" w14:textId="7430B633" w:rsidR="00687E9B" w:rsidRPr="00E44C17" w:rsidRDefault="00687E9B" w:rsidP="00E44C17">
              <w:pPr>
                <w:pStyle w:val="Bibliography"/>
                <w:rPr>
                  <w:noProof/>
                </w:rPr>
              </w:pPr>
              <w:r w:rsidRPr="00E44C17">
                <w:rPr>
                  <w:noProof/>
                </w:rPr>
                <w:lastRenderedPageBreak/>
                <w:t>BuildSkills Australia. (2024b, May 8). $90m to get more workers into building trades. Retrieved March</w:t>
              </w:r>
              <w:r w:rsidR="004C605B" w:rsidRPr="00E44C17">
                <w:rPr>
                  <w:noProof/>
                </w:rPr>
                <w:t> </w:t>
              </w:r>
              <w:r w:rsidRPr="00E44C17">
                <w:rPr>
                  <w:noProof/>
                </w:rPr>
                <w:t>2025, from Build Skills: https://buildskills.com.au/news/90m-to-get-more-workers-into-building-trades</w:t>
              </w:r>
            </w:p>
            <w:p w14:paraId="1017E430" w14:textId="77777777" w:rsidR="00687E9B" w:rsidRPr="00E44C17" w:rsidRDefault="00687E9B" w:rsidP="00E44C17">
              <w:pPr>
                <w:pStyle w:val="Bibliography"/>
                <w:rPr>
                  <w:noProof/>
                </w:rPr>
              </w:pPr>
              <w:r w:rsidRPr="00E44C17">
                <w:rPr>
                  <w:noProof/>
                </w:rPr>
                <w:t>BuildSkills Australia. (2024c, March 24). 90,000 extra tradies needed to deliver Housing Accord. Retrieved January 2025, from BuildSkills Australia: https://buildskills.com.au/news/90-000-extra-tradies-needed-to-deliver-housing-accord</w:t>
              </w:r>
            </w:p>
            <w:p w14:paraId="7F99B550" w14:textId="77777777" w:rsidR="00687E9B" w:rsidRPr="00E44C17" w:rsidRDefault="00687E9B" w:rsidP="00E44C17">
              <w:pPr>
                <w:pStyle w:val="Bibliography"/>
                <w:rPr>
                  <w:noProof/>
                </w:rPr>
              </w:pPr>
              <w:r w:rsidRPr="00E44C17">
                <w:rPr>
                  <w:noProof/>
                </w:rPr>
                <w:t>Burke, T. (2012). The Australian residential housing market: institutions and actors. In R. Tomlinson, Australia's Unintended Cities: The Impact of Housing on Urban Development (pp. 35-50). Collingwood, Victoria: CSIRO Publishing. doi:10.1071/9780643103788</w:t>
              </w:r>
            </w:p>
            <w:p w14:paraId="46CDC0E3" w14:textId="77777777" w:rsidR="00687E9B" w:rsidRPr="00E44C17" w:rsidRDefault="00687E9B" w:rsidP="00E44C17">
              <w:pPr>
                <w:pStyle w:val="Bibliography"/>
                <w:rPr>
                  <w:noProof/>
                </w:rPr>
              </w:pPr>
              <w:r w:rsidRPr="00E44C17">
                <w:rPr>
                  <w:noProof/>
                </w:rPr>
                <w:t>Burney, L. (2024, June 20). Federal and Territory Labor governments sign historic 10-year remote housing partnership agreement. Retrieved March 2025, from Prime Minister and Cabinet portfolio: https://ministers.pmc.gov.au/former-ministers/burney/2024/federal-and-territory-labor-governments-sign-historic-10-year-remote-housing-partnership-agreement</w:t>
              </w:r>
            </w:p>
            <w:p w14:paraId="5E6DA3FF" w14:textId="77777777" w:rsidR="00687E9B" w:rsidRPr="00E44C17" w:rsidRDefault="00687E9B" w:rsidP="00E44C17">
              <w:pPr>
                <w:pStyle w:val="Bibliography"/>
                <w:rPr>
                  <w:noProof/>
                </w:rPr>
              </w:pPr>
              <w:r w:rsidRPr="00E44C17">
                <w:rPr>
                  <w:noProof/>
                </w:rPr>
                <w:t>Centre for International Economics. (2024). Cost and feasibility estimates for supplying new residential dwellings in New South Wales. Retrieved February 2025</w:t>
              </w:r>
            </w:p>
            <w:p w14:paraId="2F395E2E" w14:textId="77777777" w:rsidR="00687E9B" w:rsidRPr="00E44C17" w:rsidRDefault="00687E9B" w:rsidP="00E44C17">
              <w:pPr>
                <w:pStyle w:val="Bibliography"/>
                <w:rPr>
                  <w:noProof/>
                </w:rPr>
              </w:pPr>
              <w:r w:rsidRPr="00E44C17">
                <w:rPr>
                  <w:noProof/>
                </w:rPr>
                <w:t>Centre for Population. (2024). 2024 Population Statement. Canberra: The Australian Government. Retrieved February 2025, from https://population.gov.au/publications/statements/2024-population-statement</w:t>
              </w:r>
            </w:p>
            <w:p w14:paraId="46DEDDCE" w14:textId="77777777" w:rsidR="00687E9B" w:rsidRPr="00E44C17" w:rsidRDefault="00687E9B" w:rsidP="00E44C17">
              <w:pPr>
                <w:pStyle w:val="Bibliography"/>
                <w:rPr>
                  <w:noProof/>
                </w:rPr>
              </w:pPr>
              <w:r w:rsidRPr="00E44C17">
                <w:rPr>
                  <w:noProof/>
                </w:rPr>
                <w:t>CHIA (Community Housing Industry Assocation). (2024). Australia's Community Housing Industry in profile 2022. Community Housing Industry Association.</w:t>
              </w:r>
            </w:p>
            <w:p w14:paraId="6EF01288" w14:textId="77777777" w:rsidR="00687E9B" w:rsidRPr="00E44C17" w:rsidRDefault="00687E9B" w:rsidP="00E44C17">
              <w:pPr>
                <w:pStyle w:val="Bibliography"/>
                <w:rPr>
                  <w:noProof/>
                </w:rPr>
              </w:pPr>
              <w:r w:rsidRPr="00E44C17">
                <w:rPr>
                  <w:noProof/>
                </w:rPr>
                <w:t>Clifford, M., &amp; Freebairn, J. (2021). The Undesirable Vertical and Horizontal Inequity Effects of Stamp Duty. Austaxpolicy: Tax and Transfer Policy Blog. Retrieved January 2025, from https://www.austaxpolicy.com/the-undesirable-vertical-and-horizontal-inequity-effects-of-stamp-duty/</w:t>
              </w:r>
            </w:p>
            <w:p w14:paraId="0B03DE6D" w14:textId="77777777" w:rsidR="00687E9B" w:rsidRPr="00E44C17" w:rsidRDefault="00687E9B" w:rsidP="00E44C17">
              <w:pPr>
                <w:pStyle w:val="Bibliography"/>
                <w:rPr>
                  <w:noProof/>
                </w:rPr>
              </w:pPr>
              <w:r w:rsidRPr="00E44C17">
                <w:rPr>
                  <w:noProof/>
                </w:rPr>
                <w:t>Closing the Gap. (2020, July). National Agreement on Closing the Gap. Retrieved February 2025, from Closing the Gap: https://www.closingthegap.gov.au/national-agreement/national-agreement-closing-the-gap</w:t>
              </w:r>
            </w:p>
            <w:p w14:paraId="2E78A82E" w14:textId="77777777" w:rsidR="00687E9B" w:rsidRPr="00E44C17" w:rsidRDefault="00687E9B" w:rsidP="00E44C17">
              <w:pPr>
                <w:pStyle w:val="Bibliography"/>
                <w:rPr>
                  <w:noProof/>
                </w:rPr>
              </w:pPr>
              <w:r w:rsidRPr="00E44C17">
                <w:rPr>
                  <w:noProof/>
                </w:rPr>
                <w:t>Coalition of Peaks and Council of Australian Governments, Partnership Agreement on Closing the Gap (March 2019).</w:t>
              </w:r>
            </w:p>
            <w:p w14:paraId="65D8C978" w14:textId="77777777" w:rsidR="00687E9B" w:rsidRPr="00E44C17" w:rsidRDefault="00687E9B" w:rsidP="00E44C17">
              <w:pPr>
                <w:pStyle w:val="Bibliography"/>
                <w:rPr>
                  <w:noProof/>
                </w:rPr>
              </w:pPr>
              <w:r w:rsidRPr="00E44C17">
                <w:rPr>
                  <w:noProof/>
                </w:rPr>
                <w:t>Coates, B., &amp; Moloney, J. (2023). How to tackle Australia's housing challenge: Submission to the National Housing and Homelessness Plan. Grattan Institute.</w:t>
              </w:r>
            </w:p>
            <w:p w14:paraId="48B5FBDA" w14:textId="77777777" w:rsidR="00687E9B" w:rsidRPr="00E44C17" w:rsidRDefault="00687E9B" w:rsidP="00E44C17">
              <w:pPr>
                <w:pStyle w:val="Bibliography"/>
                <w:rPr>
                  <w:noProof/>
                </w:rPr>
              </w:pPr>
              <w:r w:rsidRPr="00E44C17">
                <w:rPr>
                  <w:noProof/>
                </w:rPr>
                <w:t>Coates, B., Bowes, M., &amp; Moloney, J. (2025). Renting in retirement: Why Rent Assistance needs to rise. Grattan Institute.</w:t>
              </w:r>
            </w:p>
            <w:p w14:paraId="088BAC52" w14:textId="77777777" w:rsidR="00687E9B" w:rsidRPr="00E44C17" w:rsidRDefault="00687E9B" w:rsidP="00E44C17">
              <w:pPr>
                <w:pStyle w:val="Bibliography"/>
                <w:rPr>
                  <w:noProof/>
                </w:rPr>
              </w:pPr>
              <w:r w:rsidRPr="00E44C17">
                <w:rPr>
                  <w:noProof/>
                </w:rPr>
                <w:t>Committee for Economic Development of Australia. (2017). Housing Australia. Melbourne. Retrieved January 2025, from https://www.ceda.com.au/researchandpolicies/research/population/housing-australia</w:t>
              </w:r>
            </w:p>
            <w:p w14:paraId="715E7C42" w14:textId="77777777" w:rsidR="00687E9B" w:rsidRPr="00E44C17" w:rsidRDefault="00687E9B" w:rsidP="00E44C17">
              <w:pPr>
                <w:pStyle w:val="Bibliography"/>
                <w:rPr>
                  <w:noProof/>
                </w:rPr>
              </w:pPr>
              <w:r w:rsidRPr="00E44C17">
                <w:rPr>
                  <w:noProof/>
                </w:rPr>
                <w:lastRenderedPageBreak/>
                <w:t>Cooper, L., &amp; Morris, M. (2005). Sustainable tenancy for Indigenous families: what services and policy supports are needed? AHURI Final Report No. 81. Retrieved February 2025, from https://www.ahuri.edu.au/research/final-reports/81</w:t>
              </w:r>
            </w:p>
            <w:p w14:paraId="50D1F234" w14:textId="77777777" w:rsidR="00687E9B" w:rsidRPr="00E44C17" w:rsidRDefault="00687E9B" w:rsidP="00E44C17">
              <w:pPr>
                <w:pStyle w:val="Bibliography"/>
                <w:rPr>
                  <w:noProof/>
                </w:rPr>
              </w:pPr>
              <w:r w:rsidRPr="00E44C17">
                <w:rPr>
                  <w:noProof/>
                </w:rPr>
                <w:t>Cooperative Housing International. (n.d.). About United States of America. Retrieved December 2024, from Cooperative Housing International: https://www.housinginternational.coop/co-ops/united-states-of-america/</w:t>
              </w:r>
            </w:p>
            <w:p w14:paraId="2145830B" w14:textId="77777777" w:rsidR="00687E9B" w:rsidRPr="00E44C17" w:rsidRDefault="00687E9B" w:rsidP="00E44C17">
              <w:pPr>
                <w:pStyle w:val="Bibliography"/>
                <w:rPr>
                  <w:noProof/>
                </w:rPr>
              </w:pPr>
              <w:r w:rsidRPr="00E44C17">
                <w:rPr>
                  <w:noProof/>
                </w:rPr>
                <w:t>CoreLogic. (2024a). Australian property market reaches $11 trillion as national price growth slows. Retrieved February 2025, from https://www.corelogic.com.au/news-research/news/2024/australian-property-market-reaches-$11-trillion-as-national-price-growth-slows</w:t>
              </w:r>
            </w:p>
            <w:p w14:paraId="02C101C9" w14:textId="77777777" w:rsidR="00687E9B" w:rsidRPr="00E44C17" w:rsidRDefault="00687E9B" w:rsidP="00E44C17">
              <w:pPr>
                <w:pStyle w:val="Bibliography"/>
                <w:rPr>
                  <w:noProof/>
                </w:rPr>
              </w:pPr>
              <w:r w:rsidRPr="00E44C17">
                <w:rPr>
                  <w:noProof/>
                </w:rPr>
                <w:t>CoreLogic. (2024b). Best of the Best 2024. Retrieved March 2025, from https://pages.corelogic.com/hubfs/CoreLogic%20AU/Gated%20Content/AU-Best-of-the-Best-2024.pdf?utm_medium=email&amp;_hsenc=p2ANqtz-9mYnx_3DihpbC1kD2CpzFBzbgvkJAiU8IS0dBPq_RJSSnJHXBdWn2lAKJH1Fw_TP9o07xF2gAgunC0IBy9H9pWwzRU_7liZQCkfy_H6oEoi9U4XUY&amp;_hsmi=341971564</w:t>
              </w:r>
            </w:p>
            <w:p w14:paraId="416E25C1" w14:textId="77777777" w:rsidR="00687E9B" w:rsidRPr="00E44C17" w:rsidRDefault="00687E9B" w:rsidP="00E44C17">
              <w:pPr>
                <w:pStyle w:val="Bibliography"/>
                <w:rPr>
                  <w:noProof/>
                </w:rPr>
              </w:pPr>
              <w:r w:rsidRPr="00E44C17">
                <w:rPr>
                  <w:noProof/>
                </w:rPr>
                <w:t>CoreLogic. (2024c). What is going on with property investors? CoreLogic. Retrieved March 2025, from https://www.corelogic.com.au/news-research/news/2024/what-is-going-on-with-property-investors</w:t>
              </w:r>
            </w:p>
            <w:p w14:paraId="39AB3DA0" w14:textId="77777777" w:rsidR="00687E9B" w:rsidRPr="00E44C17" w:rsidRDefault="00687E9B" w:rsidP="00E44C17">
              <w:pPr>
                <w:pStyle w:val="Bibliography"/>
                <w:rPr>
                  <w:noProof/>
                </w:rPr>
              </w:pPr>
              <w:r w:rsidRPr="00E44C17">
                <w:rPr>
                  <w:noProof/>
                </w:rPr>
                <w:t>CoreLogic. (2025a). CoreLogic Property Market Research Indices. Retrieved January 2025, from https://www.corelogic.com.au/__data/assets/pdf_file/0022/25456/CoreLogic-HVI-Jan-2025.pdf</w:t>
              </w:r>
            </w:p>
            <w:p w14:paraId="7967EBCD" w14:textId="77777777" w:rsidR="00687E9B" w:rsidRPr="00E44C17" w:rsidRDefault="00687E9B" w:rsidP="00E44C17">
              <w:pPr>
                <w:pStyle w:val="Bibliography"/>
                <w:rPr>
                  <w:noProof/>
                </w:rPr>
              </w:pPr>
              <w:r w:rsidRPr="00E44C17">
                <w:rPr>
                  <w:noProof/>
                </w:rPr>
                <w:t>CoreLogic. (2025b). Hedonic Home Value Index. Retrieved April 2025</w:t>
              </w:r>
            </w:p>
            <w:p w14:paraId="22CE1F05" w14:textId="77777777" w:rsidR="00687E9B" w:rsidRPr="00E44C17" w:rsidRDefault="00687E9B" w:rsidP="00E44C17">
              <w:pPr>
                <w:pStyle w:val="Bibliography"/>
                <w:rPr>
                  <w:noProof/>
                </w:rPr>
              </w:pPr>
              <w:r w:rsidRPr="00E44C17">
                <w:rPr>
                  <w:noProof/>
                </w:rPr>
                <w:t>CoreLogic. (2025c). Quarterly Rental Review, December 2024. CoreLogic.</w:t>
              </w:r>
            </w:p>
            <w:p w14:paraId="5888CCEB" w14:textId="77777777" w:rsidR="00687E9B" w:rsidRPr="00E44C17" w:rsidRDefault="00687E9B" w:rsidP="00E44C17">
              <w:pPr>
                <w:pStyle w:val="Bibliography"/>
                <w:rPr>
                  <w:noProof/>
                </w:rPr>
              </w:pPr>
              <w:r w:rsidRPr="00E44C17">
                <w:rPr>
                  <w:noProof/>
                </w:rPr>
                <w:t>CoreLogic and ANU POLIS Centre for Social Policy Research. (2025). Housing affordability metrics to December 2024. [unpublished data] CoreLogic.</w:t>
              </w:r>
            </w:p>
            <w:p w14:paraId="132A45DD" w14:textId="77777777" w:rsidR="00687E9B" w:rsidRPr="00E44C17" w:rsidRDefault="00687E9B" w:rsidP="00E44C17">
              <w:pPr>
                <w:pStyle w:val="Bibliography"/>
                <w:rPr>
                  <w:noProof/>
                </w:rPr>
              </w:pPr>
              <w:r w:rsidRPr="00E44C17">
                <w:rPr>
                  <w:noProof/>
                </w:rPr>
                <w:t>Crowe, A., &amp; Rowley, S. (2024). Measuring housing affordability: Scoping the real cost of housing. AHURI Final Report No. 427. doi:10.18408/</w:t>
              </w:r>
            </w:p>
            <w:p w14:paraId="57C6F7BD" w14:textId="77777777" w:rsidR="00687E9B" w:rsidRPr="00E44C17" w:rsidRDefault="00687E9B" w:rsidP="00E44C17">
              <w:pPr>
                <w:pStyle w:val="Bibliography"/>
                <w:rPr>
                  <w:noProof/>
                </w:rPr>
              </w:pPr>
              <w:r w:rsidRPr="00E44C17">
                <w:rPr>
                  <w:noProof/>
                </w:rPr>
                <w:t>Crowe, A., Duncan, A., &amp; Rowley, S. (2024). Building the dream: the future of Western Australia's construction industry. Bankwest Curtin Economics Centre.</w:t>
              </w:r>
            </w:p>
            <w:p w14:paraId="071B004E" w14:textId="77777777" w:rsidR="00687E9B" w:rsidRPr="00E44C17" w:rsidRDefault="00687E9B" w:rsidP="00E44C17">
              <w:pPr>
                <w:pStyle w:val="Bibliography"/>
                <w:rPr>
                  <w:noProof/>
                </w:rPr>
              </w:pPr>
              <w:r w:rsidRPr="00E44C17">
                <w:rPr>
                  <w:noProof/>
                </w:rPr>
                <w:t>Daley, J., Coates, B., &amp; Wiltshire, T. (2018a). Housing Affordability: Re-imagining the Australian Dream. Grattan Institute.</w:t>
              </w:r>
            </w:p>
            <w:p w14:paraId="31E7605E" w14:textId="77777777" w:rsidR="00687E9B" w:rsidRPr="00E44C17" w:rsidRDefault="00687E9B" w:rsidP="00E44C17">
              <w:pPr>
                <w:pStyle w:val="Bibliography"/>
                <w:rPr>
                  <w:noProof/>
                </w:rPr>
              </w:pPr>
              <w:r w:rsidRPr="00E44C17">
                <w:rPr>
                  <w:noProof/>
                </w:rPr>
                <w:t>Daley, J., Coates, B., Wiltshire, T., Emslie, O., &amp; Nolan, J. (2018b). Money in retirement: More than enough. Grattan Institute.</w:t>
              </w:r>
            </w:p>
            <w:p w14:paraId="1468BA30" w14:textId="77777777" w:rsidR="00687E9B" w:rsidRPr="00E44C17" w:rsidRDefault="00687E9B" w:rsidP="00E44C17">
              <w:pPr>
                <w:pStyle w:val="Bibliography"/>
                <w:rPr>
                  <w:noProof/>
                </w:rPr>
              </w:pPr>
              <w:r w:rsidRPr="00E44C17">
                <w:rPr>
                  <w:noProof/>
                </w:rPr>
                <w:t>Daley, J., Duckett, S., Goss, P., Terrill, M., Wood, D., Wood, T., &amp; Coates, B. (2018c). State orange book 2018: Policy priorities for states and territories. Grattan Institute. Retrieved January 2025, from https://grattan.edu.au/report/state-orange-book-2018/</w:t>
              </w:r>
            </w:p>
            <w:p w14:paraId="4A68AF15" w14:textId="2168DE6A" w:rsidR="00980A62" w:rsidRDefault="00687E9B" w:rsidP="000B3417">
              <w:pPr>
                <w:pStyle w:val="Bibliography"/>
                <w:rPr>
                  <w:noProof/>
                </w:rPr>
              </w:pPr>
              <w:r w:rsidRPr="00E44C17">
                <w:rPr>
                  <w:noProof/>
                </w:rPr>
                <w:t>Davidoff, I., &amp; Leigh, A. (2013). How Do Stamp Duties Affect the Housing Market? Economic Record, 89(286), 396-410. Retrieved January 2025, from https://doi.org/10.1111/1475-4932.12056</w:t>
              </w:r>
              <w:r w:rsidR="00980A62">
                <w:rPr>
                  <w:noProof/>
                </w:rPr>
                <w:br w:type="page"/>
              </w:r>
            </w:p>
            <w:p w14:paraId="02664557" w14:textId="5D34B74B" w:rsidR="00687E9B" w:rsidRPr="00E44C17" w:rsidRDefault="00687E9B" w:rsidP="00E44C17">
              <w:pPr>
                <w:pStyle w:val="Bibliography"/>
                <w:rPr>
                  <w:noProof/>
                </w:rPr>
              </w:pPr>
              <w:r w:rsidRPr="00E44C17">
                <w:rPr>
                  <w:noProof/>
                </w:rPr>
                <w:lastRenderedPageBreak/>
                <w:t>DCCEEW (Department of Climate Change, Energy, the Environment and Water). (2025). First Nations water policy. Retrieved February 2025, from Department of Climate Change, Energy, the Environment and Water: https://www.dcceew.gov.au/water/policy/first-nations#:~:text=First%20Nations%20Peoples%27%20access%20to%20water&amp;text=These%20systems%20support%20health%2C%20social,improve%20access%20to%20drinking%20water</w:t>
              </w:r>
            </w:p>
            <w:p w14:paraId="287EC88A" w14:textId="77777777" w:rsidR="00687E9B" w:rsidRPr="00E44C17" w:rsidRDefault="00687E9B" w:rsidP="00E44C17">
              <w:pPr>
                <w:pStyle w:val="Bibliography"/>
                <w:rPr>
                  <w:noProof/>
                </w:rPr>
              </w:pPr>
              <w:r w:rsidRPr="00E44C17">
                <w:rPr>
                  <w:noProof/>
                </w:rPr>
                <w:t xml:space="preserve">Department of Employment and Workplace Relations. (2024). Strategic view of the Australian Apprenticeship Incentive Scheme. </w:t>
              </w:r>
            </w:p>
            <w:p w14:paraId="22E016E0" w14:textId="77777777" w:rsidR="00687E9B" w:rsidRPr="00E44C17" w:rsidRDefault="00687E9B" w:rsidP="00E44C17">
              <w:pPr>
                <w:pStyle w:val="Bibliography"/>
                <w:rPr>
                  <w:noProof/>
                </w:rPr>
              </w:pPr>
              <w:r w:rsidRPr="00E44C17">
                <w:rPr>
                  <w:noProof/>
                </w:rPr>
                <w:t>Department of Home Affairs. (2023). Review of the Migration System. Retrieved February 2025, from https://www.homeaffairs.gov.au/reports-and-pubs/files/review-migration-system-final-report.pdf</w:t>
              </w:r>
            </w:p>
            <w:p w14:paraId="09DA5776" w14:textId="77777777" w:rsidR="00687E9B" w:rsidRPr="00E44C17" w:rsidRDefault="00687E9B" w:rsidP="00E44C17">
              <w:pPr>
                <w:pStyle w:val="Bibliography"/>
                <w:rPr>
                  <w:noProof/>
                </w:rPr>
              </w:pPr>
              <w:r w:rsidRPr="00E44C17">
                <w:rPr>
                  <w:noProof/>
                </w:rPr>
                <w:t>Department of Home Affairs. (2024a). BP0014 Temporary Work (skilled) visas holders report. Retrieved February 2025, from Department of Home Affairs: https://www.homeaffairs.gov.au/research-and-statistics/statistics/visa-statistics/work</w:t>
              </w:r>
            </w:p>
            <w:p w14:paraId="1859F34E" w14:textId="77777777" w:rsidR="00687E9B" w:rsidRPr="00E44C17" w:rsidRDefault="00687E9B" w:rsidP="00E44C17">
              <w:pPr>
                <w:pStyle w:val="Bibliography"/>
                <w:rPr>
                  <w:noProof/>
                </w:rPr>
              </w:pPr>
              <w:r w:rsidRPr="00E44C17">
                <w:rPr>
                  <w:noProof/>
                </w:rPr>
                <w:t xml:space="preserve">Department of Home Affairs. (2024b). The Core Skills Occupation List. </w:t>
              </w:r>
            </w:p>
            <w:p w14:paraId="4DD7BBF8" w14:textId="77777777" w:rsidR="00687E9B" w:rsidRPr="00E44C17" w:rsidRDefault="00687E9B" w:rsidP="00E44C17">
              <w:pPr>
                <w:pStyle w:val="Bibliography"/>
                <w:rPr>
                  <w:noProof/>
                </w:rPr>
              </w:pPr>
              <w:r w:rsidRPr="00E44C17">
                <w:rPr>
                  <w:noProof/>
                </w:rPr>
                <w:t>Department of Infrastructure, Transport, Regional Development, Communication and the Arts. (2024). Housing Support Program. Retrieved January 2025, from Department of Infrastructure, Transport, Regional Development, Communication and the Arts: https://www.infrastructure.gov.au/territories-regions-cities/cities/housing-support-program</w:t>
              </w:r>
            </w:p>
            <w:p w14:paraId="6853019E" w14:textId="77777777" w:rsidR="00687E9B" w:rsidRPr="00E44C17" w:rsidRDefault="00687E9B" w:rsidP="00E44C17">
              <w:pPr>
                <w:pStyle w:val="Bibliography"/>
                <w:rPr>
                  <w:noProof/>
                </w:rPr>
              </w:pPr>
              <w:r w:rsidRPr="00E44C17">
                <w:rPr>
                  <w:noProof/>
                </w:rPr>
                <w:t>Department of Premier and Cabinet. (2023). Victoria's Housing Statement. Melbourne. Retrieved February 2025, from https://www.vic.gov.au/victorias-housing-statement-0</w:t>
              </w:r>
            </w:p>
            <w:p w14:paraId="5371F326" w14:textId="15EDE3A4" w:rsidR="00687E9B" w:rsidRPr="00E44C17" w:rsidRDefault="00687E9B" w:rsidP="00E44C17">
              <w:pPr>
                <w:pStyle w:val="Bibliography"/>
                <w:rPr>
                  <w:noProof/>
                </w:rPr>
              </w:pPr>
              <w:r w:rsidRPr="00E44C17">
                <w:rPr>
                  <w:noProof/>
                </w:rPr>
                <w:t>Department of Treasury and Finance, Government of South Australia. (2024). State Budget 2024</w:t>
              </w:r>
              <w:r w:rsidR="00CC5EA5" w:rsidRPr="00E44C17">
                <w:rPr>
                  <w:noProof/>
                </w:rPr>
                <w:t>–</w:t>
              </w:r>
              <w:r w:rsidRPr="00E44C17">
                <w:rPr>
                  <w:noProof/>
                </w:rPr>
                <w:t>25, Budget Paper 3. Retrieved February 2025, from https://www.treasury.sa.gov.au/budget/current-budget</w:t>
              </w:r>
            </w:p>
            <w:p w14:paraId="5589D018" w14:textId="3784799C" w:rsidR="00687E9B" w:rsidRPr="00E44C17" w:rsidRDefault="00687E9B" w:rsidP="00E44C17">
              <w:pPr>
                <w:pStyle w:val="Bibliography"/>
                <w:rPr>
                  <w:noProof/>
                </w:rPr>
              </w:pPr>
              <w:r w:rsidRPr="00E44C17">
                <w:rPr>
                  <w:noProof/>
                </w:rPr>
                <w:t>Department of Treasury and Finance, Tasmania Government. (2024). 2024</w:t>
              </w:r>
              <w:r w:rsidR="00CC5EA5" w:rsidRPr="00E44C17">
                <w:rPr>
                  <w:noProof/>
                </w:rPr>
                <w:t>–</w:t>
              </w:r>
              <w:r w:rsidRPr="00E44C17">
                <w:rPr>
                  <w:noProof/>
                </w:rPr>
                <w:t>25 Tasmania Budget, Budget Paper Number 1. Retrieved February 2025, from https://www.treasury.tas.gov.au/budget-and-financial-management/2024-25-tasmanian-budget</w:t>
              </w:r>
            </w:p>
            <w:p w14:paraId="23011A03" w14:textId="77777777" w:rsidR="00687E9B" w:rsidRPr="00E44C17" w:rsidRDefault="00687E9B" w:rsidP="00E44C17">
              <w:pPr>
                <w:pStyle w:val="Bibliography"/>
                <w:rPr>
                  <w:noProof/>
                </w:rPr>
              </w:pPr>
              <w:r w:rsidRPr="00E44C17">
                <w:rPr>
                  <w:noProof/>
                </w:rPr>
                <w:t>Doherty, B., &amp; Slezak, M. (2017, July 13). https://www.theguardian.com/environment/2017/jul/13/the-island-is-being-eaten-how-climate-change-is-threatening-the-torres-strait. Retrieved February 2025, from The Guardian: https://www.theguardian.com/environment/2017/jul/13/the-island-is-being-eaten-how-climate-change-is-threatening-the-torres-strait</w:t>
              </w:r>
            </w:p>
            <w:p w14:paraId="7C4FB124" w14:textId="77777777" w:rsidR="00687E9B" w:rsidRPr="00E44C17" w:rsidRDefault="00687E9B" w:rsidP="00E44C17">
              <w:pPr>
                <w:pStyle w:val="Bibliography"/>
                <w:rPr>
                  <w:noProof/>
                </w:rPr>
              </w:pPr>
              <w:r w:rsidRPr="00E44C17">
                <w:rPr>
                  <w:noProof/>
                </w:rPr>
                <w:t>DSS (Department of Social Services). (2024a). National Rental Affordability Scheme. Retrieved December 2024, from Australian Government Department of Social Services: https://www.dss.gov.au/national-rental-affordability-scheme</w:t>
              </w:r>
            </w:p>
            <w:p w14:paraId="184B99EE" w14:textId="77777777" w:rsidR="00687E9B" w:rsidRPr="00E44C17" w:rsidRDefault="00687E9B" w:rsidP="00E44C17">
              <w:pPr>
                <w:pStyle w:val="Bibliography"/>
                <w:rPr>
                  <w:noProof/>
                </w:rPr>
              </w:pPr>
              <w:r w:rsidRPr="00E44C17">
                <w:rPr>
                  <w:noProof/>
                </w:rPr>
                <w:t>DSS. (2024b). September 2024 - NRAS Quarterly Performance Report. Canberra: Australian Government. Retrieved December 2024, from https://www.dss.gov.au/national-rental-affordability-scheme/resource/september-2024-nras-quarterly-performance-report</w:t>
              </w:r>
            </w:p>
            <w:p w14:paraId="275D1003" w14:textId="77777777" w:rsidR="00687E9B" w:rsidRPr="00E44C17" w:rsidRDefault="00687E9B" w:rsidP="00E44C17">
              <w:pPr>
                <w:pStyle w:val="Bibliography"/>
                <w:rPr>
                  <w:noProof/>
                </w:rPr>
              </w:pPr>
              <w:r w:rsidRPr="00E44C17">
                <w:rPr>
                  <w:noProof/>
                </w:rPr>
                <w:t>DSS. (2025, 21 March). Housing Policy Partnership. Retrieved February 2025, from Department of Social Services: https://www.dss.gov.au/panels-and-other-groups/housing-policy-partnership</w:t>
              </w:r>
            </w:p>
            <w:p w14:paraId="383C00AF" w14:textId="77777777" w:rsidR="00687E9B" w:rsidRPr="00E44C17" w:rsidRDefault="00687E9B" w:rsidP="00E44C17">
              <w:pPr>
                <w:pStyle w:val="Bibliography"/>
                <w:rPr>
                  <w:noProof/>
                </w:rPr>
              </w:pPr>
              <w:r w:rsidRPr="00E44C17">
                <w:rPr>
                  <w:noProof/>
                </w:rPr>
                <w:lastRenderedPageBreak/>
                <w:t>DSS; Melbourne Institute of Applied Economic and Social Research. (2024). The Household, Income and Labour Dynamics in Australia (HILDA) Survey, RESTRICTED RELEASE 23 (Waves 1-23). [unpublished dataset] ADA Dataverse. Retrieved December 2024</w:t>
              </w:r>
            </w:p>
            <w:p w14:paraId="70F2F8E3" w14:textId="77777777" w:rsidR="00687E9B" w:rsidRPr="00E44C17" w:rsidRDefault="00687E9B" w:rsidP="00E44C17">
              <w:pPr>
                <w:pStyle w:val="Bibliography"/>
                <w:rPr>
                  <w:noProof/>
                </w:rPr>
              </w:pPr>
              <w:r w:rsidRPr="00E44C17">
                <w:rPr>
                  <w:noProof/>
                </w:rPr>
                <w:t>Duncan, A., Hodgson, H., Minas, J., Ong ViforJ, R., &amp; Seymour, R. (2018). The income tax treatment of housing assets: an assessment of proposed reform arrangements. AHURI Final Report No. 295. doi: 10.18408/ahuri-8111101</w:t>
              </w:r>
            </w:p>
            <w:p w14:paraId="344308F6" w14:textId="77777777" w:rsidR="00687E9B" w:rsidRPr="00E44C17" w:rsidRDefault="00687E9B" w:rsidP="00E44C17">
              <w:pPr>
                <w:pStyle w:val="Bibliography"/>
                <w:rPr>
                  <w:noProof/>
                </w:rPr>
              </w:pPr>
              <w:r w:rsidRPr="00E44C17">
                <w:rPr>
                  <w:noProof/>
                </w:rPr>
                <w:t>Eccleston, R., Warren, N., &amp; Verdouw, J. (2017). Pathways to state property tax reform. AHURI Final Report No. 291. doi:10.18408/ahuri-4111301</w:t>
              </w:r>
            </w:p>
            <w:p w14:paraId="0ABB9FCF" w14:textId="77777777" w:rsidR="00687E9B" w:rsidRPr="00E44C17" w:rsidRDefault="00687E9B" w:rsidP="00E44C17">
              <w:pPr>
                <w:pStyle w:val="Bibliography"/>
                <w:rPr>
                  <w:noProof/>
                </w:rPr>
              </w:pPr>
              <w:r w:rsidRPr="00E44C17">
                <w:rPr>
                  <w:noProof/>
                </w:rPr>
                <w:t>Economic Development Regulation 2023 (QLD).</w:t>
              </w:r>
            </w:p>
            <w:p w14:paraId="5AEE84E4" w14:textId="77777777" w:rsidR="00687E9B" w:rsidRPr="00E44C17" w:rsidRDefault="00687E9B" w:rsidP="00E44C17">
              <w:pPr>
                <w:pStyle w:val="Bibliography"/>
                <w:rPr>
                  <w:noProof/>
                </w:rPr>
              </w:pPr>
              <w:r w:rsidRPr="00E44C17">
                <w:rPr>
                  <w:noProof/>
                </w:rPr>
                <w:t>Economic Inclusion Advisory Committee. (2024). 2024 Report to Government, Aboriginal and Torres Strait Islander Housing Data Review. Australian Government. Retrieved January 2025, from Economic Inclusion Advisory Committee: https://www.dss.gov.au/system/files/resources/13404-eiac-report-dv-08-app-orig_0.pdf</w:t>
              </w:r>
            </w:p>
            <w:p w14:paraId="0B6CFD9E" w14:textId="77777777" w:rsidR="00687E9B" w:rsidRPr="00E44C17" w:rsidRDefault="00687E9B" w:rsidP="00E44C17">
              <w:pPr>
                <w:pStyle w:val="Bibliography"/>
                <w:rPr>
                  <w:noProof/>
                </w:rPr>
              </w:pPr>
              <w:r w:rsidRPr="00E44C17">
                <w:rPr>
                  <w:noProof/>
                </w:rPr>
                <w:t>Environmental Planning and Assessment Regulation 2021 (NSW).</w:t>
              </w:r>
            </w:p>
            <w:p w14:paraId="6F4A4141" w14:textId="77777777" w:rsidR="00687E9B" w:rsidRPr="00E44C17" w:rsidRDefault="00687E9B" w:rsidP="00E44C17">
              <w:pPr>
                <w:pStyle w:val="Bibliography"/>
                <w:rPr>
                  <w:noProof/>
                </w:rPr>
              </w:pPr>
              <w:r w:rsidRPr="00E44C17">
                <w:rPr>
                  <w:noProof/>
                </w:rPr>
                <w:t>Eslake, S. (2013). Australian Housing Policy: 50 Years of Failure. Retrieved March 2025, from https://www.sauleslake.info/australian-housing-policy-50-years-failure/</w:t>
              </w:r>
            </w:p>
            <w:p w14:paraId="0EB656EC" w14:textId="77777777" w:rsidR="00687E9B" w:rsidRPr="00E44C17" w:rsidRDefault="00687E9B" w:rsidP="00E44C17">
              <w:pPr>
                <w:pStyle w:val="Bibliography"/>
                <w:rPr>
                  <w:noProof/>
                </w:rPr>
              </w:pPr>
              <w:r w:rsidRPr="00E44C17">
                <w:rPr>
                  <w:noProof/>
                </w:rPr>
                <w:t>Gad, E., Kumar, S., Pham, S., Lee, J., Amirsardari, A., Croft, S., . . . Adler, M. (2022). Regulatory barriers associated with prefabricated and modular construction: Final report. Swinburne. doi:https://doi.org/10.25916/sut.26500267.v1</w:t>
              </w:r>
            </w:p>
            <w:p w14:paraId="04315C67" w14:textId="77777777" w:rsidR="00687E9B" w:rsidRPr="00E44C17" w:rsidRDefault="00687E9B" w:rsidP="00E44C17">
              <w:pPr>
                <w:pStyle w:val="Bibliography"/>
                <w:rPr>
                  <w:noProof/>
                </w:rPr>
              </w:pPr>
              <w:r w:rsidRPr="00E44C17">
                <w:rPr>
                  <w:noProof/>
                </w:rPr>
                <w:t>Garvin, N., La Cava, G., Moore, A., &amp; Wong, A. (2024). Stepped on By Stamp Duty: The Effect of Housing Transfer Taxes on Home Purchases and People Movement. e61 Reasearch Note No. 13. Retrieved January 2025</w:t>
              </w:r>
            </w:p>
            <w:p w14:paraId="74B28586" w14:textId="77777777" w:rsidR="00687E9B" w:rsidRPr="00E44C17" w:rsidRDefault="00687E9B" w:rsidP="00E44C17">
              <w:pPr>
                <w:pStyle w:val="Bibliography"/>
                <w:rPr>
                  <w:noProof/>
                </w:rPr>
              </w:pPr>
              <w:r w:rsidRPr="00E44C17">
                <w:rPr>
                  <w:noProof/>
                </w:rPr>
                <w:t>Government of Canada. (2024, April 16). More Affordable Homes. Retrieved March 2025, from Government of Canada: https://www.canada.ca/en/department-finance/news/2024/04/more-affordable-homes.html</w:t>
              </w:r>
            </w:p>
            <w:p w14:paraId="7FB96907" w14:textId="77777777" w:rsidR="00687E9B" w:rsidRPr="00E44C17" w:rsidRDefault="00687E9B" w:rsidP="00E44C17">
              <w:pPr>
                <w:pStyle w:val="Bibliography"/>
                <w:rPr>
                  <w:noProof/>
                </w:rPr>
              </w:pPr>
              <w:r w:rsidRPr="00E44C17">
                <w:rPr>
                  <w:noProof/>
                </w:rPr>
                <w:t>Government of South Australia. (2021). South Australian Aboriginal Housing Strategy. Retrieved February 2025, from Government of South Australia: https://www.housing.sa.gov.au/news/publications/sa_aboriginal-housing-strategy</w:t>
              </w:r>
            </w:p>
            <w:p w14:paraId="06FF1B6C" w14:textId="77777777" w:rsidR="00687E9B" w:rsidRPr="00E44C17" w:rsidRDefault="00687E9B" w:rsidP="00E44C17">
              <w:pPr>
                <w:pStyle w:val="Bibliography"/>
                <w:rPr>
                  <w:noProof/>
                </w:rPr>
              </w:pPr>
              <w:r w:rsidRPr="00E44C17">
                <w:rPr>
                  <w:noProof/>
                </w:rPr>
                <w:t>Government of South Australia. (2024). Labor commits to first substantial public housing boost in a generation. Retrieved March 2025, from Government of South Australia: https://www.premier.sa.gov.au/media-releases/news-archive/labor-commits-to-first-substantial-public-housing-boost-in-a-generation</w:t>
              </w:r>
            </w:p>
            <w:p w14:paraId="03CBA4AD" w14:textId="77777777" w:rsidR="00687E9B" w:rsidRPr="00E44C17" w:rsidRDefault="00687E9B" w:rsidP="00E44C17">
              <w:pPr>
                <w:pStyle w:val="Bibliography"/>
                <w:rPr>
                  <w:noProof/>
                </w:rPr>
              </w:pPr>
              <w:r w:rsidRPr="00E44C17">
                <w:rPr>
                  <w:noProof/>
                </w:rPr>
                <w:t>Government of South Australia. (2025). Homestart - Low Deposit Loan. Retrieved March 2025, from HomeStart - Government of South Australia: https://www.homestart.com.au/home-loans/low-deposit-loan</w:t>
              </w:r>
            </w:p>
            <w:p w14:paraId="36793B4B" w14:textId="77777777" w:rsidR="00687E9B" w:rsidRPr="00E44C17" w:rsidRDefault="00687E9B" w:rsidP="00E44C17">
              <w:pPr>
                <w:pStyle w:val="Bibliography"/>
                <w:rPr>
                  <w:noProof/>
                </w:rPr>
              </w:pPr>
              <w:r w:rsidRPr="00E44C17">
                <w:rPr>
                  <w:noProof/>
                </w:rPr>
                <w:t>Government of South Australia, SA Housing Authority. (2023). Affordable Housing Developer Toolkit. Retrieved November 2024, from https://www.housing.sa.gov.au/documents/affordable-housing/Affordable-Housing-Developer-Toolkit.pdf</w:t>
              </w:r>
            </w:p>
            <w:p w14:paraId="63E479CC" w14:textId="77777777" w:rsidR="00687E9B" w:rsidRPr="00E44C17" w:rsidRDefault="00687E9B" w:rsidP="00E44C17">
              <w:pPr>
                <w:pStyle w:val="Bibliography"/>
                <w:rPr>
                  <w:noProof/>
                </w:rPr>
              </w:pPr>
              <w:r w:rsidRPr="00E44C17">
                <w:rPr>
                  <w:noProof/>
                </w:rPr>
                <w:lastRenderedPageBreak/>
                <w:t>Greenway-McGrevy, R. (2024). Causes and Consequences of Zoning Reform in Aucklnd. Cityscape: A Journal of Policy Development and Research, 26(2), 413-434. Retrieved January 2025, from https://www.huduser.gov/portal/periodicals/cityscape/vol26num2/article20.html</w:t>
              </w:r>
            </w:p>
            <w:p w14:paraId="4F2160DF" w14:textId="77777777" w:rsidR="00687E9B" w:rsidRPr="00E44C17" w:rsidRDefault="00687E9B" w:rsidP="00E44C17">
              <w:pPr>
                <w:pStyle w:val="Bibliography"/>
                <w:rPr>
                  <w:noProof/>
                </w:rPr>
              </w:pPr>
              <w:r w:rsidRPr="00E44C17">
                <w:rPr>
                  <w:noProof/>
                </w:rPr>
                <w:t>Gurran, N., Gilbert, C., Gibb, K., Nouwelant, R., James, A., &amp; Phibbs, P. (2018). Supporting affordable housing supply: inclusionary planning in new and renewing communities. AHURI Final Report No. 297. doi:10.18408/ahuri-7313201</w:t>
              </w:r>
            </w:p>
            <w:p w14:paraId="4E8E3C14" w14:textId="77777777" w:rsidR="00687E9B" w:rsidRPr="00E44C17" w:rsidRDefault="00687E9B" w:rsidP="00E44C17">
              <w:pPr>
                <w:pStyle w:val="Bibliography"/>
                <w:rPr>
                  <w:noProof/>
                </w:rPr>
              </w:pPr>
              <w:r w:rsidRPr="00E44C17">
                <w:rPr>
                  <w:noProof/>
                </w:rPr>
                <w:t>Habibis, D., Phillips, R., Phibbs, P., &amp; Verdouw, J. (2015). Identifying effective arrangements for tenancy management service delivery to remote Indigenous communities. Australian Housing and Urban Research Institute.</w:t>
              </w:r>
            </w:p>
            <w:p w14:paraId="41A3A8C7" w14:textId="77777777" w:rsidR="00687E9B" w:rsidRPr="00E44C17" w:rsidRDefault="00687E9B" w:rsidP="00E44C17">
              <w:pPr>
                <w:pStyle w:val="Bibliography"/>
                <w:rPr>
                  <w:noProof/>
                </w:rPr>
              </w:pPr>
              <w:r w:rsidRPr="00E44C17">
                <w:rPr>
                  <w:noProof/>
                </w:rPr>
                <w:t>Helmke, J. (2025, February 12). Simple lending change could deliver new apartments the country needs. Retrieved March 2025, from Real Estate.com: https://www.realestate.com.au/news/simple-lending-change-could-deliver-new-apartments-the-country-needs/</w:t>
              </w:r>
            </w:p>
            <w:p w14:paraId="3E8EA825" w14:textId="77777777" w:rsidR="00687E9B" w:rsidRPr="00E44C17" w:rsidRDefault="00687E9B" w:rsidP="00E44C17">
              <w:pPr>
                <w:pStyle w:val="Bibliography"/>
                <w:rPr>
                  <w:noProof/>
                </w:rPr>
              </w:pPr>
              <w:r w:rsidRPr="00E44C17">
                <w:rPr>
                  <w:noProof/>
                </w:rPr>
                <w:t>Henry, K., Harmer, J., Piggott, J., Ridout, H., &amp; Smith, G. (2010, May 02). Australia's Future Tax System Review Final Report. Retrieved January 2025, from The Treasury: https://treasury.gov.au/review/the-australias-future-tax-system-review/final-report</w:t>
              </w:r>
            </w:p>
            <w:p w14:paraId="01D562B8" w14:textId="77777777" w:rsidR="00687E9B" w:rsidRPr="00E44C17" w:rsidRDefault="00687E9B" w:rsidP="00E44C17">
              <w:pPr>
                <w:pStyle w:val="Bibliography"/>
                <w:rPr>
                  <w:noProof/>
                </w:rPr>
              </w:pPr>
              <w:r w:rsidRPr="00E44C17">
                <w:rPr>
                  <w:noProof/>
                </w:rPr>
                <w:t>Herbert Smith Freehills. (2024). APAC Real Estate Sector Insights Report | Q4 2024. Herbert Smith Freehills. Retrieved March 2025, from https://www.herbertsmithfreehills.com/notes/realestateaustralia/2024-posts/apac-real-estate-sector-insights-report-q4-2024</w:t>
              </w:r>
            </w:p>
            <w:p w14:paraId="7238E70F" w14:textId="77777777" w:rsidR="00687E9B" w:rsidRPr="00E44C17" w:rsidRDefault="00687E9B" w:rsidP="00E44C17">
              <w:pPr>
                <w:pStyle w:val="Bibliography"/>
                <w:rPr>
                  <w:noProof/>
                </w:rPr>
              </w:pPr>
              <w:r w:rsidRPr="00E44C17">
                <w:rPr>
                  <w:noProof/>
                </w:rPr>
                <w:t>HIA (Housing Industry Association). (2024a). All Hands on Deck: Construction workforce requirements. Retrieved from https://hia.com.au/our-industry/advocacy/workforce-requirements</w:t>
              </w:r>
            </w:p>
            <w:p w14:paraId="0C052FD4" w14:textId="77777777" w:rsidR="00687E9B" w:rsidRPr="00E44C17" w:rsidRDefault="00687E9B" w:rsidP="00E44C17">
              <w:pPr>
                <w:pStyle w:val="Bibliography"/>
                <w:rPr>
                  <w:noProof/>
                </w:rPr>
              </w:pPr>
              <w:r w:rsidRPr="00E44C17">
                <w:rPr>
                  <w:noProof/>
                </w:rPr>
                <w:t>HIA. (2024b). HIA Trades Availability Index. Retrieved February 2025</w:t>
              </w:r>
            </w:p>
            <w:p w14:paraId="3E08887F" w14:textId="77777777" w:rsidR="00687E9B" w:rsidRPr="00E44C17" w:rsidRDefault="00687E9B" w:rsidP="00E44C17">
              <w:pPr>
                <w:pStyle w:val="Bibliography"/>
                <w:rPr>
                  <w:noProof/>
                </w:rPr>
              </w:pPr>
              <w:r w:rsidRPr="00E44C17">
                <w:rPr>
                  <w:noProof/>
                </w:rPr>
                <w:t>Hockey, T. M. (2025, February 13). APRA clarifies its March 2017 letter regarding commercial property lending. Retrieved from Australian Prudential Regulation Authority: https://www.apra.gov.au/apra-clarifies-its-march-2017-letter-regarding-commercial-property-lending</w:t>
              </w:r>
            </w:p>
            <w:p w14:paraId="6869379E" w14:textId="77777777" w:rsidR="00687E9B" w:rsidRPr="00E44C17" w:rsidRDefault="00687E9B" w:rsidP="00E44C17">
              <w:pPr>
                <w:pStyle w:val="Bibliography"/>
                <w:rPr>
                  <w:noProof/>
                </w:rPr>
              </w:pPr>
              <w:r w:rsidRPr="00E44C17">
                <w:rPr>
                  <w:noProof/>
                </w:rPr>
                <w:t>Homes Victoria. (2025). Big Housing Build. Retrieved March 2025, from Homes Victoria: https://www.homes.vic.gov.au/big-housing-build</w:t>
              </w:r>
            </w:p>
            <w:p w14:paraId="27878D2E" w14:textId="77777777" w:rsidR="00687E9B" w:rsidRPr="00E44C17" w:rsidRDefault="00687E9B" w:rsidP="00E44C17">
              <w:pPr>
                <w:pStyle w:val="Bibliography"/>
                <w:rPr>
                  <w:noProof/>
                </w:rPr>
              </w:pPr>
              <w:r w:rsidRPr="00E44C17">
                <w:rPr>
                  <w:noProof/>
                </w:rPr>
                <w:t>Housing Act 1983 (Vic).</w:t>
              </w:r>
            </w:p>
            <w:p w14:paraId="163FDCF4" w14:textId="77777777" w:rsidR="00687E9B" w:rsidRPr="00E44C17" w:rsidRDefault="00687E9B" w:rsidP="00E44C17">
              <w:pPr>
                <w:pStyle w:val="Bibliography"/>
                <w:rPr>
                  <w:noProof/>
                </w:rPr>
              </w:pPr>
              <w:r w:rsidRPr="00E44C17">
                <w:rPr>
                  <w:noProof/>
                </w:rPr>
                <w:t xml:space="preserve">Housing All Australians. (2025). Unlocking private investment for essential worker housing. </w:t>
              </w:r>
            </w:p>
            <w:p w14:paraId="2B0C3BCF" w14:textId="77777777" w:rsidR="00687E9B" w:rsidRPr="00E44C17" w:rsidRDefault="00687E9B" w:rsidP="00E44C17">
              <w:pPr>
                <w:pStyle w:val="Bibliography"/>
                <w:rPr>
                  <w:noProof/>
                </w:rPr>
              </w:pPr>
              <w:r w:rsidRPr="00E44C17">
                <w:rPr>
                  <w:noProof/>
                </w:rPr>
                <w:t>Housing Assistance ACT 2007 (ACT).</w:t>
              </w:r>
            </w:p>
            <w:p w14:paraId="0F5F2C66" w14:textId="01DBF62C" w:rsidR="00687E9B" w:rsidRPr="00E44C17" w:rsidRDefault="00687E9B" w:rsidP="00E44C17">
              <w:pPr>
                <w:pStyle w:val="Bibliography"/>
                <w:rPr>
                  <w:noProof/>
                </w:rPr>
              </w:pPr>
              <w:r w:rsidRPr="00E44C17">
                <w:rPr>
                  <w:noProof/>
                </w:rPr>
                <w:t>Housing Australia. (2024a). Affordable Housing Bond Aggregator (AHBA) Loans. Retrieved December</w:t>
              </w:r>
              <w:r w:rsidR="00CC5EA5" w:rsidRPr="00E44C17">
                <w:rPr>
                  <w:noProof/>
                </w:rPr>
                <w:t> </w:t>
              </w:r>
              <w:r w:rsidRPr="00E44C17">
                <w:rPr>
                  <w:noProof/>
                </w:rPr>
                <w:t>2024, from Housing Australia: https://www.housingaustralia.gov.au/affordable-housing-bond-aggregator-ahba-loans</w:t>
              </w:r>
            </w:p>
            <w:p w14:paraId="5137015F" w14:textId="49C7A829" w:rsidR="00687E9B" w:rsidRPr="00E44C17" w:rsidRDefault="00687E9B" w:rsidP="00E44C17">
              <w:pPr>
                <w:pStyle w:val="Bibliography"/>
                <w:rPr>
                  <w:noProof/>
                </w:rPr>
              </w:pPr>
              <w:r w:rsidRPr="00E44C17">
                <w:rPr>
                  <w:noProof/>
                </w:rPr>
                <w:t>Housing Australia. (2024b). Home Guarantee Scheme Trends and Insights Report 2023</w:t>
              </w:r>
              <w:r w:rsidR="00CC5EA5" w:rsidRPr="00E44C17">
                <w:rPr>
                  <w:noProof/>
                </w:rPr>
                <w:t>–</w:t>
              </w:r>
              <w:r w:rsidRPr="00E44C17">
                <w:rPr>
                  <w:noProof/>
                </w:rPr>
                <w:t>24. Australian</w:t>
              </w:r>
              <w:r w:rsidR="00CC5EA5" w:rsidRPr="00E44C17">
                <w:rPr>
                  <w:noProof/>
                </w:rPr>
                <w:t> </w:t>
              </w:r>
              <w:r w:rsidRPr="00E44C17">
                <w:rPr>
                  <w:noProof/>
                </w:rPr>
                <w:t>Government. Retrieved January 2025, from https://www.housingaustralia.gov.au/sites/default/files/2024-09/housing_australia_home_guarantee_scheme_trends_and_insights_report_2023-24.pdf</w:t>
              </w:r>
            </w:p>
            <w:p w14:paraId="463C7BD1" w14:textId="6F8E2BF7" w:rsidR="00687E9B" w:rsidRPr="00E44C17" w:rsidRDefault="00687E9B" w:rsidP="00E44C17">
              <w:pPr>
                <w:pStyle w:val="Bibliography"/>
                <w:rPr>
                  <w:noProof/>
                </w:rPr>
              </w:pPr>
              <w:r w:rsidRPr="00E44C17">
                <w:rPr>
                  <w:noProof/>
                </w:rPr>
                <w:lastRenderedPageBreak/>
                <w:t>Housing Australia. (2024c, September 16). Housing Australia announces initial pipeline of housing for the Housing Australia Future Fund and National Housing Accord [Press release]. Retrieved December</w:t>
              </w:r>
              <w:r w:rsidR="00CC5EA5" w:rsidRPr="00E44C17">
                <w:rPr>
                  <w:noProof/>
                </w:rPr>
                <w:t> </w:t>
              </w:r>
              <w:r w:rsidRPr="00E44C17">
                <w:rPr>
                  <w:noProof/>
                </w:rPr>
                <w:t>2024, from https://www.housingaustralia.gov.au/media/housing-australia-announces-initial-pipeline-housing-housing-australia-future-fund-and</w:t>
              </w:r>
            </w:p>
            <w:p w14:paraId="1966E6C2" w14:textId="77777777" w:rsidR="00687E9B" w:rsidRPr="00E44C17" w:rsidRDefault="00687E9B" w:rsidP="00E44C17">
              <w:pPr>
                <w:pStyle w:val="Bibliography"/>
                <w:rPr>
                  <w:noProof/>
                </w:rPr>
              </w:pPr>
              <w:r w:rsidRPr="00E44C17">
                <w:rPr>
                  <w:noProof/>
                </w:rPr>
                <w:t xml:space="preserve">Housing Australia. (2024d). Housing Australia Futute Fund Facility and National Housing Accord Facility Program Fact Sheet. </w:t>
              </w:r>
            </w:p>
            <w:p w14:paraId="1BAF4E2F" w14:textId="77777777" w:rsidR="00687E9B" w:rsidRPr="00E44C17" w:rsidRDefault="00687E9B" w:rsidP="00E44C17">
              <w:pPr>
                <w:pStyle w:val="Bibliography"/>
                <w:rPr>
                  <w:noProof/>
                </w:rPr>
              </w:pPr>
              <w:r w:rsidRPr="00E44C17">
                <w:rPr>
                  <w:noProof/>
                </w:rPr>
                <w:t>Housing Europe and ICA Housing. (2012). Profiles of a Movement: Co-Operative Housing around the World. CECODHAS Housing Europe and ICA Housing.</w:t>
              </w:r>
            </w:p>
            <w:p w14:paraId="2F573346" w14:textId="1E83D60F" w:rsidR="00687E9B" w:rsidRPr="00E44C17" w:rsidRDefault="00687E9B" w:rsidP="00E44C17">
              <w:pPr>
                <w:pStyle w:val="Bibliography"/>
                <w:rPr>
                  <w:noProof/>
                </w:rPr>
              </w:pPr>
              <w:r w:rsidRPr="00E44C17">
                <w:rPr>
                  <w:noProof/>
                </w:rPr>
                <w:t>Housing Industry Association and CoreLogic. (2025). HIA-CoreLogic Residential Land Report, January</w:t>
              </w:r>
              <w:r w:rsidR="00D4008D" w:rsidRPr="00E44C17">
                <w:rPr>
                  <w:noProof/>
                </w:rPr>
                <w:t> </w:t>
              </w:r>
              <w:r w:rsidRPr="00E44C17">
                <w:rPr>
                  <w:noProof/>
                </w:rPr>
                <w:t>2025. Retrieved February 2025, from https://hia.com.au/our-industry/economics/data-forecasts/resource/residential-land-report?srsltid=AfmBOop2jhPogPyMw3zXmgxeHQMyurzWTy2oMdqqbAoPhBzLe39oHP_8</w:t>
              </w:r>
            </w:p>
            <w:p w14:paraId="3F56C1DF" w14:textId="77777777" w:rsidR="00687E9B" w:rsidRPr="00E44C17" w:rsidRDefault="00687E9B" w:rsidP="00E44C17">
              <w:pPr>
                <w:pStyle w:val="Bibliography"/>
                <w:rPr>
                  <w:noProof/>
                </w:rPr>
              </w:pPr>
              <w:r w:rsidRPr="00E44C17">
                <w:rPr>
                  <w:noProof/>
                </w:rPr>
                <w:t>Housing Industry Forecasting Group (HIFG). (2024). Forecasting Dwelling Commencements in Western Australia. Retrieved March 2025, from https://www.wa.gov.au/system/files/2024-11/final-housing-industry-forecasting-group.pdf</w:t>
              </w:r>
            </w:p>
            <w:p w14:paraId="7E585FC0" w14:textId="77777777" w:rsidR="00687E9B" w:rsidRPr="00E44C17" w:rsidRDefault="00687E9B" w:rsidP="00E44C17">
              <w:pPr>
                <w:pStyle w:val="Bibliography"/>
                <w:rPr>
                  <w:noProof/>
                </w:rPr>
              </w:pPr>
              <w:r w:rsidRPr="00E44C17">
                <w:rPr>
                  <w:noProof/>
                </w:rPr>
                <w:t>Housing Victoria. (2024). Public Housing. Retrieved December 2024, from Housing Victoria: https://www.housing.vic.gov.au/public-housing</w:t>
              </w:r>
            </w:p>
            <w:p w14:paraId="1F5E3D7E" w14:textId="77777777" w:rsidR="00687E9B" w:rsidRPr="00E44C17" w:rsidRDefault="00687E9B" w:rsidP="00E44C17">
              <w:pPr>
                <w:pStyle w:val="Bibliography"/>
                <w:rPr>
                  <w:noProof/>
                </w:rPr>
              </w:pPr>
              <w:r w:rsidRPr="00E44C17">
                <w:rPr>
                  <w:noProof/>
                </w:rPr>
                <w:t>Hulse, K., Martin, C., James, A., &amp; Stone, W. (2018). Private rental in transition: institutional change, technology and innovation in Australia. AHURI Final Report No. 296. doi:10.18408/ahuri-5112101</w:t>
              </w:r>
            </w:p>
            <w:p w14:paraId="7D69BE3F" w14:textId="77777777" w:rsidR="00687E9B" w:rsidRPr="00E44C17" w:rsidRDefault="00687E9B" w:rsidP="00E44C17">
              <w:pPr>
                <w:pStyle w:val="Bibliography"/>
                <w:rPr>
                  <w:noProof/>
                </w:rPr>
              </w:pPr>
              <w:r w:rsidRPr="00E44C17">
                <w:rPr>
                  <w:noProof/>
                </w:rPr>
                <w:t>Human Rights and Equal Opportunity Commission. (1997). Bringing Them Home - Report of the National Inquiry into the Separation of Aboriginal and Torres Strait Islander Children from Their Families. Australian Government. Retrieved February 2025, from https://humanrights.gov.au/our-work/projects/bringing-them-home-report-1997</w:t>
              </w:r>
            </w:p>
            <w:p w14:paraId="5CB46EEC" w14:textId="77777777" w:rsidR="00687E9B" w:rsidRPr="00E44C17" w:rsidRDefault="00687E9B" w:rsidP="00E44C17">
              <w:pPr>
                <w:pStyle w:val="Bibliography"/>
                <w:rPr>
                  <w:noProof/>
                </w:rPr>
              </w:pPr>
              <w:r w:rsidRPr="00E44C17">
                <w:rPr>
                  <w:noProof/>
                </w:rPr>
                <w:t>Igan, D. (2024). The Housing Affordability Crunch. Finance &amp; Development, December 2024, 61(004), 21-23. doi:https://doi.org/10.5089/9798400277306.022</w:t>
              </w:r>
            </w:p>
            <w:p w14:paraId="11102D47" w14:textId="77777777" w:rsidR="00687E9B" w:rsidRPr="00E44C17" w:rsidRDefault="00687E9B" w:rsidP="00E44C17">
              <w:pPr>
                <w:pStyle w:val="Bibliography"/>
                <w:rPr>
                  <w:noProof/>
                </w:rPr>
              </w:pPr>
              <w:r w:rsidRPr="00E44C17">
                <w:rPr>
                  <w:noProof/>
                </w:rPr>
                <w:t xml:space="preserve">Indigenous Business Australia. (2024). Aboriginal and Torres Strait Islander Pathways through housing. </w:t>
              </w:r>
            </w:p>
            <w:p w14:paraId="34A5B298" w14:textId="77777777" w:rsidR="00687E9B" w:rsidRPr="00E44C17" w:rsidRDefault="00687E9B" w:rsidP="00E44C17">
              <w:pPr>
                <w:pStyle w:val="Bibliography"/>
                <w:rPr>
                  <w:noProof/>
                </w:rPr>
              </w:pPr>
              <w:r w:rsidRPr="00E44C17">
                <w:rPr>
                  <w:noProof/>
                </w:rPr>
                <w:t>Indigenous Business Australia. (2025a). IBA housing loan features. Retrieved March 2025, from Indigenous Business Australia: https://iba.gov.au/home-ownership/iba-housing-loan-features/</w:t>
              </w:r>
            </w:p>
            <w:p w14:paraId="53C134BA" w14:textId="77777777" w:rsidR="00687E9B" w:rsidRPr="00E44C17" w:rsidRDefault="00687E9B" w:rsidP="00E44C17">
              <w:pPr>
                <w:pStyle w:val="Bibliography"/>
                <w:rPr>
                  <w:noProof/>
                </w:rPr>
              </w:pPr>
              <w:r w:rsidRPr="00E44C17">
                <w:rPr>
                  <w:noProof/>
                </w:rPr>
                <w:t>Indigenous Business Australia. (2025b). IBA Shared Equity. Retrieved March 2025, from Indigenous Business Australia: https://iba.gov.au/iba-shared-equity/</w:t>
              </w:r>
            </w:p>
            <w:p w14:paraId="3610B6A9" w14:textId="77777777" w:rsidR="00687E9B" w:rsidRPr="00E44C17" w:rsidRDefault="00687E9B" w:rsidP="00E44C17">
              <w:pPr>
                <w:pStyle w:val="Bibliography"/>
                <w:rPr>
                  <w:noProof/>
                </w:rPr>
              </w:pPr>
              <w:r w:rsidRPr="00E44C17">
                <w:rPr>
                  <w:noProof/>
                </w:rPr>
                <w:t>Industry, Innovation and Science Australia. (2023). Barriers to collaboration and commercialisation. Canberra: Department of Industry, Science and Resources. Retrieved February 2025, from https://www.industry.gov.au/publications/barriers-collaboration-and-commercialisation</w:t>
              </w:r>
            </w:p>
            <w:p w14:paraId="3A3C4B3C" w14:textId="77777777" w:rsidR="00687E9B" w:rsidRPr="00E44C17" w:rsidRDefault="00687E9B" w:rsidP="00E44C17">
              <w:pPr>
                <w:pStyle w:val="Bibliography"/>
                <w:rPr>
                  <w:noProof/>
                </w:rPr>
              </w:pPr>
              <w:r w:rsidRPr="00E44C17">
                <w:rPr>
                  <w:noProof/>
                </w:rPr>
                <w:t xml:space="preserve">Infrastructure Australia. (2024). Infrastructure Market Capacity 2024 Report. </w:t>
              </w:r>
            </w:p>
            <w:p w14:paraId="361F0E78" w14:textId="77777777" w:rsidR="00687E9B" w:rsidRPr="00E44C17" w:rsidRDefault="00687E9B" w:rsidP="00E44C17">
              <w:pPr>
                <w:pStyle w:val="Bibliography"/>
                <w:rPr>
                  <w:noProof/>
                </w:rPr>
              </w:pPr>
              <w:r w:rsidRPr="00E44C17">
                <w:rPr>
                  <w:noProof/>
                </w:rPr>
                <w:t xml:space="preserve">Interim National Housing Supply and Affordability Council. (2023). Barriers to Institutional Investment, Finance and Innovation in Housing. </w:t>
              </w:r>
            </w:p>
            <w:p w14:paraId="607AEAFB" w14:textId="77777777" w:rsidR="00687E9B" w:rsidRPr="00E44C17" w:rsidRDefault="00687E9B" w:rsidP="00E44C17">
              <w:pPr>
                <w:pStyle w:val="Bibliography"/>
                <w:rPr>
                  <w:noProof/>
                </w:rPr>
              </w:pPr>
              <w:r w:rsidRPr="00E44C17">
                <w:rPr>
                  <w:noProof/>
                </w:rPr>
                <w:lastRenderedPageBreak/>
                <w:t>Jackson, A., &amp; Blane, N. (2024). Call Unanswered Unmet Demand for Specialist Homelessness Services. Impact Economics and Policy and Homelessness Australia.</w:t>
              </w:r>
            </w:p>
            <w:p w14:paraId="669593C5" w14:textId="77777777" w:rsidR="00687E9B" w:rsidRPr="00E44C17" w:rsidRDefault="00687E9B" w:rsidP="00E44C17">
              <w:pPr>
                <w:pStyle w:val="Bibliography"/>
                <w:rPr>
                  <w:noProof/>
                </w:rPr>
              </w:pPr>
              <w:r w:rsidRPr="00E44C17">
                <w:rPr>
                  <w:noProof/>
                </w:rPr>
                <w:t xml:space="preserve">Jobs and Skills Australia. (2025). Jobs and Skills Australia, Recruitment Insights Report, February 2025. </w:t>
              </w:r>
            </w:p>
            <w:p w14:paraId="1352DEAF" w14:textId="77777777" w:rsidR="00687E9B" w:rsidRPr="00E44C17" w:rsidRDefault="00687E9B" w:rsidP="00E44C17">
              <w:pPr>
                <w:pStyle w:val="Bibliography"/>
                <w:rPr>
                  <w:noProof/>
                </w:rPr>
              </w:pPr>
              <w:r w:rsidRPr="00E44C17">
                <w:rPr>
                  <w:noProof/>
                </w:rPr>
                <w:t>Keystart. (2025). Aboriginal Home Loan. Retrieved April 2025, from Keystart: https://www.keystart.com.au/loans/aboriginal-home-loan</w:t>
              </w:r>
            </w:p>
            <w:p w14:paraId="6D35AB8D" w14:textId="0A1B3D5A" w:rsidR="00687E9B" w:rsidRPr="00E44C17" w:rsidRDefault="00687E9B" w:rsidP="00E44C17">
              <w:pPr>
                <w:pStyle w:val="Bibliography"/>
                <w:rPr>
                  <w:noProof/>
                </w:rPr>
              </w:pPr>
              <w:r w:rsidRPr="00E44C17">
                <w:rPr>
                  <w:noProof/>
                </w:rPr>
                <w:t>Kwan, C. (2025, February 18). NSW fast-tracks 6500 homes with new authority. Retrieved February</w:t>
              </w:r>
              <w:r w:rsidR="00CC5EA5" w:rsidRPr="00E44C17">
                <w:rPr>
                  <w:noProof/>
                </w:rPr>
                <w:t> </w:t>
              </w:r>
              <w:r w:rsidRPr="00E44C17">
                <w:rPr>
                  <w:noProof/>
                </w:rPr>
                <w:t>2025, from Australian Financial Review: https://www.afr.com/property/commercial/nsw-fast-tracks-6500-homes-with-new-authority-20250218-p5lcz6</w:t>
              </w:r>
            </w:p>
            <w:p w14:paraId="3F03211B" w14:textId="77777777" w:rsidR="00687E9B" w:rsidRPr="00E44C17" w:rsidRDefault="00687E9B" w:rsidP="00E44C17">
              <w:pPr>
                <w:pStyle w:val="Bibliography"/>
                <w:rPr>
                  <w:noProof/>
                </w:rPr>
              </w:pPr>
              <w:r w:rsidRPr="00E44C17">
                <w:rPr>
                  <w:noProof/>
                </w:rPr>
                <w:t>La Cava, G., Leal, H., &amp; Zurawski, A. (2017). Housing Accessibility for First Home Buyers. RBA Bulletin, December Quarter 2017, 19-28.</w:t>
              </w:r>
            </w:p>
            <w:p w14:paraId="7619DD66" w14:textId="77777777" w:rsidR="00687E9B" w:rsidRPr="00E44C17" w:rsidRDefault="00687E9B" w:rsidP="00E44C17">
              <w:pPr>
                <w:pStyle w:val="Bibliography"/>
                <w:rPr>
                  <w:noProof/>
                </w:rPr>
              </w:pPr>
              <w:r w:rsidRPr="00E44C17">
                <w:rPr>
                  <w:noProof/>
                </w:rPr>
                <w:t>Lawson, J., Pawson, H., Troy, L., van den Nouwelant, R., &amp; Hamilton, C. (2018). Social housing as infrastructure: an investment pathway. AHURI Final Report No. 306. doi:10.18408/ahuri-5314301</w:t>
              </w:r>
            </w:p>
            <w:p w14:paraId="594F9507" w14:textId="77777777" w:rsidR="00687E9B" w:rsidRPr="00E44C17" w:rsidRDefault="00687E9B" w:rsidP="00E44C17">
              <w:pPr>
                <w:pStyle w:val="Bibliography"/>
                <w:rPr>
                  <w:noProof/>
                </w:rPr>
              </w:pPr>
              <w:r w:rsidRPr="00E44C17">
                <w:rPr>
                  <w:noProof/>
                </w:rPr>
                <w:t>Lea, T., Grealy, L., Moskos, M., Brambilla, A., King, S., Habibis, D., . . . Torzillo, P. (2021). Sustainable Indigenous housing in regional and remote Australia. AHURI Final Report No. 368. doi:10.18408/ahuri7323701</w:t>
              </w:r>
            </w:p>
            <w:p w14:paraId="5D151ADD" w14:textId="77777777" w:rsidR="00687E9B" w:rsidRPr="00E44C17" w:rsidRDefault="00687E9B" w:rsidP="00E44C17">
              <w:pPr>
                <w:pStyle w:val="Bibliography"/>
                <w:rPr>
                  <w:noProof/>
                </w:rPr>
              </w:pPr>
              <w:r w:rsidRPr="00E44C17">
                <w:rPr>
                  <w:noProof/>
                </w:rPr>
                <w:t>Lee, Y., Kemp, P., &amp; Reina, V. (2022). Drivers of housing (un)affordability in the advanced economies: a review and new evidence. Housing Studies, 37(10), 1739-1752. doi:https://doi.org/10.1080/02673037.2022.2123623</w:t>
              </w:r>
            </w:p>
            <w:p w14:paraId="0DB46AA7" w14:textId="77777777" w:rsidR="00687E9B" w:rsidRPr="00E44C17" w:rsidRDefault="00687E9B" w:rsidP="00E44C17">
              <w:pPr>
                <w:pStyle w:val="Bibliography"/>
                <w:rPr>
                  <w:noProof/>
                </w:rPr>
              </w:pPr>
              <w:r w:rsidRPr="00E44C17">
                <w:rPr>
                  <w:noProof/>
                </w:rPr>
                <w:t>Maiam Nayri Wingara. (2018). Indigenous Data Sovereignty Communique. Canberra: Australian Indigenous Governance Institute.</w:t>
              </w:r>
            </w:p>
            <w:p w14:paraId="5D6C3E64" w14:textId="77777777" w:rsidR="00687E9B" w:rsidRPr="00E44C17" w:rsidRDefault="00687E9B" w:rsidP="00E44C17">
              <w:pPr>
                <w:pStyle w:val="Bibliography"/>
                <w:rPr>
                  <w:noProof/>
                </w:rPr>
              </w:pPr>
              <w:r w:rsidRPr="00E44C17">
                <w:rPr>
                  <w:noProof/>
                </w:rPr>
                <w:t>Master Builders Australia . (2024). The Future of the Workforce: The Building and Construction Industry. Canberra. Retrieved February 2025, from https://masterbuilders.com.au/the-future-of-the-workforce-the-building-and-construction-industry/</w:t>
              </w:r>
            </w:p>
            <w:p w14:paraId="1CA2653C" w14:textId="77777777" w:rsidR="00687E9B" w:rsidRPr="00E44C17" w:rsidRDefault="00687E9B" w:rsidP="00E44C17">
              <w:pPr>
                <w:pStyle w:val="Bibliography"/>
                <w:rPr>
                  <w:noProof/>
                </w:rPr>
              </w:pPr>
              <w:r w:rsidRPr="00E44C17">
                <w:rPr>
                  <w:noProof/>
                </w:rPr>
                <w:t>McSweeney, N., Bui, C., &amp; Abidin, A. Y. (2024, February 25). Australian construction price outlook - Q3 2024. Retrieved February 2025, from Altus group: https://www.altusgroup.com/insights/australian-construction-material-price-outlook/</w:t>
              </w:r>
            </w:p>
            <w:p w14:paraId="1D127FA6" w14:textId="77777777" w:rsidR="00687E9B" w:rsidRPr="00E44C17" w:rsidRDefault="00687E9B" w:rsidP="00E44C17">
              <w:pPr>
                <w:pStyle w:val="Bibliography"/>
                <w:rPr>
                  <w:noProof/>
                </w:rPr>
              </w:pPr>
              <w:r w:rsidRPr="00E44C17">
                <w:rPr>
                  <w:noProof/>
                </w:rPr>
                <w:t>Moggridge, B., Beal, C., &amp; Lansbury, N. (2022, November 16). Countless reports show water is undrinkable in many Indigenous communities. Why has nothing changed? Retrieved February 2025, from The Conversation: https://theconversation.com/countless-reports-show-water-is-undrinkable-in-many-indigenous-communities-why-has-nothing-changed-194447</w:t>
              </w:r>
            </w:p>
            <w:p w14:paraId="69B7B667" w14:textId="77777777" w:rsidR="00687E9B" w:rsidRPr="00E44C17" w:rsidRDefault="00687E9B" w:rsidP="00E44C17">
              <w:pPr>
                <w:pStyle w:val="Bibliography"/>
                <w:rPr>
                  <w:noProof/>
                </w:rPr>
              </w:pPr>
              <w:r w:rsidRPr="00E44C17">
                <w:rPr>
                  <w:noProof/>
                </w:rPr>
                <w:t>Moore, A. L. (2024). REA Group Rental Report, December 2024 Quarter. REA Group and Prop Track. Retrieved March 2025</w:t>
              </w:r>
            </w:p>
            <w:p w14:paraId="47DD88F9" w14:textId="77777777" w:rsidR="00687E9B" w:rsidRPr="00E44C17" w:rsidRDefault="00687E9B" w:rsidP="00E44C17">
              <w:pPr>
                <w:pStyle w:val="Bibliography"/>
                <w:rPr>
                  <w:noProof/>
                </w:rPr>
              </w:pPr>
              <w:r w:rsidRPr="00E44C17">
                <w:rPr>
                  <w:noProof/>
                </w:rPr>
                <w:t>Moran, M., Memmott, P., Nash, D., Birdsall-Jones, C., Fantin, S., Phillips, R., &amp; Habibis, D. (2016). Indigenous lifeworlds, conditionality and housing outcomes. AHURI Final Report No. 260. Retrieved February 2025, from https://www.ahuri.edu.au/research/final-reports/260</w:t>
              </w:r>
            </w:p>
            <w:p w14:paraId="18DCA674" w14:textId="77777777" w:rsidR="00687E9B" w:rsidRPr="00E44C17" w:rsidRDefault="00687E9B" w:rsidP="00E44C17">
              <w:pPr>
                <w:pStyle w:val="Bibliography"/>
                <w:rPr>
                  <w:noProof/>
                </w:rPr>
              </w:pPr>
              <w:r w:rsidRPr="00E44C17">
                <w:rPr>
                  <w:noProof/>
                </w:rPr>
                <w:t>Moskos, M., Isherwood, L., Dockery, M., Baker, E., &amp; Pham, A. (2022). ‘What works’ to sustain Indigenous tenancies in Australia. AHURI Final Report No. 374. doi:10.18408/ahuri3122901</w:t>
              </w:r>
            </w:p>
            <w:p w14:paraId="63EA7C7E" w14:textId="77777777" w:rsidR="00687E9B" w:rsidRPr="00E44C17" w:rsidRDefault="00687E9B" w:rsidP="00E44C17">
              <w:pPr>
                <w:pStyle w:val="Bibliography"/>
                <w:rPr>
                  <w:noProof/>
                </w:rPr>
              </w:pPr>
              <w:r w:rsidRPr="00E44C17">
                <w:rPr>
                  <w:noProof/>
                </w:rPr>
                <w:lastRenderedPageBreak/>
                <w:t>Moskos, M., Milligan, V., Benedict, R., Habibis, D., Isherwood, L., &amp; van den Nouwelant, R. (2025). Indigenous housing support in Australia: the lay of the land. AHURI Final Report No. 434. Retrieved February 2025, from https://www.ahuri.edu.au/research/final-reports/434</w:t>
              </w:r>
            </w:p>
            <w:p w14:paraId="35B6CB23" w14:textId="77777777" w:rsidR="00687E9B" w:rsidRPr="00E44C17" w:rsidRDefault="00687E9B" w:rsidP="00E44C17">
              <w:pPr>
                <w:pStyle w:val="Bibliography"/>
                <w:rPr>
                  <w:noProof/>
                </w:rPr>
              </w:pPr>
              <w:r w:rsidRPr="00E44C17">
                <w:rPr>
                  <w:noProof/>
                </w:rPr>
                <w:t>Naidoo, Y., Wong, M., Smyth, C., &amp; Davidson, P. (2024). Material deprivation in Australia: the essentials of life. Sydney: Australian Council of Social Service (ACOSS) and UNSW.</w:t>
              </w:r>
            </w:p>
            <w:p w14:paraId="409BBDA1" w14:textId="77777777" w:rsidR="00687E9B" w:rsidRPr="00E44C17" w:rsidRDefault="00687E9B" w:rsidP="00E44C17">
              <w:pPr>
                <w:pStyle w:val="Bibliography"/>
                <w:rPr>
                  <w:noProof/>
                </w:rPr>
              </w:pPr>
              <w:r w:rsidRPr="00E44C17">
                <w:rPr>
                  <w:noProof/>
                </w:rPr>
                <w:t>Nassios, J., &amp; Giesecke, J. (2022). Property Tax Reform: Implications for Housing Prices and Economic Productivity. Centre for Policy Studies Working Paper No. G-330.</w:t>
              </w:r>
            </w:p>
            <w:p w14:paraId="31C6A101" w14:textId="77777777" w:rsidR="00687E9B" w:rsidRPr="00E44C17" w:rsidRDefault="00687E9B" w:rsidP="00E44C17">
              <w:pPr>
                <w:pStyle w:val="Bibliography"/>
                <w:rPr>
                  <w:noProof/>
                </w:rPr>
              </w:pPr>
              <w:r w:rsidRPr="00E44C17">
                <w:rPr>
                  <w:noProof/>
                </w:rPr>
                <w:t>National Agreement on Social Housing and Homelessness. (2024). Retrieved January 2025, from https://federalfinancialrelations.gov.au/agreements/nashh</w:t>
              </w:r>
            </w:p>
            <w:p w14:paraId="2C1B8333" w14:textId="77777777" w:rsidR="00687E9B" w:rsidRPr="00E44C17" w:rsidRDefault="00687E9B" w:rsidP="00E44C17">
              <w:pPr>
                <w:pStyle w:val="Bibliography"/>
                <w:rPr>
                  <w:noProof/>
                </w:rPr>
              </w:pPr>
              <w:r w:rsidRPr="00E44C17">
                <w:rPr>
                  <w:noProof/>
                </w:rPr>
                <w:t>National Centre for Vocational Education Research. (2024). Apprentices and trainees. Retrieved February 2025, from National Centre for Vocational Education Research: https://www.ncver.edu.au/research-and-statistics/collections/apprentices-and-trainees-collection</w:t>
              </w:r>
            </w:p>
            <w:p w14:paraId="3684FB38" w14:textId="77777777" w:rsidR="00687E9B" w:rsidRPr="00E44C17" w:rsidRDefault="00687E9B" w:rsidP="00E44C17">
              <w:pPr>
                <w:pStyle w:val="Bibliography"/>
                <w:rPr>
                  <w:noProof/>
                </w:rPr>
              </w:pPr>
              <w:r w:rsidRPr="00E44C17">
                <w:rPr>
                  <w:noProof/>
                </w:rPr>
                <w:t>National Housing Supply and Affordability Council. (2024). State of the Housing System 2024. Canberra: Australian Government.</w:t>
              </w:r>
            </w:p>
            <w:p w14:paraId="26A655F5" w14:textId="77777777" w:rsidR="00687E9B" w:rsidRPr="00E44C17" w:rsidRDefault="00687E9B" w:rsidP="00E44C17">
              <w:pPr>
                <w:pStyle w:val="Bibliography"/>
                <w:rPr>
                  <w:noProof/>
                </w:rPr>
              </w:pPr>
              <w:r w:rsidRPr="00E44C17">
                <w:rPr>
                  <w:noProof/>
                </w:rPr>
                <w:t>National Housing Supply Council. (2010). 2nd State of Supply Report. Canberra: Australian Government.</w:t>
              </w:r>
            </w:p>
            <w:p w14:paraId="563C5DD6" w14:textId="77777777" w:rsidR="00687E9B" w:rsidRPr="00E44C17" w:rsidRDefault="00687E9B" w:rsidP="00E44C17">
              <w:pPr>
                <w:pStyle w:val="Bibliography"/>
                <w:rPr>
                  <w:noProof/>
                </w:rPr>
              </w:pPr>
              <w:r w:rsidRPr="00E44C17">
                <w:rPr>
                  <w:noProof/>
                </w:rPr>
                <w:t>National Indigenous Australians Agency. (2025). National Agreement on Closing the Gap. Retrieved February 2025, from National Indigenous Australians Agency: https://www.niaa.gov.au/our-work/closing-gap#:~:text=The%20National%20Agreement%20on%20Closing,by%20the%20Coalition%20of%20Peaks).</w:t>
              </w:r>
            </w:p>
            <w:p w14:paraId="64E8BFAB" w14:textId="77777777" w:rsidR="00687E9B" w:rsidRPr="00E44C17" w:rsidRDefault="00687E9B" w:rsidP="00E44C17">
              <w:pPr>
                <w:pStyle w:val="Bibliography"/>
                <w:rPr>
                  <w:noProof/>
                </w:rPr>
              </w:pPr>
              <w:r w:rsidRPr="00E44C17">
                <w:rPr>
                  <w:noProof/>
                </w:rPr>
                <w:t>New York City Comptroller. (2024). New York City's Homeowner Housing Market. New York.</w:t>
              </w:r>
            </w:p>
            <w:p w14:paraId="500DF6A9" w14:textId="39FE8C8C" w:rsidR="00687E9B" w:rsidRPr="00E44C17" w:rsidRDefault="00687E9B" w:rsidP="00E44C17">
              <w:pPr>
                <w:pStyle w:val="Bibliography"/>
                <w:rPr>
                  <w:noProof/>
                </w:rPr>
              </w:pPr>
              <w:r w:rsidRPr="00E44C17">
                <w:rPr>
                  <w:noProof/>
                </w:rPr>
                <w:t>Northern Territory Government. (2019). Northern Territory Housing Strategy, 2020</w:t>
              </w:r>
              <w:r w:rsidR="00980A62">
                <w:rPr>
                  <w:noProof/>
                </w:rPr>
                <w:t>–</w:t>
              </w:r>
              <w:r w:rsidRPr="00E44C17">
                <w:rPr>
                  <w:noProof/>
                </w:rPr>
                <w:t xml:space="preserve">2025. </w:t>
              </w:r>
            </w:p>
            <w:p w14:paraId="42BC8EAE" w14:textId="77777777" w:rsidR="00687E9B" w:rsidRPr="00E44C17" w:rsidRDefault="00687E9B" w:rsidP="00E44C17">
              <w:pPr>
                <w:pStyle w:val="Bibliography"/>
                <w:rPr>
                  <w:noProof/>
                </w:rPr>
              </w:pPr>
              <w:r w:rsidRPr="00E44C17">
                <w:rPr>
                  <w:noProof/>
                </w:rPr>
                <w:t>Northern Territory Government. (2024). Paying your rent in public housing. Retrieved December 2024, from NT Gov: https://nt.gov.au/property/social-housing/tenants-your-rights-and-responsibilities/paying-your-rent-in-public-housing/rebates</w:t>
              </w:r>
            </w:p>
            <w:p w14:paraId="56BA8885" w14:textId="77777777" w:rsidR="00687E9B" w:rsidRPr="00E44C17" w:rsidRDefault="00687E9B" w:rsidP="00E44C17">
              <w:pPr>
                <w:pStyle w:val="Bibliography"/>
                <w:rPr>
                  <w:noProof/>
                </w:rPr>
              </w:pPr>
              <w:r w:rsidRPr="00E44C17">
                <w:rPr>
                  <w:noProof/>
                </w:rPr>
                <w:t>Northern Territory Government. (2025). Building control areas. Retrieved March 2025, from Northern Territory Government: https://nt.gov.au/property/building/build-in-a-controlled-area/building-control-areas/building-outside-of-building-control-areas</w:t>
              </w:r>
            </w:p>
            <w:p w14:paraId="4D1431F4" w14:textId="77777777" w:rsidR="00687E9B" w:rsidRPr="00E44C17" w:rsidRDefault="00687E9B" w:rsidP="00E44C17">
              <w:pPr>
                <w:pStyle w:val="Bibliography"/>
                <w:rPr>
                  <w:noProof/>
                </w:rPr>
              </w:pPr>
              <w:r w:rsidRPr="00E44C17">
                <w:rPr>
                  <w:noProof/>
                </w:rPr>
                <w:t>Northern Territory Government Department of Territory Families, Housing and Communities. (2024). Affordable housing schemes. Retrieved November 2024, from Northern Territory Government: https://dhlgcd.nt.gov.au/housing-projects-and-programs/housing-initiatives-and-strategies/affordable-housing-schemes</w:t>
              </w:r>
            </w:p>
            <w:p w14:paraId="1ACD3D1A" w14:textId="77777777" w:rsidR="00687E9B" w:rsidRPr="00E44C17" w:rsidRDefault="00687E9B" w:rsidP="00E44C17">
              <w:pPr>
                <w:pStyle w:val="Bibliography"/>
                <w:rPr>
                  <w:noProof/>
                </w:rPr>
              </w:pPr>
              <w:r w:rsidRPr="00E44C17">
                <w:rPr>
                  <w:noProof/>
                </w:rPr>
                <w:t xml:space="preserve">Northern Territory Remote Housing. (2023). Federation Funding Agreement - Affordable Housing, Community Services and Other. </w:t>
              </w:r>
            </w:p>
            <w:p w14:paraId="4EADD1A8" w14:textId="77777777" w:rsidR="00687E9B" w:rsidRPr="00E44C17" w:rsidRDefault="00687E9B" w:rsidP="00E44C17">
              <w:pPr>
                <w:pStyle w:val="Bibliography"/>
                <w:rPr>
                  <w:noProof/>
                </w:rPr>
              </w:pPr>
              <w:r w:rsidRPr="00E44C17">
                <w:rPr>
                  <w:noProof/>
                </w:rPr>
                <w:t>NSW Department of Planning. (2025). Council league table. Retrieved January 2025, from NSW Government - Planning: https://www.planning.nsw.gov.au/policy-and-legislation/housing/faster-assessments-program/council-league-table</w:t>
              </w:r>
            </w:p>
            <w:p w14:paraId="7D50F13F" w14:textId="77777777" w:rsidR="00687E9B" w:rsidRPr="00E44C17" w:rsidRDefault="00687E9B" w:rsidP="00E44C17">
              <w:pPr>
                <w:pStyle w:val="Bibliography"/>
                <w:rPr>
                  <w:noProof/>
                </w:rPr>
              </w:pPr>
              <w:r w:rsidRPr="00E44C17">
                <w:rPr>
                  <w:noProof/>
                </w:rPr>
                <w:lastRenderedPageBreak/>
                <w:t>NSW Department of Planning, Housing and Infrastructure. (2024). National Planning Reform Blueprint New South Wales: progress report. NSW Department of Planning, Housing and Infrastructure.</w:t>
              </w:r>
            </w:p>
            <w:p w14:paraId="2543E836" w14:textId="77777777" w:rsidR="00687E9B" w:rsidRPr="00E44C17" w:rsidRDefault="00687E9B" w:rsidP="00E44C17">
              <w:pPr>
                <w:pStyle w:val="Bibliography"/>
                <w:rPr>
                  <w:noProof/>
                </w:rPr>
              </w:pPr>
              <w:r w:rsidRPr="00E44C17">
                <w:rPr>
                  <w:noProof/>
                </w:rPr>
                <w:t xml:space="preserve">NSW Government. (2019). Guideline for Developing an Affordable Housing Contribution Scheme. </w:t>
              </w:r>
            </w:p>
            <w:p w14:paraId="39302FDE" w14:textId="77777777" w:rsidR="00687E9B" w:rsidRPr="00E44C17" w:rsidRDefault="00687E9B" w:rsidP="00E44C17">
              <w:pPr>
                <w:pStyle w:val="Bibliography"/>
                <w:rPr>
                  <w:noProof/>
                </w:rPr>
              </w:pPr>
              <w:r w:rsidRPr="00E44C17">
                <w:rPr>
                  <w:noProof/>
                </w:rPr>
                <w:t>NSW Government. (2023). Understanding rent, subsidies, and reviews. Retrieved December 2024, from NSW Government: https://www.nsw.gov.au/housing-and-construction/social-affordable/public-housing-tenants/paying-rent-and-other-charges/rent-subsidies-and-reviews</w:t>
              </w:r>
            </w:p>
            <w:p w14:paraId="08A91FBC" w14:textId="77777777" w:rsidR="00687E9B" w:rsidRPr="00E44C17" w:rsidRDefault="00687E9B" w:rsidP="00E44C17">
              <w:pPr>
                <w:pStyle w:val="Bibliography"/>
                <w:rPr>
                  <w:noProof/>
                </w:rPr>
              </w:pPr>
              <w:r w:rsidRPr="00E44C17">
                <w:rPr>
                  <w:noProof/>
                </w:rPr>
                <w:t>NSW Government. (2024a). Low and Mid-Rise Housing Policy. Retrieved February 2025, from NSW Government: https://www.planning.nsw.gov.au/policy-and-legislation/housing/low-and-mid-rise-housing-policy</w:t>
              </w:r>
            </w:p>
            <w:p w14:paraId="5B3318BB" w14:textId="6411AAF1" w:rsidR="00687E9B" w:rsidRPr="00E44C17" w:rsidRDefault="00687E9B" w:rsidP="00E44C17">
              <w:pPr>
                <w:pStyle w:val="Bibliography"/>
                <w:rPr>
                  <w:noProof/>
                </w:rPr>
              </w:pPr>
              <w:r w:rsidRPr="00E44C17">
                <w:rPr>
                  <w:noProof/>
                </w:rPr>
                <w:t>NSW Government. (2024b, February 13). NSW Affordable Housing Ministerial Guidelines 2023</w:t>
              </w:r>
              <w:r w:rsidR="00CC5EA5" w:rsidRPr="00E44C17">
                <w:rPr>
                  <w:noProof/>
                </w:rPr>
                <w:t>–</w:t>
              </w:r>
              <w:r w:rsidRPr="00E44C17">
                <w:rPr>
                  <w:noProof/>
                </w:rPr>
                <w:t>24. Retrieved November 2024, from Nsw Government, Communities &amp; Justice: https://www.facs.nsw.gov.au/download?file=843446</w:t>
              </w:r>
            </w:p>
            <w:p w14:paraId="5248A8EE" w14:textId="77777777" w:rsidR="00687E9B" w:rsidRPr="00E44C17" w:rsidRDefault="00687E9B" w:rsidP="00E44C17">
              <w:pPr>
                <w:pStyle w:val="Bibliography"/>
                <w:rPr>
                  <w:noProof/>
                </w:rPr>
              </w:pPr>
              <w:r w:rsidRPr="00E44C17">
                <w:rPr>
                  <w:noProof/>
                </w:rPr>
                <w:t xml:space="preserve">NSW Government. (2024c). NSW Budget 2024-25, Budget Paper No.01. </w:t>
              </w:r>
            </w:p>
            <w:p w14:paraId="48859AFC" w14:textId="42B7B86B" w:rsidR="00ED2169" w:rsidRPr="00E44C17" w:rsidRDefault="00687E9B" w:rsidP="00E44C17">
              <w:pPr>
                <w:pStyle w:val="Bibliography"/>
                <w:rPr>
                  <w:noProof/>
                </w:rPr>
              </w:pPr>
              <w:r w:rsidRPr="00E44C17">
                <w:rPr>
                  <w:noProof/>
                </w:rPr>
                <w:t>NSW Government. (2024d, May 03). Well-designed low and mid-rise housing is already in your backyard. Retrieved February 2025, from NSW Government - Planning: https://www.planning.nsw.gov.au/news/well-designed-low-and-mid-rise-housing-already-your-backyard</w:t>
              </w:r>
            </w:p>
            <w:p w14:paraId="48979E4C" w14:textId="77777777" w:rsidR="00687E9B" w:rsidRPr="00E44C17" w:rsidRDefault="00687E9B" w:rsidP="00E44C17">
              <w:pPr>
                <w:pStyle w:val="Bibliography"/>
                <w:rPr>
                  <w:noProof/>
                </w:rPr>
              </w:pPr>
              <w:r w:rsidRPr="00E44C17">
                <w:rPr>
                  <w:noProof/>
                </w:rPr>
                <w:t>NSW Government. (2025a). In-fill affordable housing. Retrieved March 2025, from NSW Government: https://www.planning.nsw.gov.au/policy-and-legislation/housing/housing-sepp/in-fill-affordable-housing#:~:text=A%20floor%20space%20ratio%20(FSR,building%20and%20shop-top%20housing.</w:t>
              </w:r>
            </w:p>
            <w:p w14:paraId="7BA0A0E6" w14:textId="77777777" w:rsidR="00687E9B" w:rsidRPr="00E44C17" w:rsidRDefault="00687E9B" w:rsidP="00E44C17">
              <w:pPr>
                <w:pStyle w:val="Bibliography"/>
                <w:rPr>
                  <w:noProof/>
                </w:rPr>
              </w:pPr>
              <w:r w:rsidRPr="00E44C17">
                <w:rPr>
                  <w:noProof/>
                </w:rPr>
                <w:t>NSW Government. (2025b). State Enviromental Planning Policies. Retrieved March 2025, from NSW Government Planning: https://www.planning.nsw.gov.au/policy-and-legislation/state-environmental-planning-policies</w:t>
              </w:r>
            </w:p>
            <w:p w14:paraId="5C4988D8" w14:textId="77777777" w:rsidR="00687E9B" w:rsidRPr="00E44C17" w:rsidRDefault="00687E9B" w:rsidP="00E44C17">
              <w:pPr>
                <w:pStyle w:val="Bibliography"/>
                <w:rPr>
                  <w:noProof/>
                </w:rPr>
              </w:pPr>
              <w:r w:rsidRPr="00E44C17">
                <w:rPr>
                  <w:noProof/>
                </w:rPr>
                <w:t>NSW Government. (2025c, January 8). The Housing Delivery Authority has been launched. Retrieved March 2025, from NSW Government: https://www.nsw.gov.au/ministerial-releases/housing-delivery-authority-has-been-launched</w:t>
              </w:r>
            </w:p>
            <w:p w14:paraId="0C13B8E3" w14:textId="77777777" w:rsidR="00687E9B" w:rsidRPr="00E44C17" w:rsidRDefault="00687E9B" w:rsidP="00E44C17">
              <w:pPr>
                <w:pStyle w:val="Bibliography"/>
                <w:rPr>
                  <w:noProof/>
                </w:rPr>
              </w:pPr>
              <w:r w:rsidRPr="00E44C17">
                <w:rPr>
                  <w:noProof/>
                </w:rPr>
                <w:t>NSW Government Communities and Justice. (2024). Renting affordable housing. Retrieved November 2024, from NSW Government: https://www.nsw.gov.au/housing-and-construction/social-affordable/affordable-rental-housing/renting</w:t>
              </w:r>
            </w:p>
            <w:p w14:paraId="6BA89DF3" w14:textId="77777777" w:rsidR="00687E9B" w:rsidRPr="00E44C17" w:rsidRDefault="00687E9B" w:rsidP="00E44C17">
              <w:pPr>
                <w:pStyle w:val="Bibliography"/>
                <w:rPr>
                  <w:noProof/>
                </w:rPr>
              </w:pPr>
              <w:r w:rsidRPr="00E44C17">
                <w:rPr>
                  <w:noProof/>
                </w:rPr>
                <w:t>NSW Productivity and Equality Commission. (2024). Review of housing supply challenges and policy options for New South Wales. Final report.</w:t>
              </w:r>
            </w:p>
            <w:p w14:paraId="3EC06A0A" w14:textId="77777777" w:rsidR="00687E9B" w:rsidRPr="00E44C17" w:rsidRDefault="00687E9B" w:rsidP="00E44C17">
              <w:pPr>
                <w:pStyle w:val="Bibliography"/>
                <w:rPr>
                  <w:noProof/>
                </w:rPr>
              </w:pPr>
              <w:r w:rsidRPr="00E44C17">
                <w:rPr>
                  <w:noProof/>
                </w:rPr>
                <w:t>OECD. (2021). Building for a Better Tomorrow: Policies to Make Housing more Affordable. Paris: OECD Publishing. Retrieved from https://doi.org/10.1787/5d9127d4-en</w:t>
              </w:r>
            </w:p>
            <w:p w14:paraId="76B0D7B9" w14:textId="77777777" w:rsidR="00687E9B" w:rsidRPr="00E44C17" w:rsidRDefault="00687E9B" w:rsidP="00E44C17">
              <w:pPr>
                <w:pStyle w:val="Bibliography"/>
                <w:rPr>
                  <w:noProof/>
                </w:rPr>
              </w:pPr>
              <w:r w:rsidRPr="00E44C17">
                <w:rPr>
                  <w:noProof/>
                </w:rPr>
                <w:t>OECD. (2023). OECD Affordable Housing Database. Retrieved February 2025, from OECD: https://www.oecd.org/en/data/datasets/oecd-affordable-housing-database.html</w:t>
              </w:r>
            </w:p>
            <w:p w14:paraId="7950C918" w14:textId="77777777" w:rsidR="00687E9B" w:rsidRPr="00E44C17" w:rsidRDefault="00687E9B" w:rsidP="00E44C17">
              <w:pPr>
                <w:pStyle w:val="Bibliography"/>
                <w:rPr>
                  <w:noProof/>
                </w:rPr>
              </w:pPr>
              <w:r w:rsidRPr="00E44C17">
                <w:rPr>
                  <w:noProof/>
                </w:rPr>
                <w:t>OECD. (2024). An Agenda for Housing Policy Reform. OECD.</w:t>
              </w:r>
            </w:p>
            <w:p w14:paraId="2B3F8559" w14:textId="340C9633" w:rsidR="00687E9B" w:rsidRPr="00E44C17" w:rsidRDefault="00687E9B" w:rsidP="00E44C17">
              <w:pPr>
                <w:pStyle w:val="Bibliography"/>
                <w:rPr>
                  <w:noProof/>
                </w:rPr>
              </w:pPr>
              <w:r w:rsidRPr="00E44C17">
                <w:rPr>
                  <w:noProof/>
                </w:rPr>
                <w:lastRenderedPageBreak/>
                <w:t>OECD. (2025). OECD Data Explorer, Analytical house price indicators. Retrieved February 2025, from</w:t>
              </w:r>
              <w:r w:rsidR="00CC5EA5" w:rsidRPr="00E44C17">
                <w:rPr>
                  <w:noProof/>
                </w:rPr>
                <w:t> </w:t>
              </w:r>
              <w:r w:rsidRPr="00E44C17">
                <w:rPr>
                  <w:noProof/>
                </w:rPr>
                <w:t>OECD: https://data-explorer.oecd.org/vis?lc=en&amp;tm=DF_HOUSE_PRICES&amp;pg=0&amp;snb=1&amp;vw=tb&amp;df[ds]=dsDisseminateFinalDMZ&amp;df[id]=DSD_AN_HOUSE_PRICES%40DF_HOUSE_PRICES&amp;df[ag]=OECD.ECO.MPD&amp;df[vs]=1.0&amp;pd=2019-Q1%2C&amp;dq=USA%2BGBR%2BNZL%2BCAN%2BAUS.Q.HPI%2BRPI.&amp;to[TIME_PERIOD]</w:t>
              </w:r>
            </w:p>
            <w:p w14:paraId="3EEB62E7" w14:textId="77777777" w:rsidR="00687E9B" w:rsidRPr="00E44C17" w:rsidRDefault="00687E9B" w:rsidP="00E44C17">
              <w:pPr>
                <w:pStyle w:val="Bibliography"/>
                <w:rPr>
                  <w:noProof/>
                </w:rPr>
              </w:pPr>
              <w:r w:rsidRPr="00E44C17">
                <w:rPr>
                  <w:noProof/>
                </w:rPr>
                <w:t>Ong ViforJ, R., Hewton, J., Bawa, S., &amp; Singh, R. (2022). Forced housing mobility and mental wellbeing: evidence from Australia. International Journal of Housing policy, 23(1), 138-162. Retrieved March 2025, from https://doi.org/10.1080/19491247.2022.2059845</w:t>
              </w:r>
            </w:p>
            <w:p w14:paraId="673DFAE7" w14:textId="77777777" w:rsidR="00687E9B" w:rsidRPr="00E44C17" w:rsidRDefault="00687E9B" w:rsidP="00E44C17">
              <w:pPr>
                <w:pStyle w:val="Bibliography"/>
                <w:rPr>
                  <w:noProof/>
                </w:rPr>
              </w:pPr>
              <w:r w:rsidRPr="00E44C17">
                <w:rPr>
                  <w:noProof/>
                </w:rPr>
                <w:t>Ong ViforJ, R., Singh, R., Baker, E., Bentley, R., &amp; Hewton, J. (2022). Precarious housing and wellbeing: a multi-dimensional investigation. AHURI Final Report No. 373. doi:10.18408/ahuri8123801</w:t>
              </w:r>
            </w:p>
            <w:p w14:paraId="4FCF5898" w14:textId="77777777" w:rsidR="00687E9B" w:rsidRPr="00E44C17" w:rsidRDefault="00687E9B" w:rsidP="00E44C17">
              <w:pPr>
                <w:pStyle w:val="Bibliography"/>
                <w:rPr>
                  <w:noProof/>
                </w:rPr>
              </w:pPr>
              <w:r w:rsidRPr="00E44C17">
                <w:rPr>
                  <w:noProof/>
                </w:rPr>
                <w:t>Ong, R., Pawson, H., Ranjodh, S., &amp; Martin, C. (2020). Demand-side assistance in Australia's rental housing market: exploring reform options. AHURI Final Report, 342. doi:10.18408/ahuri8120801</w:t>
              </w:r>
            </w:p>
            <w:p w14:paraId="60868F8A" w14:textId="4474A555" w:rsidR="00687E9B" w:rsidRPr="00E44C17" w:rsidRDefault="00687E9B" w:rsidP="00E44C17">
              <w:pPr>
                <w:pStyle w:val="Bibliography"/>
                <w:rPr>
                  <w:noProof/>
                </w:rPr>
              </w:pPr>
              <w:r w:rsidRPr="00E44C17">
                <w:rPr>
                  <w:noProof/>
                </w:rPr>
                <w:t>O'Rourke, R. (2024, January 05). How Can We Solve the Construction Industry Skills Shortage in the UK? Retrieved February 2025, from NES Fircroft: https://www.nesfircroft.com/resources/blog/how-can-we-solve-the-construction-industry</w:t>
              </w:r>
              <w:r w:rsidR="00ED2169" w:rsidRPr="00E44C17">
                <w:rPr>
                  <w:noProof/>
                </w:rPr>
                <w:t>-</w:t>
              </w:r>
              <w:r w:rsidRPr="00E44C17">
                <w:rPr>
                  <w:noProof/>
                </w:rPr>
                <w:t>skills-shortage-in-the-uk-/#:~:text=The%20Current%20State%20of%20the,244%2C000%20should%20be%20qualified%20apprentices</w:t>
              </w:r>
            </w:p>
            <w:p w14:paraId="253D968C" w14:textId="77777777" w:rsidR="00687E9B" w:rsidRPr="00E44C17" w:rsidRDefault="00687E9B" w:rsidP="00E44C17">
              <w:pPr>
                <w:pStyle w:val="Bibliography"/>
                <w:rPr>
                  <w:noProof/>
                </w:rPr>
              </w:pPr>
              <w:r w:rsidRPr="00E44C17">
                <w:rPr>
                  <w:noProof/>
                </w:rPr>
                <w:t>Pawson, H., Martin, C., van den Nouwelant, R., Milligan, V., Ruming, K., &amp; Melo, M. (2019). Build-to-rent in Australia: product feasibility and potential affordable housing contribution. Sydney: Landcom. Retrieved January 2025</w:t>
              </w:r>
            </w:p>
            <w:p w14:paraId="46C54489" w14:textId="77777777" w:rsidR="00687E9B" w:rsidRPr="00E44C17" w:rsidRDefault="00687E9B" w:rsidP="00E44C17">
              <w:pPr>
                <w:pStyle w:val="Bibliography"/>
                <w:rPr>
                  <w:noProof/>
                </w:rPr>
              </w:pPr>
              <w:r w:rsidRPr="00E44C17">
                <w:rPr>
                  <w:noProof/>
                </w:rPr>
                <w:t>Pawson, H., Milligan, V., &amp; Yates, J. (2020). Housing Policy in Australia. Springer Nature Singapore.</w:t>
              </w:r>
            </w:p>
            <w:p w14:paraId="18E32725" w14:textId="77777777" w:rsidR="00687E9B" w:rsidRPr="00E44C17" w:rsidRDefault="00687E9B" w:rsidP="00E44C17">
              <w:pPr>
                <w:pStyle w:val="Bibliography"/>
                <w:rPr>
                  <w:noProof/>
                </w:rPr>
              </w:pPr>
              <w:r w:rsidRPr="00E44C17">
                <w:rPr>
                  <w:noProof/>
                </w:rPr>
                <w:t>Planning and Environment Act 1987 (Vic).</w:t>
              </w:r>
            </w:p>
            <w:p w14:paraId="5D617514" w14:textId="77777777" w:rsidR="00687E9B" w:rsidRPr="00E44C17" w:rsidRDefault="00687E9B" w:rsidP="00E44C17">
              <w:pPr>
                <w:pStyle w:val="Bibliography"/>
                <w:rPr>
                  <w:noProof/>
                </w:rPr>
              </w:pPr>
              <w:r w:rsidRPr="00E44C17">
                <w:rPr>
                  <w:noProof/>
                </w:rPr>
                <w:t>Planning Regulation 2017 (QLD).</w:t>
              </w:r>
            </w:p>
            <w:p w14:paraId="7ED57AC5" w14:textId="6DFDF25B" w:rsidR="00687E9B" w:rsidRPr="00E44C17" w:rsidRDefault="00687E9B" w:rsidP="00E44C17">
              <w:pPr>
                <w:pStyle w:val="Bibliography"/>
                <w:rPr>
                  <w:noProof/>
                </w:rPr>
              </w:pPr>
              <w:r w:rsidRPr="00E44C17">
                <w:rPr>
                  <w:noProof/>
                </w:rPr>
                <w:t>Powell, N., Jain, S., &amp; Meuross , T. (2024). Domain 2024 Perils Report. Domain. Retrieved February</w:t>
              </w:r>
              <w:r w:rsidR="00CC5EA5" w:rsidRPr="00E44C17">
                <w:rPr>
                  <w:noProof/>
                </w:rPr>
                <w:t> </w:t>
              </w:r>
              <w:r w:rsidRPr="00E44C17">
                <w:rPr>
                  <w:noProof/>
                </w:rPr>
                <w:t>2025, from https://s3.ap-southeast-2.amazonaws.com/ffx.adcentre.com.au/domain/2024/CRTV-3128/Domain_Perils+Report.pdf</w:t>
              </w:r>
            </w:p>
            <w:p w14:paraId="5ED3D718" w14:textId="77777777" w:rsidR="00687E9B" w:rsidRPr="00E44C17" w:rsidRDefault="00687E9B" w:rsidP="00E44C17">
              <w:pPr>
                <w:pStyle w:val="Bibliography"/>
                <w:rPr>
                  <w:noProof/>
                </w:rPr>
              </w:pPr>
              <w:r w:rsidRPr="00E44C17">
                <w:rPr>
                  <w:noProof/>
                </w:rPr>
                <w:t>Powell, P., Meltzer, A., Martin, C., Stone, W., Liu, E., Flanagan, K., . . . Tually, S. (2019). The construction of social housing pathways across Australia. AHURI Final Report, 316.</w:t>
              </w:r>
            </w:p>
            <w:p w14:paraId="7FEF938C" w14:textId="77777777" w:rsidR="00687E9B" w:rsidRPr="00E44C17" w:rsidRDefault="00687E9B" w:rsidP="00E44C17">
              <w:pPr>
                <w:pStyle w:val="Bibliography"/>
                <w:rPr>
                  <w:noProof/>
                </w:rPr>
              </w:pPr>
              <w:r w:rsidRPr="00E44C17">
                <w:rPr>
                  <w:noProof/>
                </w:rPr>
                <w:t>Productivity Commission. (2004). First Home Ownership. Report no. 28, Melbourne.</w:t>
              </w:r>
            </w:p>
            <w:p w14:paraId="24FC6E47" w14:textId="77777777" w:rsidR="00687E9B" w:rsidRPr="00E44C17" w:rsidRDefault="00687E9B" w:rsidP="00E44C17">
              <w:pPr>
                <w:pStyle w:val="Bibliography"/>
                <w:rPr>
                  <w:noProof/>
                </w:rPr>
              </w:pPr>
              <w:r w:rsidRPr="00E44C17">
                <w:rPr>
                  <w:noProof/>
                </w:rPr>
                <w:t>Productivity Commission. (2014). Geographic Labour Mobility. Research Report, Canberra. Retrieved January 2025, from https://www.pc.gov.au/inquiries/completed/labour-mobility/report</w:t>
              </w:r>
            </w:p>
            <w:p w14:paraId="031F5C8F" w14:textId="77777777" w:rsidR="00687E9B" w:rsidRPr="00E44C17" w:rsidRDefault="00687E9B" w:rsidP="00E44C17">
              <w:pPr>
                <w:pStyle w:val="Bibliography"/>
                <w:rPr>
                  <w:noProof/>
                </w:rPr>
              </w:pPr>
              <w:r w:rsidRPr="00E44C17">
                <w:rPr>
                  <w:noProof/>
                </w:rPr>
                <w:t>Productivity Commission. (2019). Vulnerable Private Renters: Evidence and Options. Commission Research Paper, Canberra.</w:t>
              </w:r>
            </w:p>
            <w:p w14:paraId="652E875B" w14:textId="77777777" w:rsidR="00687E9B" w:rsidRPr="00E44C17" w:rsidRDefault="00687E9B" w:rsidP="00E44C17">
              <w:pPr>
                <w:pStyle w:val="Bibliography"/>
                <w:rPr>
                  <w:noProof/>
                </w:rPr>
              </w:pPr>
              <w:r w:rsidRPr="00E44C17">
                <w:rPr>
                  <w:noProof/>
                </w:rPr>
                <w:t>Productivity Commission. (2022). In need of repair: The National Housing and Homelessness Agreement. Study Report, Canberra.</w:t>
              </w:r>
            </w:p>
            <w:p w14:paraId="450B8ABF" w14:textId="77777777" w:rsidR="00687E9B" w:rsidRPr="00E44C17" w:rsidRDefault="00687E9B" w:rsidP="00E44C17">
              <w:pPr>
                <w:pStyle w:val="Bibliography"/>
                <w:rPr>
                  <w:noProof/>
                </w:rPr>
              </w:pPr>
              <w:r w:rsidRPr="00E44C17">
                <w:rPr>
                  <w:noProof/>
                </w:rPr>
                <w:t>Productivity Commission. (2024a). National Competition Policy: modelling proposed. Study report, Canberra.</w:t>
              </w:r>
            </w:p>
            <w:p w14:paraId="66D6A650" w14:textId="4C7666EF" w:rsidR="00687E9B" w:rsidRPr="00E44C17" w:rsidRDefault="00687E9B" w:rsidP="00E44C17">
              <w:pPr>
                <w:pStyle w:val="Bibliography"/>
                <w:rPr>
                  <w:noProof/>
                </w:rPr>
              </w:pPr>
              <w:r w:rsidRPr="00E44C17">
                <w:rPr>
                  <w:noProof/>
                </w:rPr>
                <w:lastRenderedPageBreak/>
                <w:t>Productivity Commission. (2024b). Report on Government Services: Housing and Homelessness (Part</w:t>
              </w:r>
              <w:r w:rsidR="00CC5EA5" w:rsidRPr="00E44C17">
                <w:rPr>
                  <w:noProof/>
                </w:rPr>
                <w:t> </w:t>
              </w:r>
              <w:r w:rsidRPr="00E44C17">
                <w:rPr>
                  <w:noProof/>
                </w:rPr>
                <w:t>G). Retrieved November 2024, from https://www.pc.gov.au/ongoing/report-on-government-services/2025/housing-and-homelessness</w:t>
              </w:r>
            </w:p>
            <w:p w14:paraId="53B73E9A" w14:textId="414B83D1" w:rsidR="00687E9B" w:rsidRPr="00E44C17" w:rsidRDefault="00687E9B" w:rsidP="00E44C17">
              <w:pPr>
                <w:pStyle w:val="Bibliography"/>
                <w:rPr>
                  <w:noProof/>
                </w:rPr>
              </w:pPr>
              <w:r w:rsidRPr="00E44C17">
                <w:rPr>
                  <w:noProof/>
                </w:rPr>
                <w:t>Productivity Commission. (2024c). Review of the National Agreement on Closing the Gap. Study</w:t>
              </w:r>
              <w:r w:rsidR="00CC5EA5" w:rsidRPr="00E44C17">
                <w:rPr>
                  <w:noProof/>
                </w:rPr>
                <w:t> </w:t>
              </w:r>
              <w:r w:rsidRPr="00E44C17">
                <w:rPr>
                  <w:noProof/>
                </w:rPr>
                <w:t>report, volume 1, Canberra.</w:t>
              </w:r>
            </w:p>
            <w:p w14:paraId="37E9773B" w14:textId="77777777" w:rsidR="00687E9B" w:rsidRPr="00E44C17" w:rsidRDefault="00687E9B" w:rsidP="00E44C17">
              <w:pPr>
                <w:pStyle w:val="Bibliography"/>
                <w:rPr>
                  <w:noProof/>
                </w:rPr>
              </w:pPr>
              <w:r w:rsidRPr="00E44C17">
                <w:rPr>
                  <w:noProof/>
                </w:rPr>
                <w:t>Productivity Commission. (2025a). Housing construction productivity: Can we fix it? Research paper, Canberra.</w:t>
              </w:r>
            </w:p>
            <w:p w14:paraId="128FF1BF" w14:textId="77777777" w:rsidR="00687E9B" w:rsidRPr="00E44C17" w:rsidRDefault="00687E9B" w:rsidP="00E44C17">
              <w:pPr>
                <w:pStyle w:val="Bibliography"/>
                <w:rPr>
                  <w:noProof/>
                </w:rPr>
              </w:pPr>
              <w:r w:rsidRPr="00E44C17">
                <w:rPr>
                  <w:noProof/>
                </w:rPr>
                <w:t xml:space="preserve">Productivity Commission. (2025b). Report on Government Services 2025. </w:t>
              </w:r>
            </w:p>
            <w:p w14:paraId="3739E1A9" w14:textId="77777777" w:rsidR="00687E9B" w:rsidRPr="00E44C17" w:rsidRDefault="00687E9B" w:rsidP="00E44C17">
              <w:pPr>
                <w:pStyle w:val="Bibliography"/>
                <w:rPr>
                  <w:noProof/>
                </w:rPr>
              </w:pPr>
              <w:r w:rsidRPr="00E44C17">
                <w:rPr>
                  <w:noProof/>
                </w:rPr>
                <w:t>Productivity Commission. (2025c). Socio-economic outcome area 9 - Aboriginal and Torres Strait Islander people secure appropriate, affordable housing that is aligned with their priorities and need. Retrieved February 2025, from Productivity Commission: https://www.pc.gov.au/closing-the-gap-data/dashboard/se/outcome-area9</w:t>
              </w:r>
            </w:p>
            <w:p w14:paraId="4292EFDA" w14:textId="77777777" w:rsidR="00687E9B" w:rsidRPr="00E44C17" w:rsidRDefault="00687E9B" w:rsidP="00E44C17">
              <w:pPr>
                <w:pStyle w:val="Bibliography"/>
                <w:rPr>
                  <w:noProof/>
                </w:rPr>
              </w:pPr>
              <w:r w:rsidRPr="00E44C17">
                <w:rPr>
                  <w:noProof/>
                </w:rPr>
                <w:t>Queensland Government. (2023, November 19). Cost of living boost for first home buyers [Press release]. Retrieved January 2025, from https://statements.qld.gov.au/statements/99186</w:t>
              </w:r>
            </w:p>
            <w:p w14:paraId="1A0867C6" w14:textId="77777777" w:rsidR="00687E9B" w:rsidRPr="00E44C17" w:rsidRDefault="00687E9B" w:rsidP="00E44C17">
              <w:pPr>
                <w:pStyle w:val="Bibliography"/>
                <w:rPr>
                  <w:noProof/>
                </w:rPr>
              </w:pPr>
              <w:r w:rsidRPr="00E44C17">
                <w:rPr>
                  <w:noProof/>
                </w:rPr>
                <w:t>Queensland Government. (2024a, July 4). First Nations housing and homelessness. Retrieved February 2025, from Queensland Government: https://www.housing.qld.gov.au/initiatives/first-nations-housing-and-homelessness</w:t>
              </w:r>
            </w:p>
            <w:p w14:paraId="4F81C7C8" w14:textId="77777777" w:rsidR="00687E9B" w:rsidRPr="00E44C17" w:rsidRDefault="00687E9B" w:rsidP="00E44C17">
              <w:pPr>
                <w:pStyle w:val="Bibliography"/>
                <w:rPr>
                  <w:noProof/>
                </w:rPr>
              </w:pPr>
              <w:r w:rsidRPr="00E44C17">
                <w:rPr>
                  <w:noProof/>
                </w:rPr>
                <w:t>Queensland Government. (2024b, July 1). How your rent is calculated. Retrieved December 2024, from Queensland Government: https://www.qld.gov.au/housing/public-community-housing/public-housing-tenants/your-rent/how-rent-is-calculated</w:t>
              </w:r>
            </w:p>
            <w:p w14:paraId="40DA2DFB" w14:textId="77777777" w:rsidR="00687E9B" w:rsidRPr="00E44C17" w:rsidRDefault="00687E9B" w:rsidP="00E44C17">
              <w:pPr>
                <w:pStyle w:val="Bibliography"/>
                <w:rPr>
                  <w:noProof/>
                </w:rPr>
              </w:pPr>
              <w:r w:rsidRPr="00E44C17">
                <w:rPr>
                  <w:noProof/>
                </w:rPr>
                <w:t>Queensland Government. (2024c, June 21). Pathways Shared Equity Loan. Retrieved March 2025, from Queensland Government: https://www.qld.gov.au/housing/buying-owning-home/financial-help-concessions/pathways-shared-equity-loan</w:t>
              </w:r>
            </w:p>
            <w:p w14:paraId="0D22C65C" w14:textId="77777777" w:rsidR="00687E9B" w:rsidRPr="00E44C17" w:rsidRDefault="00687E9B" w:rsidP="00E44C17">
              <w:pPr>
                <w:pStyle w:val="Bibliography"/>
                <w:rPr>
                  <w:noProof/>
                </w:rPr>
              </w:pPr>
              <w:r w:rsidRPr="00E44C17">
                <w:rPr>
                  <w:noProof/>
                </w:rPr>
                <w:t>Queensland Government. (2025, January 22). A Fresh Start for Queensland: Unlocking home ownership in Indigenous communities. Retrieved April 2025, from Queensland Government: https://statements.qld.gov.au/statements/101875</w:t>
              </w:r>
            </w:p>
            <w:p w14:paraId="0A20788A" w14:textId="3E97C653" w:rsidR="00687E9B" w:rsidRPr="00E44C17" w:rsidRDefault="00687E9B" w:rsidP="00E44C17">
              <w:pPr>
                <w:pStyle w:val="Bibliography"/>
                <w:rPr>
                  <w:noProof/>
                </w:rPr>
              </w:pPr>
              <w:r w:rsidRPr="00E44C17">
                <w:rPr>
                  <w:noProof/>
                </w:rPr>
                <w:t>Queensland Government. (2025). First Home Owner Grant by Statistical Area 202</w:t>
              </w:r>
              <w:r w:rsidR="00980A62">
                <w:rPr>
                  <w:noProof/>
                </w:rPr>
                <w:t>4–</w:t>
              </w:r>
              <w:r w:rsidRPr="00E44C17">
                <w:rPr>
                  <w:noProof/>
                </w:rPr>
                <w:t>25. Retrieved February 2025, from Queensland Government: https://www.data.qld.gov.au/dataset/queensland-first-home-owner-grant-by-statistical-area-2024-25</w:t>
              </w:r>
            </w:p>
            <w:p w14:paraId="1ABCF3B1" w14:textId="4B64962F" w:rsidR="00687E9B" w:rsidRPr="00E44C17" w:rsidRDefault="00687E9B" w:rsidP="00E44C17">
              <w:pPr>
                <w:pStyle w:val="Bibliography"/>
                <w:rPr>
                  <w:noProof/>
                </w:rPr>
              </w:pPr>
              <w:r w:rsidRPr="00E44C17">
                <w:rPr>
                  <w:noProof/>
                </w:rPr>
                <w:t>Queensland Government. (2025). Our place: A First Nations Housing and Homelessness Action Plan 2024</w:t>
              </w:r>
              <w:r w:rsidR="00CC5EA5" w:rsidRPr="00E44C17">
                <w:rPr>
                  <w:noProof/>
                </w:rPr>
                <w:t>–</w:t>
              </w:r>
              <w:r w:rsidRPr="00E44C17">
                <w:rPr>
                  <w:noProof/>
                </w:rPr>
                <w:t xml:space="preserve">2027. </w:t>
              </w:r>
            </w:p>
            <w:p w14:paraId="5DDD918F" w14:textId="42D449DF" w:rsidR="00687E9B" w:rsidRPr="00E44C17" w:rsidRDefault="00687E9B" w:rsidP="00E44C17">
              <w:pPr>
                <w:pStyle w:val="Bibliography"/>
                <w:rPr>
                  <w:noProof/>
                </w:rPr>
              </w:pPr>
              <w:r w:rsidRPr="00E44C17">
                <w:rPr>
                  <w:noProof/>
                </w:rPr>
                <w:t>Queensland Treasury. (2024). State Budget 2024</w:t>
              </w:r>
              <w:r w:rsidR="00CC5EA5" w:rsidRPr="00E44C17">
                <w:rPr>
                  <w:noProof/>
                </w:rPr>
                <w:t>–</w:t>
              </w:r>
              <w:r w:rsidRPr="00E44C17">
                <w:rPr>
                  <w:noProof/>
                </w:rPr>
                <w:t>25, Budget Paper 2. Retrieved February 2025, from https://www.treasury.qld.gov.au/resource/state-budget-2024-25/</w:t>
              </w:r>
            </w:p>
            <w:p w14:paraId="18260700" w14:textId="77777777" w:rsidR="00687E9B" w:rsidRPr="00E44C17" w:rsidRDefault="00687E9B" w:rsidP="00E44C17">
              <w:pPr>
                <w:pStyle w:val="Bibliography"/>
                <w:rPr>
                  <w:noProof/>
                </w:rPr>
              </w:pPr>
              <w:r w:rsidRPr="00E44C17">
                <w:rPr>
                  <w:noProof/>
                </w:rPr>
                <w:t>Ragsdale, J., &amp; Hall, A. (2023, September 26). The global impact of labor shortages across the construction industry. Retrieved February 2025, from wtw: https://www.wtwco.com/en-au/insights/2023/09/the-global-impact-of-labor-shortages-across-the-construction-industry#:~:text=Additionally%2C%20when%20The%20World%20Economic,the%20sector%2C%20including%20engineering%2C%20project</w:t>
              </w:r>
            </w:p>
            <w:p w14:paraId="05E73BA2" w14:textId="77777777" w:rsidR="00687E9B" w:rsidRPr="00E44C17" w:rsidRDefault="00687E9B" w:rsidP="00E44C17">
              <w:pPr>
                <w:pStyle w:val="Bibliography"/>
                <w:rPr>
                  <w:noProof/>
                </w:rPr>
              </w:pPr>
              <w:r w:rsidRPr="00E44C17">
                <w:rPr>
                  <w:noProof/>
                </w:rPr>
                <w:lastRenderedPageBreak/>
                <w:t>RBA (Reserve Bank of Australia). (2015, June). Home Ownership Rates. Retrieved March 2025, from RBA: https://www.rba.gov.au/publications/submissions/housing-and-housing-finance/inquiry-into-home-ownership/home-ownership-rates.html#:~:text=The%20Census%20is%20the%20best,including%20War%20Service%20Homes%20programs</w:t>
              </w:r>
            </w:p>
            <w:p w14:paraId="12E764E9" w14:textId="77777777" w:rsidR="00687E9B" w:rsidRPr="00E44C17" w:rsidRDefault="00687E9B" w:rsidP="00E44C17">
              <w:pPr>
                <w:pStyle w:val="Bibliography"/>
                <w:rPr>
                  <w:noProof/>
                </w:rPr>
              </w:pPr>
              <w:r w:rsidRPr="00E44C17">
                <w:rPr>
                  <w:noProof/>
                </w:rPr>
                <w:t>RBA. (2019). Financial Stability Review – April 2019. Retrieved March 2025, from Reserve Bank of Australia: https://www.rba.gov.au/publications/fsr/2019/apr/box-c.html</w:t>
              </w:r>
            </w:p>
            <w:p w14:paraId="5216F4D1" w14:textId="77777777" w:rsidR="00687E9B" w:rsidRPr="00E44C17" w:rsidRDefault="00687E9B" w:rsidP="00E44C17">
              <w:pPr>
                <w:pStyle w:val="Bibliography"/>
                <w:rPr>
                  <w:noProof/>
                </w:rPr>
              </w:pPr>
              <w:r w:rsidRPr="00E44C17">
                <w:rPr>
                  <w:noProof/>
                </w:rPr>
                <w:t xml:space="preserve">RBA. (2024a). Financial Stability Review, September 2024. </w:t>
              </w:r>
            </w:p>
            <w:p w14:paraId="55BADC47" w14:textId="77777777" w:rsidR="00687E9B" w:rsidRPr="00E44C17" w:rsidRDefault="00687E9B" w:rsidP="00E44C17">
              <w:pPr>
                <w:pStyle w:val="Bibliography"/>
                <w:rPr>
                  <w:noProof/>
                </w:rPr>
              </w:pPr>
              <w:r w:rsidRPr="00E44C17">
                <w:rPr>
                  <w:noProof/>
                </w:rPr>
                <w:t>RBA. (2024b). Statement on Monetary Policy, November 2024. Retrieved February 2025, from RBA: https://www.rba.gov.au/publications/smp/2024/nov/</w:t>
              </w:r>
            </w:p>
            <w:p w14:paraId="7CA16E46" w14:textId="77777777" w:rsidR="00687E9B" w:rsidRPr="00E44C17" w:rsidRDefault="00687E9B" w:rsidP="00E44C17">
              <w:pPr>
                <w:pStyle w:val="Bibliography"/>
                <w:rPr>
                  <w:noProof/>
                </w:rPr>
              </w:pPr>
              <w:r w:rsidRPr="00E44C17">
                <w:rPr>
                  <w:noProof/>
                </w:rPr>
                <w:t>RBA. (2025a). Cash Rate Target. Retrieved April 2025, from RBA: https://www.rba.gov.au/statistics/cash-rate/</w:t>
              </w:r>
            </w:p>
            <w:p w14:paraId="58107581" w14:textId="77777777" w:rsidR="00687E9B" w:rsidRPr="00E44C17" w:rsidRDefault="00687E9B" w:rsidP="00E44C17">
              <w:pPr>
                <w:pStyle w:val="Bibliography"/>
                <w:rPr>
                  <w:noProof/>
                </w:rPr>
              </w:pPr>
              <w:r w:rsidRPr="00E44C17">
                <w:rPr>
                  <w:noProof/>
                </w:rPr>
                <w:t xml:space="preserve">RBA. (2025b). Financial Stability Review, April 2025. </w:t>
              </w:r>
            </w:p>
            <w:p w14:paraId="0A78BC4B" w14:textId="77777777" w:rsidR="00687E9B" w:rsidRPr="00E44C17" w:rsidRDefault="00687E9B" w:rsidP="00E44C17">
              <w:pPr>
                <w:pStyle w:val="Bibliography"/>
                <w:rPr>
                  <w:noProof/>
                </w:rPr>
              </w:pPr>
              <w:r w:rsidRPr="00E44C17">
                <w:rPr>
                  <w:noProof/>
                </w:rPr>
                <w:t>RBA. (2025c). Lenders Interest Rates. Retrieved March 2025, from RBA: https://www.rba.gov.au/statistics/interest-rates/</w:t>
              </w:r>
            </w:p>
            <w:p w14:paraId="54DC4856" w14:textId="77777777" w:rsidR="00687E9B" w:rsidRPr="00E44C17" w:rsidRDefault="00687E9B" w:rsidP="00E44C17">
              <w:pPr>
                <w:pStyle w:val="Bibliography"/>
                <w:rPr>
                  <w:noProof/>
                </w:rPr>
              </w:pPr>
              <w:r w:rsidRPr="00E44C17">
                <w:rPr>
                  <w:noProof/>
                </w:rPr>
                <w:t>RBA. (2025d). Statement on Monetary Policy, February 2025. Retrieved March 2025, from RBA: https://www.rba.gov.au/publications/smp/2025/feb/</w:t>
              </w:r>
            </w:p>
            <w:p w14:paraId="21CFE2D6" w14:textId="77777777" w:rsidR="00687E9B" w:rsidRPr="00E44C17" w:rsidRDefault="00687E9B" w:rsidP="00E44C17">
              <w:pPr>
                <w:pStyle w:val="Bibliography"/>
                <w:rPr>
                  <w:noProof/>
                </w:rPr>
              </w:pPr>
              <w:r w:rsidRPr="00E44C17">
                <w:rPr>
                  <w:noProof/>
                </w:rPr>
                <w:t>Real Estate Institute of Australia. (2024a). Quarterly Vacancy Rates. Retrieved April 2025, from REIA: https://reia.com.au/data-remf/</w:t>
              </w:r>
            </w:p>
            <w:p w14:paraId="3F3DEC2E" w14:textId="77777777" w:rsidR="00687E9B" w:rsidRPr="00E44C17" w:rsidRDefault="00687E9B" w:rsidP="00E44C17">
              <w:pPr>
                <w:pStyle w:val="Bibliography"/>
                <w:rPr>
                  <w:noProof/>
                </w:rPr>
              </w:pPr>
              <w:r w:rsidRPr="00E44C17">
                <w:rPr>
                  <w:noProof/>
                </w:rPr>
                <w:t xml:space="preserve">Real Estate Institute of Australia. (2024b). Real Estate Institute of Australia quarterly vacancy rates for capital cities. </w:t>
              </w:r>
            </w:p>
            <w:p w14:paraId="459A82A4" w14:textId="77777777" w:rsidR="00687E9B" w:rsidRPr="00E44C17" w:rsidRDefault="00687E9B" w:rsidP="00E44C17">
              <w:pPr>
                <w:pStyle w:val="Bibliography"/>
                <w:rPr>
                  <w:noProof/>
                </w:rPr>
              </w:pPr>
              <w:r w:rsidRPr="00E44C17">
                <w:rPr>
                  <w:noProof/>
                </w:rPr>
                <w:t>Reconciliation Australia. (2020). National Reconciliation Week. Retrieved February 2025, from Reconciliation Australia: https://www.reconciliation.org.au/our-work/national-reconciliation-week/</w:t>
              </w:r>
            </w:p>
            <w:p w14:paraId="5392B6ED" w14:textId="77777777" w:rsidR="00687E9B" w:rsidRPr="00E44C17" w:rsidRDefault="00687E9B" w:rsidP="00E44C17">
              <w:pPr>
                <w:pStyle w:val="Bibliography"/>
                <w:rPr>
                  <w:noProof/>
                </w:rPr>
              </w:pPr>
              <w:r w:rsidRPr="00E44C17">
                <w:rPr>
                  <w:noProof/>
                </w:rPr>
                <w:t>Revenue NSW. (2023). First Home Buyers Assistance Scheme. Retrieved January 2025, from Revenue NSW: https://www.revenue.nsw.gov.au/grants-schemes/first-home-buyer/assistance-scheme#:~:text=From%201%20July%202023%2C%20a,qualify%20for%20a%20concessional%20rate.</w:t>
              </w:r>
            </w:p>
            <w:p w14:paraId="3E808AC6" w14:textId="77777777" w:rsidR="00687E9B" w:rsidRPr="00E44C17" w:rsidRDefault="00687E9B" w:rsidP="00E44C17">
              <w:pPr>
                <w:pStyle w:val="Bibliography"/>
                <w:rPr>
                  <w:noProof/>
                </w:rPr>
              </w:pPr>
              <w:r w:rsidRPr="00E44C17">
                <w:rPr>
                  <w:noProof/>
                </w:rPr>
                <w:t>Revenue NSW. (2025). Data and Statistics. Retrieved February 2025, from NSW Government: https://www.revenue.nsw.gov.au/help-centre/resources-library/statistics</w:t>
              </w:r>
            </w:p>
            <w:p w14:paraId="64589E40" w14:textId="77777777" w:rsidR="00687E9B" w:rsidRPr="00E44C17" w:rsidRDefault="00687E9B" w:rsidP="00E44C17">
              <w:pPr>
                <w:pStyle w:val="Bibliography"/>
                <w:rPr>
                  <w:noProof/>
                </w:rPr>
              </w:pPr>
              <w:r w:rsidRPr="00E44C17">
                <w:rPr>
                  <w:noProof/>
                </w:rPr>
                <w:t>Revenue SA. (2024a). Stamp Duty Relief for Eligible First Home Buyers. Retrieved January 2025, from Revenue SA: https://www.revenuesa.sa.gov.au/stamp-duty-land/first-home-buyer-relief</w:t>
              </w:r>
            </w:p>
            <w:p w14:paraId="36BBF2AA" w14:textId="77777777" w:rsidR="00687E9B" w:rsidRPr="00E44C17" w:rsidRDefault="00687E9B" w:rsidP="00E44C17">
              <w:pPr>
                <w:pStyle w:val="Bibliography"/>
                <w:rPr>
                  <w:noProof/>
                </w:rPr>
              </w:pPr>
              <w:r w:rsidRPr="00E44C17">
                <w:rPr>
                  <w:noProof/>
                </w:rPr>
                <w:t>Revenue SA. (2024b, December 16). First Home Owner Grant. Retrieved February 2025, from Government of South Australia, RevenueSA: https://www.revenuesa.sa.gov.au/resources/statistics</w:t>
              </w:r>
            </w:p>
            <w:p w14:paraId="63592F6F" w14:textId="77777777" w:rsidR="00687E9B" w:rsidRPr="00E44C17" w:rsidRDefault="00687E9B" w:rsidP="00E44C17">
              <w:pPr>
                <w:pStyle w:val="Bibliography"/>
                <w:rPr>
                  <w:noProof/>
                </w:rPr>
              </w:pPr>
              <w:r w:rsidRPr="00E44C17">
                <w:rPr>
                  <w:noProof/>
                </w:rPr>
                <w:t>Ross, V., Wardhani, R., &amp; Kõlves, K. (2020). The impact of workplace bullying on mental health and suicidality in Queensland construction industry apprentices. Brisbane: Griffith University. Retrieved March 2025</w:t>
              </w:r>
            </w:p>
            <w:p w14:paraId="6F7DA0B2" w14:textId="77777777" w:rsidR="00687E9B" w:rsidRPr="00E44C17" w:rsidRDefault="00687E9B" w:rsidP="00E44C17">
              <w:pPr>
                <w:pStyle w:val="Bibliography"/>
                <w:rPr>
                  <w:noProof/>
                </w:rPr>
              </w:pPr>
              <w:r w:rsidRPr="00E44C17">
                <w:rPr>
                  <w:noProof/>
                </w:rPr>
                <w:lastRenderedPageBreak/>
                <w:t>Rowley, S., &amp; Ong, R. (2012). Housing affordability, housing stress and household wellbeing in Australia. AHURI Final Report, no.192.</w:t>
              </w:r>
            </w:p>
            <w:p w14:paraId="418AB1AB" w14:textId="77777777" w:rsidR="00687E9B" w:rsidRPr="00E44C17" w:rsidRDefault="00687E9B" w:rsidP="00E44C17">
              <w:pPr>
                <w:pStyle w:val="Bibliography"/>
                <w:rPr>
                  <w:noProof/>
                </w:rPr>
              </w:pPr>
              <w:r w:rsidRPr="00E44C17">
                <w:rPr>
                  <w:noProof/>
                </w:rPr>
                <w:t>Rowley, S., Leishman, C., Baker, E., Bentley, R., &amp; Lester, L. (2017). Modelling housing need in Australia to 2025. Australian Housing and Urban Research Institute.</w:t>
              </w:r>
            </w:p>
            <w:p w14:paraId="00CEC145" w14:textId="77777777" w:rsidR="00687E9B" w:rsidRPr="00E44C17" w:rsidRDefault="00687E9B" w:rsidP="00E44C17">
              <w:pPr>
                <w:pStyle w:val="Bibliography"/>
                <w:rPr>
                  <w:noProof/>
                </w:rPr>
              </w:pPr>
              <w:r w:rsidRPr="00E44C17">
                <w:rPr>
                  <w:noProof/>
                </w:rPr>
                <w:t>Rowley, S., Leishman, C., Olatunji, O., Zuo, J., &amp; Crowe, A. (2022). Understanding how policy settings affect developer. AHURI Final Report No. 384. doi:10.18408/ahuri8124201</w:t>
              </w:r>
            </w:p>
            <w:p w14:paraId="16D926DF" w14:textId="77777777" w:rsidR="00687E9B" w:rsidRPr="00E44C17" w:rsidRDefault="00687E9B" w:rsidP="00E44C17">
              <w:pPr>
                <w:pStyle w:val="Bibliography"/>
                <w:rPr>
                  <w:noProof/>
                </w:rPr>
              </w:pPr>
              <w:r w:rsidRPr="00E44C17">
                <w:rPr>
                  <w:noProof/>
                </w:rPr>
                <w:t>Ryan, P., &amp; Moore, A. (2024). PropTrack Housing Affordability Report. PropTrack . Retrieved February 2025, from https://rea3.irmau.com/site/pdf/d170e494-1024-40c9-bbe4-be9f8d7eda1b/PropTrack-Housing-Affordability-Report-August-2024.pdf</w:t>
              </w:r>
            </w:p>
            <w:p w14:paraId="23B4F256" w14:textId="77777777" w:rsidR="00687E9B" w:rsidRPr="00E44C17" w:rsidRDefault="00687E9B" w:rsidP="00E44C17">
              <w:pPr>
                <w:pStyle w:val="Bibliography"/>
                <w:rPr>
                  <w:noProof/>
                </w:rPr>
              </w:pPr>
              <w:r w:rsidRPr="00E44C17">
                <w:rPr>
                  <w:noProof/>
                </w:rPr>
                <w:t>SA Housing Trust. (2024). Rent Policy. Retrieved December 2024, from SA Housing Trust: https://www.housing.sa.gov.au/about-us/policies/rent-policy</w:t>
              </w:r>
            </w:p>
            <w:p w14:paraId="6FC18A7E" w14:textId="77777777" w:rsidR="00687E9B" w:rsidRPr="00E44C17" w:rsidRDefault="00687E9B" w:rsidP="00E44C17">
              <w:pPr>
                <w:pStyle w:val="Bibliography"/>
                <w:rPr>
                  <w:noProof/>
                </w:rPr>
              </w:pPr>
              <w:r w:rsidRPr="00E44C17">
                <w:rPr>
                  <w:noProof/>
                </w:rPr>
                <w:t>SA Housing Trust. (2025). HomeSeeker SA. Retrieved March 2025, from Government of South Australia - SA Housing Trust: https://www.housing.sa.gov.au/affordable-housing/affordable-homes/homeseeker-sa</w:t>
              </w:r>
            </w:p>
            <w:p w14:paraId="6EEB03A3" w14:textId="77777777" w:rsidR="00687E9B" w:rsidRPr="00E44C17" w:rsidRDefault="00687E9B" w:rsidP="00E44C17">
              <w:pPr>
                <w:pStyle w:val="Bibliography"/>
                <w:rPr>
                  <w:noProof/>
                </w:rPr>
              </w:pPr>
              <w:r w:rsidRPr="00E44C17">
                <w:rPr>
                  <w:noProof/>
                </w:rPr>
                <w:t>Sathanapally, A., Bennett, S., Breadon, P., Coates, B., Hunter, J., Wood, T., &amp; Griffiths, K. (2025). Orange Book 2025: Policy priorities for the federal government. Grattan Institute.</w:t>
              </w:r>
            </w:p>
            <w:p w14:paraId="48F77030" w14:textId="77777777" w:rsidR="00687E9B" w:rsidRPr="00E44C17" w:rsidRDefault="00687E9B" w:rsidP="00E44C17">
              <w:pPr>
                <w:pStyle w:val="Bibliography"/>
                <w:rPr>
                  <w:noProof/>
                </w:rPr>
              </w:pPr>
              <w:r w:rsidRPr="00E44C17">
                <w:rPr>
                  <w:noProof/>
                </w:rPr>
                <w:t>Saunders, T., &amp; Tulip, P. (2019). A Model of the Australian Housing Market. Reserve Bank of Australia. Retrieved December 2024, from https://www.rba.gov.au/publications/rdp/2019/2019-01/</w:t>
              </w:r>
            </w:p>
            <w:p w14:paraId="5797B189" w14:textId="77777777" w:rsidR="00687E9B" w:rsidRPr="00E44C17" w:rsidRDefault="00687E9B" w:rsidP="00E44C17">
              <w:pPr>
                <w:pStyle w:val="Bibliography"/>
                <w:rPr>
                  <w:noProof/>
                </w:rPr>
              </w:pPr>
              <w:r w:rsidRPr="00E44C17">
                <w:rPr>
                  <w:noProof/>
                </w:rPr>
                <w:t>Seaborn, L. (2024). Australia’s housing co-operative sector. Sydney: Business Council of Co-operatives and Mutuals (BCCM).</w:t>
              </w:r>
            </w:p>
            <w:p w14:paraId="7182B546" w14:textId="77777777" w:rsidR="00687E9B" w:rsidRPr="00E44C17" w:rsidRDefault="00687E9B" w:rsidP="00E44C17">
              <w:pPr>
                <w:pStyle w:val="Bibliography"/>
                <w:rPr>
                  <w:noProof/>
                </w:rPr>
              </w:pPr>
              <w:r w:rsidRPr="00E44C17">
                <w:rPr>
                  <w:noProof/>
                </w:rPr>
                <w:t>Service Tasmania. (2024). Pay Homes Tasmania rent. Retrieved December 2024, from Service Tasmania: https://www.service.tas.gov.au/services/housing-and-property/social-housing/pay-homes-tasmania-rent#:~:text=Rent%20is%20charged%20at%2025,Post%20or%20a%20service%20centre.</w:t>
              </w:r>
            </w:p>
            <w:p w14:paraId="3E713CD6" w14:textId="77777777" w:rsidR="00687E9B" w:rsidRPr="00E44C17" w:rsidRDefault="00687E9B" w:rsidP="00E44C17">
              <w:pPr>
                <w:pStyle w:val="Bibliography"/>
                <w:rPr>
                  <w:noProof/>
                </w:rPr>
              </w:pPr>
              <w:r w:rsidRPr="00E44C17">
                <w:rPr>
                  <w:noProof/>
                </w:rPr>
                <w:t>Services Australia. (2022). Who can get rent assistance. Retrieved from Services Australia: https://www.servicesaustralia.gov.au/who-can-get-rent-assistance?context=22206</w:t>
              </w:r>
            </w:p>
            <w:p w14:paraId="1937A1B4" w14:textId="77777777" w:rsidR="00687E9B" w:rsidRPr="00E44C17" w:rsidRDefault="00687E9B" w:rsidP="00E44C17">
              <w:pPr>
                <w:pStyle w:val="Bibliography"/>
                <w:rPr>
                  <w:noProof/>
                </w:rPr>
              </w:pPr>
              <w:r w:rsidRPr="00E44C17">
                <w:rPr>
                  <w:noProof/>
                </w:rPr>
                <w:t>SGS Economics and Planning. (2020). Economic Impacts of Social Housing Investement. Retrieved February 2025</w:t>
              </w:r>
            </w:p>
            <w:p w14:paraId="06434691" w14:textId="77777777" w:rsidR="00687E9B" w:rsidRPr="00E44C17" w:rsidRDefault="00687E9B" w:rsidP="00E44C17">
              <w:pPr>
                <w:pStyle w:val="Bibliography"/>
                <w:rPr>
                  <w:noProof/>
                </w:rPr>
              </w:pPr>
              <w:r w:rsidRPr="00E44C17">
                <w:rPr>
                  <w:noProof/>
                </w:rPr>
                <w:t>SGS Economics and Planning. (2022). Give Me Shelter - The Long-term costs of underproviding public, social and affordable housing. Cost-benefit analysis report. Retrieved January 2025</w:t>
              </w:r>
            </w:p>
            <w:p w14:paraId="5DF6E9C9" w14:textId="77777777" w:rsidR="00687E9B" w:rsidRPr="00E44C17" w:rsidRDefault="00687E9B" w:rsidP="00E44C17">
              <w:pPr>
                <w:pStyle w:val="Bibliography"/>
                <w:rPr>
                  <w:noProof/>
                </w:rPr>
              </w:pPr>
              <w:r w:rsidRPr="00E44C17">
                <w:rPr>
                  <w:noProof/>
                </w:rPr>
                <w:t>South Australian Housing Trust Regulations 2010 (SA).</w:t>
              </w:r>
            </w:p>
            <w:p w14:paraId="6473BE4D" w14:textId="77777777" w:rsidR="00687E9B" w:rsidRPr="00E44C17" w:rsidRDefault="00687E9B" w:rsidP="00E44C17">
              <w:pPr>
                <w:pStyle w:val="Bibliography"/>
                <w:rPr>
                  <w:noProof/>
                </w:rPr>
              </w:pPr>
              <w:r w:rsidRPr="00E44C17">
                <w:rPr>
                  <w:noProof/>
                </w:rPr>
                <w:t>Spiller, M. (2022, March 24). Social and affordable housing contributions: Developers must play their part in social housing. Retrieved February 2025, from SGS Economics &amp; Planning: https://sgsep.com.au/publications/insights/developers-must-play-their-part-in-social-housing</w:t>
              </w:r>
            </w:p>
            <w:p w14:paraId="47587A98" w14:textId="77777777" w:rsidR="00687E9B" w:rsidRPr="00E44C17" w:rsidRDefault="00687E9B" w:rsidP="00E44C17">
              <w:pPr>
                <w:pStyle w:val="Bibliography"/>
                <w:rPr>
                  <w:noProof/>
                </w:rPr>
              </w:pPr>
              <w:r w:rsidRPr="00E44C17">
                <w:rPr>
                  <w:noProof/>
                </w:rPr>
                <w:t>Standen, J., Spencer, J., Lee, G., Van Buskirk, J., Matthews, V., Hanigan, I., . . . Morgan, G. (2022). Aboriginal Population and Climate Change in Australia: Implications for Health and Adaptation Planning. Int J Environ Res Public Health. doi:10.3390/ijerph19127502</w:t>
              </w:r>
            </w:p>
            <w:p w14:paraId="28640544" w14:textId="77777777" w:rsidR="00687E9B" w:rsidRPr="00E44C17" w:rsidRDefault="00687E9B" w:rsidP="00E44C17">
              <w:pPr>
                <w:pStyle w:val="Bibliography"/>
                <w:rPr>
                  <w:noProof/>
                </w:rPr>
              </w:pPr>
              <w:r w:rsidRPr="00E44C17">
                <w:rPr>
                  <w:noProof/>
                </w:rPr>
                <w:lastRenderedPageBreak/>
                <w:t>State Environmental Planning Policy (Housing) 2021 (NSW).</w:t>
              </w:r>
            </w:p>
            <w:p w14:paraId="202AD8B2" w14:textId="77777777" w:rsidR="00687E9B" w:rsidRPr="00E44C17" w:rsidRDefault="00687E9B" w:rsidP="00E44C17">
              <w:pPr>
                <w:pStyle w:val="Bibliography"/>
                <w:rPr>
                  <w:noProof/>
                </w:rPr>
              </w:pPr>
              <w:r w:rsidRPr="00E44C17">
                <w:rPr>
                  <w:noProof/>
                </w:rPr>
                <w:t>State Revenue Office of Tasmania. (2025). First Home Owner Grant Statistics. Retrieved January 2025, from State Revenue Office of Tasmania: https://www.sro.tas.gov.au/first-home-owner/first-home-owner-grant-statistics</w:t>
              </w:r>
            </w:p>
            <w:p w14:paraId="26C7FA16" w14:textId="77777777" w:rsidR="00687E9B" w:rsidRPr="00E44C17" w:rsidRDefault="00687E9B" w:rsidP="00E44C17">
              <w:pPr>
                <w:pStyle w:val="Bibliography"/>
                <w:rPr>
                  <w:noProof/>
                </w:rPr>
              </w:pPr>
              <w:r w:rsidRPr="00E44C17">
                <w:rPr>
                  <w:noProof/>
                </w:rPr>
                <w:t>State Revenue Office Victoria. (2024). First home buyer principal place of residence duty concessions. Retrieved February 2025, from State Revenue Office Victoria: https://www.sro.vic.gov.au/statistics/first-home-buyer-ppr-duty-concessions-statistics</w:t>
              </w:r>
            </w:p>
            <w:p w14:paraId="60D1D42A" w14:textId="1DAB3E50" w:rsidR="00687E9B" w:rsidRPr="00E44C17" w:rsidRDefault="00687E9B" w:rsidP="00E44C17">
              <w:pPr>
                <w:pStyle w:val="Bibliography"/>
                <w:rPr>
                  <w:noProof/>
                </w:rPr>
              </w:pPr>
              <w:r w:rsidRPr="00E44C17">
                <w:rPr>
                  <w:noProof/>
                </w:rPr>
                <w:t>State Revenue Office Victoria. (2024). State Revenue Office Annual Review 2023</w:t>
              </w:r>
              <w:r w:rsidR="00980A62">
                <w:rPr>
                  <w:noProof/>
                </w:rPr>
                <w:t>–</w:t>
              </w:r>
              <w:r w:rsidRPr="00E44C17">
                <w:rPr>
                  <w:noProof/>
                </w:rPr>
                <w:t>24. Victorian Governement.</w:t>
              </w:r>
            </w:p>
            <w:p w14:paraId="6CC5359C" w14:textId="77777777" w:rsidR="00687E9B" w:rsidRPr="00E44C17" w:rsidRDefault="00687E9B" w:rsidP="00E44C17">
              <w:pPr>
                <w:pStyle w:val="Bibliography"/>
                <w:rPr>
                  <w:noProof/>
                </w:rPr>
              </w:pPr>
              <w:r w:rsidRPr="00E44C17">
                <w:rPr>
                  <w:noProof/>
                </w:rPr>
                <w:t>State Revenue Office Victoria. (2025). First home owner statistics. Retrieved February 2025, from State Revenue Office Victoria: https://www.e-business.sro.vic.gov.au/corporate/statistics/faces/fhog/summary.jsp</w:t>
              </w:r>
            </w:p>
            <w:p w14:paraId="64A68028" w14:textId="77777777" w:rsidR="00687E9B" w:rsidRPr="00E44C17" w:rsidRDefault="00687E9B" w:rsidP="00E44C17">
              <w:pPr>
                <w:pStyle w:val="Bibliography"/>
                <w:rPr>
                  <w:noProof/>
                </w:rPr>
              </w:pPr>
              <w:r w:rsidRPr="00E44C17">
                <w:rPr>
                  <w:noProof/>
                </w:rPr>
                <w:t>Statistics Canada. (2023). Census Profile, 2021 Census of Population: Profile table. Retrieved March 2025, from Statistics Canada: https://www12.statcan.gc.ca/census-recensement/2021/dp-pd/prof/details/page.cfm?Lang=E&amp;DGUIDList=2021A000011124&amp;GENDERList=1&amp;STATISTICList=1&amp;HEADERList=0&amp;SearchText=Canada</w:t>
              </w:r>
            </w:p>
            <w:p w14:paraId="628F5A51" w14:textId="77777777" w:rsidR="00687E9B" w:rsidRPr="00E44C17" w:rsidRDefault="00687E9B" w:rsidP="00E44C17">
              <w:pPr>
                <w:pStyle w:val="Bibliography"/>
                <w:rPr>
                  <w:noProof/>
                </w:rPr>
              </w:pPr>
              <w:r w:rsidRPr="00E44C17">
                <w:rPr>
                  <w:noProof/>
                </w:rPr>
                <w:t>Tasmania Government. (2023b). Tasmania Housing Strategy Action Plan 2023-2027. Retrieved November 2024, from https://www.tasmanianhousingstrategy.tas.gov.au/</w:t>
              </w:r>
            </w:p>
            <w:p w14:paraId="3088C2D3" w14:textId="77777777" w:rsidR="00687E9B" w:rsidRPr="00E44C17" w:rsidRDefault="00687E9B" w:rsidP="00E44C17">
              <w:pPr>
                <w:pStyle w:val="Bibliography"/>
                <w:rPr>
                  <w:noProof/>
                </w:rPr>
              </w:pPr>
              <w:r w:rsidRPr="00E44C17">
                <w:rPr>
                  <w:noProof/>
                </w:rPr>
                <w:t>Tasmanian Government. (2023a). Tasmania Housing Strategy 2023-2043. Retrieved November 2024, from https://www.homestasmania.com.au/__data/assets/pdf_file/0028/276931/230265_Homes_Tas_Strategy_document_wcag.pdf</w:t>
              </w:r>
            </w:p>
            <w:p w14:paraId="09A6D3A0" w14:textId="77777777" w:rsidR="00687E9B" w:rsidRPr="00E44C17" w:rsidRDefault="00687E9B" w:rsidP="00E44C17">
              <w:pPr>
                <w:pStyle w:val="Bibliography"/>
                <w:rPr>
                  <w:noProof/>
                </w:rPr>
              </w:pPr>
              <w:r w:rsidRPr="00E44C17">
                <w:rPr>
                  <w:noProof/>
                </w:rPr>
                <w:t>The Australian Government . (2021). Statutory Review - Operation of the National Housing Finance and Investment Corporation Act 2018 - Final Report. Australian Government.</w:t>
              </w:r>
            </w:p>
            <w:p w14:paraId="601152BA" w14:textId="1B7DEF40" w:rsidR="00687E9B" w:rsidRPr="00E44C17" w:rsidRDefault="00687E9B" w:rsidP="00E44C17">
              <w:pPr>
                <w:pStyle w:val="Bibliography"/>
                <w:rPr>
                  <w:noProof/>
                </w:rPr>
              </w:pPr>
              <w:r w:rsidRPr="00E44C17">
                <w:rPr>
                  <w:noProof/>
                </w:rPr>
                <w:t>The Commonwealth of Australia. (2022). Budget Paper No. 2, Budget Measures 2022</w:t>
              </w:r>
              <w:r w:rsidR="00980A62">
                <w:rPr>
                  <w:noProof/>
                </w:rPr>
                <w:t>–</w:t>
              </w:r>
              <w:r w:rsidRPr="00E44C17">
                <w:rPr>
                  <w:noProof/>
                </w:rPr>
                <w:t>23. Canberra. Retrieved March 2025</w:t>
              </w:r>
            </w:p>
            <w:p w14:paraId="139F8CDA" w14:textId="2362E54B" w:rsidR="00687E9B" w:rsidRPr="00E44C17" w:rsidRDefault="00687E9B" w:rsidP="00E44C17">
              <w:pPr>
                <w:pStyle w:val="Bibliography"/>
                <w:rPr>
                  <w:noProof/>
                </w:rPr>
              </w:pPr>
              <w:r w:rsidRPr="00E44C17">
                <w:rPr>
                  <w:noProof/>
                </w:rPr>
                <w:t>The Commonwealth of Australia. (2024). Mid Year Economic and Fiscal Outlook, 2024</w:t>
              </w:r>
              <w:r w:rsidR="00980A62">
                <w:rPr>
                  <w:noProof/>
                </w:rPr>
                <w:t>–</w:t>
              </w:r>
              <w:r w:rsidRPr="00E44C17">
                <w:rPr>
                  <w:noProof/>
                </w:rPr>
                <w:t>25. Retrieved December 2024, from https://archive.budget.gov.au/2024-25/myefo/download/myefo2024-25.pdf</w:t>
              </w:r>
            </w:p>
            <w:p w14:paraId="6AEB5485" w14:textId="77777777" w:rsidR="00687E9B" w:rsidRPr="00E44C17" w:rsidRDefault="00687E9B" w:rsidP="00E44C17">
              <w:pPr>
                <w:pStyle w:val="Bibliography"/>
                <w:rPr>
                  <w:noProof/>
                </w:rPr>
              </w:pPr>
              <w:r w:rsidRPr="00E44C17">
                <w:rPr>
                  <w:noProof/>
                </w:rPr>
                <w:t>The Commonwealth of Australia, Department of the Prime Minister and Cabinet. (2017). Remote Housing Review: A Review of the National Partnership Agreement on Remote Indigenous Housing and the Remote Housing Strategy (2008-2018). Canberra.</w:t>
              </w:r>
            </w:p>
            <w:p w14:paraId="61165D89" w14:textId="77777777" w:rsidR="00687E9B" w:rsidRPr="00E44C17" w:rsidRDefault="00687E9B" w:rsidP="00E44C17">
              <w:pPr>
                <w:pStyle w:val="Bibliography"/>
                <w:rPr>
                  <w:noProof/>
                </w:rPr>
              </w:pPr>
              <w:r w:rsidRPr="00E44C17">
                <w:rPr>
                  <w:noProof/>
                </w:rPr>
                <w:t>The Economist. (2024, June 16). Why house prices are surging once again. Retrieved February 2025, from The Economist: https://www.economist.com/finance-and-economics/2024/06/16/why-house-prices-are-surging-once-again</w:t>
              </w:r>
            </w:p>
            <w:p w14:paraId="320F4E47" w14:textId="77777777" w:rsidR="00687E9B" w:rsidRPr="00E44C17" w:rsidRDefault="00687E9B" w:rsidP="00E44C17">
              <w:pPr>
                <w:pStyle w:val="Bibliography"/>
                <w:rPr>
                  <w:noProof/>
                </w:rPr>
              </w:pPr>
              <w:r w:rsidRPr="00E44C17">
                <w:rPr>
                  <w:noProof/>
                </w:rPr>
                <w:t>The National Housing Finance and Investment Corporation. (2023). State of the Nation’s Housing Report 2022–23. Sydney: Australian Government. Retrieved from https://www.housingaustralia.gov.au/research-data-analytics/state-nations-housing-report-2022-23</w:t>
              </w:r>
            </w:p>
            <w:p w14:paraId="103AB6CA" w14:textId="34EA46B8" w:rsidR="00687E9B" w:rsidRPr="00E44C17" w:rsidRDefault="00687E9B" w:rsidP="00E44C17">
              <w:pPr>
                <w:pStyle w:val="Bibliography"/>
                <w:rPr>
                  <w:noProof/>
                </w:rPr>
              </w:pPr>
              <w:r w:rsidRPr="00E44C17">
                <w:rPr>
                  <w:noProof/>
                </w:rPr>
                <w:lastRenderedPageBreak/>
                <w:t>The Treasury. (2023a). Delivering the National Housing Accord. Retrieved January 2025, from The</w:t>
              </w:r>
              <w:r w:rsidR="004C605B" w:rsidRPr="00E44C17">
                <w:rPr>
                  <w:noProof/>
                </w:rPr>
                <w:t> </w:t>
              </w:r>
              <w:r w:rsidRPr="00E44C17">
                <w:rPr>
                  <w:noProof/>
                </w:rPr>
                <w:t>Treasury: https://treasury.gov.au/policy-topics/housing/accord#:~:text=On%2016%20August%202023%2C%20National,states%20and%20territories%20last%20year.</w:t>
              </w:r>
            </w:p>
            <w:p w14:paraId="37831151" w14:textId="098804C8" w:rsidR="00687E9B" w:rsidRPr="00E44C17" w:rsidRDefault="00687E9B" w:rsidP="00E44C17">
              <w:pPr>
                <w:pStyle w:val="Bibliography"/>
                <w:rPr>
                  <w:noProof/>
                </w:rPr>
              </w:pPr>
              <w:r w:rsidRPr="00E44C17">
                <w:rPr>
                  <w:noProof/>
                </w:rPr>
                <w:t>The Treasury. (2023b). National Planning Reform Blueprint. Retrieved January 2025, from The</w:t>
              </w:r>
              <w:r w:rsidR="004C605B" w:rsidRPr="00E44C17">
                <w:rPr>
                  <w:noProof/>
                </w:rPr>
                <w:t> </w:t>
              </w:r>
              <w:r w:rsidRPr="00E44C17">
                <w:rPr>
                  <w:noProof/>
                </w:rPr>
                <w:t>Treasury: https://treasury.gov.au/policy-topics/housing/blueprint</w:t>
              </w:r>
            </w:p>
            <w:p w14:paraId="3A3C112A" w14:textId="77777777" w:rsidR="00687E9B" w:rsidRPr="00E44C17" w:rsidRDefault="00687E9B" w:rsidP="00E44C17">
              <w:pPr>
                <w:pStyle w:val="Bibliography"/>
                <w:rPr>
                  <w:noProof/>
                </w:rPr>
              </w:pPr>
              <w:r w:rsidRPr="00E44C17">
                <w:rPr>
                  <w:noProof/>
                </w:rPr>
                <w:t>The Treasury. (2024, January). Supporting people into home ownership. Retrieved from Department of Treasury: https://treasury.gov.au/policy-topics/housing/home-ownership-support#:~:text=The%20Help%20to%20Buy%20shared,a%20smaller%20deposit%20and%20mortgage.</w:t>
              </w:r>
            </w:p>
            <w:p w14:paraId="2D6B4FB3" w14:textId="77777777" w:rsidR="00687E9B" w:rsidRPr="00E44C17" w:rsidRDefault="00687E9B" w:rsidP="00E44C17">
              <w:pPr>
                <w:pStyle w:val="Bibliography"/>
                <w:rPr>
                  <w:noProof/>
                </w:rPr>
              </w:pPr>
              <w:r w:rsidRPr="00E44C17">
                <w:rPr>
                  <w:noProof/>
                </w:rPr>
                <w:t>The Treasury. (2024a). Better support for renters. Retrieved January 2025, from The Treasury: https://treasury.gov.au/policy-topics/housing/renter-support#:~:text=Under%20the%202024-25%20Budget,this%20on%20the%20same%20day.</w:t>
              </w:r>
            </w:p>
            <w:p w14:paraId="08DD5EE5" w14:textId="77777777" w:rsidR="00687E9B" w:rsidRPr="00E44C17" w:rsidRDefault="00687E9B" w:rsidP="00E44C17">
              <w:pPr>
                <w:pStyle w:val="Bibliography"/>
                <w:rPr>
                  <w:noProof/>
                </w:rPr>
              </w:pPr>
              <w:r w:rsidRPr="00E44C17">
                <w:rPr>
                  <w:noProof/>
                </w:rPr>
                <w:t>The Treasury. (2024b). Social and affordable housing. Retrieved January 2025, from The Treasury: https://treasury.gov.au/policy-topics/housing/social-affordable-housing</w:t>
              </w:r>
            </w:p>
            <w:p w14:paraId="2F8E3B01" w14:textId="77777777" w:rsidR="00687E9B" w:rsidRPr="00E44C17" w:rsidRDefault="00687E9B" w:rsidP="00E44C17">
              <w:pPr>
                <w:pStyle w:val="Bibliography"/>
                <w:rPr>
                  <w:noProof/>
                </w:rPr>
              </w:pPr>
              <w:r w:rsidRPr="00E44C17">
                <w:rPr>
                  <w:noProof/>
                </w:rPr>
                <w:t>Thistle, J. (2017). Indigenous Definition of Homelessness in Canada. Toronto: Canadian Observatory on Homelessness Press.</w:t>
              </w:r>
            </w:p>
            <w:p w14:paraId="7E7A5799" w14:textId="77777777" w:rsidR="00687E9B" w:rsidRPr="00E44C17" w:rsidRDefault="00687E9B" w:rsidP="00E44C17">
              <w:pPr>
                <w:pStyle w:val="Bibliography"/>
                <w:rPr>
                  <w:noProof/>
                </w:rPr>
              </w:pPr>
              <w:r w:rsidRPr="00E44C17">
                <w:rPr>
                  <w:noProof/>
                </w:rPr>
                <w:t>UK Government. (2024, May 23). Dwelling Stock Estimates, England: 31 March 2023. Retrieved March 2025, from UK Government: https://www.gov.uk/government/statistics/dwelling-stock-estimates-in-england-2023/dwelling-stock-estimates-england-31-march-2023</w:t>
              </w:r>
            </w:p>
            <w:p w14:paraId="367F784D" w14:textId="77777777" w:rsidR="00687E9B" w:rsidRPr="00E44C17" w:rsidRDefault="00687E9B" w:rsidP="00E44C17">
              <w:pPr>
                <w:pStyle w:val="Bibliography"/>
                <w:rPr>
                  <w:noProof/>
                </w:rPr>
              </w:pPr>
              <w:r w:rsidRPr="00E44C17">
                <w:rPr>
                  <w:noProof/>
                </w:rPr>
                <w:t>Ung, B. (2024, April 18). Cash Rate Pass-through to Outstanding Mortgage Rates. Retrieved February 2025, from Reserve Bank of Australia: https://www.rba.gov.au/publications/bulletin/2024/apr/cash-rate-pass-through-to-outstanding-mortgage-rates.html</w:t>
              </w:r>
            </w:p>
            <w:p w14:paraId="5336F538" w14:textId="77777777" w:rsidR="00687E9B" w:rsidRPr="00E44C17" w:rsidRDefault="00687E9B" w:rsidP="00E44C17">
              <w:pPr>
                <w:pStyle w:val="Bibliography"/>
                <w:rPr>
                  <w:noProof/>
                </w:rPr>
              </w:pPr>
              <w:r w:rsidRPr="00E44C17">
                <w:rPr>
                  <w:noProof/>
                </w:rPr>
                <w:t>van den Nouwelant, R., Troy, L., &amp; Soundararaj, B. (2022). Quantifying Australia's unmet housing need. Sydney: CHIA, UNSW City Futures Research Centres, UNSW Sydney and USYD. Retrieved December 2024</w:t>
              </w:r>
            </w:p>
            <w:p w14:paraId="7E6A379D" w14:textId="77777777" w:rsidR="00687E9B" w:rsidRPr="00E44C17" w:rsidRDefault="00687E9B" w:rsidP="00E44C17">
              <w:pPr>
                <w:pStyle w:val="Bibliography"/>
                <w:rPr>
                  <w:noProof/>
                </w:rPr>
              </w:pPr>
              <w:r w:rsidRPr="00E44C17">
                <w:rPr>
                  <w:noProof/>
                </w:rPr>
                <w:t>Victorian Government . (2024, November 25). Housing. Retrieved November 2024, from Department of Transport and Planning: https://www.planning.vic.gov.au/guides-and-resources/strategies-and-initiatives/housing</w:t>
              </w:r>
            </w:p>
            <w:p w14:paraId="4BE46CCF" w14:textId="77777777" w:rsidR="00687E9B" w:rsidRPr="00E44C17" w:rsidRDefault="00687E9B" w:rsidP="00E44C17">
              <w:pPr>
                <w:pStyle w:val="Bibliography"/>
                <w:rPr>
                  <w:noProof/>
                </w:rPr>
              </w:pPr>
              <w:r w:rsidRPr="00E44C17">
                <w:rPr>
                  <w:noProof/>
                </w:rPr>
                <w:t>Victorian Government. (2025, March 04). Train and tram zone activity centres. Retrieved from Victorian Government: https://www.vic.gov.au/train-and-tram-zone-activity-centres</w:t>
              </w:r>
            </w:p>
            <w:p w14:paraId="152F14E6" w14:textId="77777777" w:rsidR="00687E9B" w:rsidRPr="00E44C17" w:rsidRDefault="00687E9B" w:rsidP="00E44C17">
              <w:pPr>
                <w:pStyle w:val="Bibliography"/>
                <w:rPr>
                  <w:noProof/>
                </w:rPr>
              </w:pPr>
              <w:r w:rsidRPr="00E44C17">
                <w:rPr>
                  <w:noProof/>
                </w:rPr>
                <w:t>Vidyattama, Y., &amp; Hawkins, J. (2021). The case for shifting from stamp duty to rates and land tax. Canberra: University of Canberra.</w:t>
              </w:r>
            </w:p>
            <w:p w14:paraId="2A8FE115" w14:textId="4F293ED5" w:rsidR="00980A62" w:rsidRDefault="00687E9B" w:rsidP="000B3417">
              <w:pPr>
                <w:pStyle w:val="Bibliography"/>
                <w:rPr>
                  <w:noProof/>
                </w:rPr>
              </w:pPr>
              <w:r w:rsidRPr="00E44C17">
                <w:rPr>
                  <w:noProof/>
                </w:rPr>
                <w:t>WA Government . (2024). Government Mid-year Financial Projections Statement 2024-25. Government of Western Australia. Retrieved February 2025, from https://www.wa.gov.au/government/publications/quarterly-financial-results-report-december-2024</w:t>
              </w:r>
              <w:r w:rsidR="00980A62">
                <w:rPr>
                  <w:noProof/>
                </w:rPr>
                <w:br w:type="page"/>
              </w:r>
            </w:p>
            <w:p w14:paraId="4AAF3EB1" w14:textId="24033834" w:rsidR="00687E9B" w:rsidRPr="00E44C17" w:rsidRDefault="00687E9B" w:rsidP="00E44C17">
              <w:pPr>
                <w:pStyle w:val="Bibliography"/>
                <w:rPr>
                  <w:noProof/>
                </w:rPr>
              </w:pPr>
              <w:r w:rsidRPr="00E44C17">
                <w:rPr>
                  <w:noProof/>
                </w:rPr>
                <w:lastRenderedPageBreak/>
                <w:t>WA Government. (2022, December 21). WA Aboriginal and Torres Strait Islander Community Controlled Housing Organisation (ATSICCHO) Strategy. Retrieved February 2025, from Government of Western Australia: https://www.wa.gov.au/organisation/department-of-communities/wa-aboriginal-and-torres-strait-islander-community-controlled-housing-organisation-atsiccho-strategy#:~:text=The%20WA%20Aboriginal%20and%20Torres,outcomes%20for%20Aboriginal%20and%20Torres</w:t>
              </w:r>
            </w:p>
            <w:p w14:paraId="4004E22B" w14:textId="77777777" w:rsidR="00687E9B" w:rsidRPr="00E44C17" w:rsidRDefault="00687E9B" w:rsidP="00E44C17">
              <w:pPr>
                <w:pStyle w:val="Bibliography"/>
                <w:rPr>
                  <w:noProof/>
                </w:rPr>
              </w:pPr>
              <w:r w:rsidRPr="00E44C17">
                <w:rPr>
                  <w:noProof/>
                </w:rPr>
                <w:t>WA Government. (2023, July 6). Home Ownership Options. Retrieved April 2025, from Western Australian Government: https://www.wa.gov.au/organisation/department-of-communities/home-ownership-options</w:t>
              </w:r>
            </w:p>
            <w:p w14:paraId="16656B9B" w14:textId="517E690B" w:rsidR="00687E9B" w:rsidRPr="00E44C17" w:rsidRDefault="00687E9B" w:rsidP="00E44C17">
              <w:pPr>
                <w:pStyle w:val="Bibliography"/>
                <w:rPr>
                  <w:noProof/>
                </w:rPr>
              </w:pPr>
              <w:r w:rsidRPr="00E44C17">
                <w:rPr>
                  <w:noProof/>
                </w:rPr>
                <w:t>WA Government. (2023). WA Housing Strategy 2020</w:t>
              </w:r>
              <w:r w:rsidR="00980A62">
                <w:rPr>
                  <w:noProof/>
                </w:rPr>
                <w:t>–</w:t>
              </w:r>
              <w:r w:rsidRPr="00E44C17">
                <w:rPr>
                  <w:noProof/>
                </w:rPr>
                <w:t>2030. Fremantle. Retrieved November 2024, from https://www.wa.gov.au/government/document-collections/wa-housing-strategy-2020-2030</w:t>
              </w:r>
            </w:p>
            <w:p w14:paraId="4BDDE6EF" w14:textId="3D9A7135" w:rsidR="00687E9B" w:rsidRPr="00E44C17" w:rsidRDefault="00687E9B" w:rsidP="00E44C17">
              <w:pPr>
                <w:pStyle w:val="Bibliography"/>
                <w:rPr>
                  <w:noProof/>
                </w:rPr>
              </w:pPr>
              <w:r w:rsidRPr="00E44C17">
                <w:rPr>
                  <w:noProof/>
                </w:rPr>
                <w:t>WA Government. (2024). Western Australia State Budget 2024</w:t>
              </w:r>
              <w:r w:rsidR="00980A62">
                <w:rPr>
                  <w:noProof/>
                </w:rPr>
                <w:t>–</w:t>
              </w:r>
              <w:r w:rsidRPr="00E44C17">
                <w:rPr>
                  <w:noProof/>
                </w:rPr>
                <w:t>25, Budget Paper No. 3. Retrieved February 2025, from https://www.ourstatebudget.wa.gov.au/budget-papers.html</w:t>
              </w:r>
            </w:p>
            <w:p w14:paraId="1AF13F8F" w14:textId="77777777" w:rsidR="00687E9B" w:rsidRPr="00E44C17" w:rsidRDefault="00687E9B" w:rsidP="00E44C17">
              <w:pPr>
                <w:pStyle w:val="Bibliography"/>
                <w:rPr>
                  <w:noProof/>
                </w:rPr>
              </w:pPr>
              <w:r w:rsidRPr="00E44C17">
                <w:rPr>
                  <w:noProof/>
                </w:rPr>
                <w:t>WA Government. (2025). Keystart - Who we are. Retrieved March 2025, from Keystart - Government of Western Australia: https://www.keystart.com.au/about-us/who-we-are</w:t>
              </w:r>
            </w:p>
            <w:p w14:paraId="34201788" w14:textId="77777777" w:rsidR="00687E9B" w:rsidRPr="00E44C17" w:rsidRDefault="00687E9B" w:rsidP="00E44C17">
              <w:pPr>
                <w:pStyle w:val="Bibliography"/>
                <w:rPr>
                  <w:noProof/>
                </w:rPr>
              </w:pPr>
              <w:r w:rsidRPr="00E44C17">
                <w:rPr>
                  <w:noProof/>
                </w:rPr>
                <w:t>WA Government. (2025, January 29). Public Housing. Retrieved December 2024, from Government of Western Australia: https://www.wa.gov.au/organisation/department-of-communities/public-housing#:~:text=Public%20housing%20rent%20is%20calculated,returning%20the%20Rent%20Assessment%20Form.</w:t>
              </w:r>
            </w:p>
            <w:p w14:paraId="4E339A4A" w14:textId="77777777" w:rsidR="00687E9B" w:rsidRPr="00E44C17" w:rsidRDefault="00687E9B" w:rsidP="00E44C17">
              <w:pPr>
                <w:pStyle w:val="Bibliography"/>
                <w:rPr>
                  <w:noProof/>
                </w:rPr>
              </w:pPr>
              <w:r w:rsidRPr="00E44C17">
                <w:rPr>
                  <w:noProof/>
                </w:rPr>
                <w:t>Watson, N., &amp; Wooden, M. (2012). The HILDA Survey: a case study in the design and development of a successfull household panel stuay. Longitudinal and Life Course Studies 2012, 3(3), 369-381.</w:t>
              </w:r>
            </w:p>
            <w:p w14:paraId="2CB2F994" w14:textId="77777777" w:rsidR="00687E9B" w:rsidRPr="00E44C17" w:rsidRDefault="00687E9B" w:rsidP="00E44C17">
              <w:pPr>
                <w:pStyle w:val="Bibliography"/>
                <w:rPr>
                  <w:noProof/>
                </w:rPr>
              </w:pPr>
              <w:r w:rsidRPr="00E44C17">
                <w:rPr>
                  <w:noProof/>
                </w:rPr>
                <w:t>Wilson, T. (2013). The sequential propensity household projection model. Demographic Research, 28, 681-712. doi:10.4054/DemRes.2013.28.24</w:t>
              </w:r>
            </w:p>
            <w:p w14:paraId="691D5D6F" w14:textId="77777777" w:rsidR="00687E9B" w:rsidRPr="00E44C17" w:rsidRDefault="00687E9B" w:rsidP="00E44C17">
              <w:pPr>
                <w:pStyle w:val="Bibliography"/>
                <w:rPr>
                  <w:noProof/>
                </w:rPr>
              </w:pPr>
              <w:r w:rsidRPr="00E44C17">
                <w:rPr>
                  <w:noProof/>
                </w:rPr>
                <w:t>Wood, G., &amp; Ong ViforJ, R. (2012). Sustaining home ownership in the 21st century: emerging policy concerns. AHURI Final Report No. 187. Retrieved January 2025, from https://www.ahuri.edu.au/research/final-reports/187</w:t>
              </w:r>
            </w:p>
            <w:p w14:paraId="26964DC8" w14:textId="77777777" w:rsidR="00687E9B" w:rsidRPr="00E44C17" w:rsidRDefault="00687E9B" w:rsidP="00E44C17">
              <w:pPr>
                <w:pStyle w:val="Bibliography"/>
                <w:rPr>
                  <w:noProof/>
                </w:rPr>
              </w:pPr>
              <w:r w:rsidRPr="00E44C17">
                <w:rPr>
                  <w:noProof/>
                </w:rPr>
                <w:t>Wood, G., Cigdem, M., &amp; Ong ViforJ, R. (2017). Australian demographic trends and implications for housing assistance programs. AHURI Final Report No. 286. doi:10.18408/ahuri-5303901</w:t>
              </w:r>
            </w:p>
            <w:p w14:paraId="6F32BF0E" w14:textId="77777777" w:rsidR="00687E9B" w:rsidRPr="00E44C17" w:rsidRDefault="00687E9B" w:rsidP="00E44C17">
              <w:pPr>
                <w:pStyle w:val="Bibliography"/>
                <w:rPr>
                  <w:noProof/>
                </w:rPr>
              </w:pPr>
              <w:r w:rsidRPr="00E44C17">
                <w:rPr>
                  <w:noProof/>
                </w:rPr>
                <w:t>Wood, G., Ong ViforJ, R., &amp; Cigdem, M. (2016). Housing Tax Reform: Is There a Way Forward? Economic Papers: A journal of applied economics and policy, 35(4), 332-346. Retrieved January 2025, from https://doi.org/10.1111/1759-3441.12151</w:t>
              </w:r>
            </w:p>
            <w:p w14:paraId="08D86E48" w14:textId="77777777" w:rsidR="00687E9B" w:rsidRPr="00E44C17" w:rsidRDefault="00687E9B" w:rsidP="00E44C17">
              <w:pPr>
                <w:pStyle w:val="Bibliography"/>
                <w:rPr>
                  <w:noProof/>
                </w:rPr>
              </w:pPr>
              <w:r w:rsidRPr="00E44C17">
                <w:rPr>
                  <w:noProof/>
                </w:rPr>
                <w:t>Wood, G., Ong ViforJ, R., &amp; McMurray, C. (2011). The impacts of the Henry Review recommendations on the private rental market—savings income discount and rent assistance. AHURI Final Report No. 175. Retrieved January 2025, from https://www.ahuri.edu.au/research/final-reports/175</w:t>
              </w:r>
            </w:p>
            <w:p w14:paraId="720B6CBC" w14:textId="77777777" w:rsidR="00687E9B" w:rsidRPr="00E44C17" w:rsidRDefault="00687E9B" w:rsidP="00E44C17">
              <w:pPr>
                <w:pStyle w:val="Bibliography"/>
                <w:rPr>
                  <w:noProof/>
                </w:rPr>
              </w:pPr>
              <w:r w:rsidRPr="00E44C17">
                <w:rPr>
                  <w:noProof/>
                </w:rPr>
                <w:t>Wood, G., Ong ViforJ, R., &amp; Winter, I. (2012). Stamp duties, land tax and housing affordability: the case for reform. Australian Tax Forum, 27, 331-349. Retrieved January 2025, from http://hdl.handle.net/20.500.11937/3348</w:t>
              </w:r>
            </w:p>
            <w:p w14:paraId="3B576B6C" w14:textId="77777777" w:rsidR="00687E9B" w:rsidRPr="00E44C17" w:rsidRDefault="00687E9B" w:rsidP="00E44C17">
              <w:pPr>
                <w:pStyle w:val="Bibliography"/>
                <w:rPr>
                  <w:noProof/>
                </w:rPr>
              </w:pPr>
              <w:r w:rsidRPr="00E44C17">
                <w:rPr>
                  <w:noProof/>
                </w:rPr>
                <w:lastRenderedPageBreak/>
                <w:t>Wood, G., Ong ViforJ, R., Cigdem, M., &amp; Taylor, E. (2012). The spatial and distributional impacts of the Henry Review recommendations on stamp duty and land tax. AHURI Final Report No. 182. Retrieved January 2025, from https://www.ahuri.edu.au/research/final-reports/182</w:t>
              </w:r>
            </w:p>
            <w:p w14:paraId="23C0E348" w14:textId="77777777" w:rsidR="00687E9B" w:rsidRPr="00E44C17" w:rsidRDefault="00687E9B" w:rsidP="00E44C17">
              <w:pPr>
                <w:pStyle w:val="Bibliography"/>
                <w:rPr>
                  <w:noProof/>
                </w:rPr>
              </w:pPr>
              <w:r w:rsidRPr="00E44C17">
                <w:rPr>
                  <w:noProof/>
                </w:rPr>
                <w:t>Wood, G., Stewart, M., &amp; Ong ViforJ, R. (2010). Housing Taxation and Transfers. Final Report; Australian Commonwealth Treasury.</w:t>
              </w:r>
            </w:p>
            <w:p w14:paraId="39DBFADA" w14:textId="77777777" w:rsidR="00687E9B" w:rsidRPr="00E44C17" w:rsidRDefault="00687E9B" w:rsidP="00E44C17">
              <w:pPr>
                <w:pStyle w:val="Bibliography"/>
                <w:rPr>
                  <w:noProof/>
                </w:rPr>
              </w:pPr>
              <w:r w:rsidRPr="00E44C17">
                <w:rPr>
                  <w:noProof/>
                </w:rPr>
                <w:t>Yates, J. (2010a). Housing and tax: the triumph of politics over economics. In C. Evans, R. Krever, &amp; P. Mellor (Eds.), Australia’s Future Tax System: The Prospects After Henry (pp. 233-265). Sydney: Thomson Reuters.</w:t>
              </w:r>
            </w:p>
            <w:p w14:paraId="17BA0896" w14:textId="7C5C3F4D" w:rsidR="00687E9B" w:rsidRPr="00AB30C8" w:rsidRDefault="00687E9B" w:rsidP="00E44C17">
              <w:pPr>
                <w:pStyle w:val="Bibliography"/>
              </w:pPr>
              <w:r w:rsidRPr="00E44C17">
                <w:rPr>
                  <w:noProof/>
                </w:rPr>
                <w:t>Yates, J. (2010b). Tax expenditures and housing. In Housing and Tax Policy, Australian Tax Research Foundation, Conference Series No. 26, 39-91 (pp. 39-91).</w:t>
              </w:r>
              <w:r w:rsidRPr="00E44C17">
                <w:rPr>
                  <w:noProof/>
                </w:rPr>
                <w:fldChar w:fldCharType="end"/>
              </w:r>
            </w:p>
          </w:sdtContent>
        </w:sdt>
      </w:sdtContent>
    </w:sdt>
    <w:p w14:paraId="7901C41C" w14:textId="77777777" w:rsidR="00F84DDA" w:rsidRDefault="00F84DDA" w:rsidP="00ED2169">
      <w:pPr>
        <w:sectPr w:rsidR="00F84DDA" w:rsidSect="00CC5EA5">
          <w:footerReference w:type="even" r:id="rId170"/>
          <w:footerReference w:type="default" r:id="rId171"/>
          <w:pgSz w:w="11906" w:h="16838" w:code="9"/>
          <w:pgMar w:top="1843" w:right="1418" w:bottom="1418" w:left="1418" w:header="709" w:footer="709" w:gutter="0"/>
          <w:cols w:space="708"/>
          <w:docGrid w:linePitch="360"/>
        </w:sectPr>
      </w:pPr>
    </w:p>
    <w:p w14:paraId="16433D15" w14:textId="77777777" w:rsidR="006103E2" w:rsidRDefault="006103E2" w:rsidP="006F5BB5">
      <w:pPr>
        <w:pStyle w:val="AppendixHeading"/>
        <w:spacing w:before="0"/>
      </w:pPr>
      <w:bookmarkStart w:id="236" w:name="_Toc196395924"/>
      <w:bookmarkStart w:id="237" w:name="_Toc164799223"/>
      <w:bookmarkEnd w:id="235"/>
      <w:r w:rsidRPr="284D5643">
        <w:lastRenderedPageBreak/>
        <w:t xml:space="preserve">Appendix </w:t>
      </w:r>
      <w:r w:rsidR="009713D6">
        <w:t>E</w:t>
      </w:r>
      <w:r w:rsidRPr="284D5643">
        <w:t>: Selected housing data, financial year, 2018–19 to 2023–24</w:t>
      </w:r>
      <w:bookmarkEnd w:id="236"/>
      <w:r w:rsidRPr="284D5643">
        <w:t> </w:t>
      </w:r>
      <w:bookmarkEnd w:id="237"/>
    </w:p>
    <w:tbl>
      <w:tblPr>
        <w:tblStyle w:val="SidebySideChartTable"/>
        <w:tblW w:w="8916" w:type="dxa"/>
        <w:tblBorders>
          <w:top w:val="single" w:sz="12" w:space="0" w:color="F2E3C7" w:themeColor="background2"/>
          <w:left w:val="single" w:sz="12" w:space="0" w:color="F2E3C7" w:themeColor="background2"/>
          <w:bottom w:val="single" w:sz="12" w:space="0" w:color="F2E3C7" w:themeColor="background2"/>
          <w:right w:val="single" w:sz="12" w:space="0" w:color="F2E3C7" w:themeColor="background2"/>
          <w:insideH w:val="single" w:sz="12" w:space="0" w:color="F2E3C7" w:themeColor="background2"/>
          <w:insideV w:val="single" w:sz="12" w:space="0" w:color="F2E3C7" w:themeColor="background2"/>
        </w:tblBorders>
        <w:tblLayout w:type="fixed"/>
        <w:tblCellMar>
          <w:left w:w="108" w:type="dxa"/>
          <w:right w:w="108" w:type="dxa"/>
        </w:tblCellMar>
        <w:tblLook w:val="04A0" w:firstRow="1" w:lastRow="0" w:firstColumn="1" w:lastColumn="0" w:noHBand="0" w:noVBand="1"/>
      </w:tblPr>
      <w:tblGrid>
        <w:gridCol w:w="2438"/>
        <w:gridCol w:w="822"/>
        <w:gridCol w:w="822"/>
        <w:gridCol w:w="822"/>
        <w:gridCol w:w="822"/>
        <w:gridCol w:w="822"/>
        <w:gridCol w:w="822"/>
        <w:gridCol w:w="720"/>
        <w:gridCol w:w="826"/>
      </w:tblGrid>
      <w:tr w:rsidR="006103E2" w14:paraId="10544A55" w14:textId="77777777" w:rsidTr="00990401">
        <w:trPr>
          <w:tblHeader/>
        </w:trPr>
        <w:tc>
          <w:tcPr>
            <w:tcW w:w="2438" w:type="dxa"/>
            <w:tcBorders>
              <w:top w:val="single" w:sz="4" w:space="0" w:color="F2E3C7" w:themeColor="accent6"/>
              <w:left w:val="nil"/>
              <w:right w:val="nil"/>
            </w:tcBorders>
            <w:shd w:val="clear" w:color="auto" w:fill="F2E3C7" w:themeFill="accent6"/>
          </w:tcPr>
          <w:p w14:paraId="2C8B04BB" w14:textId="77777777" w:rsidR="006103E2" w:rsidRPr="004B586D" w:rsidRDefault="006103E2">
            <w:pPr>
              <w:pStyle w:val="TableColumnHeadingLeft"/>
              <w:rPr>
                <w:sz w:val="18"/>
                <w:szCs w:val="18"/>
              </w:rPr>
            </w:pPr>
            <w:r>
              <w:rPr>
                <w:sz w:val="18"/>
                <w:szCs w:val="18"/>
              </w:rPr>
              <w:t>Indicator</w:t>
            </w:r>
          </w:p>
        </w:tc>
        <w:tc>
          <w:tcPr>
            <w:tcW w:w="822" w:type="dxa"/>
            <w:tcBorders>
              <w:top w:val="single" w:sz="4" w:space="0" w:color="F2E3C7" w:themeColor="accent6"/>
              <w:left w:val="nil"/>
              <w:right w:val="nil"/>
            </w:tcBorders>
            <w:shd w:val="clear" w:color="auto" w:fill="F2E3C7" w:themeFill="accent6"/>
          </w:tcPr>
          <w:p w14:paraId="6C4132F4" w14:textId="11914482" w:rsidR="006103E2" w:rsidRPr="004B586D" w:rsidRDefault="006103E2">
            <w:pPr>
              <w:pStyle w:val="TableColumnHeadingLeft"/>
              <w:jc w:val="right"/>
              <w:rPr>
                <w:sz w:val="18"/>
                <w:szCs w:val="18"/>
              </w:rPr>
            </w:pPr>
            <w:r w:rsidRPr="004B586D">
              <w:rPr>
                <w:sz w:val="18"/>
                <w:szCs w:val="18"/>
              </w:rPr>
              <w:t>2018</w:t>
            </w:r>
            <w:r w:rsidR="00A15C79">
              <w:rPr>
                <w:sz w:val="18"/>
                <w:szCs w:val="18"/>
              </w:rPr>
              <w:noBreakHyphen/>
            </w:r>
            <w:r w:rsidRPr="004B586D">
              <w:rPr>
                <w:sz w:val="18"/>
                <w:szCs w:val="18"/>
              </w:rPr>
              <w:t>19</w:t>
            </w:r>
          </w:p>
        </w:tc>
        <w:tc>
          <w:tcPr>
            <w:tcW w:w="822" w:type="dxa"/>
            <w:tcBorders>
              <w:top w:val="single" w:sz="4" w:space="0" w:color="F2E3C7" w:themeColor="accent6"/>
              <w:left w:val="nil"/>
              <w:right w:val="nil"/>
            </w:tcBorders>
            <w:shd w:val="clear" w:color="auto" w:fill="F2E3C7" w:themeFill="accent6"/>
          </w:tcPr>
          <w:p w14:paraId="1C4C9D40" w14:textId="032E2239" w:rsidR="006103E2" w:rsidRPr="004B586D" w:rsidRDefault="006103E2">
            <w:pPr>
              <w:pStyle w:val="TableColumnHeadingLeft"/>
              <w:jc w:val="right"/>
              <w:rPr>
                <w:sz w:val="18"/>
                <w:szCs w:val="18"/>
              </w:rPr>
            </w:pPr>
            <w:r w:rsidRPr="004B586D">
              <w:rPr>
                <w:sz w:val="18"/>
                <w:szCs w:val="18"/>
              </w:rPr>
              <w:t>2019</w:t>
            </w:r>
            <w:r w:rsidR="00A15C79">
              <w:rPr>
                <w:sz w:val="18"/>
                <w:szCs w:val="18"/>
              </w:rPr>
              <w:noBreakHyphen/>
            </w:r>
            <w:r w:rsidRPr="004B586D">
              <w:rPr>
                <w:sz w:val="18"/>
                <w:szCs w:val="18"/>
              </w:rPr>
              <w:t>20</w:t>
            </w:r>
          </w:p>
        </w:tc>
        <w:tc>
          <w:tcPr>
            <w:tcW w:w="822" w:type="dxa"/>
            <w:tcBorders>
              <w:top w:val="single" w:sz="4" w:space="0" w:color="F2E3C7" w:themeColor="accent6"/>
              <w:left w:val="nil"/>
              <w:right w:val="nil"/>
            </w:tcBorders>
            <w:shd w:val="clear" w:color="auto" w:fill="F2E3C7" w:themeFill="accent6"/>
          </w:tcPr>
          <w:p w14:paraId="42395539" w14:textId="032A2D95" w:rsidR="006103E2" w:rsidRPr="004B586D" w:rsidRDefault="006103E2">
            <w:pPr>
              <w:pStyle w:val="TableColumnHeadingLeft"/>
              <w:jc w:val="right"/>
              <w:rPr>
                <w:sz w:val="18"/>
                <w:szCs w:val="18"/>
              </w:rPr>
            </w:pPr>
            <w:r w:rsidRPr="004B586D">
              <w:rPr>
                <w:sz w:val="18"/>
                <w:szCs w:val="18"/>
              </w:rPr>
              <w:t>2020</w:t>
            </w:r>
            <w:r w:rsidR="00A15C79">
              <w:rPr>
                <w:sz w:val="18"/>
                <w:szCs w:val="18"/>
              </w:rPr>
              <w:noBreakHyphen/>
            </w:r>
            <w:r w:rsidRPr="004B586D">
              <w:rPr>
                <w:sz w:val="18"/>
                <w:szCs w:val="18"/>
              </w:rPr>
              <w:t>21</w:t>
            </w:r>
          </w:p>
        </w:tc>
        <w:tc>
          <w:tcPr>
            <w:tcW w:w="822" w:type="dxa"/>
            <w:tcBorders>
              <w:top w:val="single" w:sz="4" w:space="0" w:color="F2E3C7" w:themeColor="accent6"/>
              <w:left w:val="nil"/>
              <w:right w:val="nil"/>
            </w:tcBorders>
            <w:shd w:val="clear" w:color="auto" w:fill="F2E3C7" w:themeFill="accent6"/>
          </w:tcPr>
          <w:p w14:paraId="2C8755A8" w14:textId="5D773DE3" w:rsidR="006103E2" w:rsidRPr="004B586D" w:rsidRDefault="006103E2">
            <w:pPr>
              <w:pStyle w:val="TableColumnHeadingLeft"/>
              <w:jc w:val="right"/>
              <w:rPr>
                <w:sz w:val="18"/>
                <w:szCs w:val="18"/>
              </w:rPr>
            </w:pPr>
            <w:r w:rsidRPr="004B586D">
              <w:rPr>
                <w:sz w:val="18"/>
                <w:szCs w:val="18"/>
              </w:rPr>
              <w:t>2021</w:t>
            </w:r>
            <w:r w:rsidR="00A15C79">
              <w:rPr>
                <w:sz w:val="18"/>
                <w:szCs w:val="18"/>
              </w:rPr>
              <w:noBreakHyphen/>
            </w:r>
            <w:r w:rsidRPr="004B586D">
              <w:rPr>
                <w:sz w:val="18"/>
                <w:szCs w:val="18"/>
              </w:rPr>
              <w:t>22</w:t>
            </w:r>
          </w:p>
        </w:tc>
        <w:tc>
          <w:tcPr>
            <w:tcW w:w="822" w:type="dxa"/>
            <w:tcBorders>
              <w:top w:val="single" w:sz="4" w:space="0" w:color="F2E3C7" w:themeColor="accent6"/>
              <w:left w:val="nil"/>
              <w:right w:val="nil"/>
            </w:tcBorders>
            <w:shd w:val="clear" w:color="auto" w:fill="F2E3C7" w:themeFill="accent6"/>
          </w:tcPr>
          <w:p w14:paraId="5EEDE1B9" w14:textId="5D087903" w:rsidR="006103E2" w:rsidRPr="004B586D" w:rsidRDefault="006103E2">
            <w:pPr>
              <w:pStyle w:val="TableColumnHeadingLeft"/>
              <w:jc w:val="right"/>
              <w:rPr>
                <w:sz w:val="18"/>
                <w:szCs w:val="18"/>
              </w:rPr>
            </w:pPr>
            <w:r w:rsidRPr="004B586D">
              <w:rPr>
                <w:sz w:val="18"/>
                <w:szCs w:val="18"/>
              </w:rPr>
              <w:t>2022</w:t>
            </w:r>
            <w:r w:rsidR="00A15C79">
              <w:rPr>
                <w:sz w:val="18"/>
                <w:szCs w:val="18"/>
              </w:rPr>
              <w:noBreakHyphen/>
            </w:r>
            <w:r w:rsidRPr="004B586D">
              <w:rPr>
                <w:sz w:val="18"/>
                <w:szCs w:val="18"/>
              </w:rPr>
              <w:t>23</w:t>
            </w:r>
          </w:p>
        </w:tc>
        <w:tc>
          <w:tcPr>
            <w:tcW w:w="822" w:type="dxa"/>
            <w:tcBorders>
              <w:top w:val="single" w:sz="4" w:space="0" w:color="F2E3C7" w:themeColor="accent6"/>
              <w:left w:val="nil"/>
              <w:right w:val="nil"/>
            </w:tcBorders>
            <w:shd w:val="clear" w:color="auto" w:fill="F2E3C7" w:themeFill="accent6"/>
          </w:tcPr>
          <w:p w14:paraId="66F97249" w14:textId="7FB2F1D0" w:rsidR="006103E2" w:rsidRPr="004B586D" w:rsidRDefault="006103E2">
            <w:pPr>
              <w:pStyle w:val="TableColumnHeadingLeft"/>
              <w:jc w:val="right"/>
              <w:rPr>
                <w:sz w:val="18"/>
                <w:szCs w:val="18"/>
              </w:rPr>
            </w:pPr>
            <w:r w:rsidRPr="004B586D">
              <w:rPr>
                <w:sz w:val="18"/>
                <w:szCs w:val="18"/>
              </w:rPr>
              <w:t>2023</w:t>
            </w:r>
            <w:r w:rsidR="00A15C79">
              <w:rPr>
                <w:sz w:val="18"/>
                <w:szCs w:val="18"/>
              </w:rPr>
              <w:noBreakHyphen/>
            </w:r>
            <w:r w:rsidRPr="004B586D">
              <w:rPr>
                <w:sz w:val="18"/>
                <w:szCs w:val="18"/>
              </w:rPr>
              <w:t>24</w:t>
            </w:r>
          </w:p>
        </w:tc>
        <w:tc>
          <w:tcPr>
            <w:tcW w:w="1546" w:type="dxa"/>
            <w:gridSpan w:val="2"/>
            <w:tcBorders>
              <w:top w:val="single" w:sz="4" w:space="0" w:color="F2E3C7" w:themeColor="accent6"/>
              <w:left w:val="nil"/>
              <w:right w:val="nil"/>
            </w:tcBorders>
            <w:shd w:val="clear" w:color="auto" w:fill="F2E3C7" w:themeFill="accent6"/>
          </w:tcPr>
          <w:p w14:paraId="0AA252EF" w14:textId="77777777" w:rsidR="006103E2" w:rsidRPr="004B586D" w:rsidRDefault="006103E2">
            <w:pPr>
              <w:pStyle w:val="TableColumnHeadingLeft"/>
              <w:jc w:val="center"/>
              <w:rPr>
                <w:sz w:val="18"/>
                <w:szCs w:val="18"/>
              </w:rPr>
            </w:pPr>
            <w:r>
              <w:rPr>
                <w:sz w:val="18"/>
                <w:szCs w:val="18"/>
              </w:rPr>
              <w:t>Change</w:t>
            </w:r>
          </w:p>
        </w:tc>
      </w:tr>
      <w:tr w:rsidR="006103E2" w14:paraId="441C1527" w14:textId="77777777" w:rsidTr="00990401">
        <w:trPr>
          <w:tblHeader/>
        </w:trPr>
        <w:tc>
          <w:tcPr>
            <w:tcW w:w="2438" w:type="dxa"/>
            <w:tcBorders>
              <w:left w:val="nil"/>
              <w:right w:val="nil"/>
            </w:tcBorders>
            <w:shd w:val="clear" w:color="auto" w:fill="F2E3C7" w:themeFill="accent6"/>
          </w:tcPr>
          <w:p w14:paraId="0CB45881" w14:textId="77777777" w:rsidR="006103E2" w:rsidRPr="004B586D" w:rsidRDefault="006103E2">
            <w:pPr>
              <w:pStyle w:val="TableColumnHeadingLeft"/>
              <w:rPr>
                <w:sz w:val="18"/>
                <w:szCs w:val="18"/>
              </w:rPr>
            </w:pPr>
          </w:p>
        </w:tc>
        <w:tc>
          <w:tcPr>
            <w:tcW w:w="822" w:type="dxa"/>
            <w:tcBorders>
              <w:left w:val="nil"/>
              <w:right w:val="nil"/>
            </w:tcBorders>
            <w:shd w:val="clear" w:color="auto" w:fill="F2E3C7" w:themeFill="accent6"/>
          </w:tcPr>
          <w:p w14:paraId="7DB3F41F" w14:textId="77777777" w:rsidR="006103E2" w:rsidRPr="004B586D" w:rsidRDefault="006103E2">
            <w:pPr>
              <w:pStyle w:val="TableColumnHeadingLeft"/>
              <w:jc w:val="right"/>
              <w:rPr>
                <w:sz w:val="18"/>
                <w:szCs w:val="18"/>
              </w:rPr>
            </w:pPr>
          </w:p>
        </w:tc>
        <w:tc>
          <w:tcPr>
            <w:tcW w:w="822" w:type="dxa"/>
            <w:tcBorders>
              <w:left w:val="nil"/>
              <w:right w:val="nil"/>
            </w:tcBorders>
            <w:shd w:val="clear" w:color="auto" w:fill="F2E3C7" w:themeFill="accent6"/>
          </w:tcPr>
          <w:p w14:paraId="7BA9505B" w14:textId="77777777" w:rsidR="006103E2" w:rsidRPr="004B586D" w:rsidRDefault="006103E2">
            <w:pPr>
              <w:pStyle w:val="TableColumnHeadingLeft"/>
              <w:jc w:val="right"/>
              <w:rPr>
                <w:sz w:val="18"/>
                <w:szCs w:val="18"/>
              </w:rPr>
            </w:pPr>
          </w:p>
        </w:tc>
        <w:tc>
          <w:tcPr>
            <w:tcW w:w="822" w:type="dxa"/>
            <w:tcBorders>
              <w:left w:val="nil"/>
              <w:right w:val="nil"/>
            </w:tcBorders>
            <w:shd w:val="clear" w:color="auto" w:fill="F2E3C7" w:themeFill="accent6"/>
          </w:tcPr>
          <w:p w14:paraId="297CA015" w14:textId="77777777" w:rsidR="006103E2" w:rsidRPr="004B586D" w:rsidRDefault="006103E2">
            <w:pPr>
              <w:pStyle w:val="TableColumnHeadingLeft"/>
              <w:jc w:val="right"/>
              <w:rPr>
                <w:sz w:val="18"/>
                <w:szCs w:val="18"/>
              </w:rPr>
            </w:pPr>
          </w:p>
        </w:tc>
        <w:tc>
          <w:tcPr>
            <w:tcW w:w="822" w:type="dxa"/>
            <w:tcBorders>
              <w:left w:val="nil"/>
              <w:right w:val="nil"/>
            </w:tcBorders>
            <w:shd w:val="clear" w:color="auto" w:fill="F2E3C7" w:themeFill="accent6"/>
          </w:tcPr>
          <w:p w14:paraId="2D160432" w14:textId="77777777" w:rsidR="006103E2" w:rsidRPr="004B586D" w:rsidRDefault="006103E2">
            <w:pPr>
              <w:pStyle w:val="TableColumnHeadingLeft"/>
              <w:jc w:val="right"/>
              <w:rPr>
                <w:sz w:val="18"/>
                <w:szCs w:val="18"/>
              </w:rPr>
            </w:pPr>
          </w:p>
        </w:tc>
        <w:tc>
          <w:tcPr>
            <w:tcW w:w="822" w:type="dxa"/>
            <w:tcBorders>
              <w:left w:val="nil"/>
              <w:right w:val="nil"/>
            </w:tcBorders>
            <w:shd w:val="clear" w:color="auto" w:fill="F2E3C7" w:themeFill="accent6"/>
          </w:tcPr>
          <w:p w14:paraId="40ABBF57" w14:textId="77777777" w:rsidR="006103E2" w:rsidRPr="004B586D" w:rsidRDefault="006103E2">
            <w:pPr>
              <w:pStyle w:val="TableColumnHeadingLeft"/>
              <w:jc w:val="right"/>
              <w:rPr>
                <w:sz w:val="18"/>
                <w:szCs w:val="18"/>
              </w:rPr>
            </w:pPr>
          </w:p>
        </w:tc>
        <w:tc>
          <w:tcPr>
            <w:tcW w:w="822" w:type="dxa"/>
            <w:tcBorders>
              <w:left w:val="nil"/>
              <w:right w:val="nil"/>
            </w:tcBorders>
            <w:shd w:val="clear" w:color="auto" w:fill="F2E3C7" w:themeFill="accent6"/>
          </w:tcPr>
          <w:p w14:paraId="17D849E5" w14:textId="77777777" w:rsidR="006103E2" w:rsidRPr="004B586D" w:rsidRDefault="006103E2">
            <w:pPr>
              <w:pStyle w:val="TableColumnHeadingLeft"/>
              <w:jc w:val="right"/>
              <w:rPr>
                <w:sz w:val="18"/>
                <w:szCs w:val="18"/>
              </w:rPr>
            </w:pPr>
          </w:p>
        </w:tc>
        <w:tc>
          <w:tcPr>
            <w:tcW w:w="720" w:type="dxa"/>
            <w:tcBorders>
              <w:left w:val="nil"/>
              <w:right w:val="nil"/>
            </w:tcBorders>
            <w:shd w:val="clear" w:color="auto" w:fill="F2E3C7" w:themeFill="accent6"/>
          </w:tcPr>
          <w:p w14:paraId="5F978F23" w14:textId="77777777" w:rsidR="006103E2" w:rsidRDefault="006103E2">
            <w:pPr>
              <w:pStyle w:val="TableColumnHeadingLeft"/>
              <w:jc w:val="center"/>
              <w:rPr>
                <w:sz w:val="18"/>
                <w:szCs w:val="18"/>
              </w:rPr>
            </w:pPr>
            <w:r>
              <w:rPr>
                <w:sz w:val="18"/>
                <w:szCs w:val="18"/>
              </w:rPr>
              <w:t>1y</w:t>
            </w:r>
          </w:p>
        </w:tc>
        <w:tc>
          <w:tcPr>
            <w:tcW w:w="826" w:type="dxa"/>
            <w:tcBorders>
              <w:left w:val="nil"/>
              <w:right w:val="nil"/>
            </w:tcBorders>
            <w:shd w:val="clear" w:color="auto" w:fill="F2E3C7" w:themeFill="accent6"/>
          </w:tcPr>
          <w:p w14:paraId="545B0D5A" w14:textId="77777777" w:rsidR="006103E2" w:rsidRPr="004B586D" w:rsidRDefault="006103E2">
            <w:pPr>
              <w:pStyle w:val="TableColumnHeadingLeft"/>
              <w:jc w:val="center"/>
              <w:rPr>
                <w:sz w:val="18"/>
                <w:szCs w:val="18"/>
              </w:rPr>
            </w:pPr>
            <w:r>
              <w:rPr>
                <w:sz w:val="18"/>
                <w:szCs w:val="18"/>
              </w:rPr>
              <w:t>5y</w:t>
            </w:r>
          </w:p>
        </w:tc>
      </w:tr>
      <w:tr w:rsidR="006103E2" w:rsidRPr="002949B5" w14:paraId="018E3262" w14:textId="77777777" w:rsidTr="00990401">
        <w:tc>
          <w:tcPr>
            <w:tcW w:w="2438" w:type="dxa"/>
            <w:tcBorders>
              <w:left w:val="nil"/>
              <w:bottom w:val="single" w:sz="4" w:space="0" w:color="F2E3C7" w:themeColor="accent6"/>
              <w:right w:val="nil"/>
            </w:tcBorders>
          </w:tcPr>
          <w:p w14:paraId="046462BF" w14:textId="1F61251D" w:rsidR="006103E2" w:rsidRPr="002949B5" w:rsidRDefault="006103E2" w:rsidP="00FD64BA">
            <w:pPr>
              <w:pStyle w:val="TableTextLeft"/>
            </w:pPr>
            <w:r w:rsidRPr="002949B5">
              <w:t>Dwelling approvals</w:t>
            </w:r>
            <w:r w:rsidR="007814F0" w:rsidRPr="007814F0">
              <w:rPr>
                <w:vertAlign w:val="superscript"/>
              </w:rPr>
              <w:t>(</w:t>
            </w:r>
            <w:r w:rsidR="009C386B" w:rsidRPr="007814F0">
              <w:rPr>
                <w:vertAlign w:val="superscript"/>
              </w:rPr>
              <w:t>a</w:t>
            </w:r>
            <w:r w:rsidR="007814F0" w:rsidRPr="007814F0">
              <w:rPr>
                <w:vertAlign w:val="superscript"/>
              </w:rPr>
              <w:t>)</w:t>
            </w:r>
          </w:p>
        </w:tc>
        <w:tc>
          <w:tcPr>
            <w:tcW w:w="822" w:type="dxa"/>
            <w:tcBorders>
              <w:left w:val="nil"/>
              <w:bottom w:val="single" w:sz="4" w:space="0" w:color="F2E3C7" w:themeColor="accent6"/>
              <w:right w:val="nil"/>
            </w:tcBorders>
          </w:tcPr>
          <w:p w14:paraId="1A2CEA3E" w14:textId="3AF3B367" w:rsidR="006103E2" w:rsidRPr="002949B5" w:rsidRDefault="0056407B" w:rsidP="00FD64BA">
            <w:pPr>
              <w:pStyle w:val="TableTextRight"/>
            </w:pPr>
            <w:r w:rsidRPr="002949B5">
              <w:t>188,</w:t>
            </w:r>
            <w:r w:rsidR="00C9143E" w:rsidRPr="002949B5">
              <w:t>504</w:t>
            </w:r>
          </w:p>
        </w:tc>
        <w:tc>
          <w:tcPr>
            <w:tcW w:w="822" w:type="dxa"/>
            <w:tcBorders>
              <w:left w:val="nil"/>
              <w:bottom w:val="single" w:sz="4" w:space="0" w:color="F2E3C7" w:themeColor="accent6"/>
              <w:right w:val="nil"/>
            </w:tcBorders>
          </w:tcPr>
          <w:p w14:paraId="4823107C" w14:textId="32363F06" w:rsidR="006103E2" w:rsidRPr="002949B5" w:rsidRDefault="0056407B" w:rsidP="00FD64BA">
            <w:pPr>
              <w:pStyle w:val="TableTextRight"/>
            </w:pPr>
            <w:r w:rsidRPr="002949B5">
              <w:t>173,</w:t>
            </w:r>
            <w:r w:rsidR="00C9143E" w:rsidRPr="002949B5">
              <w:t>692</w:t>
            </w:r>
          </w:p>
        </w:tc>
        <w:tc>
          <w:tcPr>
            <w:tcW w:w="822" w:type="dxa"/>
            <w:tcBorders>
              <w:left w:val="nil"/>
              <w:bottom w:val="single" w:sz="4" w:space="0" w:color="F2E3C7" w:themeColor="accent6"/>
              <w:right w:val="nil"/>
            </w:tcBorders>
          </w:tcPr>
          <w:p w14:paraId="043C3539" w14:textId="661CA364" w:rsidR="006103E2" w:rsidRPr="002949B5" w:rsidRDefault="0056407B" w:rsidP="00FD64BA">
            <w:pPr>
              <w:pStyle w:val="TableTextRight"/>
            </w:pPr>
            <w:r w:rsidRPr="002949B5">
              <w:t>220,</w:t>
            </w:r>
            <w:r w:rsidR="00C9143E" w:rsidRPr="002949B5">
              <w:t>737</w:t>
            </w:r>
          </w:p>
        </w:tc>
        <w:tc>
          <w:tcPr>
            <w:tcW w:w="822" w:type="dxa"/>
            <w:tcBorders>
              <w:left w:val="nil"/>
              <w:bottom w:val="single" w:sz="4" w:space="0" w:color="F2E3C7" w:themeColor="accent6"/>
              <w:right w:val="nil"/>
            </w:tcBorders>
          </w:tcPr>
          <w:p w14:paraId="14D28CD3" w14:textId="73B527D7" w:rsidR="006103E2" w:rsidRPr="002949B5" w:rsidRDefault="0056407B" w:rsidP="00FD64BA">
            <w:pPr>
              <w:pStyle w:val="TableTextRight"/>
            </w:pPr>
            <w:r w:rsidRPr="002949B5">
              <w:t>202,</w:t>
            </w:r>
            <w:r w:rsidR="00C9143E" w:rsidRPr="002949B5">
              <w:t>791</w:t>
            </w:r>
          </w:p>
        </w:tc>
        <w:tc>
          <w:tcPr>
            <w:tcW w:w="822" w:type="dxa"/>
            <w:tcBorders>
              <w:left w:val="nil"/>
              <w:bottom w:val="single" w:sz="4" w:space="0" w:color="F2E3C7" w:themeColor="accent6"/>
              <w:right w:val="nil"/>
            </w:tcBorders>
          </w:tcPr>
          <w:p w14:paraId="6C712835" w14:textId="07C64E42" w:rsidR="006103E2" w:rsidRPr="002949B5" w:rsidRDefault="0056407B" w:rsidP="00FD64BA">
            <w:pPr>
              <w:pStyle w:val="TableTextRight"/>
            </w:pPr>
            <w:r w:rsidRPr="002949B5">
              <w:t>177,</w:t>
            </w:r>
            <w:r w:rsidR="00C9143E" w:rsidRPr="002949B5">
              <w:t>194</w:t>
            </w:r>
          </w:p>
        </w:tc>
        <w:tc>
          <w:tcPr>
            <w:tcW w:w="822" w:type="dxa"/>
            <w:tcBorders>
              <w:left w:val="nil"/>
              <w:bottom w:val="single" w:sz="4" w:space="0" w:color="F2E3C7" w:themeColor="accent6"/>
              <w:right w:val="nil"/>
            </w:tcBorders>
          </w:tcPr>
          <w:p w14:paraId="4C2063E0" w14:textId="5DB4E3DC" w:rsidR="006103E2" w:rsidRPr="002949B5" w:rsidRDefault="0056407B" w:rsidP="00FD64BA">
            <w:pPr>
              <w:pStyle w:val="TableTextRight"/>
            </w:pPr>
            <w:r w:rsidRPr="002949B5">
              <w:t>164,</w:t>
            </w:r>
            <w:r w:rsidR="00C9143E" w:rsidRPr="002949B5">
              <w:t>221</w:t>
            </w:r>
          </w:p>
        </w:tc>
        <w:tc>
          <w:tcPr>
            <w:tcW w:w="720" w:type="dxa"/>
            <w:tcBorders>
              <w:left w:val="nil"/>
              <w:bottom w:val="single" w:sz="4" w:space="0" w:color="F2E3C7" w:themeColor="accent6"/>
              <w:right w:val="nil"/>
            </w:tcBorders>
          </w:tcPr>
          <w:p w14:paraId="11A47480" w14:textId="4688AEF2" w:rsidR="006103E2" w:rsidRPr="002949B5" w:rsidRDefault="0056407B" w:rsidP="00FD64BA">
            <w:pPr>
              <w:pStyle w:val="TableTextRight"/>
            </w:pPr>
            <w:r w:rsidRPr="002949B5">
              <w:t>-7.3%</w:t>
            </w:r>
          </w:p>
        </w:tc>
        <w:tc>
          <w:tcPr>
            <w:tcW w:w="826" w:type="dxa"/>
            <w:tcBorders>
              <w:left w:val="nil"/>
              <w:bottom w:val="single" w:sz="4" w:space="0" w:color="F2E3C7" w:themeColor="accent6"/>
              <w:right w:val="nil"/>
            </w:tcBorders>
          </w:tcPr>
          <w:p w14:paraId="6D160A18" w14:textId="64AB070A" w:rsidR="006103E2" w:rsidRPr="002949B5" w:rsidRDefault="0056407B" w:rsidP="00FD64BA">
            <w:pPr>
              <w:pStyle w:val="TableTextRight"/>
            </w:pPr>
            <w:r w:rsidRPr="002949B5">
              <w:t>-12.9%</w:t>
            </w:r>
          </w:p>
        </w:tc>
      </w:tr>
      <w:tr w:rsidR="006103E2" w:rsidRPr="002949B5" w14:paraId="426988FF" w14:textId="77777777" w:rsidTr="00990401">
        <w:tc>
          <w:tcPr>
            <w:tcW w:w="2438" w:type="dxa"/>
            <w:tcBorders>
              <w:top w:val="single" w:sz="4" w:space="0" w:color="F2E3C7" w:themeColor="accent6"/>
              <w:left w:val="nil"/>
              <w:bottom w:val="single" w:sz="4" w:space="0" w:color="F2E3C7" w:themeColor="accent6"/>
              <w:right w:val="nil"/>
            </w:tcBorders>
          </w:tcPr>
          <w:p w14:paraId="472F9039" w14:textId="77777777" w:rsidR="006103E2" w:rsidRPr="002949B5" w:rsidRDefault="006103E2" w:rsidP="00FD64BA">
            <w:pPr>
              <w:pStyle w:val="TableTextIndented"/>
            </w:pPr>
            <w:r w:rsidRPr="002949B5">
              <w:t>Houses</w:t>
            </w:r>
          </w:p>
        </w:tc>
        <w:tc>
          <w:tcPr>
            <w:tcW w:w="822" w:type="dxa"/>
            <w:tcBorders>
              <w:top w:val="single" w:sz="4" w:space="0" w:color="F2E3C7" w:themeColor="accent6"/>
              <w:left w:val="nil"/>
              <w:bottom w:val="single" w:sz="4" w:space="0" w:color="F2E3C7" w:themeColor="accent6"/>
              <w:right w:val="nil"/>
            </w:tcBorders>
          </w:tcPr>
          <w:p w14:paraId="06BCC483" w14:textId="1039EF44" w:rsidR="006103E2" w:rsidRPr="002949B5" w:rsidRDefault="0056407B" w:rsidP="00FD64BA">
            <w:pPr>
              <w:pStyle w:val="TableTextRight"/>
            </w:pPr>
            <w:r w:rsidRPr="002949B5">
              <w:t>112,</w:t>
            </w:r>
            <w:r w:rsidR="00C9143E" w:rsidRPr="002949B5">
              <w:t>322</w:t>
            </w:r>
          </w:p>
        </w:tc>
        <w:tc>
          <w:tcPr>
            <w:tcW w:w="822" w:type="dxa"/>
            <w:tcBorders>
              <w:top w:val="single" w:sz="4" w:space="0" w:color="F2E3C7" w:themeColor="accent6"/>
              <w:left w:val="nil"/>
              <w:bottom w:val="single" w:sz="4" w:space="0" w:color="F2E3C7" w:themeColor="accent6"/>
              <w:right w:val="nil"/>
            </w:tcBorders>
          </w:tcPr>
          <w:p w14:paraId="12CB8074" w14:textId="199CB502" w:rsidR="006103E2" w:rsidRPr="002949B5" w:rsidRDefault="0056407B" w:rsidP="00FD64BA">
            <w:pPr>
              <w:pStyle w:val="TableTextRight"/>
            </w:pPr>
            <w:r w:rsidRPr="002949B5">
              <w:t>104,</w:t>
            </w:r>
            <w:r w:rsidR="00C9143E" w:rsidRPr="002949B5">
              <w:t>529</w:t>
            </w:r>
          </w:p>
        </w:tc>
        <w:tc>
          <w:tcPr>
            <w:tcW w:w="822" w:type="dxa"/>
            <w:tcBorders>
              <w:top w:val="single" w:sz="4" w:space="0" w:color="F2E3C7" w:themeColor="accent6"/>
              <w:left w:val="nil"/>
              <w:bottom w:val="single" w:sz="4" w:space="0" w:color="F2E3C7" w:themeColor="accent6"/>
              <w:right w:val="nil"/>
            </w:tcBorders>
          </w:tcPr>
          <w:p w14:paraId="240B91B9" w14:textId="2BD8D523" w:rsidR="006103E2" w:rsidRPr="002949B5" w:rsidRDefault="0056407B" w:rsidP="00FD64BA">
            <w:pPr>
              <w:pStyle w:val="TableTextRight"/>
            </w:pPr>
            <w:r w:rsidRPr="002949B5">
              <w:t>146,</w:t>
            </w:r>
            <w:r w:rsidR="00C9143E" w:rsidRPr="002949B5">
              <w:t>911</w:t>
            </w:r>
          </w:p>
        </w:tc>
        <w:tc>
          <w:tcPr>
            <w:tcW w:w="822" w:type="dxa"/>
            <w:tcBorders>
              <w:top w:val="single" w:sz="4" w:space="0" w:color="F2E3C7" w:themeColor="accent6"/>
              <w:left w:val="nil"/>
              <w:bottom w:val="single" w:sz="4" w:space="0" w:color="F2E3C7" w:themeColor="accent6"/>
              <w:right w:val="nil"/>
            </w:tcBorders>
          </w:tcPr>
          <w:p w14:paraId="6AE226CB" w14:textId="3875572A" w:rsidR="006103E2" w:rsidRPr="002949B5" w:rsidRDefault="0056407B" w:rsidP="00FD64BA">
            <w:pPr>
              <w:pStyle w:val="TableTextRight"/>
            </w:pPr>
            <w:r w:rsidRPr="002949B5">
              <w:t>125,</w:t>
            </w:r>
            <w:r w:rsidR="00C9143E" w:rsidRPr="002949B5">
              <w:t>398</w:t>
            </w:r>
          </w:p>
        </w:tc>
        <w:tc>
          <w:tcPr>
            <w:tcW w:w="822" w:type="dxa"/>
            <w:tcBorders>
              <w:top w:val="single" w:sz="4" w:space="0" w:color="F2E3C7" w:themeColor="accent6"/>
              <w:left w:val="nil"/>
              <w:bottom w:val="single" w:sz="4" w:space="0" w:color="F2E3C7" w:themeColor="accent6"/>
              <w:right w:val="nil"/>
            </w:tcBorders>
          </w:tcPr>
          <w:p w14:paraId="00F7299E" w14:textId="089DA99F" w:rsidR="006103E2" w:rsidRPr="002949B5" w:rsidRDefault="0056407B" w:rsidP="00FD64BA">
            <w:pPr>
              <w:pStyle w:val="TableTextRight"/>
            </w:pPr>
            <w:r w:rsidRPr="002949B5">
              <w:t>107,</w:t>
            </w:r>
            <w:r w:rsidR="00C9143E" w:rsidRPr="002949B5">
              <w:t>328</w:t>
            </w:r>
          </w:p>
        </w:tc>
        <w:tc>
          <w:tcPr>
            <w:tcW w:w="822" w:type="dxa"/>
            <w:tcBorders>
              <w:top w:val="single" w:sz="4" w:space="0" w:color="F2E3C7" w:themeColor="accent6"/>
              <w:left w:val="nil"/>
              <w:bottom w:val="single" w:sz="4" w:space="0" w:color="F2E3C7" w:themeColor="accent6"/>
              <w:right w:val="nil"/>
            </w:tcBorders>
          </w:tcPr>
          <w:p w14:paraId="25044D38" w14:textId="2380F78E" w:rsidR="006103E2" w:rsidRPr="002949B5" w:rsidRDefault="0056407B" w:rsidP="00FD64BA">
            <w:pPr>
              <w:pStyle w:val="TableTextRight"/>
            </w:pPr>
            <w:r w:rsidRPr="002949B5">
              <w:t>106,</w:t>
            </w:r>
            <w:r w:rsidR="00C9143E" w:rsidRPr="002949B5">
              <w:t>058</w:t>
            </w:r>
          </w:p>
        </w:tc>
        <w:tc>
          <w:tcPr>
            <w:tcW w:w="720" w:type="dxa"/>
            <w:tcBorders>
              <w:top w:val="single" w:sz="4" w:space="0" w:color="F2E3C7" w:themeColor="accent6"/>
              <w:left w:val="nil"/>
              <w:bottom w:val="single" w:sz="4" w:space="0" w:color="F2E3C7" w:themeColor="accent6"/>
              <w:right w:val="nil"/>
            </w:tcBorders>
          </w:tcPr>
          <w:p w14:paraId="31132760" w14:textId="62828742" w:rsidR="006103E2" w:rsidRPr="002949B5" w:rsidRDefault="0056407B" w:rsidP="00FD64BA">
            <w:pPr>
              <w:pStyle w:val="TableTextRight"/>
            </w:pPr>
            <w:r w:rsidRPr="002949B5">
              <w:t>-1.2%</w:t>
            </w:r>
          </w:p>
        </w:tc>
        <w:tc>
          <w:tcPr>
            <w:tcW w:w="826" w:type="dxa"/>
            <w:tcBorders>
              <w:top w:val="single" w:sz="4" w:space="0" w:color="F2E3C7" w:themeColor="accent6"/>
              <w:left w:val="nil"/>
              <w:bottom w:val="single" w:sz="4" w:space="0" w:color="F2E3C7" w:themeColor="accent6"/>
              <w:right w:val="nil"/>
            </w:tcBorders>
          </w:tcPr>
          <w:p w14:paraId="46DA5E89" w14:textId="42A0C038" w:rsidR="006103E2" w:rsidRPr="002949B5" w:rsidRDefault="0056407B" w:rsidP="00FD64BA">
            <w:pPr>
              <w:pStyle w:val="TableTextRight"/>
            </w:pPr>
            <w:r w:rsidRPr="002949B5">
              <w:t>-5.6%</w:t>
            </w:r>
          </w:p>
        </w:tc>
      </w:tr>
      <w:tr w:rsidR="006103E2" w:rsidRPr="002949B5" w14:paraId="0839B2FF" w14:textId="77777777" w:rsidTr="00990401">
        <w:tc>
          <w:tcPr>
            <w:tcW w:w="2438" w:type="dxa"/>
            <w:tcBorders>
              <w:top w:val="single" w:sz="4" w:space="0" w:color="F2E3C7" w:themeColor="accent6"/>
              <w:left w:val="nil"/>
              <w:bottom w:val="single" w:sz="4" w:space="0" w:color="F2E3C7" w:themeColor="accent6"/>
              <w:right w:val="nil"/>
            </w:tcBorders>
          </w:tcPr>
          <w:p w14:paraId="65B96AE9" w14:textId="08F8DDE8" w:rsidR="006103E2" w:rsidRPr="002949B5" w:rsidRDefault="006103E2" w:rsidP="00FD64BA">
            <w:pPr>
              <w:pStyle w:val="TableTextIndented"/>
              <w:rPr>
                <w:szCs w:val="18"/>
              </w:rPr>
            </w:pPr>
            <w:r w:rsidRPr="002949B5">
              <w:rPr>
                <w:szCs w:val="18"/>
              </w:rPr>
              <w:t>Higher</w:t>
            </w:r>
            <w:r w:rsidR="00A15C79" w:rsidRPr="002949B5">
              <w:rPr>
                <w:szCs w:val="18"/>
              </w:rPr>
              <w:noBreakHyphen/>
            </w:r>
            <w:r w:rsidRPr="002949B5">
              <w:rPr>
                <w:szCs w:val="18"/>
              </w:rPr>
              <w:t>density</w:t>
            </w:r>
          </w:p>
        </w:tc>
        <w:tc>
          <w:tcPr>
            <w:tcW w:w="822" w:type="dxa"/>
            <w:tcBorders>
              <w:top w:val="single" w:sz="4" w:space="0" w:color="F2E3C7" w:themeColor="accent6"/>
              <w:left w:val="nil"/>
              <w:bottom w:val="single" w:sz="4" w:space="0" w:color="F2E3C7" w:themeColor="accent6"/>
              <w:right w:val="nil"/>
            </w:tcBorders>
          </w:tcPr>
          <w:p w14:paraId="15476967" w14:textId="2BFAEC5A" w:rsidR="006103E2" w:rsidRPr="002949B5" w:rsidRDefault="0056407B" w:rsidP="00FD64BA">
            <w:pPr>
              <w:pStyle w:val="TableTextRight"/>
            </w:pPr>
            <w:r w:rsidRPr="002949B5">
              <w:t>76,</w:t>
            </w:r>
            <w:r w:rsidR="00C9143E" w:rsidRPr="002949B5">
              <w:t>183</w:t>
            </w:r>
          </w:p>
        </w:tc>
        <w:tc>
          <w:tcPr>
            <w:tcW w:w="822" w:type="dxa"/>
            <w:tcBorders>
              <w:top w:val="single" w:sz="4" w:space="0" w:color="F2E3C7" w:themeColor="accent6"/>
              <w:left w:val="nil"/>
              <w:bottom w:val="single" w:sz="4" w:space="0" w:color="F2E3C7" w:themeColor="accent6"/>
              <w:right w:val="nil"/>
            </w:tcBorders>
          </w:tcPr>
          <w:p w14:paraId="6FA35873" w14:textId="544A0186" w:rsidR="006103E2" w:rsidRPr="002949B5" w:rsidRDefault="0056407B" w:rsidP="00FD64BA">
            <w:pPr>
              <w:pStyle w:val="TableTextRight"/>
            </w:pPr>
            <w:r w:rsidRPr="002949B5">
              <w:t>69,</w:t>
            </w:r>
            <w:r w:rsidR="00C9143E" w:rsidRPr="002949B5">
              <w:t>163</w:t>
            </w:r>
          </w:p>
        </w:tc>
        <w:tc>
          <w:tcPr>
            <w:tcW w:w="822" w:type="dxa"/>
            <w:tcBorders>
              <w:top w:val="single" w:sz="4" w:space="0" w:color="F2E3C7" w:themeColor="accent6"/>
              <w:left w:val="nil"/>
              <w:bottom w:val="single" w:sz="4" w:space="0" w:color="F2E3C7" w:themeColor="accent6"/>
              <w:right w:val="nil"/>
            </w:tcBorders>
          </w:tcPr>
          <w:p w14:paraId="68853148" w14:textId="362960CD" w:rsidR="006103E2" w:rsidRPr="002949B5" w:rsidRDefault="0056407B" w:rsidP="00FD64BA">
            <w:pPr>
              <w:pStyle w:val="TableTextRight"/>
            </w:pPr>
            <w:r w:rsidRPr="002949B5">
              <w:t>73,</w:t>
            </w:r>
            <w:r w:rsidR="00C9143E" w:rsidRPr="002949B5">
              <w:t>828</w:t>
            </w:r>
          </w:p>
        </w:tc>
        <w:tc>
          <w:tcPr>
            <w:tcW w:w="822" w:type="dxa"/>
            <w:tcBorders>
              <w:top w:val="single" w:sz="4" w:space="0" w:color="F2E3C7" w:themeColor="accent6"/>
              <w:left w:val="nil"/>
              <w:bottom w:val="single" w:sz="4" w:space="0" w:color="F2E3C7" w:themeColor="accent6"/>
              <w:right w:val="nil"/>
            </w:tcBorders>
          </w:tcPr>
          <w:p w14:paraId="58C07A96" w14:textId="6C735A42" w:rsidR="006103E2" w:rsidRPr="002949B5" w:rsidRDefault="0056407B" w:rsidP="00FD64BA">
            <w:pPr>
              <w:pStyle w:val="TableTextRight"/>
            </w:pPr>
            <w:r w:rsidRPr="002949B5">
              <w:t>77,</w:t>
            </w:r>
            <w:r w:rsidR="00C9143E" w:rsidRPr="002949B5">
              <w:t>394</w:t>
            </w:r>
          </w:p>
        </w:tc>
        <w:tc>
          <w:tcPr>
            <w:tcW w:w="822" w:type="dxa"/>
            <w:tcBorders>
              <w:top w:val="single" w:sz="4" w:space="0" w:color="F2E3C7" w:themeColor="accent6"/>
              <w:left w:val="nil"/>
              <w:bottom w:val="single" w:sz="4" w:space="0" w:color="F2E3C7" w:themeColor="accent6"/>
              <w:right w:val="nil"/>
            </w:tcBorders>
          </w:tcPr>
          <w:p w14:paraId="6B2BA7C1" w14:textId="4B4396DC" w:rsidR="006103E2" w:rsidRPr="002949B5" w:rsidRDefault="0056407B" w:rsidP="00FD64BA">
            <w:pPr>
              <w:pStyle w:val="TableTextRight"/>
            </w:pPr>
            <w:r w:rsidRPr="002949B5">
              <w:t>69,</w:t>
            </w:r>
            <w:r w:rsidR="00C9143E" w:rsidRPr="002949B5">
              <w:t>870</w:t>
            </w:r>
          </w:p>
        </w:tc>
        <w:tc>
          <w:tcPr>
            <w:tcW w:w="822" w:type="dxa"/>
            <w:tcBorders>
              <w:top w:val="single" w:sz="4" w:space="0" w:color="F2E3C7" w:themeColor="accent6"/>
              <w:left w:val="nil"/>
              <w:bottom w:val="single" w:sz="4" w:space="0" w:color="F2E3C7" w:themeColor="accent6"/>
              <w:right w:val="nil"/>
            </w:tcBorders>
          </w:tcPr>
          <w:p w14:paraId="04CF7A19" w14:textId="7AFF45F1" w:rsidR="006103E2" w:rsidRPr="002949B5" w:rsidRDefault="0056407B" w:rsidP="00FD64BA">
            <w:pPr>
              <w:pStyle w:val="TableTextRight"/>
            </w:pPr>
            <w:r w:rsidRPr="002949B5">
              <w:t>58,</w:t>
            </w:r>
            <w:r w:rsidR="00C9143E" w:rsidRPr="002949B5">
              <w:t>164</w:t>
            </w:r>
          </w:p>
        </w:tc>
        <w:tc>
          <w:tcPr>
            <w:tcW w:w="720" w:type="dxa"/>
            <w:tcBorders>
              <w:top w:val="single" w:sz="4" w:space="0" w:color="F2E3C7" w:themeColor="accent6"/>
              <w:left w:val="nil"/>
              <w:bottom w:val="single" w:sz="4" w:space="0" w:color="F2E3C7" w:themeColor="accent6"/>
              <w:right w:val="nil"/>
            </w:tcBorders>
          </w:tcPr>
          <w:p w14:paraId="268BC29D" w14:textId="49A1F461" w:rsidR="006103E2" w:rsidRPr="002949B5" w:rsidRDefault="0056407B" w:rsidP="00FD64BA">
            <w:pPr>
              <w:pStyle w:val="TableTextRight"/>
            </w:pPr>
            <w:r w:rsidRPr="002949B5">
              <w:t>-16.8%</w:t>
            </w:r>
          </w:p>
        </w:tc>
        <w:tc>
          <w:tcPr>
            <w:tcW w:w="826" w:type="dxa"/>
            <w:tcBorders>
              <w:top w:val="single" w:sz="4" w:space="0" w:color="F2E3C7" w:themeColor="accent6"/>
              <w:left w:val="nil"/>
              <w:bottom w:val="single" w:sz="4" w:space="0" w:color="F2E3C7" w:themeColor="accent6"/>
              <w:right w:val="nil"/>
            </w:tcBorders>
          </w:tcPr>
          <w:p w14:paraId="5AB5B6FB" w14:textId="6FB41672" w:rsidR="006103E2" w:rsidRPr="002949B5" w:rsidRDefault="0056407B" w:rsidP="00FD64BA">
            <w:pPr>
              <w:pStyle w:val="TableTextRight"/>
            </w:pPr>
            <w:r w:rsidRPr="002949B5">
              <w:t>-23.7%</w:t>
            </w:r>
          </w:p>
        </w:tc>
      </w:tr>
      <w:tr w:rsidR="006103E2" w:rsidRPr="002949B5" w14:paraId="6A812EC0" w14:textId="77777777" w:rsidTr="00990401">
        <w:tc>
          <w:tcPr>
            <w:tcW w:w="2438" w:type="dxa"/>
            <w:tcBorders>
              <w:top w:val="single" w:sz="4" w:space="0" w:color="F2E3C7" w:themeColor="accent6"/>
              <w:left w:val="nil"/>
              <w:bottom w:val="single" w:sz="4" w:space="0" w:color="F2E3C7" w:themeColor="accent6"/>
              <w:right w:val="nil"/>
            </w:tcBorders>
          </w:tcPr>
          <w:p w14:paraId="2894A51F" w14:textId="77777777" w:rsidR="006103E2" w:rsidRPr="002949B5" w:rsidRDefault="006103E2" w:rsidP="00FD64BA">
            <w:pPr>
              <w:pStyle w:val="TableTextIndented"/>
              <w:rPr>
                <w:szCs w:val="18"/>
              </w:rPr>
            </w:pPr>
            <w:r w:rsidRPr="002949B5">
              <w:rPr>
                <w:szCs w:val="18"/>
              </w:rPr>
              <w:t>Public housing</w:t>
            </w:r>
          </w:p>
        </w:tc>
        <w:tc>
          <w:tcPr>
            <w:tcW w:w="822" w:type="dxa"/>
            <w:tcBorders>
              <w:top w:val="single" w:sz="4" w:space="0" w:color="F2E3C7" w:themeColor="accent6"/>
              <w:left w:val="nil"/>
              <w:bottom w:val="single" w:sz="4" w:space="0" w:color="F2E3C7" w:themeColor="accent6"/>
              <w:right w:val="nil"/>
            </w:tcBorders>
          </w:tcPr>
          <w:p w14:paraId="698F70D9" w14:textId="7EE1C56C" w:rsidR="006103E2" w:rsidRPr="002949B5" w:rsidRDefault="0056407B" w:rsidP="00FD64BA">
            <w:pPr>
              <w:pStyle w:val="TableTextRight"/>
            </w:pPr>
            <w:r w:rsidRPr="002949B5">
              <w:t>2,</w:t>
            </w:r>
            <w:r w:rsidR="00C9143E" w:rsidRPr="002949B5">
              <w:t>420</w:t>
            </w:r>
          </w:p>
        </w:tc>
        <w:tc>
          <w:tcPr>
            <w:tcW w:w="822" w:type="dxa"/>
            <w:tcBorders>
              <w:top w:val="single" w:sz="4" w:space="0" w:color="F2E3C7" w:themeColor="accent6"/>
              <w:left w:val="nil"/>
              <w:bottom w:val="single" w:sz="4" w:space="0" w:color="F2E3C7" w:themeColor="accent6"/>
              <w:right w:val="nil"/>
            </w:tcBorders>
          </w:tcPr>
          <w:p w14:paraId="3EE925D3" w14:textId="365FAB75" w:rsidR="006103E2" w:rsidRPr="002949B5" w:rsidRDefault="0056407B" w:rsidP="00FD64BA">
            <w:pPr>
              <w:pStyle w:val="TableTextRight"/>
            </w:pPr>
            <w:r w:rsidRPr="002949B5">
              <w:t>2,</w:t>
            </w:r>
            <w:r w:rsidR="00C9143E" w:rsidRPr="002949B5">
              <w:t>731</w:t>
            </w:r>
          </w:p>
        </w:tc>
        <w:tc>
          <w:tcPr>
            <w:tcW w:w="822" w:type="dxa"/>
            <w:tcBorders>
              <w:top w:val="single" w:sz="4" w:space="0" w:color="F2E3C7" w:themeColor="accent6"/>
              <w:left w:val="nil"/>
              <w:bottom w:val="single" w:sz="4" w:space="0" w:color="F2E3C7" w:themeColor="accent6"/>
              <w:right w:val="nil"/>
            </w:tcBorders>
          </w:tcPr>
          <w:p w14:paraId="115CE633" w14:textId="0F417EA6" w:rsidR="006103E2" w:rsidRPr="002949B5" w:rsidRDefault="0056407B" w:rsidP="00FD64BA">
            <w:pPr>
              <w:pStyle w:val="TableTextRight"/>
            </w:pPr>
            <w:r w:rsidRPr="002949B5">
              <w:t>3,</w:t>
            </w:r>
            <w:r w:rsidR="00C9143E" w:rsidRPr="002949B5">
              <w:t>904</w:t>
            </w:r>
          </w:p>
        </w:tc>
        <w:tc>
          <w:tcPr>
            <w:tcW w:w="822" w:type="dxa"/>
            <w:tcBorders>
              <w:top w:val="single" w:sz="4" w:space="0" w:color="F2E3C7" w:themeColor="accent6"/>
              <w:left w:val="nil"/>
              <w:bottom w:val="single" w:sz="4" w:space="0" w:color="F2E3C7" w:themeColor="accent6"/>
              <w:right w:val="nil"/>
            </w:tcBorders>
          </w:tcPr>
          <w:p w14:paraId="33F7DE23" w14:textId="5EA4634B" w:rsidR="006103E2" w:rsidRPr="002949B5" w:rsidRDefault="00C9143E" w:rsidP="00FD64BA">
            <w:pPr>
              <w:pStyle w:val="TableTextRight"/>
            </w:pPr>
            <w:r w:rsidRPr="002949B5">
              <w:t>3,956</w:t>
            </w:r>
          </w:p>
        </w:tc>
        <w:tc>
          <w:tcPr>
            <w:tcW w:w="822" w:type="dxa"/>
            <w:tcBorders>
              <w:top w:val="single" w:sz="4" w:space="0" w:color="F2E3C7" w:themeColor="accent6"/>
              <w:left w:val="nil"/>
              <w:bottom w:val="single" w:sz="4" w:space="0" w:color="F2E3C7" w:themeColor="accent6"/>
              <w:right w:val="nil"/>
            </w:tcBorders>
          </w:tcPr>
          <w:p w14:paraId="4711B39D" w14:textId="63822EE7" w:rsidR="006103E2" w:rsidRPr="002949B5" w:rsidRDefault="00C9143E" w:rsidP="00FD64BA">
            <w:pPr>
              <w:pStyle w:val="TableTextRight"/>
            </w:pPr>
            <w:r w:rsidRPr="002949B5">
              <w:t>2,972</w:t>
            </w:r>
          </w:p>
        </w:tc>
        <w:tc>
          <w:tcPr>
            <w:tcW w:w="822" w:type="dxa"/>
            <w:tcBorders>
              <w:top w:val="single" w:sz="4" w:space="0" w:color="F2E3C7" w:themeColor="accent6"/>
              <w:left w:val="nil"/>
              <w:bottom w:val="single" w:sz="4" w:space="0" w:color="F2E3C7" w:themeColor="accent6"/>
              <w:right w:val="nil"/>
            </w:tcBorders>
          </w:tcPr>
          <w:p w14:paraId="0D247225" w14:textId="144E3B06" w:rsidR="006103E2" w:rsidRPr="002949B5" w:rsidRDefault="0056407B" w:rsidP="00FD64BA">
            <w:pPr>
              <w:pStyle w:val="TableTextRight"/>
            </w:pPr>
            <w:r w:rsidRPr="002949B5">
              <w:t>2,</w:t>
            </w:r>
            <w:r w:rsidR="00C9143E" w:rsidRPr="002949B5">
              <w:t>733</w:t>
            </w:r>
          </w:p>
        </w:tc>
        <w:tc>
          <w:tcPr>
            <w:tcW w:w="720" w:type="dxa"/>
            <w:tcBorders>
              <w:top w:val="single" w:sz="4" w:space="0" w:color="F2E3C7" w:themeColor="accent6"/>
              <w:left w:val="nil"/>
              <w:bottom w:val="single" w:sz="4" w:space="0" w:color="F2E3C7" w:themeColor="accent6"/>
              <w:right w:val="nil"/>
            </w:tcBorders>
          </w:tcPr>
          <w:p w14:paraId="4A3B9C54" w14:textId="2B6BEAD8" w:rsidR="006103E2" w:rsidRPr="002949B5" w:rsidRDefault="0056407B" w:rsidP="00FD64BA">
            <w:pPr>
              <w:pStyle w:val="TableTextRight"/>
            </w:pPr>
            <w:r w:rsidRPr="002949B5">
              <w:t>-8.0%</w:t>
            </w:r>
          </w:p>
        </w:tc>
        <w:tc>
          <w:tcPr>
            <w:tcW w:w="826" w:type="dxa"/>
            <w:tcBorders>
              <w:top w:val="single" w:sz="4" w:space="0" w:color="F2E3C7" w:themeColor="accent6"/>
              <w:left w:val="nil"/>
              <w:bottom w:val="single" w:sz="4" w:space="0" w:color="F2E3C7" w:themeColor="accent6"/>
              <w:right w:val="nil"/>
            </w:tcBorders>
          </w:tcPr>
          <w:p w14:paraId="6BE926C4" w14:textId="661D2447" w:rsidR="006103E2" w:rsidRPr="002949B5" w:rsidRDefault="0056407B" w:rsidP="00FD64BA">
            <w:pPr>
              <w:pStyle w:val="TableTextRight"/>
            </w:pPr>
            <w:r w:rsidRPr="002949B5">
              <w:t>12.9%</w:t>
            </w:r>
          </w:p>
        </w:tc>
      </w:tr>
      <w:tr w:rsidR="006103E2" w:rsidRPr="002949B5" w14:paraId="5805713B" w14:textId="77777777" w:rsidTr="00990401">
        <w:tc>
          <w:tcPr>
            <w:tcW w:w="2438" w:type="dxa"/>
            <w:tcBorders>
              <w:top w:val="single" w:sz="4" w:space="0" w:color="F2E3C7" w:themeColor="accent6"/>
              <w:left w:val="nil"/>
              <w:bottom w:val="single" w:sz="4" w:space="0" w:color="F2E3C7" w:themeColor="accent6"/>
              <w:right w:val="nil"/>
            </w:tcBorders>
          </w:tcPr>
          <w:p w14:paraId="78EB7E32" w14:textId="187903B2" w:rsidR="006103E2" w:rsidRPr="002949B5" w:rsidRDefault="006103E2" w:rsidP="00FD64BA">
            <w:pPr>
              <w:pStyle w:val="TableTextLeft"/>
            </w:pPr>
            <w:r w:rsidRPr="002949B5">
              <w:t>Dwelling completions</w:t>
            </w:r>
            <w:r w:rsidR="007814F0" w:rsidRPr="007814F0">
              <w:rPr>
                <w:vertAlign w:val="superscript"/>
              </w:rPr>
              <w:t>(</w:t>
            </w:r>
            <w:r w:rsidR="009C386B" w:rsidRPr="007814F0">
              <w:rPr>
                <w:vertAlign w:val="superscript"/>
              </w:rPr>
              <w:t>b</w:t>
            </w:r>
            <w:r w:rsidR="007814F0" w:rsidRPr="007814F0">
              <w:rPr>
                <w:vertAlign w:val="superscript"/>
              </w:rPr>
              <w:t>)</w:t>
            </w:r>
          </w:p>
        </w:tc>
        <w:tc>
          <w:tcPr>
            <w:tcW w:w="822" w:type="dxa"/>
            <w:tcBorders>
              <w:top w:val="single" w:sz="4" w:space="0" w:color="F2E3C7" w:themeColor="accent6"/>
              <w:left w:val="nil"/>
              <w:bottom w:val="single" w:sz="4" w:space="0" w:color="F2E3C7" w:themeColor="accent6"/>
              <w:right w:val="nil"/>
            </w:tcBorders>
          </w:tcPr>
          <w:p w14:paraId="7D554D6E" w14:textId="0705A066" w:rsidR="006103E2" w:rsidRPr="002949B5" w:rsidRDefault="00F10334" w:rsidP="00FD64BA">
            <w:pPr>
              <w:pStyle w:val="TableTextRight"/>
            </w:pPr>
            <w:r w:rsidRPr="002949B5">
              <w:t>214,</w:t>
            </w:r>
            <w:r w:rsidR="00C9143E" w:rsidRPr="002949B5">
              <w:t>906</w:t>
            </w:r>
          </w:p>
        </w:tc>
        <w:tc>
          <w:tcPr>
            <w:tcW w:w="822" w:type="dxa"/>
            <w:tcBorders>
              <w:top w:val="single" w:sz="4" w:space="0" w:color="F2E3C7" w:themeColor="accent6"/>
              <w:left w:val="nil"/>
              <w:bottom w:val="single" w:sz="4" w:space="0" w:color="F2E3C7" w:themeColor="accent6"/>
              <w:right w:val="nil"/>
            </w:tcBorders>
          </w:tcPr>
          <w:p w14:paraId="4C886C2C" w14:textId="7DE70C0B" w:rsidR="006103E2" w:rsidRPr="002949B5" w:rsidRDefault="00F10334" w:rsidP="00FD64BA">
            <w:pPr>
              <w:pStyle w:val="TableTextRight"/>
            </w:pPr>
            <w:r w:rsidRPr="002949B5">
              <w:t>191,</w:t>
            </w:r>
            <w:r w:rsidR="00C9143E" w:rsidRPr="002949B5">
              <w:t>846</w:t>
            </w:r>
          </w:p>
        </w:tc>
        <w:tc>
          <w:tcPr>
            <w:tcW w:w="822" w:type="dxa"/>
            <w:tcBorders>
              <w:top w:val="single" w:sz="4" w:space="0" w:color="F2E3C7" w:themeColor="accent6"/>
              <w:left w:val="nil"/>
              <w:bottom w:val="single" w:sz="4" w:space="0" w:color="F2E3C7" w:themeColor="accent6"/>
              <w:right w:val="nil"/>
            </w:tcBorders>
          </w:tcPr>
          <w:p w14:paraId="28AAAD87" w14:textId="23C5FB88" w:rsidR="006103E2" w:rsidRPr="002949B5" w:rsidRDefault="00F10334" w:rsidP="00FD64BA">
            <w:pPr>
              <w:pStyle w:val="TableTextRight"/>
            </w:pPr>
            <w:r w:rsidRPr="002949B5">
              <w:t>180,</w:t>
            </w:r>
            <w:r w:rsidR="00C9143E" w:rsidRPr="002949B5">
              <w:t>278</w:t>
            </w:r>
          </w:p>
        </w:tc>
        <w:tc>
          <w:tcPr>
            <w:tcW w:w="822" w:type="dxa"/>
            <w:tcBorders>
              <w:top w:val="single" w:sz="4" w:space="0" w:color="F2E3C7" w:themeColor="accent6"/>
              <w:left w:val="nil"/>
              <w:bottom w:val="single" w:sz="4" w:space="0" w:color="F2E3C7" w:themeColor="accent6"/>
              <w:right w:val="nil"/>
            </w:tcBorders>
          </w:tcPr>
          <w:p w14:paraId="36CFC9D8" w14:textId="7D4F5BDB" w:rsidR="006103E2" w:rsidRPr="002949B5" w:rsidRDefault="00F10334" w:rsidP="00FD64BA">
            <w:pPr>
              <w:pStyle w:val="TableTextRight"/>
            </w:pPr>
            <w:r w:rsidRPr="002949B5">
              <w:t>172,</w:t>
            </w:r>
            <w:r w:rsidR="00C9143E" w:rsidRPr="002949B5">
              <w:t>714</w:t>
            </w:r>
          </w:p>
        </w:tc>
        <w:tc>
          <w:tcPr>
            <w:tcW w:w="822" w:type="dxa"/>
            <w:tcBorders>
              <w:top w:val="single" w:sz="4" w:space="0" w:color="F2E3C7" w:themeColor="accent6"/>
              <w:left w:val="nil"/>
              <w:bottom w:val="single" w:sz="4" w:space="0" w:color="F2E3C7" w:themeColor="accent6"/>
              <w:right w:val="nil"/>
            </w:tcBorders>
          </w:tcPr>
          <w:p w14:paraId="5C7F26FA" w14:textId="6883DD63" w:rsidR="006103E2" w:rsidRPr="002949B5" w:rsidRDefault="00C9143E" w:rsidP="00FD64BA">
            <w:pPr>
              <w:pStyle w:val="TableTextRight"/>
            </w:pPr>
            <w:r w:rsidRPr="002949B5">
              <w:t>173,986</w:t>
            </w:r>
          </w:p>
        </w:tc>
        <w:tc>
          <w:tcPr>
            <w:tcW w:w="822" w:type="dxa"/>
            <w:tcBorders>
              <w:top w:val="single" w:sz="4" w:space="0" w:color="F2E3C7" w:themeColor="accent6"/>
              <w:left w:val="nil"/>
              <w:bottom w:val="single" w:sz="4" w:space="0" w:color="F2E3C7" w:themeColor="accent6"/>
              <w:right w:val="nil"/>
            </w:tcBorders>
          </w:tcPr>
          <w:p w14:paraId="150737EA" w14:textId="25D1107C" w:rsidR="006103E2" w:rsidRPr="002949B5" w:rsidRDefault="00F10334" w:rsidP="00FD64BA">
            <w:pPr>
              <w:pStyle w:val="TableTextRight"/>
            </w:pPr>
            <w:r w:rsidRPr="002949B5">
              <w:t>176,</w:t>
            </w:r>
            <w:r w:rsidR="00C9143E" w:rsidRPr="002949B5">
              <w:t>748</w:t>
            </w:r>
          </w:p>
        </w:tc>
        <w:tc>
          <w:tcPr>
            <w:tcW w:w="720" w:type="dxa"/>
            <w:tcBorders>
              <w:top w:val="single" w:sz="4" w:space="0" w:color="F2E3C7" w:themeColor="accent6"/>
              <w:left w:val="nil"/>
              <w:bottom w:val="single" w:sz="4" w:space="0" w:color="F2E3C7" w:themeColor="accent6"/>
              <w:right w:val="nil"/>
            </w:tcBorders>
          </w:tcPr>
          <w:p w14:paraId="50F8BF7C" w14:textId="60721FA4" w:rsidR="006103E2" w:rsidRPr="002949B5" w:rsidRDefault="00F10334" w:rsidP="00FD64BA">
            <w:pPr>
              <w:pStyle w:val="TableTextRight"/>
            </w:pPr>
            <w:r w:rsidRPr="002949B5">
              <w:t>1.6%</w:t>
            </w:r>
          </w:p>
        </w:tc>
        <w:tc>
          <w:tcPr>
            <w:tcW w:w="826" w:type="dxa"/>
            <w:tcBorders>
              <w:top w:val="single" w:sz="4" w:space="0" w:color="F2E3C7" w:themeColor="accent6"/>
              <w:left w:val="nil"/>
              <w:bottom w:val="single" w:sz="4" w:space="0" w:color="F2E3C7" w:themeColor="accent6"/>
              <w:right w:val="nil"/>
            </w:tcBorders>
          </w:tcPr>
          <w:p w14:paraId="71D6C9B7" w14:textId="21A007B3" w:rsidR="006103E2" w:rsidRPr="002949B5" w:rsidRDefault="00F10334" w:rsidP="00FD64BA">
            <w:pPr>
              <w:pStyle w:val="TableTextRight"/>
            </w:pPr>
            <w:r w:rsidRPr="002949B5">
              <w:t>-17.8%</w:t>
            </w:r>
          </w:p>
        </w:tc>
      </w:tr>
      <w:tr w:rsidR="006103E2" w:rsidRPr="002949B5" w14:paraId="79F8966B" w14:textId="77777777" w:rsidTr="00990401">
        <w:tc>
          <w:tcPr>
            <w:tcW w:w="2438" w:type="dxa"/>
            <w:tcBorders>
              <w:top w:val="single" w:sz="4" w:space="0" w:color="F2E3C7" w:themeColor="accent6"/>
              <w:left w:val="nil"/>
              <w:bottom w:val="single" w:sz="4" w:space="0" w:color="F2E3C7" w:themeColor="accent6"/>
              <w:right w:val="nil"/>
            </w:tcBorders>
          </w:tcPr>
          <w:p w14:paraId="63D5D918" w14:textId="77777777" w:rsidR="006103E2" w:rsidRPr="002949B5" w:rsidRDefault="006103E2" w:rsidP="00FD64BA">
            <w:pPr>
              <w:pStyle w:val="TableTextIndented"/>
            </w:pPr>
            <w:r w:rsidRPr="002949B5">
              <w:t>Houses</w:t>
            </w:r>
          </w:p>
        </w:tc>
        <w:tc>
          <w:tcPr>
            <w:tcW w:w="822" w:type="dxa"/>
            <w:tcBorders>
              <w:top w:val="single" w:sz="4" w:space="0" w:color="F2E3C7" w:themeColor="accent6"/>
              <w:left w:val="nil"/>
              <w:bottom w:val="single" w:sz="4" w:space="0" w:color="F2E3C7" w:themeColor="accent6"/>
              <w:right w:val="nil"/>
            </w:tcBorders>
          </w:tcPr>
          <w:p w14:paraId="1DF666CE" w14:textId="1354297C" w:rsidR="006103E2" w:rsidRPr="002949B5" w:rsidRDefault="00F10334" w:rsidP="00FD64BA">
            <w:pPr>
              <w:pStyle w:val="TableTextRight"/>
            </w:pPr>
            <w:r w:rsidRPr="002949B5">
              <w:t>121,</w:t>
            </w:r>
            <w:r w:rsidR="00C9143E" w:rsidRPr="002949B5">
              <w:t>546</w:t>
            </w:r>
          </w:p>
        </w:tc>
        <w:tc>
          <w:tcPr>
            <w:tcW w:w="822" w:type="dxa"/>
            <w:tcBorders>
              <w:top w:val="single" w:sz="4" w:space="0" w:color="F2E3C7" w:themeColor="accent6"/>
              <w:left w:val="nil"/>
              <w:bottom w:val="single" w:sz="4" w:space="0" w:color="F2E3C7" w:themeColor="accent6"/>
              <w:right w:val="nil"/>
            </w:tcBorders>
          </w:tcPr>
          <w:p w14:paraId="10D2B4B2" w14:textId="1EC82A27" w:rsidR="006103E2" w:rsidRPr="002949B5" w:rsidRDefault="00F10334" w:rsidP="00FD64BA">
            <w:pPr>
              <w:pStyle w:val="TableTextRight"/>
            </w:pPr>
            <w:r w:rsidRPr="002949B5">
              <w:t>105,</w:t>
            </w:r>
            <w:r w:rsidR="00C9143E" w:rsidRPr="002949B5">
              <w:t>175</w:t>
            </w:r>
          </w:p>
        </w:tc>
        <w:tc>
          <w:tcPr>
            <w:tcW w:w="822" w:type="dxa"/>
            <w:tcBorders>
              <w:top w:val="single" w:sz="4" w:space="0" w:color="F2E3C7" w:themeColor="accent6"/>
              <w:left w:val="nil"/>
              <w:bottom w:val="single" w:sz="4" w:space="0" w:color="F2E3C7" w:themeColor="accent6"/>
              <w:right w:val="nil"/>
            </w:tcBorders>
          </w:tcPr>
          <w:p w14:paraId="7E6ACB8E" w14:textId="0005E52D" w:rsidR="006103E2" w:rsidRPr="002949B5" w:rsidRDefault="00F10334" w:rsidP="00FD64BA">
            <w:pPr>
              <w:pStyle w:val="TableTextRight"/>
            </w:pPr>
            <w:r w:rsidRPr="002949B5">
              <w:t>104,</w:t>
            </w:r>
            <w:r w:rsidR="00C9143E" w:rsidRPr="002949B5">
              <w:t>657</w:t>
            </w:r>
          </w:p>
        </w:tc>
        <w:tc>
          <w:tcPr>
            <w:tcW w:w="822" w:type="dxa"/>
            <w:tcBorders>
              <w:top w:val="single" w:sz="4" w:space="0" w:color="F2E3C7" w:themeColor="accent6"/>
              <w:left w:val="nil"/>
              <w:bottom w:val="single" w:sz="4" w:space="0" w:color="F2E3C7" w:themeColor="accent6"/>
              <w:right w:val="nil"/>
            </w:tcBorders>
          </w:tcPr>
          <w:p w14:paraId="620FFDF2" w14:textId="0CAEB619" w:rsidR="006103E2" w:rsidRPr="002949B5" w:rsidRDefault="00F10334" w:rsidP="00FD64BA">
            <w:pPr>
              <w:pStyle w:val="TableTextRight"/>
            </w:pPr>
            <w:r w:rsidRPr="002949B5">
              <w:t>115,</w:t>
            </w:r>
            <w:r w:rsidR="00C9143E" w:rsidRPr="002949B5">
              <w:t>760</w:t>
            </w:r>
          </w:p>
        </w:tc>
        <w:tc>
          <w:tcPr>
            <w:tcW w:w="822" w:type="dxa"/>
            <w:tcBorders>
              <w:top w:val="single" w:sz="4" w:space="0" w:color="F2E3C7" w:themeColor="accent6"/>
              <w:left w:val="nil"/>
              <w:bottom w:val="single" w:sz="4" w:space="0" w:color="F2E3C7" w:themeColor="accent6"/>
              <w:right w:val="nil"/>
            </w:tcBorders>
          </w:tcPr>
          <w:p w14:paraId="1A8E1465" w14:textId="258C955B" w:rsidR="006103E2" w:rsidRPr="002949B5" w:rsidRDefault="00F10334" w:rsidP="00FD64BA">
            <w:pPr>
              <w:pStyle w:val="TableTextRight"/>
            </w:pPr>
            <w:r w:rsidRPr="002949B5">
              <w:t>110,</w:t>
            </w:r>
            <w:r w:rsidR="00C9143E" w:rsidRPr="002949B5">
              <w:t>812</w:t>
            </w:r>
          </w:p>
        </w:tc>
        <w:tc>
          <w:tcPr>
            <w:tcW w:w="822" w:type="dxa"/>
            <w:tcBorders>
              <w:top w:val="single" w:sz="4" w:space="0" w:color="F2E3C7" w:themeColor="accent6"/>
              <w:left w:val="nil"/>
              <w:bottom w:val="single" w:sz="4" w:space="0" w:color="F2E3C7" w:themeColor="accent6"/>
              <w:right w:val="nil"/>
            </w:tcBorders>
          </w:tcPr>
          <w:p w14:paraId="57B1143F" w14:textId="1D4A8759" w:rsidR="006103E2" w:rsidRPr="002949B5" w:rsidRDefault="00F10334" w:rsidP="00FD64BA">
            <w:pPr>
              <w:pStyle w:val="TableTextRight"/>
            </w:pPr>
            <w:r w:rsidRPr="002949B5">
              <w:t>114,</w:t>
            </w:r>
            <w:r w:rsidR="00C9143E" w:rsidRPr="002949B5">
              <w:t>354</w:t>
            </w:r>
          </w:p>
        </w:tc>
        <w:tc>
          <w:tcPr>
            <w:tcW w:w="720" w:type="dxa"/>
            <w:tcBorders>
              <w:top w:val="single" w:sz="4" w:space="0" w:color="F2E3C7" w:themeColor="accent6"/>
              <w:left w:val="nil"/>
              <w:bottom w:val="single" w:sz="4" w:space="0" w:color="F2E3C7" w:themeColor="accent6"/>
              <w:right w:val="nil"/>
            </w:tcBorders>
          </w:tcPr>
          <w:p w14:paraId="3F629F83" w14:textId="4F371927" w:rsidR="006103E2" w:rsidRPr="002949B5" w:rsidRDefault="00F10334" w:rsidP="00FD64BA">
            <w:pPr>
              <w:pStyle w:val="TableTextRight"/>
            </w:pPr>
            <w:r w:rsidRPr="002949B5">
              <w:t>3.2%</w:t>
            </w:r>
          </w:p>
        </w:tc>
        <w:tc>
          <w:tcPr>
            <w:tcW w:w="826" w:type="dxa"/>
            <w:tcBorders>
              <w:top w:val="single" w:sz="4" w:space="0" w:color="F2E3C7" w:themeColor="accent6"/>
              <w:left w:val="nil"/>
              <w:bottom w:val="single" w:sz="4" w:space="0" w:color="F2E3C7" w:themeColor="accent6"/>
              <w:right w:val="nil"/>
            </w:tcBorders>
          </w:tcPr>
          <w:p w14:paraId="458E2A46" w14:textId="3FD5B40F" w:rsidR="006103E2" w:rsidRPr="002949B5" w:rsidRDefault="00F10334" w:rsidP="00FD64BA">
            <w:pPr>
              <w:pStyle w:val="TableTextRight"/>
            </w:pPr>
            <w:r w:rsidRPr="002949B5">
              <w:t>-5.9%</w:t>
            </w:r>
          </w:p>
        </w:tc>
      </w:tr>
      <w:tr w:rsidR="006103E2" w:rsidRPr="002949B5" w14:paraId="66D6EBF8" w14:textId="77777777" w:rsidTr="00990401">
        <w:tc>
          <w:tcPr>
            <w:tcW w:w="2438" w:type="dxa"/>
            <w:tcBorders>
              <w:top w:val="single" w:sz="4" w:space="0" w:color="F2E3C7" w:themeColor="accent6"/>
              <w:left w:val="nil"/>
              <w:bottom w:val="single" w:sz="4" w:space="0" w:color="F2E3C7" w:themeColor="accent6"/>
              <w:right w:val="nil"/>
            </w:tcBorders>
          </w:tcPr>
          <w:p w14:paraId="50AF82A7" w14:textId="5109A40A" w:rsidR="006103E2" w:rsidRPr="002949B5" w:rsidRDefault="006103E2" w:rsidP="00FD64BA">
            <w:pPr>
              <w:pStyle w:val="TableTextIndented"/>
            </w:pPr>
            <w:r w:rsidRPr="002949B5">
              <w:t>Higher</w:t>
            </w:r>
            <w:r w:rsidR="00A15C79" w:rsidRPr="002949B5">
              <w:noBreakHyphen/>
            </w:r>
            <w:r w:rsidRPr="002949B5">
              <w:t xml:space="preserve">density </w:t>
            </w:r>
          </w:p>
        </w:tc>
        <w:tc>
          <w:tcPr>
            <w:tcW w:w="822" w:type="dxa"/>
            <w:tcBorders>
              <w:top w:val="single" w:sz="4" w:space="0" w:color="F2E3C7" w:themeColor="accent6"/>
              <w:left w:val="nil"/>
              <w:bottom w:val="single" w:sz="4" w:space="0" w:color="F2E3C7" w:themeColor="accent6"/>
              <w:right w:val="nil"/>
            </w:tcBorders>
          </w:tcPr>
          <w:p w14:paraId="78341D34" w14:textId="04698768" w:rsidR="006103E2" w:rsidRPr="002949B5" w:rsidRDefault="00F10334" w:rsidP="00FD64BA">
            <w:pPr>
              <w:pStyle w:val="TableTextRight"/>
            </w:pPr>
            <w:r w:rsidRPr="002949B5">
              <w:t>91,</w:t>
            </w:r>
            <w:r w:rsidR="00C9143E" w:rsidRPr="002949B5">
              <w:t>668</w:t>
            </w:r>
          </w:p>
        </w:tc>
        <w:tc>
          <w:tcPr>
            <w:tcW w:w="822" w:type="dxa"/>
            <w:tcBorders>
              <w:top w:val="single" w:sz="4" w:space="0" w:color="F2E3C7" w:themeColor="accent6"/>
              <w:left w:val="nil"/>
              <w:bottom w:val="single" w:sz="4" w:space="0" w:color="F2E3C7" w:themeColor="accent6"/>
              <w:right w:val="nil"/>
            </w:tcBorders>
          </w:tcPr>
          <w:p w14:paraId="02513A3F" w14:textId="5F7C6018" w:rsidR="006103E2" w:rsidRPr="002949B5" w:rsidRDefault="00F10334" w:rsidP="00FD64BA">
            <w:pPr>
              <w:pStyle w:val="TableTextRight"/>
            </w:pPr>
            <w:r w:rsidRPr="002949B5">
              <w:t>85,</w:t>
            </w:r>
            <w:r w:rsidR="00C9143E" w:rsidRPr="002949B5">
              <w:t>429</w:t>
            </w:r>
          </w:p>
        </w:tc>
        <w:tc>
          <w:tcPr>
            <w:tcW w:w="822" w:type="dxa"/>
            <w:tcBorders>
              <w:top w:val="single" w:sz="4" w:space="0" w:color="F2E3C7" w:themeColor="accent6"/>
              <w:left w:val="nil"/>
              <w:bottom w:val="single" w:sz="4" w:space="0" w:color="F2E3C7" w:themeColor="accent6"/>
              <w:right w:val="nil"/>
            </w:tcBorders>
          </w:tcPr>
          <w:p w14:paraId="01343B29" w14:textId="417F6537" w:rsidR="006103E2" w:rsidRPr="002949B5" w:rsidRDefault="00F10334" w:rsidP="00FD64BA">
            <w:pPr>
              <w:pStyle w:val="TableTextRight"/>
            </w:pPr>
            <w:r w:rsidRPr="002949B5">
              <w:t>74,</w:t>
            </w:r>
            <w:r w:rsidR="00C9143E" w:rsidRPr="002949B5">
              <w:t>614</w:t>
            </w:r>
          </w:p>
        </w:tc>
        <w:tc>
          <w:tcPr>
            <w:tcW w:w="822" w:type="dxa"/>
            <w:tcBorders>
              <w:top w:val="single" w:sz="4" w:space="0" w:color="F2E3C7" w:themeColor="accent6"/>
              <w:left w:val="nil"/>
              <w:bottom w:val="single" w:sz="4" w:space="0" w:color="F2E3C7" w:themeColor="accent6"/>
              <w:right w:val="nil"/>
            </w:tcBorders>
          </w:tcPr>
          <w:p w14:paraId="4BCE572F" w14:textId="4F5AC96B" w:rsidR="006103E2" w:rsidRPr="002949B5" w:rsidRDefault="00F10334" w:rsidP="00FD64BA">
            <w:pPr>
              <w:pStyle w:val="TableTextRight"/>
            </w:pPr>
            <w:r w:rsidRPr="002949B5">
              <w:t>56,</w:t>
            </w:r>
            <w:r w:rsidR="00C9143E" w:rsidRPr="002949B5">
              <w:t>045</w:t>
            </w:r>
          </w:p>
        </w:tc>
        <w:tc>
          <w:tcPr>
            <w:tcW w:w="822" w:type="dxa"/>
            <w:tcBorders>
              <w:top w:val="single" w:sz="4" w:space="0" w:color="F2E3C7" w:themeColor="accent6"/>
              <w:left w:val="nil"/>
              <w:bottom w:val="single" w:sz="4" w:space="0" w:color="F2E3C7" w:themeColor="accent6"/>
              <w:right w:val="nil"/>
            </w:tcBorders>
          </w:tcPr>
          <w:p w14:paraId="45F374E5" w14:textId="68EDF0ED" w:rsidR="006103E2" w:rsidRPr="002949B5" w:rsidRDefault="00F10334" w:rsidP="00FD64BA">
            <w:pPr>
              <w:pStyle w:val="TableTextRight"/>
            </w:pPr>
            <w:r w:rsidRPr="002949B5">
              <w:t>62,</w:t>
            </w:r>
            <w:r w:rsidR="00C9143E" w:rsidRPr="002949B5">
              <w:t>462</w:t>
            </w:r>
          </w:p>
        </w:tc>
        <w:tc>
          <w:tcPr>
            <w:tcW w:w="822" w:type="dxa"/>
            <w:tcBorders>
              <w:top w:val="single" w:sz="4" w:space="0" w:color="F2E3C7" w:themeColor="accent6"/>
              <w:left w:val="nil"/>
              <w:bottom w:val="single" w:sz="4" w:space="0" w:color="F2E3C7" w:themeColor="accent6"/>
              <w:right w:val="nil"/>
            </w:tcBorders>
          </w:tcPr>
          <w:p w14:paraId="27D83F39" w14:textId="0B4092E3" w:rsidR="006103E2" w:rsidRPr="002949B5" w:rsidRDefault="00F10334" w:rsidP="00FD64BA">
            <w:pPr>
              <w:pStyle w:val="TableTextRight"/>
            </w:pPr>
            <w:r w:rsidRPr="002949B5">
              <w:t>61,</w:t>
            </w:r>
            <w:r w:rsidR="00C9143E" w:rsidRPr="002949B5">
              <w:t>525</w:t>
            </w:r>
          </w:p>
        </w:tc>
        <w:tc>
          <w:tcPr>
            <w:tcW w:w="720" w:type="dxa"/>
            <w:tcBorders>
              <w:top w:val="single" w:sz="4" w:space="0" w:color="F2E3C7" w:themeColor="accent6"/>
              <w:left w:val="nil"/>
              <w:bottom w:val="single" w:sz="4" w:space="0" w:color="F2E3C7" w:themeColor="accent6"/>
              <w:right w:val="nil"/>
            </w:tcBorders>
          </w:tcPr>
          <w:p w14:paraId="2DFE32DE" w14:textId="58857B18" w:rsidR="006103E2" w:rsidRPr="002949B5" w:rsidRDefault="00F10334" w:rsidP="00FD64BA">
            <w:pPr>
              <w:pStyle w:val="TableTextRight"/>
            </w:pPr>
            <w:r w:rsidRPr="002949B5">
              <w:t>-1.5%</w:t>
            </w:r>
          </w:p>
        </w:tc>
        <w:tc>
          <w:tcPr>
            <w:tcW w:w="826" w:type="dxa"/>
            <w:tcBorders>
              <w:top w:val="single" w:sz="4" w:space="0" w:color="F2E3C7" w:themeColor="accent6"/>
              <w:left w:val="nil"/>
              <w:bottom w:val="single" w:sz="4" w:space="0" w:color="F2E3C7" w:themeColor="accent6"/>
              <w:right w:val="nil"/>
            </w:tcBorders>
          </w:tcPr>
          <w:p w14:paraId="0BF23B3B" w14:textId="349B45FD" w:rsidR="006103E2" w:rsidRPr="002949B5" w:rsidRDefault="00F10334" w:rsidP="00FD64BA">
            <w:pPr>
              <w:pStyle w:val="TableTextRight"/>
            </w:pPr>
            <w:r w:rsidRPr="002949B5">
              <w:t>-32.9%</w:t>
            </w:r>
          </w:p>
        </w:tc>
      </w:tr>
      <w:tr w:rsidR="006103E2" w:rsidRPr="002949B5" w14:paraId="6C9E1F0A" w14:textId="77777777" w:rsidTr="00990401">
        <w:tc>
          <w:tcPr>
            <w:tcW w:w="2438" w:type="dxa"/>
            <w:tcBorders>
              <w:top w:val="single" w:sz="4" w:space="0" w:color="F2E3C7" w:themeColor="accent6"/>
              <w:left w:val="nil"/>
              <w:bottom w:val="single" w:sz="4" w:space="0" w:color="F2E3C7" w:themeColor="accent6"/>
              <w:right w:val="nil"/>
            </w:tcBorders>
          </w:tcPr>
          <w:p w14:paraId="5E27895F" w14:textId="77777777" w:rsidR="006103E2" w:rsidRPr="002949B5" w:rsidRDefault="006103E2" w:rsidP="00FD64BA">
            <w:pPr>
              <w:pStyle w:val="TableTextIndented"/>
            </w:pPr>
            <w:r w:rsidRPr="002949B5">
              <w:t>Public housing</w:t>
            </w:r>
          </w:p>
        </w:tc>
        <w:tc>
          <w:tcPr>
            <w:tcW w:w="822" w:type="dxa"/>
            <w:tcBorders>
              <w:top w:val="single" w:sz="4" w:space="0" w:color="F2E3C7" w:themeColor="accent6"/>
              <w:left w:val="nil"/>
              <w:bottom w:val="single" w:sz="4" w:space="0" w:color="F2E3C7" w:themeColor="accent6"/>
              <w:right w:val="nil"/>
            </w:tcBorders>
          </w:tcPr>
          <w:p w14:paraId="2DCDDA27" w14:textId="43D8DC04" w:rsidR="006103E2" w:rsidRPr="002949B5" w:rsidRDefault="00F10334" w:rsidP="00FD64BA">
            <w:pPr>
              <w:pStyle w:val="TableTextRight"/>
            </w:pPr>
            <w:r w:rsidRPr="002949B5">
              <w:t>2,</w:t>
            </w:r>
            <w:r w:rsidR="00C9143E" w:rsidRPr="002949B5">
              <w:t>587</w:t>
            </w:r>
          </w:p>
        </w:tc>
        <w:tc>
          <w:tcPr>
            <w:tcW w:w="822" w:type="dxa"/>
            <w:tcBorders>
              <w:top w:val="single" w:sz="4" w:space="0" w:color="F2E3C7" w:themeColor="accent6"/>
              <w:left w:val="nil"/>
              <w:bottom w:val="single" w:sz="4" w:space="0" w:color="F2E3C7" w:themeColor="accent6"/>
              <w:right w:val="nil"/>
            </w:tcBorders>
          </w:tcPr>
          <w:p w14:paraId="4D36DF70" w14:textId="717D6EE0" w:rsidR="006103E2" w:rsidRPr="002949B5" w:rsidRDefault="00F10334" w:rsidP="00FD64BA">
            <w:pPr>
              <w:pStyle w:val="TableTextRight"/>
            </w:pPr>
            <w:r w:rsidRPr="002949B5">
              <w:t>2,</w:t>
            </w:r>
            <w:r w:rsidR="00C9143E" w:rsidRPr="002949B5">
              <w:t>253</w:t>
            </w:r>
          </w:p>
        </w:tc>
        <w:tc>
          <w:tcPr>
            <w:tcW w:w="822" w:type="dxa"/>
            <w:tcBorders>
              <w:top w:val="single" w:sz="4" w:space="0" w:color="F2E3C7" w:themeColor="accent6"/>
              <w:left w:val="nil"/>
              <w:bottom w:val="single" w:sz="4" w:space="0" w:color="F2E3C7" w:themeColor="accent6"/>
              <w:right w:val="nil"/>
            </w:tcBorders>
          </w:tcPr>
          <w:p w14:paraId="4D269A49" w14:textId="74137704" w:rsidR="006103E2" w:rsidRPr="002949B5" w:rsidRDefault="00F10334" w:rsidP="00FD64BA">
            <w:pPr>
              <w:pStyle w:val="TableTextRight"/>
            </w:pPr>
            <w:r w:rsidRPr="002949B5">
              <w:t>2,</w:t>
            </w:r>
            <w:r w:rsidR="00C9143E" w:rsidRPr="002949B5">
              <w:t>826</w:t>
            </w:r>
          </w:p>
        </w:tc>
        <w:tc>
          <w:tcPr>
            <w:tcW w:w="822" w:type="dxa"/>
            <w:tcBorders>
              <w:top w:val="single" w:sz="4" w:space="0" w:color="F2E3C7" w:themeColor="accent6"/>
              <w:left w:val="nil"/>
              <w:bottom w:val="single" w:sz="4" w:space="0" w:color="F2E3C7" w:themeColor="accent6"/>
              <w:right w:val="nil"/>
            </w:tcBorders>
          </w:tcPr>
          <w:p w14:paraId="5CF9D11D" w14:textId="29C9C72C" w:rsidR="006103E2" w:rsidRPr="002949B5" w:rsidRDefault="00F10334" w:rsidP="00FD64BA">
            <w:pPr>
              <w:pStyle w:val="TableTextRight"/>
            </w:pPr>
            <w:r w:rsidRPr="002949B5">
              <w:t>2,</w:t>
            </w:r>
            <w:r w:rsidR="00C9143E" w:rsidRPr="002949B5">
              <w:t>432</w:t>
            </w:r>
          </w:p>
        </w:tc>
        <w:tc>
          <w:tcPr>
            <w:tcW w:w="822" w:type="dxa"/>
            <w:tcBorders>
              <w:top w:val="single" w:sz="4" w:space="0" w:color="F2E3C7" w:themeColor="accent6"/>
              <w:left w:val="nil"/>
              <w:bottom w:val="single" w:sz="4" w:space="0" w:color="F2E3C7" w:themeColor="accent6"/>
              <w:right w:val="nil"/>
            </w:tcBorders>
          </w:tcPr>
          <w:p w14:paraId="76D82344" w14:textId="3CEA9A0F" w:rsidR="006103E2" w:rsidRPr="002949B5" w:rsidRDefault="00F10334" w:rsidP="00FD64BA">
            <w:pPr>
              <w:pStyle w:val="TableTextRight"/>
            </w:pPr>
            <w:r w:rsidRPr="002949B5">
              <w:t>3,</w:t>
            </w:r>
            <w:r w:rsidR="00C9143E" w:rsidRPr="002949B5">
              <w:t>181</w:t>
            </w:r>
          </w:p>
        </w:tc>
        <w:tc>
          <w:tcPr>
            <w:tcW w:w="822" w:type="dxa"/>
            <w:tcBorders>
              <w:top w:val="single" w:sz="4" w:space="0" w:color="F2E3C7" w:themeColor="accent6"/>
              <w:left w:val="nil"/>
              <w:bottom w:val="single" w:sz="4" w:space="0" w:color="F2E3C7" w:themeColor="accent6"/>
              <w:right w:val="nil"/>
            </w:tcBorders>
          </w:tcPr>
          <w:p w14:paraId="5CCDF0D2" w14:textId="0F24F856" w:rsidR="006103E2" w:rsidRPr="002949B5" w:rsidRDefault="00F10334" w:rsidP="00FD64BA">
            <w:pPr>
              <w:pStyle w:val="TableTextRight"/>
            </w:pPr>
            <w:r w:rsidRPr="002949B5">
              <w:t>3,</w:t>
            </w:r>
            <w:r w:rsidR="00C9143E" w:rsidRPr="002949B5">
              <w:t>288</w:t>
            </w:r>
          </w:p>
        </w:tc>
        <w:tc>
          <w:tcPr>
            <w:tcW w:w="720" w:type="dxa"/>
            <w:tcBorders>
              <w:top w:val="single" w:sz="4" w:space="0" w:color="F2E3C7" w:themeColor="accent6"/>
              <w:left w:val="nil"/>
              <w:bottom w:val="single" w:sz="4" w:space="0" w:color="F2E3C7" w:themeColor="accent6"/>
              <w:right w:val="nil"/>
            </w:tcBorders>
          </w:tcPr>
          <w:p w14:paraId="639C91B6" w14:textId="1857A847" w:rsidR="006103E2" w:rsidRPr="002949B5" w:rsidRDefault="00F10334" w:rsidP="00FD64BA">
            <w:pPr>
              <w:pStyle w:val="TableTextRight"/>
            </w:pPr>
            <w:r w:rsidRPr="002949B5">
              <w:t>3.4%</w:t>
            </w:r>
          </w:p>
        </w:tc>
        <w:tc>
          <w:tcPr>
            <w:tcW w:w="826" w:type="dxa"/>
            <w:tcBorders>
              <w:top w:val="single" w:sz="4" w:space="0" w:color="F2E3C7" w:themeColor="accent6"/>
              <w:left w:val="nil"/>
              <w:bottom w:val="single" w:sz="4" w:space="0" w:color="F2E3C7" w:themeColor="accent6"/>
              <w:right w:val="nil"/>
            </w:tcBorders>
          </w:tcPr>
          <w:p w14:paraId="088EE2C4" w14:textId="164B00C0" w:rsidR="006103E2" w:rsidRPr="002949B5" w:rsidRDefault="00F10334" w:rsidP="00FD64BA">
            <w:pPr>
              <w:pStyle w:val="TableTextRight"/>
            </w:pPr>
            <w:r w:rsidRPr="002949B5">
              <w:t>27.1%</w:t>
            </w:r>
          </w:p>
        </w:tc>
      </w:tr>
      <w:tr w:rsidR="006103E2" w:rsidRPr="002949B5" w14:paraId="18BB8117" w14:textId="77777777" w:rsidTr="00990401">
        <w:tc>
          <w:tcPr>
            <w:tcW w:w="2438" w:type="dxa"/>
            <w:tcBorders>
              <w:top w:val="single" w:sz="4" w:space="0" w:color="F2E3C7" w:themeColor="accent6"/>
              <w:left w:val="nil"/>
              <w:bottom w:val="single" w:sz="12" w:space="0" w:color="F2E3C7" w:themeColor="accent6"/>
              <w:right w:val="nil"/>
            </w:tcBorders>
          </w:tcPr>
          <w:p w14:paraId="0919B86C" w14:textId="5DBF86DC" w:rsidR="006103E2" w:rsidRPr="002949B5" w:rsidRDefault="006103E2" w:rsidP="00FD64BA">
            <w:pPr>
              <w:pStyle w:val="TableTextLeft"/>
            </w:pPr>
            <w:r w:rsidRPr="002949B5">
              <w:t>Net new dwellings</w:t>
            </w:r>
            <w:r w:rsidR="007814F0" w:rsidRPr="007814F0">
              <w:rPr>
                <w:vertAlign w:val="superscript"/>
              </w:rPr>
              <w:t>(</w:t>
            </w:r>
            <w:r w:rsidR="009C386B" w:rsidRPr="007814F0">
              <w:rPr>
                <w:vertAlign w:val="superscript"/>
              </w:rPr>
              <w:t>c</w:t>
            </w:r>
            <w:r w:rsidR="007814F0" w:rsidRPr="007814F0">
              <w:rPr>
                <w:vertAlign w:val="superscript"/>
              </w:rPr>
              <w:t>)</w:t>
            </w:r>
          </w:p>
        </w:tc>
        <w:tc>
          <w:tcPr>
            <w:tcW w:w="822" w:type="dxa"/>
            <w:tcBorders>
              <w:top w:val="single" w:sz="4" w:space="0" w:color="F2E3C7" w:themeColor="accent6"/>
              <w:left w:val="nil"/>
              <w:bottom w:val="single" w:sz="12" w:space="0" w:color="F2E3C7" w:themeColor="accent6"/>
              <w:right w:val="nil"/>
            </w:tcBorders>
          </w:tcPr>
          <w:p w14:paraId="3AC4CF64" w14:textId="77777777" w:rsidR="006103E2" w:rsidRPr="002949B5" w:rsidRDefault="006103E2" w:rsidP="00FD64BA">
            <w:pPr>
              <w:pStyle w:val="TableTextRight"/>
            </w:pPr>
            <w:r w:rsidRPr="002949B5">
              <w:t>192,500</w:t>
            </w:r>
          </w:p>
        </w:tc>
        <w:tc>
          <w:tcPr>
            <w:tcW w:w="822" w:type="dxa"/>
            <w:tcBorders>
              <w:top w:val="single" w:sz="4" w:space="0" w:color="F2E3C7" w:themeColor="accent6"/>
              <w:left w:val="nil"/>
              <w:bottom w:val="single" w:sz="12" w:space="0" w:color="F2E3C7" w:themeColor="accent6"/>
              <w:right w:val="nil"/>
            </w:tcBorders>
          </w:tcPr>
          <w:p w14:paraId="2B550619" w14:textId="77777777" w:rsidR="006103E2" w:rsidRPr="002949B5" w:rsidRDefault="006103E2" w:rsidP="00FD64BA">
            <w:pPr>
              <w:pStyle w:val="TableTextRight"/>
            </w:pPr>
            <w:r w:rsidRPr="002949B5">
              <w:t>167,600</w:t>
            </w:r>
          </w:p>
        </w:tc>
        <w:tc>
          <w:tcPr>
            <w:tcW w:w="822" w:type="dxa"/>
            <w:tcBorders>
              <w:top w:val="single" w:sz="4" w:space="0" w:color="F2E3C7" w:themeColor="accent6"/>
              <w:left w:val="nil"/>
              <w:bottom w:val="single" w:sz="12" w:space="0" w:color="F2E3C7" w:themeColor="accent6"/>
              <w:right w:val="nil"/>
            </w:tcBorders>
          </w:tcPr>
          <w:p w14:paraId="77D7AD98" w14:textId="77777777" w:rsidR="006103E2" w:rsidRPr="002949B5" w:rsidRDefault="006103E2" w:rsidP="00FD64BA">
            <w:pPr>
              <w:pStyle w:val="TableTextRight"/>
            </w:pPr>
            <w:r w:rsidRPr="002949B5">
              <w:t>155,800</w:t>
            </w:r>
          </w:p>
        </w:tc>
        <w:tc>
          <w:tcPr>
            <w:tcW w:w="822" w:type="dxa"/>
            <w:tcBorders>
              <w:top w:val="single" w:sz="4" w:space="0" w:color="F2E3C7" w:themeColor="accent6"/>
              <w:left w:val="nil"/>
              <w:bottom w:val="single" w:sz="12" w:space="0" w:color="F2E3C7" w:themeColor="accent6"/>
              <w:right w:val="nil"/>
            </w:tcBorders>
          </w:tcPr>
          <w:p w14:paraId="282B891F" w14:textId="77777777" w:rsidR="006103E2" w:rsidRPr="002949B5" w:rsidRDefault="006103E2" w:rsidP="00FD64BA">
            <w:pPr>
              <w:pStyle w:val="TableTextRight"/>
            </w:pPr>
            <w:r w:rsidRPr="002949B5">
              <w:t>145,600</w:t>
            </w:r>
          </w:p>
        </w:tc>
        <w:tc>
          <w:tcPr>
            <w:tcW w:w="822" w:type="dxa"/>
            <w:tcBorders>
              <w:top w:val="single" w:sz="4" w:space="0" w:color="F2E3C7" w:themeColor="accent6"/>
              <w:left w:val="nil"/>
              <w:bottom w:val="single" w:sz="12" w:space="0" w:color="F2E3C7" w:themeColor="accent6"/>
              <w:right w:val="nil"/>
            </w:tcBorders>
          </w:tcPr>
          <w:p w14:paraId="29382921" w14:textId="77777777" w:rsidR="006103E2" w:rsidRPr="002949B5" w:rsidRDefault="006103E2" w:rsidP="00FD64BA">
            <w:pPr>
              <w:pStyle w:val="TableTextRight"/>
            </w:pPr>
            <w:r w:rsidRPr="002949B5">
              <w:t>153,100</w:t>
            </w:r>
          </w:p>
        </w:tc>
        <w:tc>
          <w:tcPr>
            <w:tcW w:w="822" w:type="dxa"/>
            <w:tcBorders>
              <w:top w:val="single" w:sz="4" w:space="0" w:color="F2E3C7" w:themeColor="accent6"/>
              <w:left w:val="nil"/>
              <w:bottom w:val="single" w:sz="12" w:space="0" w:color="F2E3C7" w:themeColor="accent6"/>
              <w:right w:val="nil"/>
            </w:tcBorders>
          </w:tcPr>
          <w:p w14:paraId="6A8E99AC" w14:textId="77777777" w:rsidR="006103E2" w:rsidRPr="002949B5" w:rsidRDefault="006103E2" w:rsidP="00FD64BA">
            <w:pPr>
              <w:pStyle w:val="TableTextRight"/>
            </w:pPr>
            <w:r w:rsidRPr="002949B5">
              <w:t>155,500</w:t>
            </w:r>
          </w:p>
        </w:tc>
        <w:tc>
          <w:tcPr>
            <w:tcW w:w="720" w:type="dxa"/>
            <w:tcBorders>
              <w:top w:val="single" w:sz="4" w:space="0" w:color="F2E3C7" w:themeColor="accent6"/>
              <w:left w:val="nil"/>
              <w:bottom w:val="single" w:sz="12" w:space="0" w:color="F2E3C7" w:themeColor="accent6"/>
              <w:right w:val="nil"/>
            </w:tcBorders>
          </w:tcPr>
          <w:p w14:paraId="7BAA4EA5" w14:textId="77777777" w:rsidR="006103E2" w:rsidRPr="002949B5" w:rsidRDefault="006103E2" w:rsidP="00FD64BA">
            <w:pPr>
              <w:pStyle w:val="TableTextRight"/>
            </w:pPr>
            <w:r w:rsidRPr="002949B5">
              <w:t>1.6%</w:t>
            </w:r>
          </w:p>
        </w:tc>
        <w:tc>
          <w:tcPr>
            <w:tcW w:w="826" w:type="dxa"/>
            <w:tcBorders>
              <w:top w:val="single" w:sz="4" w:space="0" w:color="F2E3C7" w:themeColor="accent6"/>
              <w:left w:val="nil"/>
              <w:bottom w:val="single" w:sz="12" w:space="0" w:color="F2E3C7" w:themeColor="accent6"/>
              <w:right w:val="nil"/>
            </w:tcBorders>
          </w:tcPr>
          <w:p w14:paraId="4F98171D" w14:textId="3650DB34" w:rsidR="006103E2" w:rsidRPr="002949B5" w:rsidRDefault="00A15C79" w:rsidP="00FD64BA">
            <w:pPr>
              <w:pStyle w:val="TableTextRight"/>
            </w:pPr>
            <w:r w:rsidRPr="002949B5">
              <w:noBreakHyphen/>
            </w:r>
            <w:r w:rsidR="006103E2" w:rsidRPr="002949B5">
              <w:t>7.2%</w:t>
            </w:r>
          </w:p>
        </w:tc>
      </w:tr>
      <w:tr w:rsidR="006103E2" w:rsidRPr="002949B5" w14:paraId="73A8EA86" w14:textId="77777777" w:rsidTr="00990401">
        <w:tc>
          <w:tcPr>
            <w:tcW w:w="2438" w:type="dxa"/>
            <w:tcBorders>
              <w:top w:val="single" w:sz="12" w:space="0" w:color="F2E3C7" w:themeColor="accent6"/>
              <w:left w:val="nil"/>
              <w:bottom w:val="single" w:sz="4" w:space="0" w:color="F2E3C7" w:themeColor="accent6"/>
              <w:right w:val="nil"/>
            </w:tcBorders>
          </w:tcPr>
          <w:p w14:paraId="6C5402C1" w14:textId="1742E41A" w:rsidR="006103E2" w:rsidRPr="002949B5" w:rsidRDefault="006103E2" w:rsidP="00FD64BA">
            <w:pPr>
              <w:pStyle w:val="TableTextLeft"/>
            </w:pPr>
            <w:r w:rsidRPr="002949B5">
              <w:t>Housing prices ($)</w:t>
            </w:r>
            <w:r w:rsidR="007814F0" w:rsidRPr="007814F0">
              <w:rPr>
                <w:vertAlign w:val="superscript"/>
              </w:rPr>
              <w:t>(</w:t>
            </w:r>
            <w:r w:rsidR="009C386B" w:rsidRPr="007814F0">
              <w:rPr>
                <w:vertAlign w:val="superscript"/>
              </w:rPr>
              <w:t>d</w:t>
            </w:r>
            <w:r w:rsidR="007814F0" w:rsidRPr="007814F0">
              <w:rPr>
                <w:vertAlign w:val="superscript"/>
              </w:rPr>
              <w:t>)</w:t>
            </w:r>
          </w:p>
        </w:tc>
        <w:tc>
          <w:tcPr>
            <w:tcW w:w="822" w:type="dxa"/>
            <w:tcBorders>
              <w:top w:val="single" w:sz="12" w:space="0" w:color="F2E3C7" w:themeColor="accent6"/>
              <w:left w:val="nil"/>
              <w:bottom w:val="single" w:sz="4" w:space="0" w:color="F2E3C7" w:themeColor="accent6"/>
              <w:right w:val="nil"/>
            </w:tcBorders>
          </w:tcPr>
          <w:p w14:paraId="6DFA972D" w14:textId="566873D4" w:rsidR="006103E2" w:rsidRPr="002949B5" w:rsidRDefault="00C9143E" w:rsidP="00FD64BA">
            <w:pPr>
              <w:pStyle w:val="TableTextRight"/>
            </w:pPr>
            <w:r w:rsidRPr="002949B5">
              <w:t>531,052</w:t>
            </w:r>
          </w:p>
        </w:tc>
        <w:tc>
          <w:tcPr>
            <w:tcW w:w="822" w:type="dxa"/>
            <w:tcBorders>
              <w:top w:val="single" w:sz="12" w:space="0" w:color="F2E3C7" w:themeColor="accent6"/>
              <w:left w:val="nil"/>
              <w:bottom w:val="single" w:sz="4" w:space="0" w:color="F2E3C7" w:themeColor="accent6"/>
              <w:right w:val="nil"/>
            </w:tcBorders>
          </w:tcPr>
          <w:p w14:paraId="41869D4C" w14:textId="0030810F" w:rsidR="006103E2" w:rsidRPr="002949B5" w:rsidRDefault="00C9143E" w:rsidP="00FD64BA">
            <w:pPr>
              <w:pStyle w:val="TableTextRight"/>
            </w:pPr>
            <w:r w:rsidRPr="002949B5">
              <w:t>543,154</w:t>
            </w:r>
          </w:p>
        </w:tc>
        <w:tc>
          <w:tcPr>
            <w:tcW w:w="822" w:type="dxa"/>
            <w:tcBorders>
              <w:top w:val="single" w:sz="12" w:space="0" w:color="F2E3C7" w:themeColor="accent6"/>
              <w:left w:val="nil"/>
              <w:bottom w:val="single" w:sz="4" w:space="0" w:color="F2E3C7" w:themeColor="accent6"/>
              <w:right w:val="nil"/>
            </w:tcBorders>
          </w:tcPr>
          <w:p w14:paraId="644D4180" w14:textId="5FD3C549" w:rsidR="006103E2" w:rsidRPr="002949B5" w:rsidRDefault="00C9143E" w:rsidP="00FD64BA">
            <w:pPr>
              <w:pStyle w:val="TableTextRight"/>
            </w:pPr>
            <w:r w:rsidRPr="002949B5">
              <w:t>592,500</w:t>
            </w:r>
          </w:p>
        </w:tc>
        <w:tc>
          <w:tcPr>
            <w:tcW w:w="822" w:type="dxa"/>
            <w:tcBorders>
              <w:top w:val="single" w:sz="12" w:space="0" w:color="F2E3C7" w:themeColor="accent6"/>
              <w:left w:val="nil"/>
              <w:bottom w:val="single" w:sz="4" w:space="0" w:color="F2E3C7" w:themeColor="accent6"/>
              <w:right w:val="nil"/>
            </w:tcBorders>
          </w:tcPr>
          <w:p w14:paraId="02D6C3FD" w14:textId="5A445B22" w:rsidR="006103E2" w:rsidRPr="002949B5" w:rsidRDefault="00C9143E" w:rsidP="00FD64BA">
            <w:pPr>
              <w:pStyle w:val="TableTextRight"/>
            </w:pPr>
            <w:r w:rsidRPr="002949B5">
              <w:t>709,398</w:t>
            </w:r>
          </w:p>
        </w:tc>
        <w:tc>
          <w:tcPr>
            <w:tcW w:w="822" w:type="dxa"/>
            <w:tcBorders>
              <w:top w:val="single" w:sz="12" w:space="0" w:color="F2E3C7" w:themeColor="accent6"/>
              <w:left w:val="nil"/>
              <w:bottom w:val="single" w:sz="4" w:space="0" w:color="F2E3C7" w:themeColor="accent6"/>
              <w:right w:val="nil"/>
            </w:tcBorders>
          </w:tcPr>
          <w:p w14:paraId="04297763" w14:textId="0B6918DF" w:rsidR="006103E2" w:rsidRPr="002949B5" w:rsidRDefault="00C9143E" w:rsidP="00FD64BA">
            <w:pPr>
              <w:pStyle w:val="TableTextRight"/>
            </w:pPr>
            <w:r w:rsidRPr="002949B5">
              <w:t>717,581</w:t>
            </w:r>
          </w:p>
        </w:tc>
        <w:tc>
          <w:tcPr>
            <w:tcW w:w="822" w:type="dxa"/>
            <w:tcBorders>
              <w:top w:val="single" w:sz="12" w:space="0" w:color="F2E3C7" w:themeColor="accent6"/>
              <w:left w:val="nil"/>
              <w:bottom w:val="single" w:sz="4" w:space="0" w:color="F2E3C7" w:themeColor="accent6"/>
              <w:right w:val="nil"/>
            </w:tcBorders>
          </w:tcPr>
          <w:p w14:paraId="45D5C677" w14:textId="59EBDD9B" w:rsidR="006103E2" w:rsidRPr="002949B5" w:rsidRDefault="00C9143E" w:rsidP="00FD64BA">
            <w:pPr>
              <w:pStyle w:val="TableTextRight"/>
            </w:pPr>
            <w:r w:rsidRPr="002949B5">
              <w:t>764,013</w:t>
            </w:r>
          </w:p>
        </w:tc>
        <w:tc>
          <w:tcPr>
            <w:tcW w:w="720" w:type="dxa"/>
            <w:tcBorders>
              <w:top w:val="single" w:sz="12" w:space="0" w:color="F2E3C7" w:themeColor="accent6"/>
              <w:left w:val="nil"/>
              <w:bottom w:val="single" w:sz="4" w:space="0" w:color="F2E3C7" w:themeColor="accent6"/>
              <w:right w:val="nil"/>
            </w:tcBorders>
          </w:tcPr>
          <w:p w14:paraId="352BA83A" w14:textId="48A15ECC" w:rsidR="006103E2" w:rsidRPr="002949B5" w:rsidRDefault="00C9143E" w:rsidP="00FD64BA">
            <w:pPr>
              <w:pStyle w:val="TableTextRight"/>
            </w:pPr>
            <w:r w:rsidRPr="002949B5">
              <w:t>6.5%</w:t>
            </w:r>
          </w:p>
        </w:tc>
        <w:tc>
          <w:tcPr>
            <w:tcW w:w="826" w:type="dxa"/>
            <w:tcBorders>
              <w:top w:val="single" w:sz="12" w:space="0" w:color="F2E3C7" w:themeColor="accent6"/>
              <w:left w:val="nil"/>
              <w:bottom w:val="single" w:sz="4" w:space="0" w:color="F2E3C7" w:themeColor="accent6"/>
              <w:right w:val="nil"/>
            </w:tcBorders>
          </w:tcPr>
          <w:p w14:paraId="66E17DED" w14:textId="71BE89A1" w:rsidR="006103E2" w:rsidRPr="002949B5" w:rsidRDefault="00C9143E" w:rsidP="00FD64BA">
            <w:pPr>
              <w:pStyle w:val="TableTextRight"/>
            </w:pPr>
            <w:r w:rsidRPr="002949B5">
              <w:t>43.9%</w:t>
            </w:r>
          </w:p>
        </w:tc>
      </w:tr>
      <w:tr w:rsidR="006103E2" w:rsidRPr="002949B5" w14:paraId="04D5BF25" w14:textId="77777777" w:rsidTr="00990401">
        <w:tc>
          <w:tcPr>
            <w:tcW w:w="2438" w:type="dxa"/>
            <w:tcBorders>
              <w:top w:val="single" w:sz="4" w:space="0" w:color="F2E3C7" w:themeColor="accent6"/>
              <w:left w:val="nil"/>
              <w:bottom w:val="single" w:sz="4" w:space="0" w:color="F2E3C7" w:themeColor="accent6"/>
              <w:right w:val="nil"/>
            </w:tcBorders>
          </w:tcPr>
          <w:p w14:paraId="323A196E" w14:textId="77777777" w:rsidR="006103E2" w:rsidRPr="002949B5" w:rsidRDefault="006103E2" w:rsidP="00FD64BA">
            <w:pPr>
              <w:pStyle w:val="TableTextIndented"/>
            </w:pPr>
            <w:r w:rsidRPr="002949B5">
              <w:t xml:space="preserve">Capital cities ($) </w:t>
            </w:r>
          </w:p>
        </w:tc>
        <w:tc>
          <w:tcPr>
            <w:tcW w:w="822" w:type="dxa"/>
            <w:tcBorders>
              <w:top w:val="single" w:sz="4" w:space="0" w:color="F2E3C7" w:themeColor="accent6"/>
              <w:left w:val="nil"/>
              <w:bottom w:val="single" w:sz="4" w:space="0" w:color="F2E3C7" w:themeColor="accent6"/>
              <w:right w:val="nil"/>
            </w:tcBorders>
          </w:tcPr>
          <w:p w14:paraId="79EE6973" w14:textId="35B2D74E" w:rsidR="006103E2" w:rsidRPr="002949B5" w:rsidRDefault="00C9143E" w:rsidP="00FD64BA">
            <w:pPr>
              <w:pStyle w:val="TableTextRight"/>
            </w:pPr>
            <w:r w:rsidRPr="002949B5">
              <w:t>609,843</w:t>
            </w:r>
          </w:p>
        </w:tc>
        <w:tc>
          <w:tcPr>
            <w:tcW w:w="822" w:type="dxa"/>
            <w:tcBorders>
              <w:top w:val="single" w:sz="4" w:space="0" w:color="F2E3C7" w:themeColor="accent6"/>
              <w:left w:val="nil"/>
              <w:bottom w:val="single" w:sz="4" w:space="0" w:color="F2E3C7" w:themeColor="accent6"/>
              <w:right w:val="nil"/>
            </w:tcBorders>
          </w:tcPr>
          <w:p w14:paraId="4A504E79" w14:textId="28FAA1E1" w:rsidR="006103E2" w:rsidRPr="002949B5" w:rsidRDefault="00C9143E" w:rsidP="00FD64BA">
            <w:pPr>
              <w:pStyle w:val="TableTextRight"/>
            </w:pPr>
            <w:r w:rsidRPr="002949B5">
              <w:t>626,730</w:t>
            </w:r>
          </w:p>
        </w:tc>
        <w:tc>
          <w:tcPr>
            <w:tcW w:w="822" w:type="dxa"/>
            <w:tcBorders>
              <w:top w:val="single" w:sz="4" w:space="0" w:color="F2E3C7" w:themeColor="accent6"/>
              <w:left w:val="nil"/>
              <w:bottom w:val="single" w:sz="4" w:space="0" w:color="F2E3C7" w:themeColor="accent6"/>
              <w:right w:val="nil"/>
            </w:tcBorders>
          </w:tcPr>
          <w:p w14:paraId="05DF4ECE" w14:textId="322106B6" w:rsidR="006103E2" w:rsidRPr="002949B5" w:rsidRDefault="00C9143E" w:rsidP="00FD64BA">
            <w:pPr>
              <w:pStyle w:val="TableTextRight"/>
            </w:pPr>
            <w:r w:rsidRPr="002949B5">
              <w:t>671,238</w:t>
            </w:r>
          </w:p>
        </w:tc>
        <w:tc>
          <w:tcPr>
            <w:tcW w:w="822" w:type="dxa"/>
            <w:tcBorders>
              <w:top w:val="single" w:sz="4" w:space="0" w:color="F2E3C7" w:themeColor="accent6"/>
              <w:left w:val="nil"/>
              <w:bottom w:val="single" w:sz="4" w:space="0" w:color="F2E3C7" w:themeColor="accent6"/>
              <w:right w:val="nil"/>
            </w:tcBorders>
          </w:tcPr>
          <w:p w14:paraId="62DED5F4" w14:textId="380B4304" w:rsidR="006103E2" w:rsidRPr="002949B5" w:rsidRDefault="00C9143E" w:rsidP="00FD64BA">
            <w:pPr>
              <w:pStyle w:val="TableTextRight"/>
            </w:pPr>
            <w:r w:rsidRPr="002949B5">
              <w:t>789,608</w:t>
            </w:r>
          </w:p>
        </w:tc>
        <w:tc>
          <w:tcPr>
            <w:tcW w:w="822" w:type="dxa"/>
            <w:tcBorders>
              <w:top w:val="single" w:sz="4" w:space="0" w:color="F2E3C7" w:themeColor="accent6"/>
              <w:left w:val="nil"/>
              <w:bottom w:val="single" w:sz="4" w:space="0" w:color="F2E3C7" w:themeColor="accent6"/>
              <w:right w:val="nil"/>
            </w:tcBorders>
          </w:tcPr>
          <w:p w14:paraId="19C2D66C" w14:textId="2316D48F" w:rsidR="006103E2" w:rsidRPr="002949B5" w:rsidRDefault="00C9143E" w:rsidP="00FD64BA">
            <w:pPr>
              <w:pStyle w:val="TableTextRight"/>
            </w:pPr>
            <w:r w:rsidRPr="002949B5">
              <w:t>782,776</w:t>
            </w:r>
          </w:p>
        </w:tc>
        <w:tc>
          <w:tcPr>
            <w:tcW w:w="822" w:type="dxa"/>
            <w:tcBorders>
              <w:top w:val="single" w:sz="4" w:space="0" w:color="F2E3C7" w:themeColor="accent6"/>
              <w:left w:val="nil"/>
              <w:bottom w:val="single" w:sz="4" w:space="0" w:color="F2E3C7" w:themeColor="accent6"/>
              <w:right w:val="nil"/>
            </w:tcBorders>
          </w:tcPr>
          <w:p w14:paraId="62A8AC79" w14:textId="3DE53F33" w:rsidR="006103E2" w:rsidRPr="002949B5" w:rsidRDefault="00C9143E" w:rsidP="00FD64BA">
            <w:pPr>
              <w:pStyle w:val="TableTextRight"/>
            </w:pPr>
            <w:r w:rsidRPr="002949B5">
              <w:t>839,778</w:t>
            </w:r>
          </w:p>
        </w:tc>
        <w:tc>
          <w:tcPr>
            <w:tcW w:w="720" w:type="dxa"/>
            <w:tcBorders>
              <w:top w:val="single" w:sz="4" w:space="0" w:color="F2E3C7" w:themeColor="accent6"/>
              <w:left w:val="nil"/>
              <w:bottom w:val="single" w:sz="4" w:space="0" w:color="F2E3C7" w:themeColor="accent6"/>
              <w:right w:val="nil"/>
            </w:tcBorders>
          </w:tcPr>
          <w:p w14:paraId="7BED837B" w14:textId="1EB66BC9" w:rsidR="006103E2" w:rsidRPr="002949B5" w:rsidRDefault="00C9143E" w:rsidP="00FD64BA">
            <w:pPr>
              <w:pStyle w:val="TableTextRight"/>
            </w:pPr>
            <w:r w:rsidRPr="002949B5">
              <w:t>7.3%</w:t>
            </w:r>
          </w:p>
        </w:tc>
        <w:tc>
          <w:tcPr>
            <w:tcW w:w="826" w:type="dxa"/>
            <w:tcBorders>
              <w:top w:val="single" w:sz="4" w:space="0" w:color="F2E3C7" w:themeColor="accent6"/>
              <w:left w:val="nil"/>
              <w:bottom w:val="single" w:sz="4" w:space="0" w:color="F2E3C7" w:themeColor="accent6"/>
              <w:right w:val="nil"/>
            </w:tcBorders>
          </w:tcPr>
          <w:p w14:paraId="61DA0A9B" w14:textId="5751B2D8" w:rsidR="006103E2" w:rsidRPr="002949B5" w:rsidRDefault="00C9143E" w:rsidP="00FD64BA">
            <w:pPr>
              <w:pStyle w:val="TableTextRight"/>
            </w:pPr>
            <w:r w:rsidRPr="002949B5">
              <w:t>37.7%</w:t>
            </w:r>
          </w:p>
        </w:tc>
      </w:tr>
      <w:tr w:rsidR="006103E2" w:rsidRPr="002949B5" w14:paraId="64D2CB28" w14:textId="77777777" w:rsidTr="00990401">
        <w:tc>
          <w:tcPr>
            <w:tcW w:w="2438" w:type="dxa"/>
            <w:tcBorders>
              <w:top w:val="single" w:sz="4" w:space="0" w:color="F2E3C7" w:themeColor="accent6"/>
              <w:left w:val="nil"/>
              <w:bottom w:val="single" w:sz="12" w:space="0" w:color="F2E3C7" w:themeColor="accent6"/>
              <w:right w:val="nil"/>
            </w:tcBorders>
          </w:tcPr>
          <w:p w14:paraId="171291F6" w14:textId="77777777" w:rsidR="006103E2" w:rsidRPr="002949B5" w:rsidRDefault="006103E2" w:rsidP="00FD64BA">
            <w:pPr>
              <w:pStyle w:val="TableTextIndented"/>
            </w:pPr>
            <w:r w:rsidRPr="002949B5">
              <w:t>Regional areas ($)</w:t>
            </w:r>
          </w:p>
        </w:tc>
        <w:tc>
          <w:tcPr>
            <w:tcW w:w="822" w:type="dxa"/>
            <w:tcBorders>
              <w:top w:val="single" w:sz="4" w:space="0" w:color="F2E3C7" w:themeColor="accent6"/>
              <w:left w:val="nil"/>
              <w:bottom w:val="single" w:sz="12" w:space="0" w:color="F2E3C7" w:themeColor="accent6"/>
              <w:right w:val="nil"/>
            </w:tcBorders>
          </w:tcPr>
          <w:p w14:paraId="3E764197" w14:textId="7446E47A" w:rsidR="006103E2" w:rsidRPr="002949B5" w:rsidRDefault="00C9143E" w:rsidP="00FD64BA">
            <w:pPr>
              <w:pStyle w:val="TableTextRight"/>
            </w:pPr>
            <w:r w:rsidRPr="002949B5">
              <w:t>376,275</w:t>
            </w:r>
          </w:p>
        </w:tc>
        <w:tc>
          <w:tcPr>
            <w:tcW w:w="822" w:type="dxa"/>
            <w:tcBorders>
              <w:top w:val="single" w:sz="4" w:space="0" w:color="F2E3C7" w:themeColor="accent6"/>
              <w:left w:val="nil"/>
              <w:bottom w:val="single" w:sz="12" w:space="0" w:color="F2E3C7" w:themeColor="accent6"/>
              <w:right w:val="nil"/>
            </w:tcBorders>
          </w:tcPr>
          <w:p w14:paraId="59BF12AC" w14:textId="5EB81E9E" w:rsidR="006103E2" w:rsidRPr="002949B5" w:rsidRDefault="00C9143E" w:rsidP="00FD64BA">
            <w:pPr>
              <w:pStyle w:val="TableTextRight"/>
            </w:pPr>
            <w:r w:rsidRPr="002949B5">
              <w:t>387,502</w:t>
            </w:r>
          </w:p>
        </w:tc>
        <w:tc>
          <w:tcPr>
            <w:tcW w:w="822" w:type="dxa"/>
            <w:tcBorders>
              <w:top w:val="single" w:sz="4" w:space="0" w:color="F2E3C7" w:themeColor="accent6"/>
              <w:left w:val="nil"/>
              <w:bottom w:val="single" w:sz="12" w:space="0" w:color="F2E3C7" w:themeColor="accent6"/>
              <w:right w:val="nil"/>
            </w:tcBorders>
          </w:tcPr>
          <w:p w14:paraId="123C4201" w14:textId="587B8ECE" w:rsidR="006103E2" w:rsidRPr="002949B5" w:rsidRDefault="00C9143E" w:rsidP="00FD64BA">
            <w:pPr>
              <w:pStyle w:val="TableTextRight"/>
            </w:pPr>
            <w:r w:rsidRPr="002949B5">
              <w:t>434,132</w:t>
            </w:r>
          </w:p>
        </w:tc>
        <w:tc>
          <w:tcPr>
            <w:tcW w:w="822" w:type="dxa"/>
            <w:tcBorders>
              <w:top w:val="single" w:sz="4" w:space="0" w:color="F2E3C7" w:themeColor="accent6"/>
              <w:left w:val="nil"/>
              <w:bottom w:val="single" w:sz="12" w:space="0" w:color="F2E3C7" w:themeColor="accent6"/>
              <w:right w:val="nil"/>
            </w:tcBorders>
          </w:tcPr>
          <w:p w14:paraId="2CBCDAF5" w14:textId="172254E6" w:rsidR="006103E2" w:rsidRPr="002949B5" w:rsidRDefault="00C9143E" w:rsidP="00FD64BA">
            <w:pPr>
              <w:pStyle w:val="TableTextRight"/>
            </w:pPr>
            <w:r w:rsidRPr="002949B5">
              <w:t>546,620</w:t>
            </w:r>
          </w:p>
        </w:tc>
        <w:tc>
          <w:tcPr>
            <w:tcW w:w="822" w:type="dxa"/>
            <w:tcBorders>
              <w:top w:val="single" w:sz="4" w:space="0" w:color="F2E3C7" w:themeColor="accent6"/>
              <w:left w:val="nil"/>
              <w:bottom w:val="single" w:sz="12" w:space="0" w:color="F2E3C7" w:themeColor="accent6"/>
              <w:right w:val="nil"/>
            </w:tcBorders>
          </w:tcPr>
          <w:p w14:paraId="6428C47D" w14:textId="1B1FA9CA" w:rsidR="006103E2" w:rsidRPr="002949B5" w:rsidRDefault="00C9143E" w:rsidP="00FD64BA">
            <w:pPr>
              <w:pStyle w:val="TableTextRight"/>
            </w:pPr>
            <w:r w:rsidRPr="002949B5">
              <w:t>581,298</w:t>
            </w:r>
          </w:p>
        </w:tc>
        <w:tc>
          <w:tcPr>
            <w:tcW w:w="822" w:type="dxa"/>
            <w:tcBorders>
              <w:top w:val="single" w:sz="4" w:space="0" w:color="F2E3C7" w:themeColor="accent6"/>
              <w:left w:val="nil"/>
              <w:bottom w:val="single" w:sz="12" w:space="0" w:color="F2E3C7" w:themeColor="accent6"/>
              <w:right w:val="nil"/>
            </w:tcBorders>
          </w:tcPr>
          <w:p w14:paraId="0B06E74D" w14:textId="28C160A2" w:rsidR="006103E2" w:rsidRPr="002949B5" w:rsidRDefault="00C9143E" w:rsidP="00FD64BA">
            <w:pPr>
              <w:pStyle w:val="TableTextRight"/>
            </w:pPr>
            <w:r w:rsidRPr="002949B5">
              <w:t>610,738</w:t>
            </w:r>
          </w:p>
        </w:tc>
        <w:tc>
          <w:tcPr>
            <w:tcW w:w="720" w:type="dxa"/>
            <w:tcBorders>
              <w:top w:val="single" w:sz="4" w:space="0" w:color="F2E3C7" w:themeColor="accent6"/>
              <w:left w:val="nil"/>
              <w:bottom w:val="single" w:sz="12" w:space="0" w:color="F2E3C7" w:themeColor="accent6"/>
              <w:right w:val="nil"/>
            </w:tcBorders>
          </w:tcPr>
          <w:p w14:paraId="22E41A10" w14:textId="1DA4EDD0" w:rsidR="006103E2" w:rsidRPr="002949B5" w:rsidRDefault="00C9143E" w:rsidP="00FD64BA">
            <w:pPr>
              <w:pStyle w:val="TableTextRight"/>
            </w:pPr>
            <w:r w:rsidRPr="002949B5">
              <w:t>5.1%</w:t>
            </w:r>
          </w:p>
        </w:tc>
        <w:tc>
          <w:tcPr>
            <w:tcW w:w="826" w:type="dxa"/>
            <w:tcBorders>
              <w:top w:val="single" w:sz="4" w:space="0" w:color="F2E3C7" w:themeColor="accent6"/>
              <w:left w:val="nil"/>
              <w:bottom w:val="single" w:sz="12" w:space="0" w:color="F2E3C7" w:themeColor="accent6"/>
              <w:right w:val="nil"/>
            </w:tcBorders>
          </w:tcPr>
          <w:p w14:paraId="23C8AE48" w14:textId="5B43F890" w:rsidR="006103E2" w:rsidRPr="002949B5" w:rsidRDefault="00C9143E" w:rsidP="00FD64BA">
            <w:pPr>
              <w:pStyle w:val="TableTextRight"/>
            </w:pPr>
            <w:r w:rsidRPr="002949B5">
              <w:t>62.3%</w:t>
            </w:r>
          </w:p>
        </w:tc>
      </w:tr>
      <w:tr w:rsidR="006103E2" w:rsidRPr="002949B5" w14:paraId="12BB6874" w14:textId="77777777" w:rsidTr="00990401">
        <w:tc>
          <w:tcPr>
            <w:tcW w:w="2438" w:type="dxa"/>
            <w:tcBorders>
              <w:top w:val="single" w:sz="12" w:space="0" w:color="F2E3C7" w:themeColor="accent6"/>
              <w:left w:val="nil"/>
              <w:bottom w:val="single" w:sz="4" w:space="0" w:color="F2E3C7" w:themeColor="accent6"/>
              <w:right w:val="nil"/>
            </w:tcBorders>
          </w:tcPr>
          <w:p w14:paraId="05C8B6EB" w14:textId="3CBD89CA" w:rsidR="006103E2" w:rsidRPr="002949B5" w:rsidRDefault="006103E2" w:rsidP="00FD64BA">
            <w:pPr>
              <w:pStyle w:val="TableTextLeft"/>
            </w:pPr>
            <w:r w:rsidRPr="002949B5">
              <w:t>Advertised rents</w:t>
            </w:r>
            <w:r w:rsidR="007814F0">
              <w:t xml:space="preserve"> </w:t>
            </w:r>
            <w:r w:rsidRPr="002949B5">
              <w:t>($)</w:t>
            </w:r>
            <w:r w:rsidR="007814F0" w:rsidRPr="007814F0">
              <w:rPr>
                <w:vertAlign w:val="superscript"/>
              </w:rPr>
              <w:t>(</w:t>
            </w:r>
            <w:r w:rsidR="009C386B" w:rsidRPr="007814F0">
              <w:rPr>
                <w:vertAlign w:val="superscript"/>
              </w:rPr>
              <w:t>e</w:t>
            </w:r>
            <w:r w:rsidR="007814F0" w:rsidRPr="007814F0">
              <w:rPr>
                <w:vertAlign w:val="superscript"/>
              </w:rPr>
              <w:t>)</w:t>
            </w:r>
          </w:p>
        </w:tc>
        <w:tc>
          <w:tcPr>
            <w:tcW w:w="822" w:type="dxa"/>
            <w:tcBorders>
              <w:top w:val="single" w:sz="12" w:space="0" w:color="F2E3C7" w:themeColor="accent6"/>
              <w:left w:val="nil"/>
              <w:bottom w:val="single" w:sz="4" w:space="0" w:color="F2E3C7" w:themeColor="accent6"/>
              <w:right w:val="nil"/>
            </w:tcBorders>
          </w:tcPr>
          <w:p w14:paraId="001E12BE" w14:textId="59F8E5B1" w:rsidR="006103E2" w:rsidRPr="002949B5" w:rsidRDefault="006103E2" w:rsidP="00FD64BA">
            <w:pPr>
              <w:pStyle w:val="TableTextRight"/>
            </w:pPr>
            <w:r w:rsidRPr="002949B5">
              <w:t>412</w:t>
            </w:r>
          </w:p>
        </w:tc>
        <w:tc>
          <w:tcPr>
            <w:tcW w:w="822" w:type="dxa"/>
            <w:tcBorders>
              <w:top w:val="single" w:sz="12" w:space="0" w:color="F2E3C7" w:themeColor="accent6"/>
              <w:left w:val="nil"/>
              <w:bottom w:val="single" w:sz="4" w:space="0" w:color="F2E3C7" w:themeColor="accent6"/>
              <w:right w:val="nil"/>
            </w:tcBorders>
          </w:tcPr>
          <w:p w14:paraId="1CC1AD6F" w14:textId="3C909D0E" w:rsidR="006103E2" w:rsidRPr="002949B5" w:rsidRDefault="006103E2" w:rsidP="00FD64BA">
            <w:pPr>
              <w:pStyle w:val="TableTextRight"/>
            </w:pPr>
            <w:r w:rsidRPr="002949B5">
              <w:t>409</w:t>
            </w:r>
          </w:p>
        </w:tc>
        <w:tc>
          <w:tcPr>
            <w:tcW w:w="822" w:type="dxa"/>
            <w:tcBorders>
              <w:top w:val="single" w:sz="12" w:space="0" w:color="F2E3C7" w:themeColor="accent6"/>
              <w:left w:val="nil"/>
              <w:bottom w:val="single" w:sz="4" w:space="0" w:color="F2E3C7" w:themeColor="accent6"/>
              <w:right w:val="nil"/>
            </w:tcBorders>
          </w:tcPr>
          <w:p w14:paraId="4D274DD2" w14:textId="12E5EF31" w:rsidR="006103E2" w:rsidRPr="002949B5" w:rsidRDefault="006103E2" w:rsidP="00FD64BA">
            <w:pPr>
              <w:pStyle w:val="TableTextRight"/>
            </w:pPr>
            <w:r w:rsidRPr="002949B5">
              <w:t>426</w:t>
            </w:r>
          </w:p>
        </w:tc>
        <w:tc>
          <w:tcPr>
            <w:tcW w:w="822" w:type="dxa"/>
            <w:tcBorders>
              <w:top w:val="single" w:sz="12" w:space="0" w:color="F2E3C7" w:themeColor="accent6"/>
              <w:left w:val="nil"/>
              <w:bottom w:val="single" w:sz="4" w:space="0" w:color="F2E3C7" w:themeColor="accent6"/>
              <w:right w:val="nil"/>
            </w:tcBorders>
          </w:tcPr>
          <w:p w14:paraId="77E158FD" w14:textId="1A15DAC2" w:rsidR="006103E2" w:rsidRPr="002949B5" w:rsidRDefault="006103E2" w:rsidP="00FD64BA">
            <w:pPr>
              <w:pStyle w:val="TableTextRight"/>
            </w:pPr>
            <w:r w:rsidRPr="002949B5">
              <w:t>454</w:t>
            </w:r>
          </w:p>
        </w:tc>
        <w:tc>
          <w:tcPr>
            <w:tcW w:w="822" w:type="dxa"/>
            <w:tcBorders>
              <w:top w:val="single" w:sz="12" w:space="0" w:color="F2E3C7" w:themeColor="accent6"/>
              <w:left w:val="nil"/>
              <w:bottom w:val="single" w:sz="4" w:space="0" w:color="F2E3C7" w:themeColor="accent6"/>
              <w:right w:val="nil"/>
            </w:tcBorders>
          </w:tcPr>
          <w:p w14:paraId="1B1FCABD" w14:textId="5376018B" w:rsidR="006103E2" w:rsidRPr="002949B5" w:rsidRDefault="006103E2" w:rsidP="00FD64BA">
            <w:pPr>
              <w:pStyle w:val="TableTextRight"/>
            </w:pPr>
            <w:r w:rsidRPr="002949B5">
              <w:t>516</w:t>
            </w:r>
          </w:p>
        </w:tc>
        <w:tc>
          <w:tcPr>
            <w:tcW w:w="822" w:type="dxa"/>
            <w:tcBorders>
              <w:top w:val="single" w:sz="12" w:space="0" w:color="F2E3C7" w:themeColor="accent6"/>
              <w:left w:val="nil"/>
              <w:bottom w:val="single" w:sz="4" w:space="0" w:color="F2E3C7" w:themeColor="accent6"/>
              <w:right w:val="nil"/>
            </w:tcBorders>
          </w:tcPr>
          <w:p w14:paraId="2DB16CA2" w14:textId="71260CC2" w:rsidR="006103E2" w:rsidRPr="002949B5" w:rsidRDefault="006103E2" w:rsidP="00FD64BA">
            <w:pPr>
              <w:pStyle w:val="TableTextRight"/>
            </w:pPr>
            <w:r w:rsidRPr="002949B5">
              <w:t>579</w:t>
            </w:r>
          </w:p>
        </w:tc>
        <w:tc>
          <w:tcPr>
            <w:tcW w:w="720" w:type="dxa"/>
            <w:tcBorders>
              <w:top w:val="single" w:sz="12" w:space="0" w:color="F2E3C7" w:themeColor="accent6"/>
              <w:left w:val="nil"/>
              <w:bottom w:val="single" w:sz="4" w:space="0" w:color="F2E3C7" w:themeColor="accent6"/>
              <w:right w:val="nil"/>
            </w:tcBorders>
          </w:tcPr>
          <w:p w14:paraId="0AA150A1" w14:textId="77777777" w:rsidR="006103E2" w:rsidRPr="002949B5" w:rsidRDefault="006103E2" w:rsidP="00FD64BA">
            <w:pPr>
              <w:pStyle w:val="TableTextRight"/>
            </w:pPr>
            <w:r w:rsidRPr="002949B5">
              <w:t>12.2%</w:t>
            </w:r>
          </w:p>
        </w:tc>
        <w:tc>
          <w:tcPr>
            <w:tcW w:w="826" w:type="dxa"/>
            <w:tcBorders>
              <w:top w:val="single" w:sz="12" w:space="0" w:color="F2E3C7" w:themeColor="accent6"/>
              <w:left w:val="nil"/>
              <w:bottom w:val="single" w:sz="4" w:space="0" w:color="F2E3C7" w:themeColor="accent6"/>
              <w:right w:val="nil"/>
            </w:tcBorders>
          </w:tcPr>
          <w:p w14:paraId="699EF8CB" w14:textId="77777777" w:rsidR="006103E2" w:rsidRPr="002949B5" w:rsidRDefault="006103E2" w:rsidP="00FD64BA">
            <w:pPr>
              <w:pStyle w:val="TableTextRight"/>
            </w:pPr>
            <w:r w:rsidRPr="002949B5">
              <w:t>40.7%</w:t>
            </w:r>
          </w:p>
        </w:tc>
      </w:tr>
      <w:tr w:rsidR="006103E2" w:rsidRPr="002949B5" w14:paraId="03AFF782" w14:textId="77777777" w:rsidTr="00990401">
        <w:tc>
          <w:tcPr>
            <w:tcW w:w="2438" w:type="dxa"/>
            <w:tcBorders>
              <w:top w:val="single" w:sz="4" w:space="0" w:color="F2E3C7" w:themeColor="accent6"/>
              <w:left w:val="nil"/>
              <w:bottom w:val="single" w:sz="4" w:space="0" w:color="F2E3C7" w:themeColor="accent6"/>
              <w:right w:val="nil"/>
            </w:tcBorders>
          </w:tcPr>
          <w:p w14:paraId="3AA2E26A" w14:textId="77777777" w:rsidR="006103E2" w:rsidRPr="002949B5" w:rsidRDefault="006103E2" w:rsidP="00FD64BA">
            <w:pPr>
              <w:pStyle w:val="TableTextIndented"/>
            </w:pPr>
            <w:r w:rsidRPr="002949B5">
              <w:t xml:space="preserve">Capital cities ($) </w:t>
            </w:r>
          </w:p>
        </w:tc>
        <w:tc>
          <w:tcPr>
            <w:tcW w:w="822" w:type="dxa"/>
            <w:tcBorders>
              <w:top w:val="single" w:sz="4" w:space="0" w:color="F2E3C7" w:themeColor="accent6"/>
              <w:left w:val="nil"/>
              <w:bottom w:val="single" w:sz="4" w:space="0" w:color="F2E3C7" w:themeColor="accent6"/>
              <w:right w:val="nil"/>
            </w:tcBorders>
          </w:tcPr>
          <w:p w14:paraId="15D4BFCC" w14:textId="5BC45175" w:rsidR="006103E2" w:rsidRPr="002949B5" w:rsidRDefault="006103E2" w:rsidP="00FD64BA">
            <w:pPr>
              <w:pStyle w:val="TableTextRight"/>
            </w:pPr>
            <w:r w:rsidRPr="002949B5">
              <w:t>433</w:t>
            </w:r>
          </w:p>
        </w:tc>
        <w:tc>
          <w:tcPr>
            <w:tcW w:w="822" w:type="dxa"/>
            <w:tcBorders>
              <w:top w:val="single" w:sz="4" w:space="0" w:color="F2E3C7" w:themeColor="accent6"/>
              <w:left w:val="nil"/>
              <w:bottom w:val="single" w:sz="4" w:space="0" w:color="F2E3C7" w:themeColor="accent6"/>
              <w:right w:val="nil"/>
            </w:tcBorders>
          </w:tcPr>
          <w:p w14:paraId="1DCEACEF" w14:textId="1575CD66" w:rsidR="006103E2" w:rsidRPr="002949B5" w:rsidRDefault="006103E2" w:rsidP="00FD64BA">
            <w:pPr>
              <w:pStyle w:val="TableTextRight"/>
            </w:pPr>
            <w:r w:rsidRPr="002949B5">
              <w:t>430</w:t>
            </w:r>
          </w:p>
        </w:tc>
        <w:tc>
          <w:tcPr>
            <w:tcW w:w="822" w:type="dxa"/>
            <w:tcBorders>
              <w:top w:val="single" w:sz="4" w:space="0" w:color="F2E3C7" w:themeColor="accent6"/>
              <w:left w:val="nil"/>
              <w:bottom w:val="single" w:sz="4" w:space="0" w:color="F2E3C7" w:themeColor="accent6"/>
              <w:right w:val="nil"/>
            </w:tcBorders>
          </w:tcPr>
          <w:p w14:paraId="1CCD0CAA" w14:textId="63557800" w:rsidR="006103E2" w:rsidRPr="002949B5" w:rsidRDefault="006103E2" w:rsidP="00FD64BA">
            <w:pPr>
              <w:pStyle w:val="TableTextRight"/>
            </w:pPr>
            <w:r w:rsidRPr="002949B5">
              <w:t>440</w:t>
            </w:r>
          </w:p>
        </w:tc>
        <w:tc>
          <w:tcPr>
            <w:tcW w:w="822" w:type="dxa"/>
            <w:tcBorders>
              <w:top w:val="single" w:sz="4" w:space="0" w:color="F2E3C7" w:themeColor="accent6"/>
              <w:left w:val="nil"/>
              <w:bottom w:val="single" w:sz="4" w:space="0" w:color="F2E3C7" w:themeColor="accent6"/>
              <w:right w:val="nil"/>
            </w:tcBorders>
          </w:tcPr>
          <w:p w14:paraId="016BA64F" w14:textId="60E98FCF" w:rsidR="006103E2" w:rsidRPr="002949B5" w:rsidRDefault="006103E2" w:rsidP="00FD64BA">
            <w:pPr>
              <w:pStyle w:val="TableTextRight"/>
            </w:pPr>
            <w:r w:rsidRPr="002949B5">
              <w:t>461</w:t>
            </w:r>
          </w:p>
        </w:tc>
        <w:tc>
          <w:tcPr>
            <w:tcW w:w="822" w:type="dxa"/>
            <w:tcBorders>
              <w:top w:val="single" w:sz="4" w:space="0" w:color="F2E3C7" w:themeColor="accent6"/>
              <w:left w:val="nil"/>
              <w:bottom w:val="single" w:sz="4" w:space="0" w:color="F2E3C7" w:themeColor="accent6"/>
              <w:right w:val="nil"/>
            </w:tcBorders>
          </w:tcPr>
          <w:p w14:paraId="19D7E24B" w14:textId="7B3EE30B" w:rsidR="006103E2" w:rsidRPr="002949B5" w:rsidRDefault="006103E2" w:rsidP="00FD64BA">
            <w:pPr>
              <w:pStyle w:val="TableTextRight"/>
            </w:pPr>
            <w:r w:rsidRPr="002949B5">
              <w:t>530</w:t>
            </w:r>
          </w:p>
        </w:tc>
        <w:tc>
          <w:tcPr>
            <w:tcW w:w="822" w:type="dxa"/>
            <w:tcBorders>
              <w:top w:val="single" w:sz="4" w:space="0" w:color="F2E3C7" w:themeColor="accent6"/>
              <w:left w:val="nil"/>
              <w:bottom w:val="single" w:sz="4" w:space="0" w:color="F2E3C7" w:themeColor="accent6"/>
              <w:right w:val="nil"/>
            </w:tcBorders>
          </w:tcPr>
          <w:p w14:paraId="0A111691" w14:textId="36991DF3" w:rsidR="006103E2" w:rsidRPr="002949B5" w:rsidRDefault="006103E2" w:rsidP="00FD64BA">
            <w:pPr>
              <w:pStyle w:val="TableTextRight"/>
            </w:pPr>
            <w:r w:rsidRPr="002949B5">
              <w:t>603</w:t>
            </w:r>
          </w:p>
        </w:tc>
        <w:tc>
          <w:tcPr>
            <w:tcW w:w="720" w:type="dxa"/>
            <w:tcBorders>
              <w:top w:val="single" w:sz="4" w:space="0" w:color="F2E3C7" w:themeColor="accent6"/>
              <w:left w:val="nil"/>
              <w:bottom w:val="single" w:sz="4" w:space="0" w:color="F2E3C7" w:themeColor="accent6"/>
              <w:right w:val="nil"/>
            </w:tcBorders>
          </w:tcPr>
          <w:p w14:paraId="4C9B63F2" w14:textId="77777777" w:rsidR="006103E2" w:rsidRPr="002949B5" w:rsidRDefault="006103E2" w:rsidP="00FD64BA">
            <w:pPr>
              <w:pStyle w:val="TableTextRight"/>
            </w:pPr>
            <w:r w:rsidRPr="002949B5">
              <w:t>13.8%</w:t>
            </w:r>
          </w:p>
        </w:tc>
        <w:tc>
          <w:tcPr>
            <w:tcW w:w="826" w:type="dxa"/>
            <w:tcBorders>
              <w:top w:val="single" w:sz="4" w:space="0" w:color="F2E3C7" w:themeColor="accent6"/>
              <w:left w:val="nil"/>
              <w:bottom w:val="single" w:sz="4" w:space="0" w:color="F2E3C7" w:themeColor="accent6"/>
              <w:right w:val="nil"/>
            </w:tcBorders>
          </w:tcPr>
          <w:p w14:paraId="00562401" w14:textId="77777777" w:rsidR="006103E2" w:rsidRPr="002949B5" w:rsidRDefault="006103E2" w:rsidP="00FD64BA">
            <w:pPr>
              <w:pStyle w:val="TableTextRight"/>
            </w:pPr>
            <w:r w:rsidRPr="002949B5">
              <w:t>39.1%</w:t>
            </w:r>
          </w:p>
        </w:tc>
      </w:tr>
      <w:tr w:rsidR="006103E2" w:rsidRPr="002949B5" w14:paraId="6594BA2B" w14:textId="77777777" w:rsidTr="00990401">
        <w:tc>
          <w:tcPr>
            <w:tcW w:w="2438" w:type="dxa"/>
            <w:tcBorders>
              <w:top w:val="single" w:sz="4" w:space="0" w:color="F2E3C7" w:themeColor="accent6"/>
              <w:left w:val="nil"/>
              <w:bottom w:val="single" w:sz="4" w:space="0" w:color="F2E3C7" w:themeColor="accent6"/>
              <w:right w:val="nil"/>
            </w:tcBorders>
          </w:tcPr>
          <w:p w14:paraId="10B6F219" w14:textId="77777777" w:rsidR="006103E2" w:rsidRPr="002949B5" w:rsidRDefault="006103E2" w:rsidP="00FD64BA">
            <w:pPr>
              <w:pStyle w:val="TableTextIndented"/>
            </w:pPr>
            <w:r w:rsidRPr="002949B5">
              <w:t>Regional areas ($)</w:t>
            </w:r>
          </w:p>
        </w:tc>
        <w:tc>
          <w:tcPr>
            <w:tcW w:w="822" w:type="dxa"/>
            <w:tcBorders>
              <w:top w:val="single" w:sz="4" w:space="0" w:color="F2E3C7" w:themeColor="accent6"/>
              <w:left w:val="nil"/>
              <w:bottom w:val="single" w:sz="4" w:space="0" w:color="F2E3C7" w:themeColor="accent6"/>
              <w:right w:val="nil"/>
            </w:tcBorders>
          </w:tcPr>
          <w:p w14:paraId="55726FF3" w14:textId="2B1EBDFC" w:rsidR="006103E2" w:rsidRPr="002949B5" w:rsidRDefault="006103E2" w:rsidP="00FD64BA">
            <w:pPr>
              <w:pStyle w:val="TableTextRight"/>
            </w:pPr>
            <w:r w:rsidRPr="002949B5">
              <w:t>353</w:t>
            </w:r>
          </w:p>
        </w:tc>
        <w:tc>
          <w:tcPr>
            <w:tcW w:w="822" w:type="dxa"/>
            <w:tcBorders>
              <w:top w:val="single" w:sz="4" w:space="0" w:color="F2E3C7" w:themeColor="accent6"/>
              <w:left w:val="nil"/>
              <w:bottom w:val="single" w:sz="4" w:space="0" w:color="F2E3C7" w:themeColor="accent6"/>
              <w:right w:val="nil"/>
            </w:tcBorders>
          </w:tcPr>
          <w:p w14:paraId="223DA026" w14:textId="556B23B1" w:rsidR="006103E2" w:rsidRPr="002949B5" w:rsidRDefault="006103E2" w:rsidP="00FD64BA">
            <w:pPr>
              <w:pStyle w:val="TableTextRight"/>
            </w:pPr>
            <w:r w:rsidRPr="002949B5">
              <w:t>357</w:t>
            </w:r>
          </w:p>
        </w:tc>
        <w:tc>
          <w:tcPr>
            <w:tcW w:w="822" w:type="dxa"/>
            <w:tcBorders>
              <w:top w:val="single" w:sz="4" w:space="0" w:color="F2E3C7" w:themeColor="accent6"/>
              <w:left w:val="nil"/>
              <w:bottom w:val="single" w:sz="4" w:space="0" w:color="F2E3C7" w:themeColor="accent6"/>
              <w:right w:val="nil"/>
            </w:tcBorders>
          </w:tcPr>
          <w:p w14:paraId="31358BF3" w14:textId="0A453185" w:rsidR="006103E2" w:rsidRPr="002949B5" w:rsidRDefault="006103E2" w:rsidP="00FD64BA">
            <w:pPr>
              <w:pStyle w:val="TableTextRight"/>
            </w:pPr>
            <w:r w:rsidRPr="002949B5">
              <w:t>385</w:t>
            </w:r>
          </w:p>
        </w:tc>
        <w:tc>
          <w:tcPr>
            <w:tcW w:w="822" w:type="dxa"/>
            <w:tcBorders>
              <w:top w:val="single" w:sz="4" w:space="0" w:color="F2E3C7" w:themeColor="accent6"/>
              <w:left w:val="nil"/>
              <w:bottom w:val="single" w:sz="4" w:space="0" w:color="F2E3C7" w:themeColor="accent6"/>
              <w:right w:val="nil"/>
            </w:tcBorders>
          </w:tcPr>
          <w:p w14:paraId="6E46C151" w14:textId="1B89643B" w:rsidR="006103E2" w:rsidRPr="002949B5" w:rsidRDefault="006103E2" w:rsidP="00FD64BA">
            <w:pPr>
              <w:pStyle w:val="TableTextRight"/>
            </w:pPr>
            <w:r w:rsidRPr="002949B5">
              <w:t>432</w:t>
            </w:r>
          </w:p>
        </w:tc>
        <w:tc>
          <w:tcPr>
            <w:tcW w:w="822" w:type="dxa"/>
            <w:tcBorders>
              <w:top w:val="single" w:sz="4" w:space="0" w:color="F2E3C7" w:themeColor="accent6"/>
              <w:left w:val="nil"/>
              <w:bottom w:val="single" w:sz="4" w:space="0" w:color="F2E3C7" w:themeColor="accent6"/>
              <w:right w:val="nil"/>
            </w:tcBorders>
          </w:tcPr>
          <w:p w14:paraId="2B732AAD" w14:textId="00D6E5A8" w:rsidR="006103E2" w:rsidRPr="002949B5" w:rsidRDefault="006103E2" w:rsidP="00FD64BA">
            <w:pPr>
              <w:pStyle w:val="TableTextRight"/>
            </w:pPr>
            <w:r w:rsidRPr="002949B5">
              <w:t>473</w:t>
            </w:r>
          </w:p>
        </w:tc>
        <w:tc>
          <w:tcPr>
            <w:tcW w:w="822" w:type="dxa"/>
            <w:tcBorders>
              <w:top w:val="single" w:sz="4" w:space="0" w:color="F2E3C7" w:themeColor="accent6"/>
              <w:left w:val="nil"/>
              <w:bottom w:val="single" w:sz="4" w:space="0" w:color="F2E3C7" w:themeColor="accent6"/>
              <w:right w:val="nil"/>
            </w:tcBorders>
          </w:tcPr>
          <w:p w14:paraId="7C38F833" w14:textId="4F3516AD" w:rsidR="006103E2" w:rsidRPr="002949B5" w:rsidRDefault="006103E2" w:rsidP="00FD64BA">
            <w:pPr>
              <w:pStyle w:val="TableTextRight"/>
            </w:pPr>
            <w:r w:rsidRPr="002949B5">
              <w:t>507</w:t>
            </w:r>
          </w:p>
        </w:tc>
        <w:tc>
          <w:tcPr>
            <w:tcW w:w="720" w:type="dxa"/>
            <w:tcBorders>
              <w:top w:val="single" w:sz="4" w:space="0" w:color="F2E3C7" w:themeColor="accent6"/>
              <w:left w:val="nil"/>
              <w:bottom w:val="single" w:sz="4" w:space="0" w:color="F2E3C7" w:themeColor="accent6"/>
              <w:right w:val="nil"/>
            </w:tcBorders>
          </w:tcPr>
          <w:p w14:paraId="3096B610" w14:textId="77777777" w:rsidR="006103E2" w:rsidRPr="002949B5" w:rsidRDefault="006103E2" w:rsidP="00FD64BA">
            <w:pPr>
              <w:pStyle w:val="TableTextRight"/>
            </w:pPr>
            <w:r w:rsidRPr="002949B5">
              <w:t>7.3%</w:t>
            </w:r>
          </w:p>
        </w:tc>
        <w:tc>
          <w:tcPr>
            <w:tcW w:w="826" w:type="dxa"/>
            <w:tcBorders>
              <w:top w:val="single" w:sz="4" w:space="0" w:color="F2E3C7" w:themeColor="accent6"/>
              <w:left w:val="nil"/>
              <w:bottom w:val="single" w:sz="4" w:space="0" w:color="F2E3C7" w:themeColor="accent6"/>
              <w:right w:val="nil"/>
            </w:tcBorders>
          </w:tcPr>
          <w:p w14:paraId="20D34F44" w14:textId="77777777" w:rsidR="006103E2" w:rsidRPr="002949B5" w:rsidRDefault="006103E2" w:rsidP="00FD64BA">
            <w:pPr>
              <w:pStyle w:val="TableTextRight"/>
            </w:pPr>
            <w:r w:rsidRPr="002949B5">
              <w:t>43.4%</w:t>
            </w:r>
          </w:p>
        </w:tc>
      </w:tr>
      <w:tr w:rsidR="006103E2" w:rsidRPr="002949B5" w14:paraId="3A171450" w14:textId="77777777" w:rsidTr="00990401">
        <w:trPr>
          <w:trHeight w:val="391"/>
        </w:trPr>
        <w:tc>
          <w:tcPr>
            <w:tcW w:w="2438" w:type="dxa"/>
            <w:tcBorders>
              <w:top w:val="single" w:sz="4" w:space="0" w:color="F2E3C7" w:themeColor="accent6"/>
              <w:left w:val="nil"/>
              <w:bottom w:val="single" w:sz="12" w:space="0" w:color="F2E3C7" w:themeColor="accent6"/>
              <w:right w:val="nil"/>
            </w:tcBorders>
          </w:tcPr>
          <w:p w14:paraId="15B6F4FE" w14:textId="79F7334B" w:rsidR="006103E2" w:rsidRPr="002949B5" w:rsidRDefault="006103E2" w:rsidP="00FD64BA">
            <w:pPr>
              <w:pStyle w:val="TableTextLeft"/>
            </w:pPr>
            <w:r w:rsidRPr="002949B5">
              <w:t>Rental vacancy rate (%)</w:t>
            </w:r>
            <w:r w:rsidR="007814F0" w:rsidRPr="007814F0">
              <w:rPr>
                <w:vertAlign w:val="superscript"/>
              </w:rPr>
              <w:t>(f)</w:t>
            </w:r>
          </w:p>
        </w:tc>
        <w:tc>
          <w:tcPr>
            <w:tcW w:w="822" w:type="dxa"/>
            <w:tcBorders>
              <w:top w:val="single" w:sz="4" w:space="0" w:color="F2E3C7" w:themeColor="accent6"/>
              <w:left w:val="nil"/>
              <w:bottom w:val="single" w:sz="12" w:space="0" w:color="F2E3C7" w:themeColor="accent6"/>
              <w:right w:val="nil"/>
            </w:tcBorders>
          </w:tcPr>
          <w:p w14:paraId="26E160EF" w14:textId="77777777" w:rsidR="006103E2" w:rsidRPr="002949B5" w:rsidRDefault="006103E2" w:rsidP="00FD64BA">
            <w:pPr>
              <w:pStyle w:val="TableTextRight"/>
            </w:pPr>
            <w:r w:rsidRPr="002949B5">
              <w:t>2.6</w:t>
            </w:r>
          </w:p>
        </w:tc>
        <w:tc>
          <w:tcPr>
            <w:tcW w:w="822" w:type="dxa"/>
            <w:tcBorders>
              <w:top w:val="single" w:sz="4" w:space="0" w:color="F2E3C7" w:themeColor="accent6"/>
              <w:left w:val="nil"/>
              <w:bottom w:val="single" w:sz="12" w:space="0" w:color="F2E3C7" w:themeColor="accent6"/>
              <w:right w:val="nil"/>
            </w:tcBorders>
          </w:tcPr>
          <w:p w14:paraId="2F506E31" w14:textId="77777777" w:rsidR="006103E2" w:rsidRPr="002949B5" w:rsidRDefault="006103E2" w:rsidP="00FD64BA">
            <w:pPr>
              <w:pStyle w:val="TableTextRight"/>
            </w:pPr>
            <w:r w:rsidRPr="002949B5">
              <w:t>2.7</w:t>
            </w:r>
          </w:p>
        </w:tc>
        <w:tc>
          <w:tcPr>
            <w:tcW w:w="822" w:type="dxa"/>
            <w:tcBorders>
              <w:top w:val="single" w:sz="4" w:space="0" w:color="F2E3C7" w:themeColor="accent6"/>
              <w:left w:val="nil"/>
              <w:bottom w:val="single" w:sz="12" w:space="0" w:color="F2E3C7" w:themeColor="accent6"/>
              <w:right w:val="nil"/>
            </w:tcBorders>
          </w:tcPr>
          <w:p w14:paraId="3BA01E93" w14:textId="77777777" w:rsidR="006103E2" w:rsidRPr="002949B5" w:rsidRDefault="006103E2" w:rsidP="00FD64BA">
            <w:pPr>
              <w:pStyle w:val="TableTextRight"/>
            </w:pPr>
            <w:r w:rsidRPr="002949B5">
              <w:t>3.1</w:t>
            </w:r>
          </w:p>
        </w:tc>
        <w:tc>
          <w:tcPr>
            <w:tcW w:w="822" w:type="dxa"/>
            <w:tcBorders>
              <w:top w:val="single" w:sz="4" w:space="0" w:color="F2E3C7" w:themeColor="accent6"/>
              <w:left w:val="nil"/>
              <w:bottom w:val="single" w:sz="12" w:space="0" w:color="F2E3C7" w:themeColor="accent6"/>
              <w:right w:val="nil"/>
            </w:tcBorders>
          </w:tcPr>
          <w:p w14:paraId="08C1BFE7" w14:textId="77777777" w:rsidR="006103E2" w:rsidRPr="002949B5" w:rsidRDefault="006103E2" w:rsidP="00FD64BA">
            <w:pPr>
              <w:pStyle w:val="TableTextRight"/>
            </w:pPr>
            <w:r w:rsidRPr="002949B5">
              <w:t>2.6</w:t>
            </w:r>
          </w:p>
        </w:tc>
        <w:tc>
          <w:tcPr>
            <w:tcW w:w="822" w:type="dxa"/>
            <w:tcBorders>
              <w:top w:val="single" w:sz="4" w:space="0" w:color="F2E3C7" w:themeColor="accent6"/>
              <w:left w:val="nil"/>
              <w:bottom w:val="single" w:sz="12" w:space="0" w:color="F2E3C7" w:themeColor="accent6"/>
              <w:right w:val="nil"/>
            </w:tcBorders>
          </w:tcPr>
          <w:p w14:paraId="0BEBB3DF" w14:textId="77777777" w:rsidR="006103E2" w:rsidRPr="002949B5" w:rsidRDefault="006103E2" w:rsidP="00FD64BA">
            <w:pPr>
              <w:pStyle w:val="TableTextRight"/>
            </w:pPr>
            <w:r w:rsidRPr="002949B5">
              <w:t>1.6</w:t>
            </w:r>
          </w:p>
        </w:tc>
        <w:tc>
          <w:tcPr>
            <w:tcW w:w="822" w:type="dxa"/>
            <w:tcBorders>
              <w:top w:val="single" w:sz="4" w:space="0" w:color="F2E3C7" w:themeColor="accent6"/>
              <w:left w:val="nil"/>
              <w:bottom w:val="single" w:sz="12" w:space="0" w:color="F2E3C7" w:themeColor="accent6"/>
              <w:right w:val="nil"/>
            </w:tcBorders>
          </w:tcPr>
          <w:p w14:paraId="6C603944" w14:textId="77777777" w:rsidR="006103E2" w:rsidRPr="002949B5" w:rsidRDefault="006103E2" w:rsidP="00FD64BA">
            <w:pPr>
              <w:pStyle w:val="TableTextRight"/>
            </w:pPr>
            <w:r w:rsidRPr="002949B5">
              <w:t>1.6</w:t>
            </w:r>
          </w:p>
        </w:tc>
        <w:tc>
          <w:tcPr>
            <w:tcW w:w="720" w:type="dxa"/>
            <w:tcBorders>
              <w:top w:val="single" w:sz="4" w:space="0" w:color="F2E3C7" w:themeColor="accent6"/>
              <w:left w:val="nil"/>
              <w:bottom w:val="single" w:sz="12" w:space="0" w:color="F2E3C7" w:themeColor="accent6"/>
              <w:right w:val="nil"/>
            </w:tcBorders>
          </w:tcPr>
          <w:p w14:paraId="4281DBF1" w14:textId="77777777" w:rsidR="006103E2" w:rsidRPr="002949B5" w:rsidRDefault="006103E2" w:rsidP="00FD64BA">
            <w:pPr>
              <w:pStyle w:val="TableTextRight"/>
            </w:pPr>
            <w:r w:rsidRPr="002949B5">
              <w:t>0.0pp</w:t>
            </w:r>
          </w:p>
        </w:tc>
        <w:tc>
          <w:tcPr>
            <w:tcW w:w="826" w:type="dxa"/>
            <w:tcBorders>
              <w:top w:val="single" w:sz="4" w:space="0" w:color="F2E3C7" w:themeColor="accent6"/>
              <w:left w:val="nil"/>
              <w:bottom w:val="single" w:sz="12" w:space="0" w:color="F2E3C7" w:themeColor="accent6"/>
              <w:right w:val="nil"/>
            </w:tcBorders>
          </w:tcPr>
          <w:p w14:paraId="0ADF784F" w14:textId="3BDB393F" w:rsidR="006103E2" w:rsidRPr="002949B5" w:rsidRDefault="00A15C79" w:rsidP="00FD64BA">
            <w:pPr>
              <w:pStyle w:val="TableTextRight"/>
            </w:pPr>
            <w:r w:rsidRPr="002949B5">
              <w:noBreakHyphen/>
            </w:r>
            <w:r w:rsidR="006103E2" w:rsidRPr="002949B5">
              <w:t>1.1pp</w:t>
            </w:r>
          </w:p>
        </w:tc>
      </w:tr>
      <w:tr w:rsidR="006103E2" w:rsidRPr="002949B5" w14:paraId="5E92DA60" w14:textId="77777777" w:rsidTr="00990401">
        <w:trPr>
          <w:trHeight w:val="284"/>
        </w:trPr>
        <w:tc>
          <w:tcPr>
            <w:tcW w:w="2438" w:type="dxa"/>
            <w:tcBorders>
              <w:top w:val="single" w:sz="12" w:space="0" w:color="F2E3C7" w:themeColor="accent6"/>
              <w:left w:val="nil"/>
              <w:bottom w:val="single" w:sz="4" w:space="0" w:color="F2E3C7" w:themeColor="accent6"/>
              <w:right w:val="nil"/>
            </w:tcBorders>
          </w:tcPr>
          <w:p w14:paraId="227321F2" w14:textId="23BE9321" w:rsidR="006103E2" w:rsidRPr="002949B5" w:rsidRDefault="006103E2" w:rsidP="00FD64BA">
            <w:pPr>
              <w:pStyle w:val="TableTextLeft"/>
            </w:pPr>
            <w:r w:rsidRPr="002949B5">
              <w:t>Mortgage cost</w:t>
            </w:r>
            <w:r w:rsidR="00A15C79" w:rsidRPr="002949B5">
              <w:noBreakHyphen/>
            </w:r>
            <w:r w:rsidRPr="002949B5">
              <w:t>to</w:t>
            </w:r>
            <w:r w:rsidR="00A15C79" w:rsidRPr="002949B5">
              <w:noBreakHyphen/>
            </w:r>
            <w:r w:rsidRPr="002949B5">
              <w:t>income ratio, new mortgage (%)</w:t>
            </w:r>
            <w:r w:rsidR="00113DA1" w:rsidRPr="005D2B86">
              <w:rPr>
                <w:vertAlign w:val="superscript"/>
              </w:rPr>
              <w:t>(g)</w:t>
            </w:r>
          </w:p>
        </w:tc>
        <w:tc>
          <w:tcPr>
            <w:tcW w:w="822" w:type="dxa"/>
            <w:tcBorders>
              <w:top w:val="single" w:sz="12" w:space="0" w:color="F2E3C7" w:themeColor="accent6"/>
              <w:left w:val="nil"/>
              <w:bottom w:val="single" w:sz="4" w:space="0" w:color="F2E3C7" w:themeColor="accent6"/>
              <w:right w:val="nil"/>
            </w:tcBorders>
          </w:tcPr>
          <w:p w14:paraId="35EA156F" w14:textId="77777777" w:rsidR="006103E2" w:rsidRPr="002949B5" w:rsidRDefault="006103E2" w:rsidP="00FD64BA">
            <w:pPr>
              <w:pStyle w:val="TableTextRight"/>
            </w:pPr>
            <w:r w:rsidRPr="002949B5">
              <w:t>32.1</w:t>
            </w:r>
          </w:p>
        </w:tc>
        <w:tc>
          <w:tcPr>
            <w:tcW w:w="822" w:type="dxa"/>
            <w:tcBorders>
              <w:top w:val="single" w:sz="12" w:space="0" w:color="F2E3C7" w:themeColor="accent6"/>
              <w:left w:val="nil"/>
              <w:bottom w:val="single" w:sz="4" w:space="0" w:color="F2E3C7" w:themeColor="accent6"/>
              <w:right w:val="nil"/>
            </w:tcBorders>
          </w:tcPr>
          <w:p w14:paraId="704518F7" w14:textId="77777777" w:rsidR="006103E2" w:rsidRPr="002949B5" w:rsidRDefault="006103E2" w:rsidP="00FD64BA">
            <w:pPr>
              <w:pStyle w:val="TableTextRight"/>
            </w:pPr>
            <w:r w:rsidRPr="002949B5">
              <w:t>29.8</w:t>
            </w:r>
          </w:p>
        </w:tc>
        <w:tc>
          <w:tcPr>
            <w:tcW w:w="822" w:type="dxa"/>
            <w:tcBorders>
              <w:top w:val="single" w:sz="12" w:space="0" w:color="F2E3C7" w:themeColor="accent6"/>
              <w:left w:val="nil"/>
              <w:bottom w:val="single" w:sz="4" w:space="0" w:color="F2E3C7" w:themeColor="accent6"/>
              <w:right w:val="nil"/>
            </w:tcBorders>
          </w:tcPr>
          <w:p w14:paraId="25DBAD2D" w14:textId="77777777" w:rsidR="006103E2" w:rsidRPr="002949B5" w:rsidRDefault="006103E2" w:rsidP="00FD64BA">
            <w:pPr>
              <w:pStyle w:val="TableTextRight"/>
            </w:pPr>
            <w:r w:rsidRPr="002949B5">
              <w:t>30.3</w:t>
            </w:r>
          </w:p>
        </w:tc>
        <w:tc>
          <w:tcPr>
            <w:tcW w:w="822" w:type="dxa"/>
            <w:tcBorders>
              <w:top w:val="single" w:sz="12" w:space="0" w:color="F2E3C7" w:themeColor="accent6"/>
              <w:left w:val="nil"/>
              <w:bottom w:val="single" w:sz="4" w:space="0" w:color="F2E3C7" w:themeColor="accent6"/>
              <w:right w:val="nil"/>
            </w:tcBorders>
          </w:tcPr>
          <w:p w14:paraId="778F4B1F" w14:textId="77777777" w:rsidR="006103E2" w:rsidRPr="002949B5" w:rsidRDefault="006103E2" w:rsidP="00FD64BA">
            <w:pPr>
              <w:pStyle w:val="TableTextRight"/>
            </w:pPr>
            <w:r w:rsidRPr="002949B5">
              <w:t>34.5</w:t>
            </w:r>
          </w:p>
        </w:tc>
        <w:tc>
          <w:tcPr>
            <w:tcW w:w="822" w:type="dxa"/>
            <w:tcBorders>
              <w:top w:val="single" w:sz="12" w:space="0" w:color="F2E3C7" w:themeColor="accent6"/>
              <w:left w:val="nil"/>
              <w:bottom w:val="single" w:sz="4" w:space="0" w:color="F2E3C7" w:themeColor="accent6"/>
              <w:right w:val="nil"/>
            </w:tcBorders>
          </w:tcPr>
          <w:p w14:paraId="4F41D1CE" w14:textId="77777777" w:rsidR="006103E2" w:rsidRPr="002949B5" w:rsidRDefault="006103E2" w:rsidP="00FD64BA">
            <w:pPr>
              <w:pStyle w:val="TableTextRight"/>
            </w:pPr>
            <w:r w:rsidRPr="002949B5">
              <w:t>42.7</w:t>
            </w:r>
          </w:p>
        </w:tc>
        <w:tc>
          <w:tcPr>
            <w:tcW w:w="822" w:type="dxa"/>
            <w:tcBorders>
              <w:top w:val="single" w:sz="12" w:space="0" w:color="F2E3C7" w:themeColor="accent6"/>
              <w:left w:val="nil"/>
              <w:bottom w:val="single" w:sz="4" w:space="0" w:color="F2E3C7" w:themeColor="accent6"/>
              <w:right w:val="nil"/>
            </w:tcBorders>
          </w:tcPr>
          <w:p w14:paraId="2B1ABB42" w14:textId="77777777" w:rsidR="006103E2" w:rsidRPr="002949B5" w:rsidRDefault="006103E2" w:rsidP="00FD64BA">
            <w:pPr>
              <w:pStyle w:val="TableTextRight"/>
            </w:pPr>
            <w:r w:rsidRPr="002949B5">
              <w:t>48.7</w:t>
            </w:r>
          </w:p>
        </w:tc>
        <w:tc>
          <w:tcPr>
            <w:tcW w:w="720" w:type="dxa"/>
            <w:tcBorders>
              <w:top w:val="single" w:sz="12" w:space="0" w:color="F2E3C7" w:themeColor="accent6"/>
              <w:left w:val="nil"/>
              <w:bottom w:val="single" w:sz="4" w:space="0" w:color="F2E3C7" w:themeColor="accent6"/>
              <w:right w:val="nil"/>
            </w:tcBorders>
          </w:tcPr>
          <w:p w14:paraId="3B8E8A46" w14:textId="77777777" w:rsidR="006103E2" w:rsidRPr="002949B5" w:rsidRDefault="006103E2" w:rsidP="00FD64BA">
            <w:pPr>
              <w:pStyle w:val="TableTextRight"/>
            </w:pPr>
            <w:r w:rsidRPr="002949B5">
              <w:t>6.0pps</w:t>
            </w:r>
          </w:p>
        </w:tc>
        <w:tc>
          <w:tcPr>
            <w:tcW w:w="826" w:type="dxa"/>
            <w:tcBorders>
              <w:top w:val="single" w:sz="12" w:space="0" w:color="F2E3C7" w:themeColor="accent6"/>
              <w:left w:val="nil"/>
              <w:bottom w:val="single" w:sz="4" w:space="0" w:color="F2E3C7" w:themeColor="accent6"/>
              <w:right w:val="nil"/>
            </w:tcBorders>
          </w:tcPr>
          <w:p w14:paraId="665B7B37" w14:textId="77777777" w:rsidR="006103E2" w:rsidRPr="002949B5" w:rsidRDefault="006103E2" w:rsidP="00FD64BA">
            <w:pPr>
              <w:pStyle w:val="TableTextRight"/>
            </w:pPr>
            <w:r w:rsidRPr="002949B5">
              <w:t>16.6pps</w:t>
            </w:r>
          </w:p>
        </w:tc>
      </w:tr>
      <w:tr w:rsidR="006103E2" w:rsidRPr="002949B5" w14:paraId="22384BB9" w14:textId="77777777" w:rsidTr="00990401">
        <w:tc>
          <w:tcPr>
            <w:tcW w:w="2438" w:type="dxa"/>
            <w:tcBorders>
              <w:top w:val="single" w:sz="4" w:space="0" w:color="F2E3C7" w:themeColor="accent6"/>
              <w:left w:val="nil"/>
              <w:bottom w:val="single" w:sz="4" w:space="0" w:color="F2E3C7" w:themeColor="accent6"/>
              <w:right w:val="nil"/>
            </w:tcBorders>
          </w:tcPr>
          <w:p w14:paraId="42D07635" w14:textId="4E21D31D" w:rsidR="006103E2" w:rsidRPr="002949B5" w:rsidRDefault="006103E2" w:rsidP="00FD64BA">
            <w:pPr>
              <w:pStyle w:val="TableTextLeft"/>
            </w:pPr>
            <w:r w:rsidRPr="002949B5">
              <w:t>Rent</w:t>
            </w:r>
            <w:r w:rsidR="00A15C79" w:rsidRPr="002949B5">
              <w:noBreakHyphen/>
            </w:r>
            <w:r w:rsidRPr="002949B5">
              <w:t>to</w:t>
            </w:r>
            <w:r w:rsidR="00A15C79" w:rsidRPr="002949B5">
              <w:noBreakHyphen/>
            </w:r>
            <w:r w:rsidRPr="002949B5">
              <w:t>income ratio, new lease (%)</w:t>
            </w:r>
            <w:r w:rsidR="00113DA1">
              <w:rPr>
                <w:vertAlign w:val="superscript"/>
              </w:rPr>
              <w:t>(h)</w:t>
            </w:r>
          </w:p>
        </w:tc>
        <w:tc>
          <w:tcPr>
            <w:tcW w:w="822" w:type="dxa"/>
            <w:tcBorders>
              <w:top w:val="single" w:sz="4" w:space="0" w:color="F2E3C7" w:themeColor="accent6"/>
              <w:left w:val="nil"/>
              <w:bottom w:val="single" w:sz="4" w:space="0" w:color="F2E3C7" w:themeColor="accent6"/>
              <w:right w:val="nil"/>
            </w:tcBorders>
          </w:tcPr>
          <w:p w14:paraId="5253A738" w14:textId="77777777" w:rsidR="006103E2" w:rsidRPr="002949B5" w:rsidRDefault="006103E2" w:rsidP="00FD64BA">
            <w:pPr>
              <w:pStyle w:val="TableTextRight"/>
            </w:pPr>
            <w:r w:rsidRPr="002949B5">
              <w:t>27.3</w:t>
            </w:r>
          </w:p>
        </w:tc>
        <w:tc>
          <w:tcPr>
            <w:tcW w:w="822" w:type="dxa"/>
            <w:tcBorders>
              <w:top w:val="single" w:sz="4" w:space="0" w:color="F2E3C7" w:themeColor="accent6"/>
              <w:left w:val="nil"/>
              <w:bottom w:val="single" w:sz="4" w:space="0" w:color="F2E3C7" w:themeColor="accent6"/>
              <w:right w:val="nil"/>
            </w:tcBorders>
          </w:tcPr>
          <w:p w14:paraId="6E42F29F" w14:textId="77777777" w:rsidR="006103E2" w:rsidRPr="002949B5" w:rsidRDefault="006103E2" w:rsidP="00FD64BA">
            <w:pPr>
              <w:pStyle w:val="TableTextRight"/>
            </w:pPr>
            <w:r w:rsidRPr="002949B5">
              <w:t>26.6</w:t>
            </w:r>
          </w:p>
        </w:tc>
        <w:tc>
          <w:tcPr>
            <w:tcW w:w="822" w:type="dxa"/>
            <w:tcBorders>
              <w:top w:val="single" w:sz="4" w:space="0" w:color="F2E3C7" w:themeColor="accent6"/>
              <w:left w:val="nil"/>
              <w:bottom w:val="single" w:sz="4" w:space="0" w:color="F2E3C7" w:themeColor="accent6"/>
              <w:right w:val="nil"/>
            </w:tcBorders>
          </w:tcPr>
          <w:p w14:paraId="1962B174" w14:textId="77777777" w:rsidR="006103E2" w:rsidRPr="002949B5" w:rsidRDefault="006103E2" w:rsidP="00FD64BA">
            <w:pPr>
              <w:pStyle w:val="TableTextRight"/>
            </w:pPr>
            <w:r w:rsidRPr="002949B5">
              <w:t>26.7</w:t>
            </w:r>
          </w:p>
        </w:tc>
        <w:tc>
          <w:tcPr>
            <w:tcW w:w="822" w:type="dxa"/>
            <w:tcBorders>
              <w:top w:val="single" w:sz="4" w:space="0" w:color="F2E3C7" w:themeColor="accent6"/>
              <w:left w:val="nil"/>
              <w:bottom w:val="single" w:sz="4" w:space="0" w:color="F2E3C7" w:themeColor="accent6"/>
              <w:right w:val="nil"/>
            </w:tcBorders>
          </w:tcPr>
          <w:p w14:paraId="7A3E73FF" w14:textId="77777777" w:rsidR="006103E2" w:rsidRPr="002949B5" w:rsidRDefault="006103E2" w:rsidP="00FD64BA">
            <w:pPr>
              <w:pStyle w:val="TableTextRight"/>
            </w:pPr>
            <w:r w:rsidRPr="002949B5">
              <w:t>28.2</w:t>
            </w:r>
          </w:p>
        </w:tc>
        <w:tc>
          <w:tcPr>
            <w:tcW w:w="822" w:type="dxa"/>
            <w:tcBorders>
              <w:top w:val="single" w:sz="4" w:space="0" w:color="F2E3C7" w:themeColor="accent6"/>
              <w:left w:val="nil"/>
              <w:bottom w:val="single" w:sz="4" w:space="0" w:color="F2E3C7" w:themeColor="accent6"/>
              <w:right w:val="nil"/>
            </w:tcBorders>
          </w:tcPr>
          <w:p w14:paraId="48F4FB11" w14:textId="77777777" w:rsidR="006103E2" w:rsidRPr="002949B5" w:rsidRDefault="006103E2" w:rsidP="00FD64BA">
            <w:pPr>
              <w:pStyle w:val="TableTextRight"/>
            </w:pPr>
            <w:r w:rsidRPr="002949B5">
              <w:t>30.0</w:t>
            </w:r>
          </w:p>
        </w:tc>
        <w:tc>
          <w:tcPr>
            <w:tcW w:w="822" w:type="dxa"/>
            <w:tcBorders>
              <w:top w:val="single" w:sz="4" w:space="0" w:color="F2E3C7" w:themeColor="accent6"/>
              <w:left w:val="nil"/>
              <w:bottom w:val="single" w:sz="4" w:space="0" w:color="F2E3C7" w:themeColor="accent6"/>
              <w:right w:val="nil"/>
            </w:tcBorders>
          </w:tcPr>
          <w:p w14:paraId="795097B6" w14:textId="77777777" w:rsidR="006103E2" w:rsidRPr="002949B5" w:rsidRDefault="006103E2" w:rsidP="00FD64BA">
            <w:pPr>
              <w:pStyle w:val="TableTextRight"/>
            </w:pPr>
            <w:r w:rsidRPr="002949B5">
              <w:t>31.9</w:t>
            </w:r>
          </w:p>
        </w:tc>
        <w:tc>
          <w:tcPr>
            <w:tcW w:w="720" w:type="dxa"/>
            <w:tcBorders>
              <w:top w:val="single" w:sz="4" w:space="0" w:color="F2E3C7" w:themeColor="accent6"/>
              <w:left w:val="nil"/>
              <w:bottom w:val="single" w:sz="4" w:space="0" w:color="F2E3C7" w:themeColor="accent6"/>
              <w:right w:val="nil"/>
            </w:tcBorders>
          </w:tcPr>
          <w:p w14:paraId="23D90779" w14:textId="77777777" w:rsidR="006103E2" w:rsidRPr="002949B5" w:rsidRDefault="006103E2" w:rsidP="00FD64BA">
            <w:pPr>
              <w:pStyle w:val="TableTextRight"/>
            </w:pPr>
            <w:r w:rsidRPr="002949B5">
              <w:t>1.9pps</w:t>
            </w:r>
          </w:p>
        </w:tc>
        <w:tc>
          <w:tcPr>
            <w:tcW w:w="826" w:type="dxa"/>
            <w:tcBorders>
              <w:top w:val="single" w:sz="4" w:space="0" w:color="F2E3C7" w:themeColor="accent6"/>
              <w:left w:val="nil"/>
              <w:bottom w:val="single" w:sz="4" w:space="0" w:color="F2E3C7" w:themeColor="accent6"/>
              <w:right w:val="nil"/>
            </w:tcBorders>
          </w:tcPr>
          <w:p w14:paraId="5800653A" w14:textId="77777777" w:rsidR="006103E2" w:rsidRPr="002949B5" w:rsidRDefault="006103E2" w:rsidP="00FD64BA">
            <w:pPr>
              <w:pStyle w:val="TableTextRight"/>
            </w:pPr>
            <w:r w:rsidRPr="002949B5">
              <w:t>4.6pps</w:t>
            </w:r>
          </w:p>
        </w:tc>
      </w:tr>
      <w:tr w:rsidR="006103E2" w:rsidRPr="002949B5" w14:paraId="2B36ACBE" w14:textId="77777777" w:rsidTr="00990401">
        <w:tc>
          <w:tcPr>
            <w:tcW w:w="2438" w:type="dxa"/>
            <w:tcBorders>
              <w:top w:val="single" w:sz="4" w:space="0" w:color="F2E3C7" w:themeColor="accent6"/>
              <w:left w:val="nil"/>
              <w:bottom w:val="single" w:sz="4" w:space="0" w:color="F2E3C7" w:themeColor="accent6"/>
              <w:right w:val="nil"/>
            </w:tcBorders>
          </w:tcPr>
          <w:p w14:paraId="64BDB007" w14:textId="798A6DA8" w:rsidR="006103E2" w:rsidRPr="002949B5" w:rsidRDefault="006103E2" w:rsidP="00FD64BA">
            <w:pPr>
              <w:pStyle w:val="TableTextLeft"/>
            </w:pPr>
            <w:r w:rsidRPr="002949B5">
              <w:t>Years to save a 20</w:t>
            </w:r>
            <w:r w:rsidR="00403D89" w:rsidRPr="002949B5">
              <w:t xml:space="preserve">% </w:t>
            </w:r>
            <w:r w:rsidRPr="002949B5">
              <w:t>deposit</w:t>
            </w:r>
            <w:r w:rsidR="00113DA1">
              <w:rPr>
                <w:vertAlign w:val="superscript"/>
              </w:rPr>
              <w:t>(</w:t>
            </w:r>
            <w:proofErr w:type="spellStart"/>
            <w:r w:rsidR="00113DA1">
              <w:rPr>
                <w:vertAlign w:val="superscript"/>
              </w:rPr>
              <w:t>i</w:t>
            </w:r>
            <w:proofErr w:type="spellEnd"/>
            <w:r w:rsidR="00113DA1">
              <w:rPr>
                <w:vertAlign w:val="superscript"/>
              </w:rPr>
              <w:t>)</w:t>
            </w:r>
          </w:p>
        </w:tc>
        <w:tc>
          <w:tcPr>
            <w:tcW w:w="822" w:type="dxa"/>
            <w:tcBorders>
              <w:top w:val="single" w:sz="4" w:space="0" w:color="F2E3C7" w:themeColor="accent6"/>
              <w:left w:val="nil"/>
              <w:bottom w:val="single" w:sz="4" w:space="0" w:color="F2E3C7" w:themeColor="accent6"/>
              <w:right w:val="nil"/>
            </w:tcBorders>
          </w:tcPr>
          <w:p w14:paraId="5C16E2BE" w14:textId="77777777" w:rsidR="006103E2" w:rsidRPr="002949B5" w:rsidRDefault="006103E2" w:rsidP="00FD64BA">
            <w:pPr>
              <w:pStyle w:val="TableTextRight"/>
            </w:pPr>
            <w:r w:rsidRPr="002949B5">
              <w:t>8.6</w:t>
            </w:r>
          </w:p>
        </w:tc>
        <w:tc>
          <w:tcPr>
            <w:tcW w:w="822" w:type="dxa"/>
            <w:tcBorders>
              <w:top w:val="single" w:sz="4" w:space="0" w:color="F2E3C7" w:themeColor="accent6"/>
              <w:left w:val="nil"/>
              <w:bottom w:val="single" w:sz="4" w:space="0" w:color="F2E3C7" w:themeColor="accent6"/>
              <w:right w:val="nil"/>
            </w:tcBorders>
          </w:tcPr>
          <w:p w14:paraId="750589EF" w14:textId="77777777" w:rsidR="006103E2" w:rsidRPr="002949B5" w:rsidRDefault="006103E2" w:rsidP="00FD64BA">
            <w:pPr>
              <w:pStyle w:val="TableTextRight"/>
            </w:pPr>
            <w:r w:rsidRPr="002949B5">
              <w:t>8.6</w:t>
            </w:r>
          </w:p>
        </w:tc>
        <w:tc>
          <w:tcPr>
            <w:tcW w:w="822" w:type="dxa"/>
            <w:tcBorders>
              <w:top w:val="single" w:sz="4" w:space="0" w:color="F2E3C7" w:themeColor="accent6"/>
              <w:left w:val="nil"/>
              <w:bottom w:val="single" w:sz="4" w:space="0" w:color="F2E3C7" w:themeColor="accent6"/>
              <w:right w:val="nil"/>
            </w:tcBorders>
          </w:tcPr>
          <w:p w14:paraId="708979C7" w14:textId="77777777" w:rsidR="006103E2" w:rsidRPr="002949B5" w:rsidRDefault="006103E2" w:rsidP="00FD64BA">
            <w:pPr>
              <w:pStyle w:val="TableTextRight"/>
            </w:pPr>
            <w:r w:rsidRPr="002949B5">
              <w:t>9.1</w:t>
            </w:r>
          </w:p>
        </w:tc>
        <w:tc>
          <w:tcPr>
            <w:tcW w:w="822" w:type="dxa"/>
            <w:tcBorders>
              <w:top w:val="single" w:sz="4" w:space="0" w:color="F2E3C7" w:themeColor="accent6"/>
              <w:left w:val="nil"/>
              <w:bottom w:val="single" w:sz="4" w:space="0" w:color="F2E3C7" w:themeColor="accent6"/>
              <w:right w:val="nil"/>
            </w:tcBorders>
          </w:tcPr>
          <w:p w14:paraId="6511AD1E" w14:textId="77777777" w:rsidR="006103E2" w:rsidRPr="002949B5" w:rsidRDefault="006103E2" w:rsidP="00FD64BA">
            <w:pPr>
              <w:pStyle w:val="TableTextRight"/>
            </w:pPr>
            <w:r w:rsidRPr="002949B5">
              <w:t>10.4</w:t>
            </w:r>
          </w:p>
        </w:tc>
        <w:tc>
          <w:tcPr>
            <w:tcW w:w="822" w:type="dxa"/>
            <w:tcBorders>
              <w:top w:val="single" w:sz="4" w:space="0" w:color="F2E3C7" w:themeColor="accent6"/>
              <w:left w:val="nil"/>
              <w:bottom w:val="single" w:sz="4" w:space="0" w:color="F2E3C7" w:themeColor="accent6"/>
              <w:right w:val="nil"/>
            </w:tcBorders>
          </w:tcPr>
          <w:p w14:paraId="722B5267" w14:textId="77777777" w:rsidR="006103E2" w:rsidRPr="002949B5" w:rsidRDefault="006103E2" w:rsidP="00FD64BA">
            <w:pPr>
              <w:pStyle w:val="TableTextRight"/>
            </w:pPr>
            <w:r w:rsidRPr="002949B5">
              <w:t>10.0</w:t>
            </w:r>
          </w:p>
        </w:tc>
        <w:tc>
          <w:tcPr>
            <w:tcW w:w="822" w:type="dxa"/>
            <w:tcBorders>
              <w:top w:val="single" w:sz="4" w:space="0" w:color="F2E3C7" w:themeColor="accent6"/>
              <w:left w:val="nil"/>
              <w:bottom w:val="single" w:sz="4" w:space="0" w:color="F2E3C7" w:themeColor="accent6"/>
              <w:right w:val="nil"/>
            </w:tcBorders>
          </w:tcPr>
          <w:p w14:paraId="030538F3" w14:textId="77777777" w:rsidR="006103E2" w:rsidRPr="002949B5" w:rsidRDefault="006103E2" w:rsidP="00FD64BA">
            <w:pPr>
              <w:pStyle w:val="TableTextRight"/>
            </w:pPr>
            <w:r w:rsidRPr="002949B5">
              <w:t>10.3</w:t>
            </w:r>
          </w:p>
        </w:tc>
        <w:tc>
          <w:tcPr>
            <w:tcW w:w="720" w:type="dxa"/>
            <w:tcBorders>
              <w:top w:val="single" w:sz="4" w:space="0" w:color="F2E3C7" w:themeColor="accent6"/>
              <w:left w:val="nil"/>
              <w:bottom w:val="single" w:sz="4" w:space="0" w:color="F2E3C7" w:themeColor="accent6"/>
              <w:right w:val="nil"/>
            </w:tcBorders>
          </w:tcPr>
          <w:p w14:paraId="7A667BBE" w14:textId="77777777" w:rsidR="006103E2" w:rsidRPr="002949B5" w:rsidRDefault="006103E2" w:rsidP="00FD64BA">
            <w:pPr>
              <w:pStyle w:val="TableTextRight"/>
            </w:pPr>
            <w:r w:rsidRPr="002949B5">
              <w:t>3.4%</w:t>
            </w:r>
          </w:p>
        </w:tc>
        <w:tc>
          <w:tcPr>
            <w:tcW w:w="826" w:type="dxa"/>
            <w:tcBorders>
              <w:top w:val="single" w:sz="4" w:space="0" w:color="F2E3C7" w:themeColor="accent6"/>
              <w:left w:val="nil"/>
              <w:bottom w:val="single" w:sz="4" w:space="0" w:color="F2E3C7" w:themeColor="accent6"/>
              <w:right w:val="nil"/>
            </w:tcBorders>
          </w:tcPr>
          <w:p w14:paraId="48A63471" w14:textId="77777777" w:rsidR="006103E2" w:rsidRPr="002949B5" w:rsidRDefault="006103E2" w:rsidP="00FD64BA">
            <w:pPr>
              <w:pStyle w:val="TableTextRight"/>
            </w:pPr>
            <w:r w:rsidRPr="002949B5">
              <w:t>19.2%</w:t>
            </w:r>
          </w:p>
        </w:tc>
      </w:tr>
      <w:tr w:rsidR="006103E2" w:rsidRPr="002949B5" w14:paraId="1C359B44" w14:textId="77777777" w:rsidTr="00990401">
        <w:tc>
          <w:tcPr>
            <w:tcW w:w="2438" w:type="dxa"/>
            <w:tcBorders>
              <w:top w:val="single" w:sz="4" w:space="0" w:color="F2E3C7" w:themeColor="accent6"/>
              <w:left w:val="nil"/>
              <w:bottom w:val="single" w:sz="4" w:space="0" w:color="F2E3C7" w:themeColor="accent6"/>
              <w:right w:val="nil"/>
            </w:tcBorders>
          </w:tcPr>
          <w:p w14:paraId="6B8DB8C2" w14:textId="65E81473" w:rsidR="006103E2" w:rsidRPr="002949B5" w:rsidRDefault="006103E2" w:rsidP="00FD64BA">
            <w:pPr>
              <w:pStyle w:val="TableTextLeft"/>
            </w:pPr>
            <w:r w:rsidRPr="002949B5">
              <w:t>Homelessness</w:t>
            </w:r>
            <w:r w:rsidR="00113DA1">
              <w:rPr>
                <w:vertAlign w:val="superscript"/>
              </w:rPr>
              <w:t>(j)</w:t>
            </w:r>
          </w:p>
        </w:tc>
        <w:tc>
          <w:tcPr>
            <w:tcW w:w="822" w:type="dxa"/>
            <w:tcBorders>
              <w:top w:val="single" w:sz="4" w:space="0" w:color="F2E3C7" w:themeColor="accent6"/>
              <w:left w:val="nil"/>
              <w:bottom w:val="single" w:sz="4" w:space="0" w:color="F2E3C7" w:themeColor="accent6"/>
              <w:right w:val="nil"/>
            </w:tcBorders>
          </w:tcPr>
          <w:p w14:paraId="36F5CC1C" w14:textId="77777777" w:rsidR="006103E2" w:rsidRPr="002949B5" w:rsidRDefault="006103E2" w:rsidP="00FD64BA">
            <w:pPr>
              <w:pStyle w:val="TableTextRight"/>
              <w:rPr>
                <w:szCs w:val="18"/>
              </w:rPr>
            </w:pPr>
          </w:p>
        </w:tc>
        <w:tc>
          <w:tcPr>
            <w:tcW w:w="822" w:type="dxa"/>
            <w:tcBorders>
              <w:top w:val="single" w:sz="4" w:space="0" w:color="F2E3C7" w:themeColor="accent6"/>
              <w:left w:val="nil"/>
              <w:bottom w:val="single" w:sz="4" w:space="0" w:color="F2E3C7" w:themeColor="accent6"/>
              <w:right w:val="nil"/>
            </w:tcBorders>
          </w:tcPr>
          <w:p w14:paraId="0EA41BBA" w14:textId="77777777" w:rsidR="006103E2" w:rsidRPr="002949B5" w:rsidRDefault="006103E2" w:rsidP="00FD64BA">
            <w:pPr>
              <w:pStyle w:val="TableTextRight"/>
              <w:rPr>
                <w:szCs w:val="18"/>
              </w:rPr>
            </w:pPr>
          </w:p>
        </w:tc>
        <w:tc>
          <w:tcPr>
            <w:tcW w:w="822" w:type="dxa"/>
            <w:tcBorders>
              <w:top w:val="single" w:sz="4" w:space="0" w:color="F2E3C7" w:themeColor="accent6"/>
              <w:left w:val="nil"/>
              <w:bottom w:val="single" w:sz="4" w:space="0" w:color="F2E3C7" w:themeColor="accent6"/>
              <w:right w:val="nil"/>
            </w:tcBorders>
          </w:tcPr>
          <w:p w14:paraId="48C861F9" w14:textId="0764DBDE" w:rsidR="006103E2" w:rsidRPr="002949B5" w:rsidRDefault="006103E2" w:rsidP="00FD64BA">
            <w:pPr>
              <w:pStyle w:val="TableTextRight"/>
              <w:rPr>
                <w:szCs w:val="18"/>
              </w:rPr>
            </w:pPr>
          </w:p>
        </w:tc>
        <w:tc>
          <w:tcPr>
            <w:tcW w:w="822" w:type="dxa"/>
            <w:tcBorders>
              <w:top w:val="single" w:sz="4" w:space="0" w:color="F2E3C7" w:themeColor="accent6"/>
              <w:left w:val="nil"/>
              <w:bottom w:val="single" w:sz="4" w:space="0" w:color="F2E3C7" w:themeColor="accent6"/>
              <w:right w:val="nil"/>
            </w:tcBorders>
          </w:tcPr>
          <w:p w14:paraId="4A635829" w14:textId="2043B886" w:rsidR="006103E2" w:rsidRPr="002949B5" w:rsidRDefault="003D52B0" w:rsidP="00FD64BA">
            <w:pPr>
              <w:pStyle w:val="TableTextRight"/>
              <w:rPr>
                <w:szCs w:val="18"/>
              </w:rPr>
            </w:pPr>
            <w:r w:rsidRPr="002949B5">
              <w:rPr>
                <w:szCs w:val="18"/>
              </w:rPr>
              <w:t>122,494</w:t>
            </w:r>
          </w:p>
        </w:tc>
        <w:tc>
          <w:tcPr>
            <w:tcW w:w="822" w:type="dxa"/>
            <w:tcBorders>
              <w:top w:val="single" w:sz="4" w:space="0" w:color="F2E3C7" w:themeColor="accent6"/>
              <w:left w:val="nil"/>
              <w:bottom w:val="single" w:sz="4" w:space="0" w:color="F2E3C7" w:themeColor="accent6"/>
              <w:right w:val="nil"/>
            </w:tcBorders>
          </w:tcPr>
          <w:p w14:paraId="6039FA67" w14:textId="77777777" w:rsidR="006103E2" w:rsidRPr="002949B5" w:rsidRDefault="006103E2" w:rsidP="00FD64BA">
            <w:pPr>
              <w:pStyle w:val="TableTextRight"/>
              <w:rPr>
                <w:szCs w:val="18"/>
              </w:rPr>
            </w:pPr>
          </w:p>
        </w:tc>
        <w:tc>
          <w:tcPr>
            <w:tcW w:w="822" w:type="dxa"/>
            <w:tcBorders>
              <w:top w:val="single" w:sz="4" w:space="0" w:color="F2E3C7" w:themeColor="accent6"/>
              <w:left w:val="nil"/>
              <w:bottom w:val="single" w:sz="4" w:space="0" w:color="F2E3C7" w:themeColor="accent6"/>
              <w:right w:val="nil"/>
            </w:tcBorders>
          </w:tcPr>
          <w:p w14:paraId="2B4835A2" w14:textId="77777777" w:rsidR="006103E2" w:rsidRPr="002949B5" w:rsidRDefault="006103E2" w:rsidP="00FD64BA">
            <w:pPr>
              <w:pStyle w:val="TableTextRight"/>
              <w:rPr>
                <w:szCs w:val="18"/>
              </w:rPr>
            </w:pPr>
          </w:p>
        </w:tc>
        <w:tc>
          <w:tcPr>
            <w:tcW w:w="720" w:type="dxa"/>
            <w:tcBorders>
              <w:top w:val="single" w:sz="4" w:space="0" w:color="F2E3C7" w:themeColor="accent6"/>
              <w:left w:val="nil"/>
              <w:bottom w:val="single" w:sz="4" w:space="0" w:color="F2E3C7" w:themeColor="accent6"/>
              <w:right w:val="nil"/>
            </w:tcBorders>
          </w:tcPr>
          <w:p w14:paraId="0C3E5721" w14:textId="77777777" w:rsidR="006103E2" w:rsidRPr="002949B5" w:rsidRDefault="006103E2" w:rsidP="00FD64BA">
            <w:pPr>
              <w:pStyle w:val="TableTextRight"/>
              <w:rPr>
                <w:szCs w:val="18"/>
              </w:rPr>
            </w:pPr>
          </w:p>
        </w:tc>
        <w:tc>
          <w:tcPr>
            <w:tcW w:w="826" w:type="dxa"/>
            <w:tcBorders>
              <w:top w:val="single" w:sz="4" w:space="0" w:color="F2E3C7" w:themeColor="accent6"/>
              <w:left w:val="nil"/>
              <w:bottom w:val="single" w:sz="4" w:space="0" w:color="F2E3C7" w:themeColor="accent6"/>
              <w:right w:val="nil"/>
            </w:tcBorders>
          </w:tcPr>
          <w:p w14:paraId="4EA14735" w14:textId="77777777" w:rsidR="006103E2" w:rsidRPr="002949B5" w:rsidRDefault="006103E2" w:rsidP="00FD64BA">
            <w:pPr>
              <w:pStyle w:val="TableTextRight"/>
              <w:rPr>
                <w:szCs w:val="18"/>
              </w:rPr>
            </w:pPr>
          </w:p>
        </w:tc>
      </w:tr>
      <w:tr w:rsidR="006103E2" w:rsidRPr="002949B5" w14:paraId="29C64083" w14:textId="77777777" w:rsidTr="00990401">
        <w:tc>
          <w:tcPr>
            <w:tcW w:w="2438" w:type="dxa"/>
            <w:tcBorders>
              <w:top w:val="single" w:sz="4" w:space="0" w:color="F2E3C7" w:themeColor="accent6"/>
              <w:left w:val="nil"/>
              <w:bottom w:val="single" w:sz="12" w:space="0" w:color="F2E3C7" w:themeColor="accent6"/>
              <w:right w:val="nil"/>
            </w:tcBorders>
          </w:tcPr>
          <w:p w14:paraId="4F923F77" w14:textId="2C59CF27" w:rsidR="006103E2" w:rsidRPr="002949B5" w:rsidRDefault="006103E2" w:rsidP="00FD64BA">
            <w:pPr>
              <w:pStyle w:val="TableTextLeft"/>
            </w:pPr>
            <w:r w:rsidRPr="002949B5">
              <w:t xml:space="preserve">Homelessness services </w:t>
            </w:r>
            <w:r w:rsidR="00113DA1">
              <w:rPr>
                <w:vertAlign w:val="superscript"/>
              </w:rPr>
              <w:t>(k)</w:t>
            </w:r>
          </w:p>
        </w:tc>
        <w:tc>
          <w:tcPr>
            <w:tcW w:w="822" w:type="dxa"/>
            <w:tcBorders>
              <w:top w:val="single" w:sz="4" w:space="0" w:color="F2E3C7" w:themeColor="accent6"/>
              <w:left w:val="nil"/>
              <w:bottom w:val="single" w:sz="12" w:space="0" w:color="F2E3C7" w:themeColor="accent6"/>
              <w:right w:val="nil"/>
            </w:tcBorders>
          </w:tcPr>
          <w:p w14:paraId="3899A82D" w14:textId="610AA27A" w:rsidR="006103E2" w:rsidRPr="002949B5" w:rsidRDefault="003D52B0" w:rsidP="00FD64BA">
            <w:pPr>
              <w:pStyle w:val="TableTextRight"/>
              <w:rPr>
                <w:szCs w:val="18"/>
              </w:rPr>
            </w:pPr>
            <w:r w:rsidRPr="002949B5">
              <w:t>290,317</w:t>
            </w:r>
          </w:p>
        </w:tc>
        <w:tc>
          <w:tcPr>
            <w:tcW w:w="822" w:type="dxa"/>
            <w:tcBorders>
              <w:top w:val="single" w:sz="4" w:space="0" w:color="F2E3C7" w:themeColor="accent6"/>
              <w:left w:val="nil"/>
              <w:bottom w:val="single" w:sz="12" w:space="0" w:color="F2E3C7" w:themeColor="accent6"/>
              <w:right w:val="nil"/>
            </w:tcBorders>
          </w:tcPr>
          <w:p w14:paraId="79D5880E" w14:textId="70080C31" w:rsidR="006103E2" w:rsidRPr="002949B5" w:rsidRDefault="003D52B0" w:rsidP="00FD64BA">
            <w:pPr>
              <w:pStyle w:val="TableTextRight"/>
              <w:rPr>
                <w:szCs w:val="18"/>
              </w:rPr>
            </w:pPr>
            <w:r w:rsidRPr="002949B5">
              <w:t>290,462</w:t>
            </w:r>
          </w:p>
        </w:tc>
        <w:tc>
          <w:tcPr>
            <w:tcW w:w="822" w:type="dxa"/>
            <w:tcBorders>
              <w:top w:val="single" w:sz="4" w:space="0" w:color="F2E3C7" w:themeColor="accent6"/>
              <w:left w:val="nil"/>
              <w:bottom w:val="single" w:sz="12" w:space="0" w:color="F2E3C7" w:themeColor="accent6"/>
              <w:right w:val="nil"/>
            </w:tcBorders>
          </w:tcPr>
          <w:p w14:paraId="0FD18CC1" w14:textId="7FC8A6E3" w:rsidR="006103E2" w:rsidRPr="002949B5" w:rsidRDefault="003D52B0" w:rsidP="00FD64BA">
            <w:pPr>
              <w:pStyle w:val="TableTextRight"/>
              <w:rPr>
                <w:szCs w:val="18"/>
              </w:rPr>
            </w:pPr>
            <w:r w:rsidRPr="002949B5">
              <w:t>278,275</w:t>
            </w:r>
          </w:p>
        </w:tc>
        <w:tc>
          <w:tcPr>
            <w:tcW w:w="822" w:type="dxa"/>
            <w:tcBorders>
              <w:top w:val="single" w:sz="4" w:space="0" w:color="F2E3C7" w:themeColor="accent6"/>
              <w:left w:val="nil"/>
              <w:bottom w:val="single" w:sz="12" w:space="0" w:color="F2E3C7" w:themeColor="accent6"/>
              <w:right w:val="nil"/>
            </w:tcBorders>
          </w:tcPr>
          <w:p w14:paraId="751191C4" w14:textId="4FB752AB" w:rsidR="006103E2" w:rsidRPr="002949B5" w:rsidRDefault="003D52B0" w:rsidP="00FD64BA">
            <w:pPr>
              <w:pStyle w:val="TableTextRight"/>
              <w:rPr>
                <w:szCs w:val="18"/>
              </w:rPr>
            </w:pPr>
            <w:r w:rsidRPr="002949B5">
              <w:t>272,694</w:t>
            </w:r>
          </w:p>
        </w:tc>
        <w:tc>
          <w:tcPr>
            <w:tcW w:w="822" w:type="dxa"/>
            <w:tcBorders>
              <w:top w:val="single" w:sz="4" w:space="0" w:color="F2E3C7" w:themeColor="accent6"/>
              <w:left w:val="nil"/>
              <w:bottom w:val="single" w:sz="12" w:space="0" w:color="F2E3C7" w:themeColor="accent6"/>
              <w:right w:val="nil"/>
            </w:tcBorders>
          </w:tcPr>
          <w:p w14:paraId="3E11FB3F" w14:textId="46EB3BDE" w:rsidR="006103E2" w:rsidRPr="002949B5" w:rsidRDefault="003D52B0" w:rsidP="00FD64BA">
            <w:pPr>
              <w:pStyle w:val="TableTextRight"/>
              <w:rPr>
                <w:szCs w:val="18"/>
              </w:rPr>
            </w:pPr>
            <w:r w:rsidRPr="002949B5">
              <w:t>273,648</w:t>
            </w:r>
          </w:p>
        </w:tc>
        <w:tc>
          <w:tcPr>
            <w:tcW w:w="822" w:type="dxa"/>
            <w:tcBorders>
              <w:top w:val="single" w:sz="4" w:space="0" w:color="F2E3C7" w:themeColor="accent6"/>
              <w:left w:val="nil"/>
              <w:bottom w:val="single" w:sz="12" w:space="0" w:color="F2E3C7" w:themeColor="accent6"/>
              <w:right w:val="nil"/>
            </w:tcBorders>
          </w:tcPr>
          <w:p w14:paraId="52E08138" w14:textId="49649402" w:rsidR="006103E2" w:rsidRPr="002949B5" w:rsidRDefault="003D52B0" w:rsidP="00FD64BA">
            <w:pPr>
              <w:pStyle w:val="TableTextRight"/>
              <w:rPr>
                <w:szCs w:val="18"/>
              </w:rPr>
            </w:pPr>
            <w:r w:rsidRPr="002949B5">
              <w:t>280,078</w:t>
            </w:r>
          </w:p>
        </w:tc>
        <w:tc>
          <w:tcPr>
            <w:tcW w:w="720" w:type="dxa"/>
            <w:tcBorders>
              <w:top w:val="single" w:sz="4" w:space="0" w:color="F2E3C7" w:themeColor="accent6"/>
              <w:left w:val="nil"/>
              <w:bottom w:val="single" w:sz="12" w:space="0" w:color="F2E3C7" w:themeColor="accent6"/>
              <w:right w:val="nil"/>
            </w:tcBorders>
          </w:tcPr>
          <w:p w14:paraId="09CA1950" w14:textId="328EDAD5" w:rsidR="006103E2" w:rsidRPr="002949B5" w:rsidRDefault="003D52B0" w:rsidP="00FD64BA">
            <w:pPr>
              <w:pStyle w:val="TableTextRight"/>
              <w:rPr>
                <w:szCs w:val="18"/>
              </w:rPr>
            </w:pPr>
            <w:r w:rsidRPr="00484D72">
              <w:rPr>
                <w:szCs w:val="18"/>
              </w:rPr>
              <w:t>2.3%</w:t>
            </w:r>
          </w:p>
        </w:tc>
        <w:tc>
          <w:tcPr>
            <w:tcW w:w="826" w:type="dxa"/>
            <w:tcBorders>
              <w:top w:val="single" w:sz="4" w:space="0" w:color="F2E3C7" w:themeColor="accent6"/>
              <w:left w:val="nil"/>
              <w:bottom w:val="single" w:sz="12" w:space="0" w:color="F2E3C7" w:themeColor="accent6"/>
              <w:right w:val="nil"/>
            </w:tcBorders>
          </w:tcPr>
          <w:p w14:paraId="2939CEFB" w14:textId="6CA3E8AE" w:rsidR="006103E2" w:rsidRPr="002949B5" w:rsidRDefault="003D52B0" w:rsidP="00FD64BA">
            <w:pPr>
              <w:pStyle w:val="TableTextRight"/>
              <w:rPr>
                <w:szCs w:val="18"/>
              </w:rPr>
            </w:pPr>
            <w:r w:rsidRPr="002949B5">
              <w:t>-3.5%</w:t>
            </w:r>
          </w:p>
        </w:tc>
      </w:tr>
      <w:tr w:rsidR="006103E2" w:rsidRPr="002949B5" w14:paraId="2D268446" w14:textId="77777777" w:rsidTr="00990401">
        <w:tc>
          <w:tcPr>
            <w:tcW w:w="2438" w:type="dxa"/>
            <w:tcBorders>
              <w:top w:val="single" w:sz="12" w:space="0" w:color="F2E3C7" w:themeColor="accent6"/>
              <w:left w:val="nil"/>
              <w:bottom w:val="single" w:sz="4" w:space="0" w:color="F2E3C7" w:themeColor="accent6"/>
              <w:right w:val="nil"/>
            </w:tcBorders>
          </w:tcPr>
          <w:p w14:paraId="35A5A673" w14:textId="12D61F43" w:rsidR="006103E2" w:rsidRPr="002949B5" w:rsidRDefault="006103E2" w:rsidP="00FD64BA">
            <w:pPr>
              <w:pStyle w:val="TableTextLeft"/>
            </w:pPr>
            <w:r w:rsidRPr="002949B5">
              <w:t>House construction material costs (index)</w:t>
            </w:r>
            <w:r w:rsidR="00113DA1">
              <w:rPr>
                <w:vertAlign w:val="superscript"/>
              </w:rPr>
              <w:t>(l)</w:t>
            </w:r>
          </w:p>
        </w:tc>
        <w:tc>
          <w:tcPr>
            <w:tcW w:w="822" w:type="dxa"/>
            <w:tcBorders>
              <w:top w:val="single" w:sz="12" w:space="0" w:color="F2E3C7" w:themeColor="accent6"/>
              <w:left w:val="nil"/>
              <w:bottom w:val="single" w:sz="4" w:space="0" w:color="F2E3C7" w:themeColor="accent6"/>
              <w:right w:val="nil"/>
            </w:tcBorders>
          </w:tcPr>
          <w:p w14:paraId="2EEF60D8" w14:textId="77777777" w:rsidR="006103E2" w:rsidRPr="002949B5" w:rsidRDefault="006103E2" w:rsidP="00FD64BA">
            <w:pPr>
              <w:pStyle w:val="TableTextRight"/>
            </w:pPr>
            <w:r w:rsidRPr="002949B5">
              <w:t>117.7</w:t>
            </w:r>
          </w:p>
        </w:tc>
        <w:tc>
          <w:tcPr>
            <w:tcW w:w="822" w:type="dxa"/>
            <w:tcBorders>
              <w:top w:val="single" w:sz="12" w:space="0" w:color="F2E3C7" w:themeColor="accent6"/>
              <w:left w:val="nil"/>
              <w:bottom w:val="single" w:sz="4" w:space="0" w:color="F2E3C7" w:themeColor="accent6"/>
              <w:right w:val="nil"/>
            </w:tcBorders>
          </w:tcPr>
          <w:p w14:paraId="30631ADB" w14:textId="77777777" w:rsidR="006103E2" w:rsidRPr="002949B5" w:rsidRDefault="006103E2" w:rsidP="00FD64BA">
            <w:pPr>
              <w:pStyle w:val="TableTextRight"/>
            </w:pPr>
            <w:r w:rsidRPr="002949B5">
              <w:t>119.0</w:t>
            </w:r>
          </w:p>
        </w:tc>
        <w:tc>
          <w:tcPr>
            <w:tcW w:w="822" w:type="dxa"/>
            <w:tcBorders>
              <w:top w:val="single" w:sz="12" w:space="0" w:color="F2E3C7" w:themeColor="accent6"/>
              <w:left w:val="nil"/>
              <w:bottom w:val="single" w:sz="4" w:space="0" w:color="F2E3C7" w:themeColor="accent6"/>
              <w:right w:val="nil"/>
            </w:tcBorders>
          </w:tcPr>
          <w:p w14:paraId="650A1BF9" w14:textId="77777777" w:rsidR="006103E2" w:rsidRPr="002949B5" w:rsidRDefault="006103E2" w:rsidP="00FD64BA">
            <w:pPr>
              <w:pStyle w:val="TableTextRight"/>
            </w:pPr>
            <w:r w:rsidRPr="002949B5">
              <w:t>121.9</w:t>
            </w:r>
          </w:p>
        </w:tc>
        <w:tc>
          <w:tcPr>
            <w:tcW w:w="822" w:type="dxa"/>
            <w:tcBorders>
              <w:top w:val="single" w:sz="12" w:space="0" w:color="F2E3C7" w:themeColor="accent6"/>
              <w:left w:val="nil"/>
              <w:bottom w:val="single" w:sz="4" w:space="0" w:color="F2E3C7" w:themeColor="accent6"/>
              <w:right w:val="nil"/>
            </w:tcBorders>
          </w:tcPr>
          <w:p w14:paraId="4FE0062F" w14:textId="77777777" w:rsidR="006103E2" w:rsidRPr="002949B5" w:rsidRDefault="006103E2" w:rsidP="00FD64BA">
            <w:pPr>
              <w:pStyle w:val="TableTextRight"/>
            </w:pPr>
            <w:r w:rsidRPr="002949B5">
              <w:t>138.0</w:t>
            </w:r>
          </w:p>
        </w:tc>
        <w:tc>
          <w:tcPr>
            <w:tcW w:w="822" w:type="dxa"/>
            <w:tcBorders>
              <w:top w:val="single" w:sz="12" w:space="0" w:color="F2E3C7" w:themeColor="accent6"/>
              <w:left w:val="nil"/>
              <w:bottom w:val="single" w:sz="4" w:space="0" w:color="F2E3C7" w:themeColor="accent6"/>
              <w:right w:val="nil"/>
            </w:tcBorders>
          </w:tcPr>
          <w:p w14:paraId="605A1409" w14:textId="77777777" w:rsidR="006103E2" w:rsidRPr="002949B5" w:rsidRDefault="006103E2" w:rsidP="00FD64BA">
            <w:pPr>
              <w:pStyle w:val="TableTextRight"/>
            </w:pPr>
            <w:r w:rsidRPr="002949B5">
              <w:t>154.7</w:t>
            </w:r>
          </w:p>
        </w:tc>
        <w:tc>
          <w:tcPr>
            <w:tcW w:w="822" w:type="dxa"/>
            <w:tcBorders>
              <w:top w:val="single" w:sz="12" w:space="0" w:color="F2E3C7" w:themeColor="accent6"/>
              <w:left w:val="nil"/>
              <w:bottom w:val="single" w:sz="4" w:space="0" w:color="F2E3C7" w:themeColor="accent6"/>
              <w:right w:val="nil"/>
            </w:tcBorders>
          </w:tcPr>
          <w:p w14:paraId="7ABF8ABD" w14:textId="77777777" w:rsidR="006103E2" w:rsidRPr="002949B5" w:rsidRDefault="006103E2" w:rsidP="00FD64BA">
            <w:pPr>
              <w:pStyle w:val="TableTextRight"/>
            </w:pPr>
            <w:r w:rsidRPr="002949B5">
              <w:t>158.2</w:t>
            </w:r>
          </w:p>
        </w:tc>
        <w:tc>
          <w:tcPr>
            <w:tcW w:w="720" w:type="dxa"/>
            <w:tcBorders>
              <w:top w:val="single" w:sz="12" w:space="0" w:color="F2E3C7" w:themeColor="accent6"/>
              <w:left w:val="nil"/>
              <w:bottom w:val="single" w:sz="4" w:space="0" w:color="F2E3C7" w:themeColor="accent6"/>
              <w:right w:val="nil"/>
            </w:tcBorders>
          </w:tcPr>
          <w:p w14:paraId="213A5CF6" w14:textId="77777777" w:rsidR="006103E2" w:rsidRPr="002949B5" w:rsidRDefault="006103E2" w:rsidP="00FD64BA">
            <w:pPr>
              <w:pStyle w:val="TableTextRight"/>
            </w:pPr>
            <w:r w:rsidRPr="002949B5">
              <w:t xml:space="preserve"> 2.3%</w:t>
            </w:r>
          </w:p>
        </w:tc>
        <w:tc>
          <w:tcPr>
            <w:tcW w:w="826" w:type="dxa"/>
            <w:tcBorders>
              <w:top w:val="single" w:sz="12" w:space="0" w:color="F2E3C7" w:themeColor="accent6"/>
              <w:left w:val="nil"/>
              <w:bottom w:val="single" w:sz="4" w:space="0" w:color="F2E3C7" w:themeColor="accent6"/>
              <w:right w:val="nil"/>
            </w:tcBorders>
          </w:tcPr>
          <w:p w14:paraId="570D1D36" w14:textId="77777777" w:rsidR="006103E2" w:rsidRPr="002949B5" w:rsidRDefault="006103E2" w:rsidP="00FD64BA">
            <w:pPr>
              <w:pStyle w:val="TableTextRight"/>
            </w:pPr>
            <w:r w:rsidRPr="002949B5">
              <w:t>34.4%</w:t>
            </w:r>
          </w:p>
        </w:tc>
      </w:tr>
      <w:tr w:rsidR="006103E2" w:rsidRPr="002949B5" w14:paraId="4F671FB4" w14:textId="77777777" w:rsidTr="00990401">
        <w:tc>
          <w:tcPr>
            <w:tcW w:w="2438" w:type="dxa"/>
            <w:tcBorders>
              <w:top w:val="single" w:sz="4" w:space="0" w:color="F2E3C7" w:themeColor="accent6"/>
              <w:left w:val="nil"/>
              <w:bottom w:val="single" w:sz="4" w:space="0" w:color="F2E3C7" w:themeColor="accent6"/>
              <w:right w:val="nil"/>
            </w:tcBorders>
          </w:tcPr>
          <w:p w14:paraId="39AD3B3C" w14:textId="121A5D09" w:rsidR="006103E2" w:rsidRPr="002949B5" w:rsidRDefault="006103E2" w:rsidP="00FD64BA">
            <w:pPr>
              <w:pStyle w:val="TableTextLeft"/>
            </w:pPr>
            <w:r w:rsidRPr="002949B5">
              <w:t>Construction sector wages (index)</w:t>
            </w:r>
            <w:r w:rsidR="00113DA1">
              <w:rPr>
                <w:vertAlign w:val="superscript"/>
              </w:rPr>
              <w:t>(m)</w:t>
            </w:r>
          </w:p>
        </w:tc>
        <w:tc>
          <w:tcPr>
            <w:tcW w:w="822" w:type="dxa"/>
            <w:tcBorders>
              <w:top w:val="single" w:sz="4" w:space="0" w:color="F2E3C7" w:themeColor="accent6"/>
              <w:left w:val="nil"/>
              <w:bottom w:val="single" w:sz="4" w:space="0" w:color="F2E3C7" w:themeColor="accent6"/>
              <w:right w:val="nil"/>
            </w:tcBorders>
          </w:tcPr>
          <w:p w14:paraId="45C6436A" w14:textId="77777777" w:rsidR="006103E2" w:rsidRPr="002949B5" w:rsidRDefault="006103E2" w:rsidP="00FD64BA">
            <w:pPr>
              <w:pStyle w:val="TableTextRight"/>
            </w:pPr>
            <w:r w:rsidRPr="002949B5">
              <w:t>130.2</w:t>
            </w:r>
          </w:p>
        </w:tc>
        <w:tc>
          <w:tcPr>
            <w:tcW w:w="822" w:type="dxa"/>
            <w:tcBorders>
              <w:top w:val="single" w:sz="4" w:space="0" w:color="F2E3C7" w:themeColor="accent6"/>
              <w:left w:val="nil"/>
              <w:bottom w:val="single" w:sz="4" w:space="0" w:color="F2E3C7" w:themeColor="accent6"/>
              <w:right w:val="nil"/>
            </w:tcBorders>
          </w:tcPr>
          <w:p w14:paraId="62151272" w14:textId="77777777" w:rsidR="006103E2" w:rsidRPr="002949B5" w:rsidRDefault="006103E2" w:rsidP="00FD64BA">
            <w:pPr>
              <w:pStyle w:val="TableTextRight"/>
            </w:pPr>
            <w:r w:rsidRPr="002949B5">
              <w:t>132.3</w:t>
            </w:r>
          </w:p>
        </w:tc>
        <w:tc>
          <w:tcPr>
            <w:tcW w:w="822" w:type="dxa"/>
            <w:tcBorders>
              <w:top w:val="single" w:sz="4" w:space="0" w:color="F2E3C7" w:themeColor="accent6"/>
              <w:left w:val="nil"/>
              <w:bottom w:val="single" w:sz="4" w:space="0" w:color="F2E3C7" w:themeColor="accent6"/>
              <w:right w:val="nil"/>
            </w:tcBorders>
          </w:tcPr>
          <w:p w14:paraId="5D71908E" w14:textId="77777777" w:rsidR="006103E2" w:rsidRPr="002949B5" w:rsidRDefault="006103E2" w:rsidP="00FD64BA">
            <w:pPr>
              <w:pStyle w:val="TableTextRight"/>
            </w:pPr>
            <w:r w:rsidRPr="002949B5">
              <w:t>134.0</w:t>
            </w:r>
          </w:p>
        </w:tc>
        <w:tc>
          <w:tcPr>
            <w:tcW w:w="822" w:type="dxa"/>
            <w:tcBorders>
              <w:top w:val="single" w:sz="4" w:space="0" w:color="F2E3C7" w:themeColor="accent6"/>
              <w:left w:val="nil"/>
              <w:bottom w:val="single" w:sz="4" w:space="0" w:color="F2E3C7" w:themeColor="accent6"/>
              <w:right w:val="nil"/>
            </w:tcBorders>
          </w:tcPr>
          <w:p w14:paraId="68C37C10" w14:textId="77777777" w:rsidR="006103E2" w:rsidRPr="002949B5" w:rsidRDefault="006103E2" w:rsidP="00FD64BA">
            <w:pPr>
              <w:pStyle w:val="TableTextRight"/>
            </w:pPr>
            <w:r w:rsidRPr="002949B5">
              <w:t>137.6</w:t>
            </w:r>
          </w:p>
        </w:tc>
        <w:tc>
          <w:tcPr>
            <w:tcW w:w="822" w:type="dxa"/>
            <w:tcBorders>
              <w:top w:val="single" w:sz="4" w:space="0" w:color="F2E3C7" w:themeColor="accent6"/>
              <w:left w:val="nil"/>
              <w:bottom w:val="single" w:sz="4" w:space="0" w:color="F2E3C7" w:themeColor="accent6"/>
              <w:right w:val="nil"/>
            </w:tcBorders>
          </w:tcPr>
          <w:p w14:paraId="2E7B61E8" w14:textId="77777777" w:rsidR="006103E2" w:rsidRPr="002949B5" w:rsidRDefault="006103E2" w:rsidP="00FD64BA">
            <w:pPr>
              <w:pStyle w:val="TableTextRight"/>
            </w:pPr>
            <w:r w:rsidRPr="002949B5">
              <w:t>142.8</w:t>
            </w:r>
          </w:p>
        </w:tc>
        <w:tc>
          <w:tcPr>
            <w:tcW w:w="822" w:type="dxa"/>
            <w:tcBorders>
              <w:top w:val="single" w:sz="4" w:space="0" w:color="F2E3C7" w:themeColor="accent6"/>
              <w:left w:val="nil"/>
              <w:bottom w:val="single" w:sz="4" w:space="0" w:color="F2E3C7" w:themeColor="accent6"/>
              <w:right w:val="nil"/>
            </w:tcBorders>
          </w:tcPr>
          <w:p w14:paraId="4E67D0EE" w14:textId="77777777" w:rsidR="006103E2" w:rsidRPr="002949B5" w:rsidRDefault="006103E2" w:rsidP="00FD64BA">
            <w:pPr>
              <w:pStyle w:val="TableTextRight"/>
            </w:pPr>
            <w:r w:rsidRPr="002949B5">
              <w:t>148.7</w:t>
            </w:r>
          </w:p>
        </w:tc>
        <w:tc>
          <w:tcPr>
            <w:tcW w:w="720" w:type="dxa"/>
            <w:tcBorders>
              <w:top w:val="single" w:sz="4" w:space="0" w:color="F2E3C7" w:themeColor="accent6"/>
              <w:left w:val="nil"/>
              <w:bottom w:val="single" w:sz="4" w:space="0" w:color="F2E3C7" w:themeColor="accent6"/>
              <w:right w:val="nil"/>
            </w:tcBorders>
          </w:tcPr>
          <w:p w14:paraId="7FC71785" w14:textId="77777777" w:rsidR="006103E2" w:rsidRPr="002949B5" w:rsidRDefault="006103E2" w:rsidP="00FD64BA">
            <w:pPr>
              <w:pStyle w:val="TableTextRight"/>
            </w:pPr>
            <w:r w:rsidRPr="002949B5">
              <w:t>4.1%</w:t>
            </w:r>
          </w:p>
        </w:tc>
        <w:tc>
          <w:tcPr>
            <w:tcW w:w="826" w:type="dxa"/>
            <w:tcBorders>
              <w:top w:val="single" w:sz="4" w:space="0" w:color="F2E3C7" w:themeColor="accent6"/>
              <w:left w:val="nil"/>
              <w:bottom w:val="single" w:sz="4" w:space="0" w:color="F2E3C7" w:themeColor="accent6"/>
              <w:right w:val="nil"/>
            </w:tcBorders>
          </w:tcPr>
          <w:p w14:paraId="13DE3A16" w14:textId="77777777" w:rsidR="006103E2" w:rsidRPr="002949B5" w:rsidRDefault="006103E2" w:rsidP="00FD64BA">
            <w:pPr>
              <w:pStyle w:val="TableTextRight"/>
            </w:pPr>
            <w:r w:rsidRPr="002949B5">
              <w:t>14.2%</w:t>
            </w:r>
          </w:p>
        </w:tc>
      </w:tr>
      <w:tr w:rsidR="006103E2" w:rsidRPr="002949B5" w14:paraId="6D881AC7" w14:textId="77777777" w:rsidTr="00990401">
        <w:tc>
          <w:tcPr>
            <w:tcW w:w="2438" w:type="dxa"/>
            <w:tcBorders>
              <w:top w:val="single" w:sz="4" w:space="0" w:color="F2E3C7" w:themeColor="accent6"/>
              <w:left w:val="nil"/>
              <w:bottom w:val="single" w:sz="4" w:space="0" w:color="F2E3C7" w:themeColor="accent6"/>
              <w:right w:val="nil"/>
            </w:tcBorders>
          </w:tcPr>
          <w:p w14:paraId="423821B2" w14:textId="309B8898" w:rsidR="006103E2" w:rsidRPr="002949B5" w:rsidRDefault="006103E2" w:rsidP="00FD64BA">
            <w:pPr>
              <w:pStyle w:val="TableTextLeft"/>
            </w:pPr>
            <w:r w:rsidRPr="002949B5">
              <w:t>RBA cash rate target (%)</w:t>
            </w:r>
            <w:r w:rsidR="00113DA1">
              <w:rPr>
                <w:vertAlign w:val="superscript"/>
              </w:rPr>
              <w:t>(n)</w:t>
            </w:r>
          </w:p>
        </w:tc>
        <w:tc>
          <w:tcPr>
            <w:tcW w:w="822" w:type="dxa"/>
            <w:tcBorders>
              <w:top w:val="single" w:sz="4" w:space="0" w:color="F2E3C7" w:themeColor="accent6"/>
              <w:left w:val="nil"/>
              <w:bottom w:val="single" w:sz="4" w:space="0" w:color="F2E3C7" w:themeColor="accent6"/>
              <w:right w:val="nil"/>
            </w:tcBorders>
          </w:tcPr>
          <w:p w14:paraId="7E717351" w14:textId="77777777" w:rsidR="006103E2" w:rsidRPr="002949B5" w:rsidRDefault="006103E2" w:rsidP="00FD64BA">
            <w:pPr>
              <w:pStyle w:val="TableTextRight"/>
            </w:pPr>
            <w:r w:rsidRPr="002949B5">
              <w:t>1.25</w:t>
            </w:r>
          </w:p>
        </w:tc>
        <w:tc>
          <w:tcPr>
            <w:tcW w:w="822" w:type="dxa"/>
            <w:tcBorders>
              <w:top w:val="single" w:sz="4" w:space="0" w:color="F2E3C7" w:themeColor="accent6"/>
              <w:left w:val="nil"/>
              <w:bottom w:val="single" w:sz="4" w:space="0" w:color="F2E3C7" w:themeColor="accent6"/>
              <w:right w:val="nil"/>
            </w:tcBorders>
          </w:tcPr>
          <w:p w14:paraId="6161D978" w14:textId="77777777" w:rsidR="006103E2" w:rsidRPr="002949B5" w:rsidRDefault="006103E2" w:rsidP="00FD64BA">
            <w:pPr>
              <w:pStyle w:val="TableTextRight"/>
            </w:pPr>
            <w:r w:rsidRPr="002949B5">
              <w:t>0.25</w:t>
            </w:r>
          </w:p>
        </w:tc>
        <w:tc>
          <w:tcPr>
            <w:tcW w:w="822" w:type="dxa"/>
            <w:tcBorders>
              <w:top w:val="single" w:sz="4" w:space="0" w:color="F2E3C7" w:themeColor="accent6"/>
              <w:left w:val="nil"/>
              <w:bottom w:val="single" w:sz="4" w:space="0" w:color="F2E3C7" w:themeColor="accent6"/>
              <w:right w:val="nil"/>
            </w:tcBorders>
          </w:tcPr>
          <w:p w14:paraId="01E0B1EE" w14:textId="77777777" w:rsidR="006103E2" w:rsidRPr="002949B5" w:rsidRDefault="006103E2" w:rsidP="00FD64BA">
            <w:pPr>
              <w:pStyle w:val="TableTextRight"/>
            </w:pPr>
            <w:r w:rsidRPr="002949B5">
              <w:t>0.10</w:t>
            </w:r>
          </w:p>
        </w:tc>
        <w:tc>
          <w:tcPr>
            <w:tcW w:w="822" w:type="dxa"/>
            <w:tcBorders>
              <w:top w:val="single" w:sz="4" w:space="0" w:color="F2E3C7" w:themeColor="accent6"/>
              <w:left w:val="nil"/>
              <w:bottom w:val="single" w:sz="4" w:space="0" w:color="F2E3C7" w:themeColor="accent6"/>
              <w:right w:val="nil"/>
            </w:tcBorders>
          </w:tcPr>
          <w:p w14:paraId="2416A911" w14:textId="77777777" w:rsidR="006103E2" w:rsidRPr="002949B5" w:rsidRDefault="006103E2" w:rsidP="00FD64BA">
            <w:pPr>
              <w:pStyle w:val="TableTextRight"/>
            </w:pPr>
            <w:r w:rsidRPr="002949B5">
              <w:t>0.85</w:t>
            </w:r>
          </w:p>
        </w:tc>
        <w:tc>
          <w:tcPr>
            <w:tcW w:w="822" w:type="dxa"/>
            <w:tcBorders>
              <w:top w:val="single" w:sz="4" w:space="0" w:color="F2E3C7" w:themeColor="accent6"/>
              <w:left w:val="nil"/>
              <w:bottom w:val="single" w:sz="4" w:space="0" w:color="F2E3C7" w:themeColor="accent6"/>
              <w:right w:val="nil"/>
            </w:tcBorders>
          </w:tcPr>
          <w:p w14:paraId="1460AE19" w14:textId="77777777" w:rsidR="006103E2" w:rsidRPr="002949B5" w:rsidRDefault="006103E2" w:rsidP="00FD64BA">
            <w:pPr>
              <w:pStyle w:val="TableTextRight"/>
            </w:pPr>
            <w:r w:rsidRPr="002949B5">
              <w:t>4.10</w:t>
            </w:r>
          </w:p>
        </w:tc>
        <w:tc>
          <w:tcPr>
            <w:tcW w:w="822" w:type="dxa"/>
            <w:tcBorders>
              <w:top w:val="single" w:sz="4" w:space="0" w:color="F2E3C7" w:themeColor="accent6"/>
              <w:left w:val="nil"/>
              <w:bottom w:val="single" w:sz="4" w:space="0" w:color="F2E3C7" w:themeColor="accent6"/>
              <w:right w:val="nil"/>
            </w:tcBorders>
          </w:tcPr>
          <w:p w14:paraId="5C03B30C" w14:textId="77777777" w:rsidR="006103E2" w:rsidRPr="002949B5" w:rsidRDefault="006103E2" w:rsidP="00FD64BA">
            <w:pPr>
              <w:pStyle w:val="TableTextRight"/>
            </w:pPr>
            <w:r w:rsidRPr="002949B5">
              <w:t>4.35</w:t>
            </w:r>
          </w:p>
        </w:tc>
        <w:tc>
          <w:tcPr>
            <w:tcW w:w="720" w:type="dxa"/>
            <w:tcBorders>
              <w:top w:val="single" w:sz="4" w:space="0" w:color="F2E3C7" w:themeColor="accent6"/>
              <w:left w:val="nil"/>
              <w:bottom w:val="single" w:sz="4" w:space="0" w:color="F2E3C7" w:themeColor="accent6"/>
              <w:right w:val="nil"/>
            </w:tcBorders>
          </w:tcPr>
          <w:p w14:paraId="14F8B585" w14:textId="77777777" w:rsidR="006103E2" w:rsidRPr="002949B5" w:rsidRDefault="006103E2" w:rsidP="00FD64BA">
            <w:pPr>
              <w:pStyle w:val="TableTextRight"/>
            </w:pPr>
            <w:r w:rsidRPr="002949B5">
              <w:t>25bps</w:t>
            </w:r>
          </w:p>
        </w:tc>
        <w:tc>
          <w:tcPr>
            <w:tcW w:w="826" w:type="dxa"/>
            <w:tcBorders>
              <w:top w:val="single" w:sz="4" w:space="0" w:color="F2E3C7" w:themeColor="accent6"/>
              <w:left w:val="nil"/>
              <w:bottom w:val="single" w:sz="4" w:space="0" w:color="F2E3C7" w:themeColor="accent6"/>
              <w:right w:val="nil"/>
            </w:tcBorders>
          </w:tcPr>
          <w:p w14:paraId="245860D9" w14:textId="77777777" w:rsidR="006103E2" w:rsidRPr="002949B5" w:rsidRDefault="006103E2" w:rsidP="00FD64BA">
            <w:pPr>
              <w:pStyle w:val="TableTextRight"/>
            </w:pPr>
            <w:r w:rsidRPr="002949B5">
              <w:t>310bps</w:t>
            </w:r>
          </w:p>
        </w:tc>
      </w:tr>
      <w:tr w:rsidR="006103E2" w:rsidRPr="002949B5" w14:paraId="3D184C09" w14:textId="77777777" w:rsidTr="00990401">
        <w:tc>
          <w:tcPr>
            <w:tcW w:w="2438" w:type="dxa"/>
            <w:tcBorders>
              <w:top w:val="single" w:sz="4" w:space="0" w:color="F2E3C7" w:themeColor="accent6"/>
              <w:left w:val="nil"/>
              <w:bottom w:val="single" w:sz="4" w:space="0" w:color="F2E3C7" w:themeColor="accent6"/>
              <w:right w:val="nil"/>
            </w:tcBorders>
          </w:tcPr>
          <w:p w14:paraId="19783C1B" w14:textId="6270F854" w:rsidR="006103E2" w:rsidRPr="002949B5" w:rsidRDefault="006103E2" w:rsidP="00FD64BA">
            <w:pPr>
              <w:pStyle w:val="TableTextLeft"/>
            </w:pPr>
            <w:r w:rsidRPr="002949B5">
              <w:t>Population (</w:t>
            </w:r>
            <w:r w:rsidR="00A15C79" w:rsidRPr="002949B5">
              <w:t>‘</w:t>
            </w:r>
            <w:r w:rsidRPr="002949B5">
              <w:t>000)</w:t>
            </w:r>
            <w:r w:rsidR="00113DA1">
              <w:rPr>
                <w:vertAlign w:val="superscript"/>
              </w:rPr>
              <w:t>(o)</w:t>
            </w:r>
          </w:p>
        </w:tc>
        <w:tc>
          <w:tcPr>
            <w:tcW w:w="822" w:type="dxa"/>
            <w:tcBorders>
              <w:top w:val="single" w:sz="4" w:space="0" w:color="F2E3C7" w:themeColor="accent6"/>
              <w:left w:val="nil"/>
              <w:bottom w:val="single" w:sz="4" w:space="0" w:color="F2E3C7" w:themeColor="accent6"/>
              <w:right w:val="nil"/>
            </w:tcBorders>
          </w:tcPr>
          <w:p w14:paraId="34A69C5E" w14:textId="67224DD9" w:rsidR="006103E2" w:rsidRPr="002949B5" w:rsidRDefault="003D52B0" w:rsidP="00FD64BA">
            <w:pPr>
              <w:pStyle w:val="TableTextRight"/>
            </w:pPr>
            <w:r w:rsidRPr="002949B5">
              <w:t>25,335</w:t>
            </w:r>
          </w:p>
        </w:tc>
        <w:tc>
          <w:tcPr>
            <w:tcW w:w="822" w:type="dxa"/>
            <w:tcBorders>
              <w:top w:val="single" w:sz="4" w:space="0" w:color="F2E3C7" w:themeColor="accent6"/>
              <w:left w:val="nil"/>
              <w:bottom w:val="single" w:sz="4" w:space="0" w:color="F2E3C7" w:themeColor="accent6"/>
              <w:right w:val="nil"/>
            </w:tcBorders>
          </w:tcPr>
          <w:p w14:paraId="76C9A3B4" w14:textId="2A117ABD" w:rsidR="006103E2" w:rsidRPr="002949B5" w:rsidRDefault="003D52B0" w:rsidP="00FD64BA">
            <w:pPr>
              <w:pStyle w:val="TableTextRight"/>
            </w:pPr>
            <w:r w:rsidRPr="002949B5">
              <w:t>25,649</w:t>
            </w:r>
          </w:p>
        </w:tc>
        <w:tc>
          <w:tcPr>
            <w:tcW w:w="822" w:type="dxa"/>
            <w:tcBorders>
              <w:top w:val="single" w:sz="4" w:space="0" w:color="F2E3C7" w:themeColor="accent6"/>
              <w:left w:val="nil"/>
              <w:bottom w:val="single" w:sz="4" w:space="0" w:color="F2E3C7" w:themeColor="accent6"/>
              <w:right w:val="nil"/>
            </w:tcBorders>
          </w:tcPr>
          <w:p w14:paraId="309A1D43" w14:textId="7B9E76A1" w:rsidR="006103E2" w:rsidRPr="002949B5" w:rsidRDefault="003D52B0" w:rsidP="00FD64BA">
            <w:pPr>
              <w:pStyle w:val="TableTextRight"/>
            </w:pPr>
            <w:r w:rsidRPr="002949B5">
              <w:t>25,685</w:t>
            </w:r>
          </w:p>
        </w:tc>
        <w:tc>
          <w:tcPr>
            <w:tcW w:w="822" w:type="dxa"/>
            <w:tcBorders>
              <w:top w:val="single" w:sz="4" w:space="0" w:color="F2E3C7" w:themeColor="accent6"/>
              <w:left w:val="nil"/>
              <w:bottom w:val="single" w:sz="4" w:space="0" w:color="F2E3C7" w:themeColor="accent6"/>
              <w:right w:val="nil"/>
            </w:tcBorders>
          </w:tcPr>
          <w:p w14:paraId="23616A55" w14:textId="0939F3C1" w:rsidR="006103E2" w:rsidRPr="002949B5" w:rsidRDefault="003D52B0" w:rsidP="00FD64BA">
            <w:pPr>
              <w:pStyle w:val="TableTextRight"/>
            </w:pPr>
            <w:r w:rsidRPr="002949B5">
              <w:t>26,014</w:t>
            </w:r>
          </w:p>
        </w:tc>
        <w:tc>
          <w:tcPr>
            <w:tcW w:w="822" w:type="dxa"/>
            <w:tcBorders>
              <w:top w:val="single" w:sz="4" w:space="0" w:color="F2E3C7" w:themeColor="accent6"/>
              <w:left w:val="nil"/>
              <w:bottom w:val="single" w:sz="4" w:space="0" w:color="F2E3C7" w:themeColor="accent6"/>
              <w:right w:val="nil"/>
            </w:tcBorders>
          </w:tcPr>
          <w:p w14:paraId="6B39144B" w14:textId="0F48F0EF" w:rsidR="006103E2" w:rsidRPr="002949B5" w:rsidRDefault="003D52B0" w:rsidP="00FD64BA">
            <w:pPr>
              <w:pStyle w:val="TableTextRight"/>
            </w:pPr>
            <w:r w:rsidRPr="002949B5">
              <w:t>26,653</w:t>
            </w:r>
          </w:p>
        </w:tc>
        <w:tc>
          <w:tcPr>
            <w:tcW w:w="822" w:type="dxa"/>
            <w:tcBorders>
              <w:top w:val="single" w:sz="4" w:space="0" w:color="F2E3C7" w:themeColor="accent6"/>
              <w:left w:val="nil"/>
              <w:bottom w:val="single" w:sz="4" w:space="0" w:color="F2E3C7" w:themeColor="accent6"/>
              <w:right w:val="nil"/>
            </w:tcBorders>
          </w:tcPr>
          <w:p w14:paraId="07CC8426" w14:textId="7C4FAEAD" w:rsidR="006103E2" w:rsidRPr="002949B5" w:rsidRDefault="003D52B0" w:rsidP="00FD64BA">
            <w:pPr>
              <w:pStyle w:val="TableTextRight"/>
            </w:pPr>
            <w:r w:rsidRPr="002949B5">
              <w:t>27,194</w:t>
            </w:r>
          </w:p>
        </w:tc>
        <w:tc>
          <w:tcPr>
            <w:tcW w:w="720" w:type="dxa"/>
            <w:tcBorders>
              <w:top w:val="single" w:sz="4" w:space="0" w:color="F2E3C7" w:themeColor="accent6"/>
              <w:left w:val="nil"/>
              <w:bottom w:val="single" w:sz="4" w:space="0" w:color="F2E3C7" w:themeColor="accent6"/>
              <w:right w:val="nil"/>
            </w:tcBorders>
          </w:tcPr>
          <w:p w14:paraId="4BF665DE" w14:textId="17ED2959" w:rsidR="006103E2" w:rsidRPr="002949B5" w:rsidRDefault="003D52B0" w:rsidP="00FD64BA">
            <w:pPr>
              <w:pStyle w:val="TableTextRight"/>
            </w:pPr>
            <w:r w:rsidRPr="002949B5">
              <w:t>2.0%</w:t>
            </w:r>
          </w:p>
        </w:tc>
        <w:tc>
          <w:tcPr>
            <w:tcW w:w="826" w:type="dxa"/>
            <w:tcBorders>
              <w:top w:val="single" w:sz="4" w:space="0" w:color="F2E3C7" w:themeColor="accent6"/>
              <w:left w:val="nil"/>
              <w:bottom w:val="single" w:sz="4" w:space="0" w:color="F2E3C7" w:themeColor="accent6"/>
              <w:right w:val="nil"/>
            </w:tcBorders>
          </w:tcPr>
          <w:p w14:paraId="46AEDB1A" w14:textId="0057F09C" w:rsidR="006103E2" w:rsidRPr="002949B5" w:rsidRDefault="003D52B0" w:rsidP="00FD64BA">
            <w:pPr>
              <w:pStyle w:val="TableTextRight"/>
            </w:pPr>
            <w:r w:rsidRPr="002949B5">
              <w:t>7.3%</w:t>
            </w:r>
          </w:p>
        </w:tc>
      </w:tr>
      <w:tr w:rsidR="006103E2" w14:paraId="103E4399" w14:textId="77777777" w:rsidTr="00990401">
        <w:tc>
          <w:tcPr>
            <w:tcW w:w="2438" w:type="dxa"/>
            <w:tcBorders>
              <w:top w:val="single" w:sz="4" w:space="0" w:color="F2E3C7" w:themeColor="accent6"/>
              <w:left w:val="nil"/>
              <w:bottom w:val="single" w:sz="4" w:space="0" w:color="F2E3C7" w:themeColor="accent6"/>
              <w:right w:val="nil"/>
            </w:tcBorders>
          </w:tcPr>
          <w:p w14:paraId="6829DC12" w14:textId="0EA84D03" w:rsidR="006103E2" w:rsidRPr="004B586D" w:rsidRDefault="006103E2" w:rsidP="00FD64BA">
            <w:pPr>
              <w:pStyle w:val="TableTextLeft"/>
            </w:pPr>
            <w:r w:rsidRPr="004B586D">
              <w:t>Average household size</w:t>
            </w:r>
            <w:r w:rsidR="00113DA1">
              <w:rPr>
                <w:vertAlign w:val="superscript"/>
              </w:rPr>
              <w:t>(p)</w:t>
            </w:r>
          </w:p>
        </w:tc>
        <w:tc>
          <w:tcPr>
            <w:tcW w:w="822" w:type="dxa"/>
            <w:tcBorders>
              <w:top w:val="single" w:sz="4" w:space="0" w:color="F2E3C7" w:themeColor="accent6"/>
              <w:left w:val="nil"/>
              <w:bottom w:val="single" w:sz="4" w:space="0" w:color="F2E3C7" w:themeColor="accent6"/>
              <w:right w:val="nil"/>
            </w:tcBorders>
          </w:tcPr>
          <w:p w14:paraId="28EC8079" w14:textId="77777777" w:rsidR="006103E2" w:rsidRPr="004B586D" w:rsidRDefault="006103E2" w:rsidP="00FD64BA">
            <w:pPr>
              <w:pStyle w:val="TableTextRight"/>
            </w:pPr>
            <w:r w:rsidRPr="004B586D">
              <w:t>2.54</w:t>
            </w:r>
          </w:p>
        </w:tc>
        <w:tc>
          <w:tcPr>
            <w:tcW w:w="822" w:type="dxa"/>
            <w:tcBorders>
              <w:top w:val="single" w:sz="4" w:space="0" w:color="F2E3C7" w:themeColor="accent6"/>
              <w:left w:val="nil"/>
              <w:bottom w:val="single" w:sz="4" w:space="0" w:color="F2E3C7" w:themeColor="accent6"/>
              <w:right w:val="nil"/>
            </w:tcBorders>
          </w:tcPr>
          <w:p w14:paraId="140964F2" w14:textId="77777777" w:rsidR="006103E2" w:rsidRPr="004B586D" w:rsidRDefault="006103E2" w:rsidP="00FD64BA">
            <w:pPr>
              <w:pStyle w:val="TableTextRight"/>
            </w:pPr>
            <w:r w:rsidRPr="004B586D">
              <w:t>2.57</w:t>
            </w:r>
          </w:p>
        </w:tc>
        <w:tc>
          <w:tcPr>
            <w:tcW w:w="822" w:type="dxa"/>
            <w:tcBorders>
              <w:top w:val="single" w:sz="4" w:space="0" w:color="F2E3C7" w:themeColor="accent6"/>
              <w:left w:val="nil"/>
              <w:bottom w:val="single" w:sz="4" w:space="0" w:color="F2E3C7" w:themeColor="accent6"/>
              <w:right w:val="nil"/>
            </w:tcBorders>
          </w:tcPr>
          <w:p w14:paraId="47725A3A" w14:textId="77777777" w:rsidR="006103E2" w:rsidRPr="004B586D" w:rsidRDefault="006103E2" w:rsidP="00FD64BA">
            <w:pPr>
              <w:pStyle w:val="TableTextRight"/>
            </w:pPr>
            <w:r w:rsidRPr="004B586D">
              <w:t>2.53</w:t>
            </w:r>
          </w:p>
        </w:tc>
        <w:tc>
          <w:tcPr>
            <w:tcW w:w="822" w:type="dxa"/>
            <w:tcBorders>
              <w:top w:val="single" w:sz="4" w:space="0" w:color="F2E3C7" w:themeColor="accent6"/>
              <w:left w:val="nil"/>
              <w:bottom w:val="single" w:sz="4" w:space="0" w:color="F2E3C7" w:themeColor="accent6"/>
              <w:right w:val="nil"/>
            </w:tcBorders>
          </w:tcPr>
          <w:p w14:paraId="08FC3366" w14:textId="77777777" w:rsidR="006103E2" w:rsidRPr="004B586D" w:rsidRDefault="006103E2" w:rsidP="00FD64BA">
            <w:pPr>
              <w:pStyle w:val="TableTextRight"/>
            </w:pPr>
            <w:r w:rsidRPr="004B586D">
              <w:t>2.53</w:t>
            </w:r>
          </w:p>
        </w:tc>
        <w:tc>
          <w:tcPr>
            <w:tcW w:w="822" w:type="dxa"/>
            <w:tcBorders>
              <w:top w:val="single" w:sz="4" w:space="0" w:color="F2E3C7" w:themeColor="accent6"/>
              <w:left w:val="nil"/>
              <w:bottom w:val="single" w:sz="4" w:space="0" w:color="F2E3C7" w:themeColor="accent6"/>
              <w:right w:val="nil"/>
            </w:tcBorders>
          </w:tcPr>
          <w:p w14:paraId="4E4C78BD" w14:textId="77777777" w:rsidR="006103E2" w:rsidRPr="004B586D" w:rsidRDefault="006103E2" w:rsidP="00FD64BA">
            <w:pPr>
              <w:pStyle w:val="TableTextRight"/>
            </w:pPr>
            <w:r w:rsidRPr="004B586D">
              <w:t>2.52</w:t>
            </w:r>
          </w:p>
        </w:tc>
        <w:tc>
          <w:tcPr>
            <w:tcW w:w="822" w:type="dxa"/>
            <w:tcBorders>
              <w:top w:val="single" w:sz="4" w:space="0" w:color="F2E3C7" w:themeColor="accent6"/>
              <w:left w:val="nil"/>
              <w:bottom w:val="single" w:sz="4" w:space="0" w:color="F2E3C7" w:themeColor="accent6"/>
              <w:right w:val="nil"/>
            </w:tcBorders>
          </w:tcPr>
          <w:p w14:paraId="66C0DCB3" w14:textId="77777777" w:rsidR="006103E2" w:rsidRPr="004B586D" w:rsidRDefault="006103E2" w:rsidP="00FD64BA">
            <w:pPr>
              <w:pStyle w:val="TableTextRight"/>
            </w:pPr>
            <w:r w:rsidRPr="004B586D">
              <w:t>2.53</w:t>
            </w:r>
          </w:p>
        </w:tc>
        <w:tc>
          <w:tcPr>
            <w:tcW w:w="720" w:type="dxa"/>
            <w:tcBorders>
              <w:top w:val="single" w:sz="4" w:space="0" w:color="F2E3C7" w:themeColor="accent6"/>
              <w:left w:val="nil"/>
              <w:bottom w:val="single" w:sz="4" w:space="0" w:color="F2E3C7" w:themeColor="accent6"/>
              <w:right w:val="nil"/>
            </w:tcBorders>
          </w:tcPr>
          <w:p w14:paraId="0FDFAA67" w14:textId="77777777" w:rsidR="006103E2" w:rsidRPr="004B586D" w:rsidRDefault="006103E2" w:rsidP="00FD64BA">
            <w:pPr>
              <w:pStyle w:val="TableTextRight"/>
            </w:pPr>
            <w:r w:rsidRPr="00E40225">
              <w:t>0.6%</w:t>
            </w:r>
          </w:p>
        </w:tc>
        <w:tc>
          <w:tcPr>
            <w:tcW w:w="826" w:type="dxa"/>
            <w:tcBorders>
              <w:top w:val="single" w:sz="4" w:space="0" w:color="F2E3C7" w:themeColor="accent6"/>
              <w:left w:val="nil"/>
              <w:bottom w:val="single" w:sz="4" w:space="0" w:color="F2E3C7" w:themeColor="accent6"/>
              <w:right w:val="nil"/>
            </w:tcBorders>
          </w:tcPr>
          <w:p w14:paraId="1298F010" w14:textId="39AC0645" w:rsidR="006103E2" w:rsidRPr="00E40225" w:rsidRDefault="00A15C79" w:rsidP="00FD64BA">
            <w:pPr>
              <w:pStyle w:val="TableTextRight"/>
            </w:pPr>
            <w:r>
              <w:noBreakHyphen/>
            </w:r>
            <w:r w:rsidR="006103E2" w:rsidRPr="00DA4AAB">
              <w:t>0.2%</w:t>
            </w:r>
          </w:p>
        </w:tc>
      </w:tr>
    </w:tbl>
    <w:p w14:paraId="35E03EA9" w14:textId="17E8FBBC" w:rsidR="000200B9" w:rsidRDefault="00807B6B" w:rsidP="00FD64BA">
      <w:pPr>
        <w:pStyle w:val="ChartorTableNoteandSource"/>
      </w:pPr>
      <w:r>
        <w:t>Note</w:t>
      </w:r>
      <w:r w:rsidRPr="005D0A75">
        <w:t>:</w:t>
      </w:r>
      <w:r>
        <w:tab/>
      </w:r>
      <w:r w:rsidR="00E90711">
        <w:t xml:space="preserve">c) </w:t>
      </w:r>
      <w:r w:rsidRPr="005D0A75">
        <w:t>Net new dwellings is new market housing minus housing demolitions</w:t>
      </w:r>
      <w:r>
        <w:t xml:space="preserve">. </w:t>
      </w:r>
      <w:r w:rsidR="00277694">
        <w:t xml:space="preserve">d) </w:t>
      </w:r>
      <w:r w:rsidRPr="005D0A75">
        <w:t>Financial year</w:t>
      </w:r>
      <w:r>
        <w:noBreakHyphen/>
      </w:r>
      <w:r w:rsidRPr="005D0A75">
        <w:t xml:space="preserve">average, </w:t>
      </w:r>
      <w:r w:rsidR="00C344C9">
        <w:t xml:space="preserve">national </w:t>
      </w:r>
      <w:r w:rsidRPr="005D0A75">
        <w:t xml:space="preserve">estimated median sales value. </w:t>
      </w:r>
      <w:r w:rsidR="00277694">
        <w:t xml:space="preserve">e) </w:t>
      </w:r>
      <w:r w:rsidRPr="005D0A75">
        <w:t>Financial year</w:t>
      </w:r>
      <w:r>
        <w:noBreakHyphen/>
      </w:r>
      <w:r w:rsidRPr="005D0A75">
        <w:t xml:space="preserve">average, </w:t>
      </w:r>
      <w:r w:rsidR="00C344C9">
        <w:t xml:space="preserve">national </w:t>
      </w:r>
      <w:r w:rsidRPr="005D0A75">
        <w:t>median advertised weekly rental rate (rolling 3</w:t>
      </w:r>
      <w:r>
        <w:noBreakHyphen/>
      </w:r>
      <w:r w:rsidRPr="005D0A75">
        <w:t>month period).</w:t>
      </w:r>
      <w:r>
        <w:t xml:space="preserve"> </w:t>
      </w:r>
      <w:r w:rsidR="00277694">
        <w:t xml:space="preserve">f) </w:t>
      </w:r>
      <w:r w:rsidRPr="005D0A75">
        <w:t>Financial year</w:t>
      </w:r>
      <w:r>
        <w:noBreakHyphen/>
      </w:r>
      <w:r w:rsidRPr="005D0A75">
        <w:t xml:space="preserve">average. </w:t>
      </w:r>
      <w:r w:rsidR="00277694">
        <w:t xml:space="preserve">g) </w:t>
      </w:r>
      <w:r w:rsidRPr="005D0A75">
        <w:t xml:space="preserve">Percentage of gross household income needed </w:t>
      </w:r>
      <w:r w:rsidR="00AE3D81">
        <w:t xml:space="preserve">to service a </w:t>
      </w:r>
      <w:r w:rsidRPr="005D0A75">
        <w:t>new mortgage, financial year</w:t>
      </w:r>
      <w:r>
        <w:noBreakHyphen/>
      </w:r>
      <w:r w:rsidRPr="005D0A75">
        <w:t>average.</w:t>
      </w:r>
      <w:r>
        <w:t xml:space="preserve"> </w:t>
      </w:r>
      <w:r w:rsidR="00277694">
        <w:t xml:space="preserve">h) </w:t>
      </w:r>
      <w:r w:rsidRPr="005D0A75">
        <w:t>Percentage of gross household income needed for rent on new lease, financial year</w:t>
      </w:r>
      <w:r>
        <w:noBreakHyphen/>
      </w:r>
      <w:r w:rsidRPr="005D0A75">
        <w:t>average</w:t>
      </w:r>
      <w:r>
        <w:t xml:space="preserve">. </w:t>
      </w:r>
      <w:proofErr w:type="spellStart"/>
      <w:r w:rsidR="0076312F">
        <w:rPr>
          <w:sz w:val="16"/>
          <w:szCs w:val="16"/>
        </w:rPr>
        <w:t>i</w:t>
      </w:r>
      <w:proofErr w:type="spellEnd"/>
      <w:r w:rsidR="0076312F">
        <w:rPr>
          <w:sz w:val="16"/>
          <w:szCs w:val="16"/>
        </w:rPr>
        <w:t xml:space="preserve">) </w:t>
      </w:r>
      <w:r w:rsidRPr="005D0A75">
        <w:t>Financial year average.</w:t>
      </w:r>
      <w:r>
        <w:t xml:space="preserve"> </w:t>
      </w:r>
      <w:r w:rsidR="0076312F">
        <w:t xml:space="preserve">j) </w:t>
      </w:r>
      <w:r w:rsidRPr="005D0A75">
        <w:t xml:space="preserve">Homelessness figures released on a </w:t>
      </w:r>
      <w:r>
        <w:t>5</w:t>
      </w:r>
      <w:r>
        <w:noBreakHyphen/>
      </w:r>
      <w:r w:rsidRPr="005D0A75">
        <w:t>year basis at Census.</w:t>
      </w:r>
      <w:r>
        <w:t xml:space="preserve"> </w:t>
      </w:r>
      <w:r w:rsidR="0076312F">
        <w:t>k) </w:t>
      </w:r>
      <w:r>
        <w:t>C</w:t>
      </w:r>
      <w:r w:rsidRPr="005D0A75">
        <w:t>lients assisted by specialist homelessness services.</w:t>
      </w:r>
      <w:r>
        <w:t xml:space="preserve"> </w:t>
      </w:r>
      <w:r w:rsidR="0076312F">
        <w:t xml:space="preserve">l) </w:t>
      </w:r>
      <w:r w:rsidRPr="005D0A75">
        <w:t>Input costs to house construction index, financial year</w:t>
      </w:r>
      <w:r>
        <w:noBreakHyphen/>
      </w:r>
      <w:r w:rsidRPr="005D0A75">
        <w:t>average.</w:t>
      </w:r>
      <w:r>
        <w:t xml:space="preserve"> </w:t>
      </w:r>
      <w:r w:rsidR="0076312F">
        <w:t xml:space="preserve">m) </w:t>
      </w:r>
      <w:r w:rsidRPr="005D0A75">
        <w:t>Private sector construction wage index, financial year</w:t>
      </w:r>
      <w:r>
        <w:noBreakHyphen/>
      </w:r>
      <w:r w:rsidRPr="005D0A75">
        <w:t>average.</w:t>
      </w:r>
      <w:r>
        <w:t xml:space="preserve"> </w:t>
      </w:r>
      <w:r w:rsidR="0076312F">
        <w:t xml:space="preserve">n) </w:t>
      </w:r>
      <w:r w:rsidRPr="005D0A75">
        <w:t xml:space="preserve">Cash rate target </w:t>
      </w:r>
      <w:r>
        <w:t>as of</w:t>
      </w:r>
      <w:r w:rsidRPr="005D0A75">
        <w:t xml:space="preserve"> 30 June each year.</w:t>
      </w:r>
      <w:r>
        <w:t xml:space="preserve"> </w:t>
      </w:r>
      <w:r w:rsidR="0076312F">
        <w:t xml:space="preserve">o) </w:t>
      </w:r>
      <w:r w:rsidRPr="005D0A75">
        <w:t xml:space="preserve">Estimated </w:t>
      </w:r>
      <w:r w:rsidR="00330BAB">
        <w:t>r</w:t>
      </w:r>
      <w:r w:rsidRPr="005D0A75">
        <w:t xml:space="preserve">esident </w:t>
      </w:r>
      <w:r w:rsidR="00330BAB">
        <w:t>p</w:t>
      </w:r>
      <w:r w:rsidRPr="005D0A75">
        <w:t xml:space="preserve">opulation. </w:t>
      </w:r>
    </w:p>
    <w:p w14:paraId="3589F599" w14:textId="250B3C0A" w:rsidR="002D33AF" w:rsidRPr="002D33AF" w:rsidRDefault="006103E2" w:rsidP="00F81A76">
      <w:pPr>
        <w:pStyle w:val="ChartorTableNoteandSource"/>
      </w:pPr>
      <w:r w:rsidRPr="005D0A75">
        <w:t>Source:</w:t>
      </w:r>
      <w:r w:rsidR="00FD64BA">
        <w:tab/>
      </w:r>
      <w:r w:rsidR="00D8594F">
        <w:t xml:space="preserve">a) </w:t>
      </w:r>
      <w:r w:rsidRPr="005D0A75">
        <w:t xml:space="preserve">ABS Building Approvals. </w:t>
      </w:r>
      <w:r w:rsidR="00D8594F">
        <w:rPr>
          <w:sz w:val="16"/>
          <w:szCs w:val="16"/>
        </w:rPr>
        <w:t>b)</w:t>
      </w:r>
      <w:r w:rsidR="002B0C73">
        <w:rPr>
          <w:sz w:val="16"/>
          <w:szCs w:val="16"/>
        </w:rPr>
        <w:t xml:space="preserve"> </w:t>
      </w:r>
      <w:r w:rsidRPr="005D0A75">
        <w:t xml:space="preserve">ABS Building Activity. </w:t>
      </w:r>
      <w:r w:rsidR="00D8594F">
        <w:t xml:space="preserve">c) </w:t>
      </w:r>
      <w:r w:rsidRPr="005D0A75">
        <w:t xml:space="preserve">ABS Building Activity; </w:t>
      </w:r>
      <w:r w:rsidR="00847B6E">
        <w:t>NHSAC</w:t>
      </w:r>
      <w:r w:rsidRPr="005D0A75">
        <w:t>.</w:t>
      </w:r>
      <w:r>
        <w:t xml:space="preserve"> </w:t>
      </w:r>
      <w:r w:rsidR="00DF74B2">
        <w:t xml:space="preserve">d) </w:t>
      </w:r>
      <w:r w:rsidRPr="005D0A75">
        <w:rPr>
          <w:color w:val="auto"/>
        </w:rPr>
        <w:t>CoreLogic</w:t>
      </w:r>
      <w:r w:rsidRPr="005D0A75">
        <w:t>.</w:t>
      </w:r>
      <w:r w:rsidR="00DF74B2">
        <w:t xml:space="preserve"> e) </w:t>
      </w:r>
      <w:r w:rsidRPr="005D0A75">
        <w:rPr>
          <w:color w:val="auto"/>
        </w:rPr>
        <w:t>CoreLogic</w:t>
      </w:r>
      <w:r w:rsidRPr="005D0A75">
        <w:t>.</w:t>
      </w:r>
      <w:r w:rsidR="00DF74B2">
        <w:t xml:space="preserve"> f) </w:t>
      </w:r>
      <w:r w:rsidRPr="005D0A75">
        <w:t>R</w:t>
      </w:r>
      <w:r w:rsidR="00E42868">
        <w:t>EIA.</w:t>
      </w:r>
      <w:r w:rsidR="00DF74B2">
        <w:t xml:space="preserve"> g) </w:t>
      </w:r>
      <w:r w:rsidRPr="005D0A75">
        <w:t>CoreLogic</w:t>
      </w:r>
      <w:r w:rsidR="004E12DE">
        <w:t xml:space="preserve"> and ANU</w:t>
      </w:r>
      <w:r w:rsidRPr="005D0A75">
        <w:t>.</w:t>
      </w:r>
      <w:r>
        <w:t xml:space="preserve"> </w:t>
      </w:r>
      <w:r w:rsidR="00DF74B2">
        <w:t xml:space="preserve">h) </w:t>
      </w:r>
      <w:r w:rsidRPr="005D0A75">
        <w:t>CoreLogic</w:t>
      </w:r>
      <w:r w:rsidR="004E12DE">
        <w:t xml:space="preserve"> and ANU</w:t>
      </w:r>
      <w:r w:rsidRPr="005D0A75">
        <w:t>.</w:t>
      </w:r>
      <w:r>
        <w:t xml:space="preserve"> </w:t>
      </w:r>
      <w:proofErr w:type="spellStart"/>
      <w:r w:rsidR="00DF74B2">
        <w:t>i</w:t>
      </w:r>
      <w:proofErr w:type="spellEnd"/>
      <w:r w:rsidR="00DF74B2">
        <w:t xml:space="preserve">) </w:t>
      </w:r>
      <w:r w:rsidRPr="005D0A75">
        <w:t>CoreLogic</w:t>
      </w:r>
      <w:r w:rsidR="004E12DE">
        <w:t xml:space="preserve"> and ANU</w:t>
      </w:r>
      <w:r w:rsidRPr="005D0A75">
        <w:t>.</w:t>
      </w:r>
      <w:r>
        <w:t xml:space="preserve"> </w:t>
      </w:r>
      <w:r w:rsidR="00DF74B2">
        <w:t xml:space="preserve">j) </w:t>
      </w:r>
      <w:r w:rsidRPr="005D0A75">
        <w:t>ABS 2021 Census.</w:t>
      </w:r>
      <w:r>
        <w:t xml:space="preserve"> </w:t>
      </w:r>
      <w:r w:rsidR="00DF74B2">
        <w:t xml:space="preserve">k) </w:t>
      </w:r>
      <w:r w:rsidRPr="005D0A75">
        <w:t>Productivity Commission</w:t>
      </w:r>
      <w:r>
        <w:t xml:space="preserve">; </w:t>
      </w:r>
      <w:r w:rsidRPr="005D0A75">
        <w:t>Australian Institute of Health and Welfare.</w:t>
      </w:r>
      <w:r>
        <w:t xml:space="preserve"> </w:t>
      </w:r>
      <w:r w:rsidR="00DF74B2">
        <w:t xml:space="preserve">l) </w:t>
      </w:r>
      <w:r w:rsidRPr="005D0A75">
        <w:t>ABS Producer Price Indexes.</w:t>
      </w:r>
      <w:r>
        <w:t xml:space="preserve"> </w:t>
      </w:r>
      <w:r w:rsidR="00E90711">
        <w:t xml:space="preserve">m) </w:t>
      </w:r>
      <w:r w:rsidRPr="005D0A75">
        <w:t>ABS Wage Price Index.</w:t>
      </w:r>
      <w:r>
        <w:t xml:space="preserve"> </w:t>
      </w:r>
      <w:r w:rsidR="00E90711">
        <w:rPr>
          <w:sz w:val="16"/>
          <w:szCs w:val="16"/>
        </w:rPr>
        <w:t xml:space="preserve">n) </w:t>
      </w:r>
      <w:r w:rsidRPr="005D0A75">
        <w:t>RBA.</w:t>
      </w:r>
      <w:r w:rsidR="00E90711">
        <w:t xml:space="preserve"> o) </w:t>
      </w:r>
      <w:r w:rsidRPr="005D0A75">
        <w:t xml:space="preserve">ABS National, state and territory population. </w:t>
      </w:r>
      <w:r w:rsidR="00E90711">
        <w:t xml:space="preserve">p) </w:t>
      </w:r>
      <w:r w:rsidRPr="005D0A75">
        <w:t>ABS Labour force status of families</w:t>
      </w:r>
      <w:r w:rsidR="002A5E62">
        <w:t>;</w:t>
      </w:r>
      <w:r w:rsidRPr="005D0A75">
        <w:t xml:space="preserve"> Treasury</w:t>
      </w:r>
      <w:r>
        <w:t>.</w:t>
      </w:r>
      <w:bookmarkEnd w:id="0"/>
      <w:bookmarkEnd w:id="1"/>
    </w:p>
    <w:sectPr w:rsidR="002D33AF" w:rsidRPr="002D33AF" w:rsidSect="006F5BB5">
      <w:footerReference w:type="even" r:id="rId172"/>
      <w:footerReference w:type="default" r:id="rId173"/>
      <w:pgSz w:w="11906" w:h="16838" w:code="9"/>
      <w:pgMar w:top="1843"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439BA" w14:textId="77777777" w:rsidR="005E22E7" w:rsidRDefault="005E22E7">
      <w:pPr>
        <w:spacing w:before="0" w:after="0"/>
      </w:pPr>
      <w:r>
        <w:separator/>
      </w:r>
    </w:p>
  </w:endnote>
  <w:endnote w:type="continuationSeparator" w:id="0">
    <w:p w14:paraId="0B0FCA79" w14:textId="77777777" w:rsidR="005E22E7" w:rsidRDefault="005E22E7">
      <w:pPr>
        <w:spacing w:before="0" w:after="0"/>
      </w:pPr>
      <w:r>
        <w:continuationSeparator/>
      </w:r>
    </w:p>
  </w:endnote>
  <w:endnote w:type="continuationNotice" w:id="1">
    <w:p w14:paraId="1930EF93" w14:textId="77777777" w:rsidR="005E22E7" w:rsidRDefault="005E22E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EA900" w14:textId="5DF419E4" w:rsidR="00C60B0F" w:rsidRPr="008D77E1" w:rsidRDefault="008D77E1" w:rsidP="008D77E1">
    <w:pPr>
      <w:pStyle w:val="FooterEven"/>
    </w:pPr>
    <w:r w:rsidRPr="00C60B0F">
      <w:fldChar w:fldCharType="begin"/>
    </w:r>
    <w:r w:rsidRPr="00C60B0F">
      <w:instrText xml:space="preserve"> PAGE   \* MERGEFORMAT </w:instrText>
    </w:r>
    <w:r w:rsidRPr="00C60B0F">
      <w:fldChar w:fldCharType="separate"/>
    </w:r>
    <w:r>
      <w:t>4</w:t>
    </w:r>
    <w:r w:rsidRPr="00C60B0F">
      <w:fldChar w:fldCharType="end"/>
    </w:r>
    <w:r w:rsidRPr="00C60B0F">
      <w:t xml:space="preserve"> | </w:t>
    </w:r>
    <w:r w:rsidR="00287FB0">
      <w:fldChar w:fldCharType="begin"/>
    </w:r>
    <w:r w:rsidR="00287FB0">
      <w:instrText xml:space="preserve"> STYLEREF  "Heading 1"  \* MERGEFORMAT </w:instrText>
    </w:r>
    <w:r w:rsidR="00287FB0">
      <w:fldChar w:fldCharType="separate"/>
    </w:r>
    <w:r w:rsidR="00287FB0">
      <w:t>Report overview</w:t>
    </w:r>
    <w:r w:rsidR="00287FB0">
      <w:fldChar w:fldCharType="end"/>
    </w:r>
    <w:r>
      <w:tab/>
      <w:t>National Housing Supply and Affordability Council</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4547E" w14:textId="21C4AC8D" w:rsidR="00D86A1F" w:rsidRPr="008D77E1" w:rsidRDefault="00D86A1F" w:rsidP="008D77E1">
    <w:pPr>
      <w:pStyle w:val="FooterEven"/>
    </w:pPr>
    <w:r w:rsidRPr="00C60B0F">
      <w:fldChar w:fldCharType="begin"/>
    </w:r>
    <w:r w:rsidRPr="00C60B0F">
      <w:instrText xml:space="preserve"> PAGE   \* MERGEFORMAT </w:instrText>
    </w:r>
    <w:r w:rsidRPr="00C60B0F">
      <w:fldChar w:fldCharType="separate"/>
    </w:r>
    <w:r>
      <w:t>4</w:t>
    </w:r>
    <w:r w:rsidRPr="00C60B0F">
      <w:fldChar w:fldCharType="end"/>
    </w:r>
    <w:r w:rsidRPr="00C60B0F">
      <w:t xml:space="preserve"> |</w:t>
    </w:r>
    <w:r>
      <w:t xml:space="preserve"> Chapter 4</w:t>
    </w:r>
    <w:r>
      <w:tab/>
      <w:t>National Housing Supply and Affordability Council</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DD375" w14:textId="0FB7AF57" w:rsidR="00D86A1F" w:rsidRPr="00CD67BC" w:rsidRDefault="00D86A1F" w:rsidP="00CD67BC">
    <w:pPr>
      <w:pStyle w:val="FooterOdd"/>
    </w:pPr>
    <w:r>
      <w:t>National Housing Supply and Affordability Council</w:t>
    </w:r>
    <w:r>
      <w:tab/>
      <w:t xml:space="preserve">Chapter 4 | </w:t>
    </w:r>
    <w:r>
      <w:fldChar w:fldCharType="begin"/>
    </w:r>
    <w:r>
      <w:instrText xml:space="preserve"> PAGE   \* MERGEFORMAT </w:instrText>
    </w:r>
    <w:r>
      <w:fldChar w:fldCharType="separate"/>
    </w:r>
    <w:r>
      <w:t>19</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C3F61" w14:textId="45749906" w:rsidR="00D86A1F" w:rsidRPr="008D77E1" w:rsidRDefault="00D86A1F" w:rsidP="008D77E1">
    <w:pPr>
      <w:pStyle w:val="FooterEven"/>
    </w:pPr>
    <w:r w:rsidRPr="00C60B0F">
      <w:fldChar w:fldCharType="begin"/>
    </w:r>
    <w:r w:rsidRPr="00C60B0F">
      <w:instrText xml:space="preserve"> PAGE   \* MERGEFORMAT </w:instrText>
    </w:r>
    <w:r w:rsidRPr="00C60B0F">
      <w:fldChar w:fldCharType="separate"/>
    </w:r>
    <w:r>
      <w:t>4</w:t>
    </w:r>
    <w:r w:rsidRPr="00C60B0F">
      <w:fldChar w:fldCharType="end"/>
    </w:r>
    <w:r w:rsidRPr="00C60B0F">
      <w:t xml:space="preserve"> |</w:t>
    </w:r>
    <w:r>
      <w:t xml:space="preserve"> Chapter 5</w:t>
    </w:r>
    <w:r>
      <w:tab/>
      <w:t>National Housing Supply and Affordability Council</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EC7D1" w14:textId="41E6096E" w:rsidR="00D86A1F" w:rsidRPr="00CD67BC" w:rsidRDefault="00D86A1F" w:rsidP="00CD67BC">
    <w:pPr>
      <w:pStyle w:val="FooterOdd"/>
    </w:pPr>
    <w:r>
      <w:t>National Housing Supply and Affordability Council</w:t>
    </w:r>
    <w:r>
      <w:tab/>
      <w:t xml:space="preserve">Chapter 5 | </w:t>
    </w:r>
    <w:r>
      <w:fldChar w:fldCharType="begin"/>
    </w:r>
    <w:r>
      <w:instrText xml:space="preserve"> PAGE   \* MERGEFORMAT </w:instrText>
    </w:r>
    <w:r>
      <w:fldChar w:fldCharType="separate"/>
    </w:r>
    <w:r>
      <w:t>19</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FDB14" w14:textId="61C42CB5" w:rsidR="006F5BB5" w:rsidRPr="008D77E1" w:rsidRDefault="006F5BB5" w:rsidP="008D77E1">
    <w:pPr>
      <w:pStyle w:val="FooterEven"/>
    </w:pPr>
    <w:r w:rsidRPr="00C60B0F">
      <w:fldChar w:fldCharType="begin"/>
    </w:r>
    <w:r w:rsidRPr="00C60B0F">
      <w:instrText xml:space="preserve"> PAGE   \* MERGEFORMAT </w:instrText>
    </w:r>
    <w:r w:rsidRPr="00C60B0F">
      <w:fldChar w:fldCharType="separate"/>
    </w:r>
    <w:r>
      <w:t>4</w:t>
    </w:r>
    <w:r w:rsidRPr="00C60B0F">
      <w:fldChar w:fldCharType="end"/>
    </w:r>
    <w:r w:rsidRPr="00C60B0F">
      <w:t xml:space="preserve"> |</w:t>
    </w:r>
    <w:r>
      <w:t xml:space="preserve"> Chapter 6</w:t>
    </w:r>
    <w:r>
      <w:tab/>
      <w:t>National Housing Supply and Affordability Council</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120DD" w14:textId="4127DEE8" w:rsidR="006F5BB5" w:rsidRPr="00CD67BC" w:rsidRDefault="006F5BB5" w:rsidP="00CD67BC">
    <w:pPr>
      <w:pStyle w:val="FooterOdd"/>
    </w:pPr>
    <w:r>
      <w:t>National Housing Supply and Affordability Council</w:t>
    </w:r>
    <w:r>
      <w:tab/>
      <w:t xml:space="preserve">Chapter 6 | </w:t>
    </w:r>
    <w:r>
      <w:fldChar w:fldCharType="begin"/>
    </w:r>
    <w:r>
      <w:instrText xml:space="preserve"> PAGE   \* MERGEFORMAT </w:instrText>
    </w:r>
    <w:r>
      <w:fldChar w:fldCharType="separate"/>
    </w:r>
    <w:r>
      <w:t>19</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00EEA" w14:textId="57A72475" w:rsidR="00FD64BA" w:rsidRPr="008D77E1" w:rsidRDefault="00FD64BA" w:rsidP="008D77E1">
    <w:pPr>
      <w:pStyle w:val="FooterEven"/>
    </w:pPr>
    <w:r w:rsidRPr="00C60B0F">
      <w:fldChar w:fldCharType="begin"/>
    </w:r>
    <w:r w:rsidRPr="00C60B0F">
      <w:instrText xml:space="preserve"> PAGE   \* MERGEFORMAT </w:instrText>
    </w:r>
    <w:r w:rsidRPr="00C60B0F">
      <w:fldChar w:fldCharType="separate"/>
    </w:r>
    <w:r>
      <w:t>4</w:t>
    </w:r>
    <w:r w:rsidRPr="00C60B0F">
      <w:fldChar w:fldCharType="end"/>
    </w:r>
    <w:r w:rsidRPr="00C60B0F">
      <w:t xml:space="preserve"> | </w:t>
    </w:r>
    <w:r w:rsidR="006F5BB5">
      <w:t>Chapter 7</w:t>
    </w:r>
    <w:r>
      <w:tab/>
      <w:t>National Housing Supply and Affordability Council</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925E3" w14:textId="17590270" w:rsidR="00FD64BA" w:rsidRPr="00CD67BC" w:rsidRDefault="00FD64BA" w:rsidP="00CD67BC">
    <w:pPr>
      <w:pStyle w:val="FooterOdd"/>
    </w:pPr>
    <w:r>
      <w:t>National Housing Supply and Affordability Council</w:t>
    </w:r>
    <w:r>
      <w:tab/>
    </w:r>
    <w:r w:rsidR="006F5BB5">
      <w:t>Chapter 7</w:t>
    </w:r>
    <w:r>
      <w:t xml:space="preserve"> | </w:t>
    </w:r>
    <w:r>
      <w:fldChar w:fldCharType="begin"/>
    </w:r>
    <w:r>
      <w:instrText xml:space="preserve"> PAGE   \* MERGEFORMAT </w:instrText>
    </w:r>
    <w:r>
      <w:fldChar w:fldCharType="separate"/>
    </w:r>
    <w:r>
      <w:t>19</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66A87" w14:textId="35973229" w:rsidR="006F5BB5" w:rsidRPr="008D77E1" w:rsidRDefault="006F5BB5" w:rsidP="008D77E1">
    <w:pPr>
      <w:pStyle w:val="FooterEven"/>
    </w:pPr>
    <w:r w:rsidRPr="00C60B0F">
      <w:fldChar w:fldCharType="begin"/>
    </w:r>
    <w:r w:rsidRPr="00C60B0F">
      <w:instrText xml:space="preserve"> PAGE   \* MERGEFORMAT </w:instrText>
    </w:r>
    <w:r w:rsidRPr="00C60B0F">
      <w:fldChar w:fldCharType="separate"/>
    </w:r>
    <w:r>
      <w:t>4</w:t>
    </w:r>
    <w:r w:rsidRPr="00C60B0F">
      <w:fldChar w:fldCharType="end"/>
    </w:r>
    <w:r w:rsidRPr="00C60B0F">
      <w:t xml:space="preserve"> | </w:t>
    </w:r>
    <w:r>
      <w:t>Appendix A</w:t>
    </w:r>
    <w:r>
      <w:tab/>
      <w:t>National Housing Supply and Affordability Council</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CD5A3" w14:textId="78EFA7B4" w:rsidR="006F5BB5" w:rsidRPr="00CD67BC" w:rsidRDefault="006F5BB5" w:rsidP="00CD67BC">
    <w:pPr>
      <w:pStyle w:val="FooterOdd"/>
    </w:pPr>
    <w:r>
      <w:t>National Housing Supply and Affordability Council</w:t>
    </w:r>
    <w:r>
      <w:tab/>
      <w:t xml:space="preserve">Appendix A | </w:t>
    </w:r>
    <w:r>
      <w:fldChar w:fldCharType="begin"/>
    </w:r>
    <w:r>
      <w:instrText xml:space="preserve"> PAGE   \* MERGEFORMAT </w:instrText>
    </w:r>
    <w:r>
      <w:fldChar w:fldCharType="separate"/>
    </w:r>
    <w:r>
      <w:t>19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2CADC" w14:textId="4716E4E8" w:rsidR="00C60B0F" w:rsidRPr="008D77E1" w:rsidRDefault="008D77E1" w:rsidP="008D77E1">
    <w:pPr>
      <w:pStyle w:val="FooterOdd"/>
    </w:pPr>
    <w:r>
      <w:t>National Housing Supply and Affordability Council</w:t>
    </w:r>
    <w:r>
      <w:tab/>
    </w:r>
    <w:r w:rsidR="00287FB0">
      <w:fldChar w:fldCharType="begin"/>
    </w:r>
    <w:r w:rsidR="00287FB0">
      <w:instrText xml:space="preserve"> STYLEREF  "Heading 1"  \* MERGEFORMAT </w:instrText>
    </w:r>
    <w:r w:rsidR="00287FB0">
      <w:fldChar w:fldCharType="separate"/>
    </w:r>
    <w:r w:rsidR="00287FB0">
      <w:rPr>
        <w:noProof/>
      </w:rPr>
      <w:t>Report overview</w:t>
    </w:r>
    <w:r w:rsidR="00287FB0">
      <w:rPr>
        <w:noProof/>
      </w:rPr>
      <w:fldChar w:fldCharType="end"/>
    </w:r>
    <w:r>
      <w:t xml:space="preserve"> | </w:t>
    </w:r>
    <w:r>
      <w:fldChar w:fldCharType="begin"/>
    </w:r>
    <w:r>
      <w:instrText xml:space="preserve"> PAGE   \* MERGEFORMAT </w:instrText>
    </w:r>
    <w:r>
      <w:fldChar w:fldCharType="separate"/>
    </w:r>
    <w:r>
      <w:t>1</w:t>
    </w:r>
    <w: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A6CA8" w14:textId="59EF36EB" w:rsidR="003131D1" w:rsidRDefault="0063287A" w:rsidP="0063287A">
    <w:pPr>
      <w:pStyle w:val="FooterEven"/>
    </w:pPr>
    <w:r w:rsidRPr="00C60B0F">
      <w:fldChar w:fldCharType="begin"/>
    </w:r>
    <w:r w:rsidRPr="00C60B0F">
      <w:instrText xml:space="preserve"> PAGE   \* MERGEFORMAT </w:instrText>
    </w:r>
    <w:r w:rsidRPr="00C60B0F">
      <w:fldChar w:fldCharType="separate"/>
    </w:r>
    <w:r>
      <w:t>140</w:t>
    </w:r>
    <w:r w:rsidRPr="00C60B0F">
      <w:fldChar w:fldCharType="end"/>
    </w:r>
    <w:r w:rsidRPr="00C60B0F">
      <w:t xml:space="preserve"> | </w:t>
    </w:r>
    <w:r>
      <w:t>Appendix B</w:t>
    </w:r>
    <w:r>
      <w:tab/>
      <w:t>National Housing Supply and Affordability Council</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A7DDF" w14:textId="7B3A31D5" w:rsidR="006F5BB5" w:rsidRPr="00CD67BC" w:rsidRDefault="006F5BB5" w:rsidP="00CD67BC">
    <w:pPr>
      <w:pStyle w:val="FooterOdd"/>
    </w:pPr>
    <w:r>
      <w:t>National Housing Supply and Affordability Council</w:t>
    </w:r>
    <w:r>
      <w:tab/>
      <w:t xml:space="preserve">Appendix B | </w:t>
    </w:r>
    <w:r>
      <w:fldChar w:fldCharType="begin"/>
    </w:r>
    <w:r>
      <w:instrText xml:space="preserve"> PAGE   \* MERGEFORMAT </w:instrText>
    </w:r>
    <w:r>
      <w:fldChar w:fldCharType="separate"/>
    </w:r>
    <w:r>
      <w:t>19</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8BECD" w14:textId="34B4753B" w:rsidR="006F5BB5" w:rsidRPr="008D77E1" w:rsidRDefault="006F5BB5" w:rsidP="008D77E1">
    <w:pPr>
      <w:pStyle w:val="FooterEven"/>
    </w:pPr>
    <w:r w:rsidRPr="00C60B0F">
      <w:fldChar w:fldCharType="begin"/>
    </w:r>
    <w:r w:rsidRPr="00C60B0F">
      <w:instrText xml:space="preserve"> PAGE   \* MERGEFORMAT </w:instrText>
    </w:r>
    <w:r w:rsidRPr="00C60B0F">
      <w:fldChar w:fldCharType="separate"/>
    </w:r>
    <w:r>
      <w:t>4</w:t>
    </w:r>
    <w:r w:rsidRPr="00C60B0F">
      <w:fldChar w:fldCharType="end"/>
    </w:r>
    <w:r w:rsidRPr="00C60B0F">
      <w:t xml:space="preserve"> | </w:t>
    </w:r>
    <w:r w:rsidRPr="003F5887">
      <w:t xml:space="preserve">Appendix </w:t>
    </w:r>
    <w:r w:rsidR="00F84DDA">
      <w:t>C</w:t>
    </w:r>
    <w:r>
      <w:tab/>
      <w:t>National Housing Supply and Affordability Council</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BA346" w14:textId="77777777" w:rsidR="006F5BB5" w:rsidRPr="00CD67BC" w:rsidRDefault="006F5BB5" w:rsidP="00CD67BC">
    <w:pPr>
      <w:pStyle w:val="FooterOdd"/>
    </w:pPr>
    <w:r>
      <w:t>National Housing Supply and Affordability Council</w:t>
    </w:r>
    <w:r>
      <w:tab/>
      <w:t xml:space="preserve">Appendix </w:t>
    </w:r>
    <w:r w:rsidR="00D12F2F">
      <w:t>C</w:t>
    </w:r>
    <w:r>
      <w:t xml:space="preserve"> | </w:t>
    </w:r>
    <w:r>
      <w:fldChar w:fldCharType="begin"/>
    </w:r>
    <w:r>
      <w:instrText xml:space="preserve"> PAGE   \* MERGEFORMAT </w:instrText>
    </w:r>
    <w:r>
      <w:fldChar w:fldCharType="separate"/>
    </w:r>
    <w:r>
      <w:t>19</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D34B6" w14:textId="12F2EB45" w:rsidR="00F84DDA" w:rsidRPr="008D77E1" w:rsidRDefault="00F84DDA" w:rsidP="008D77E1">
    <w:pPr>
      <w:pStyle w:val="FooterEven"/>
    </w:pPr>
    <w:r w:rsidRPr="00C60B0F">
      <w:fldChar w:fldCharType="begin"/>
    </w:r>
    <w:r w:rsidRPr="00C60B0F">
      <w:instrText xml:space="preserve"> PAGE   \* MERGEFORMAT </w:instrText>
    </w:r>
    <w:r w:rsidRPr="00C60B0F">
      <w:fldChar w:fldCharType="separate"/>
    </w:r>
    <w:r>
      <w:t>4</w:t>
    </w:r>
    <w:r w:rsidRPr="00C60B0F">
      <w:fldChar w:fldCharType="end"/>
    </w:r>
    <w:r w:rsidRPr="00C60B0F">
      <w:t xml:space="preserve"> | </w:t>
    </w:r>
    <w:r w:rsidRPr="003F5887">
      <w:t xml:space="preserve">Appendix </w:t>
    </w:r>
    <w:r>
      <w:t>D</w:t>
    </w:r>
    <w:r>
      <w:tab/>
      <w:t>National Housing Supply and Affordability Council</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DA1B7" w14:textId="72B04FD3" w:rsidR="006F5BB5" w:rsidRPr="00CD67BC" w:rsidRDefault="006F5BB5" w:rsidP="00CD67BC">
    <w:pPr>
      <w:pStyle w:val="FooterOdd"/>
    </w:pPr>
    <w:r>
      <w:t>National Housing Supply and Affordability Council</w:t>
    </w:r>
    <w:r>
      <w:tab/>
      <w:t>Appendix</w:t>
    </w:r>
    <w:r w:rsidR="006A7864">
      <w:t xml:space="preserve"> D </w:t>
    </w:r>
    <w:r>
      <w:t xml:space="preserve">| </w:t>
    </w:r>
    <w:r>
      <w:fldChar w:fldCharType="begin"/>
    </w:r>
    <w:r>
      <w:instrText xml:space="preserve"> PAGE   \* MERGEFORMAT </w:instrText>
    </w:r>
    <w:r>
      <w:fldChar w:fldCharType="separate"/>
    </w:r>
    <w:r>
      <w:t>19</w:t>
    </w:r>
    <w: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52EDF" w14:textId="7C29D9BA" w:rsidR="008167E8" w:rsidRPr="008D77E1" w:rsidRDefault="008167E8" w:rsidP="008D77E1">
    <w:pPr>
      <w:pStyle w:val="FooterEven"/>
    </w:pPr>
    <w:r w:rsidRPr="00C60B0F">
      <w:fldChar w:fldCharType="begin"/>
    </w:r>
    <w:r w:rsidRPr="00C60B0F">
      <w:instrText xml:space="preserve"> PAGE   \* MERGEFORMAT </w:instrText>
    </w:r>
    <w:r w:rsidRPr="00C60B0F">
      <w:fldChar w:fldCharType="separate"/>
    </w:r>
    <w:r>
      <w:t>4</w:t>
    </w:r>
    <w:r w:rsidRPr="00C60B0F">
      <w:fldChar w:fldCharType="end"/>
    </w:r>
    <w:r w:rsidRPr="00C60B0F">
      <w:t xml:space="preserve"> | </w:t>
    </w:r>
    <w:r w:rsidRPr="003F5887">
      <w:t xml:space="preserve">Appendix </w:t>
    </w:r>
    <w:r>
      <w:t>E</w:t>
    </w:r>
    <w:r>
      <w:tab/>
      <w:t>National Housing Supply and Affordability Council</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C8D8C" w14:textId="09834E3A" w:rsidR="00F84DDA" w:rsidRPr="00CD67BC" w:rsidRDefault="00F84DDA" w:rsidP="00CD67BC">
    <w:pPr>
      <w:pStyle w:val="FooterOdd"/>
    </w:pPr>
    <w:r>
      <w:t>National Housing Supply and Affordability Council</w:t>
    </w:r>
    <w:r>
      <w:tab/>
      <w:t xml:space="preserve">Appendix E | </w:t>
    </w:r>
    <w:r>
      <w:fldChar w:fldCharType="begin"/>
    </w:r>
    <w:r>
      <w:instrText xml:space="preserve"> PAGE   \* MERGEFORMAT </w:instrText>
    </w:r>
    <w:r>
      <w:fldChar w:fldCharType="separate"/>
    </w:r>
    <w:r>
      <w:t>19</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05E88" w14:textId="77777777" w:rsidR="00C60B0F" w:rsidRDefault="00C60B0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73895" w14:textId="29320F3C" w:rsidR="00CD67BC" w:rsidRPr="008D77E1" w:rsidRDefault="00CD67BC" w:rsidP="008D77E1">
    <w:pPr>
      <w:pStyle w:val="FooterEven"/>
    </w:pPr>
    <w:r w:rsidRPr="00C60B0F">
      <w:fldChar w:fldCharType="begin"/>
    </w:r>
    <w:r w:rsidRPr="00C60B0F">
      <w:instrText xml:space="preserve"> PAGE   \* MERGEFORMAT </w:instrText>
    </w:r>
    <w:r w:rsidRPr="00C60B0F">
      <w:fldChar w:fldCharType="separate"/>
    </w:r>
    <w:r>
      <w:t>4</w:t>
    </w:r>
    <w:r w:rsidRPr="00C60B0F">
      <w:fldChar w:fldCharType="end"/>
    </w:r>
    <w:r w:rsidRPr="00C60B0F">
      <w:t xml:space="preserve"> |</w:t>
    </w:r>
    <w:r w:rsidR="00EB0064">
      <w:t xml:space="preserve"> Chapter 1</w:t>
    </w:r>
    <w:r>
      <w:tab/>
      <w:t>National Housing Supply and Affordability Council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8ED55" w14:textId="429097B3" w:rsidR="00BD2E5A" w:rsidRPr="00CD67BC" w:rsidRDefault="00CD67BC" w:rsidP="00CD67BC">
    <w:pPr>
      <w:pStyle w:val="FooterOdd"/>
    </w:pPr>
    <w:r>
      <w:t>National Housing Supply and Affordability Council</w:t>
    </w:r>
    <w:r>
      <w:tab/>
    </w:r>
    <w:r w:rsidR="00EB0064">
      <w:t>Chapter 1</w:t>
    </w:r>
    <w:r>
      <w:t xml:space="preserve"> | </w:t>
    </w:r>
    <w:r>
      <w:fldChar w:fldCharType="begin"/>
    </w:r>
    <w:r>
      <w:instrText xml:space="preserve"> PAGE   \* MERGEFORMAT </w:instrText>
    </w:r>
    <w:r>
      <w:fldChar w:fldCharType="separate"/>
    </w:r>
    <w:r>
      <w:t>19</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09A5E" w14:textId="77777777" w:rsidR="00EB0064" w:rsidRPr="008D77E1" w:rsidRDefault="00EB0064" w:rsidP="008D77E1">
    <w:pPr>
      <w:pStyle w:val="FooterEven"/>
    </w:pPr>
    <w:r w:rsidRPr="00C60B0F">
      <w:fldChar w:fldCharType="begin"/>
    </w:r>
    <w:r w:rsidRPr="00C60B0F">
      <w:instrText xml:space="preserve"> PAGE   \* MERGEFORMAT </w:instrText>
    </w:r>
    <w:r w:rsidRPr="00C60B0F">
      <w:fldChar w:fldCharType="separate"/>
    </w:r>
    <w:r>
      <w:t>4</w:t>
    </w:r>
    <w:r w:rsidRPr="00C60B0F">
      <w:fldChar w:fldCharType="end"/>
    </w:r>
    <w:r w:rsidRPr="00C60B0F">
      <w:t xml:space="preserve"> |</w:t>
    </w:r>
    <w:r>
      <w:t xml:space="preserve"> Chapter 2</w:t>
    </w:r>
    <w:r>
      <w:tab/>
      <w:t>National Housing Supply and Affordability Council</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D1357" w14:textId="6B0E3C2A" w:rsidR="00EB0064" w:rsidRPr="00CD67BC" w:rsidRDefault="00EB0064" w:rsidP="00CD67BC">
    <w:pPr>
      <w:pStyle w:val="FooterOdd"/>
    </w:pPr>
    <w:r>
      <w:t>National Housing Supply and Affordability Council</w:t>
    </w:r>
    <w:r>
      <w:tab/>
      <w:t xml:space="preserve">Chapter 2 | </w:t>
    </w:r>
    <w:r>
      <w:fldChar w:fldCharType="begin"/>
    </w:r>
    <w:r>
      <w:instrText xml:space="preserve"> PAGE   \* MERGEFORMAT </w:instrText>
    </w:r>
    <w:r>
      <w:fldChar w:fldCharType="separate"/>
    </w:r>
    <w:r>
      <w:t>19</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616C8" w14:textId="595773B1" w:rsidR="006F5BB5" w:rsidRPr="008D77E1" w:rsidRDefault="006F5BB5" w:rsidP="008D77E1">
    <w:pPr>
      <w:pStyle w:val="FooterEven"/>
    </w:pPr>
    <w:r w:rsidRPr="00C60B0F">
      <w:fldChar w:fldCharType="begin"/>
    </w:r>
    <w:r w:rsidRPr="00C60B0F">
      <w:instrText xml:space="preserve"> PAGE   \* MERGEFORMAT </w:instrText>
    </w:r>
    <w:r w:rsidRPr="00C60B0F">
      <w:fldChar w:fldCharType="separate"/>
    </w:r>
    <w:r>
      <w:t>4</w:t>
    </w:r>
    <w:r w:rsidRPr="00C60B0F">
      <w:fldChar w:fldCharType="end"/>
    </w:r>
    <w:r w:rsidRPr="00C60B0F">
      <w:t xml:space="preserve"> |</w:t>
    </w:r>
    <w:r>
      <w:t xml:space="preserve"> Chapter </w:t>
    </w:r>
    <w:r w:rsidR="00D86A1F">
      <w:t>3</w:t>
    </w:r>
    <w:r>
      <w:tab/>
      <w:t>National Housing Supply and Affordability Council</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BA490" w14:textId="0377FA80" w:rsidR="006F5BB5" w:rsidRPr="00CD67BC" w:rsidRDefault="006F5BB5" w:rsidP="00CD67BC">
    <w:pPr>
      <w:pStyle w:val="FooterOdd"/>
    </w:pPr>
    <w:r>
      <w:t>National Housing Supply and Affordability Council</w:t>
    </w:r>
    <w:r>
      <w:tab/>
      <w:t xml:space="preserve">Chapter </w:t>
    </w:r>
    <w:r w:rsidR="00D86A1F">
      <w:t>3</w:t>
    </w:r>
    <w:r>
      <w:t xml:space="preserve"> | </w:t>
    </w:r>
    <w:r>
      <w:fldChar w:fldCharType="begin"/>
    </w:r>
    <w:r>
      <w:instrText xml:space="preserve"> PAGE   \* MERGEFORMAT </w:instrText>
    </w:r>
    <w:r>
      <w:fldChar w:fldCharType="separate"/>
    </w:r>
    <w:r>
      <w:t>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C4638" w14:textId="77777777" w:rsidR="005E22E7" w:rsidRPr="00ED5A20" w:rsidRDefault="005E22E7" w:rsidP="000F6233">
      <w:pPr>
        <w:rPr>
          <w:color w:val="616652" w:themeColor="accent2"/>
        </w:rPr>
      </w:pPr>
      <w:r w:rsidRPr="00ED5A20">
        <w:rPr>
          <w:color w:val="616652" w:themeColor="accent2"/>
        </w:rPr>
        <w:separator/>
      </w:r>
    </w:p>
  </w:footnote>
  <w:footnote w:type="continuationSeparator" w:id="0">
    <w:p w14:paraId="67ACC695" w14:textId="77777777" w:rsidR="005E22E7" w:rsidRPr="00B737EB" w:rsidRDefault="005E22E7">
      <w:pPr>
        <w:spacing w:before="0" w:after="0"/>
        <w:rPr>
          <w:color w:val="3B455C" w:themeColor="accent1"/>
        </w:rPr>
      </w:pPr>
      <w:r w:rsidRPr="00B737EB">
        <w:rPr>
          <w:color w:val="3B455C" w:themeColor="accent1"/>
        </w:rPr>
        <w:continuationSeparator/>
      </w:r>
    </w:p>
  </w:footnote>
  <w:footnote w:type="continuationNotice" w:id="1">
    <w:p w14:paraId="6145AAB1" w14:textId="77777777" w:rsidR="005E22E7" w:rsidRDefault="005E22E7">
      <w:pPr>
        <w:spacing w:before="0" w:after="0"/>
      </w:pPr>
    </w:p>
  </w:footnote>
  <w:footnote w:id="2">
    <w:p w14:paraId="799D4714" w14:textId="33F30977" w:rsidR="00374AB7" w:rsidRDefault="006E082A">
      <w:pPr>
        <w:pStyle w:val="FootnoteText"/>
      </w:pPr>
      <w:r w:rsidRPr="006E082A">
        <w:rPr>
          <w:rStyle w:val="FootnoteReference"/>
          <w:sz w:val="20"/>
          <w:vertAlign w:val="baseline"/>
        </w:rPr>
        <w:footnoteRef/>
      </w:r>
      <w:r w:rsidR="00374AB7">
        <w:t xml:space="preserve"> </w:t>
      </w:r>
      <w:r w:rsidR="00193223">
        <w:tab/>
      </w:r>
      <w:r w:rsidR="00495459">
        <w:t>M</w:t>
      </w:r>
      <w:r w:rsidR="00374AB7" w:rsidRPr="00367E92">
        <w:t>easured</w:t>
      </w:r>
      <w:r w:rsidR="00374AB7" w:rsidRPr="007E7942">
        <w:t xml:space="preserve"> as the share of household income spent on housing costs</w:t>
      </w:r>
      <w:r w:rsidR="005C6987" w:rsidRPr="007E7942">
        <w:t>.</w:t>
      </w:r>
    </w:p>
  </w:footnote>
  <w:footnote w:id="3">
    <w:p w14:paraId="1CCD6DB4" w14:textId="1485F552" w:rsidR="000D720C" w:rsidRPr="0099326B" w:rsidRDefault="006E082A" w:rsidP="0099326B">
      <w:pPr>
        <w:pStyle w:val="FootnoteText"/>
      </w:pPr>
      <w:r w:rsidRPr="006E082A">
        <w:footnoteRef/>
      </w:r>
      <w:r w:rsidR="000D720C" w:rsidRPr="0099326B">
        <w:t xml:space="preserve"> </w:t>
      </w:r>
      <w:r w:rsidR="0099326B">
        <w:tab/>
      </w:r>
      <w:r w:rsidR="000D720C" w:rsidRPr="00184641">
        <w:t>The Council</w:t>
      </w:r>
      <w:r w:rsidR="00A15C79" w:rsidRPr="00184641">
        <w:t>’</w:t>
      </w:r>
      <w:r w:rsidR="000D720C" w:rsidRPr="00184641">
        <w:t>s forecasts incorporate government policy measures that affect the macroeconomic outlook, directly support the provision of social and affordable housing, or are already an established feature of the housing system (and have therefore affected recent housing supply outcomes). Recently enacted policies are excluded. Box 5.1 provides more detail on the Council</w:t>
      </w:r>
      <w:r w:rsidR="00A15C79" w:rsidRPr="00184641">
        <w:t>’</w:t>
      </w:r>
      <w:r w:rsidR="000D720C" w:rsidRPr="00184641">
        <w:t>s forecasting methodology.</w:t>
      </w:r>
    </w:p>
  </w:footnote>
  <w:footnote w:id="4">
    <w:p w14:paraId="0FF64B0A" w14:textId="0244C8CC" w:rsidR="000D720C" w:rsidRDefault="006E082A" w:rsidP="0099326B">
      <w:pPr>
        <w:pStyle w:val="FootnoteText"/>
      </w:pPr>
      <w:r w:rsidRPr="006E082A">
        <w:rPr>
          <w:rStyle w:val="FootnoteReference"/>
          <w:sz w:val="20"/>
          <w:vertAlign w:val="baseline"/>
        </w:rPr>
        <w:footnoteRef/>
      </w:r>
      <w:r w:rsidR="000D720C">
        <w:t xml:space="preserve"> </w:t>
      </w:r>
      <w:r w:rsidR="0099326B">
        <w:tab/>
      </w:r>
      <w:r w:rsidR="001C5C5A" w:rsidRPr="006A3BDC">
        <w:t>N</w:t>
      </w:r>
      <w:r w:rsidR="000D720C">
        <w:t xml:space="preserve">et </w:t>
      </w:r>
      <w:r w:rsidR="00375B78" w:rsidRPr="006A3BDC">
        <w:t xml:space="preserve">housing </w:t>
      </w:r>
      <w:r w:rsidR="000D720C" w:rsidRPr="006A3BDC">
        <w:t>supply figure</w:t>
      </w:r>
      <w:r w:rsidR="001C5C5A" w:rsidRPr="006A3BDC">
        <w:t>s</w:t>
      </w:r>
      <w:r w:rsidR="000D720C" w:rsidRPr="006A3BDC">
        <w:t xml:space="preserve"> </w:t>
      </w:r>
      <w:r w:rsidR="0020397B" w:rsidRPr="006A3BDC">
        <w:t>should</w:t>
      </w:r>
      <w:r w:rsidR="000D720C">
        <w:t xml:space="preserve"> not </w:t>
      </w:r>
      <w:r w:rsidR="0020397B" w:rsidRPr="006A3BDC">
        <w:t>be compared</w:t>
      </w:r>
      <w:r w:rsidR="00A44E35" w:rsidRPr="006A3BDC">
        <w:t xml:space="preserve"> </w:t>
      </w:r>
      <w:r w:rsidR="007145CF" w:rsidRPr="006A3BDC">
        <w:t>with</w:t>
      </w:r>
      <w:r w:rsidR="000D720C">
        <w:t xml:space="preserve"> the 1.2</w:t>
      </w:r>
      <w:r w:rsidR="0099326B">
        <w:t> million</w:t>
      </w:r>
      <w:r w:rsidR="000D720C">
        <w:t xml:space="preserve"> National </w:t>
      </w:r>
      <w:r w:rsidR="0077420C" w:rsidRPr="006A3BDC">
        <w:t xml:space="preserve">Housing </w:t>
      </w:r>
      <w:r w:rsidR="000D720C">
        <w:t>Accord target</w:t>
      </w:r>
      <w:r w:rsidR="00AC601E">
        <w:t xml:space="preserve">, which is </w:t>
      </w:r>
      <w:r w:rsidR="000B6EA3">
        <w:t xml:space="preserve">measured in </w:t>
      </w:r>
      <w:r w:rsidR="00266C77">
        <w:t xml:space="preserve">terms of </w:t>
      </w:r>
      <w:r w:rsidR="000B6EA3">
        <w:t>gross supply.</w:t>
      </w:r>
      <w:r w:rsidR="007C03BE">
        <w:t xml:space="preserve"> </w:t>
      </w:r>
      <w:r w:rsidR="00921829">
        <w:t xml:space="preserve">The use of </w:t>
      </w:r>
      <w:r w:rsidR="00EF6976" w:rsidRPr="006A3BDC">
        <w:t>gross supply</w:t>
      </w:r>
      <w:r w:rsidR="00080239" w:rsidRPr="006A3BDC">
        <w:t xml:space="preserve"> </w:t>
      </w:r>
      <w:r w:rsidR="001B2F1A" w:rsidRPr="006A3BDC">
        <w:t xml:space="preserve">for the </w:t>
      </w:r>
      <w:r w:rsidR="000E6DD3" w:rsidRPr="006A3BDC">
        <w:t xml:space="preserve">target </w:t>
      </w:r>
      <w:r w:rsidR="00080239" w:rsidRPr="006A3BDC">
        <w:t xml:space="preserve">allows progress to be </w:t>
      </w:r>
      <w:r w:rsidR="007B1BA8" w:rsidRPr="006A3BDC">
        <w:t xml:space="preserve">easily </w:t>
      </w:r>
      <w:r w:rsidR="00080239" w:rsidRPr="006A3BDC">
        <w:t>tracked</w:t>
      </w:r>
      <w:r w:rsidR="007B1BA8" w:rsidRPr="006A3BDC">
        <w:t xml:space="preserve"> </w:t>
      </w:r>
      <w:r w:rsidR="0048298C" w:rsidRPr="006A3BDC">
        <w:t xml:space="preserve">using the </w:t>
      </w:r>
      <w:r w:rsidR="001B2F1A" w:rsidRPr="006A3BDC">
        <w:t>w</w:t>
      </w:r>
      <w:r w:rsidR="00D737A7" w:rsidRPr="006A3BDC">
        <w:t>ell</w:t>
      </w:r>
      <w:r w:rsidR="00D737A7">
        <w:noBreakHyphen/>
      </w:r>
      <w:r w:rsidR="00D737A7" w:rsidRPr="00E277DC">
        <w:t xml:space="preserve">established </w:t>
      </w:r>
      <w:r w:rsidR="00D479CA">
        <w:t>dwelling</w:t>
      </w:r>
      <w:r w:rsidR="00D737A7">
        <w:t xml:space="preserve"> completions </w:t>
      </w:r>
      <w:r w:rsidR="00D737A7" w:rsidRPr="00E277DC">
        <w:t>data series</w:t>
      </w:r>
      <w:r w:rsidR="00D737A7">
        <w:t xml:space="preserve"> </w:t>
      </w:r>
      <w:r w:rsidR="00D737A7" w:rsidRPr="00E277DC">
        <w:t>re</w:t>
      </w:r>
      <w:r w:rsidR="0029028A">
        <w:t>leased</w:t>
      </w:r>
      <w:r w:rsidR="00D737A7" w:rsidRPr="00E277DC">
        <w:t xml:space="preserve"> quarterly</w:t>
      </w:r>
      <w:r w:rsidR="00D737A7" w:rsidRPr="00E277DC" w:rsidDel="007F505A">
        <w:t xml:space="preserve"> </w:t>
      </w:r>
      <w:r w:rsidR="00D737A7" w:rsidRPr="00E277DC">
        <w:t xml:space="preserve">by the </w:t>
      </w:r>
      <w:r w:rsidR="00D737A7" w:rsidRPr="006A3BDC">
        <w:t>A</w:t>
      </w:r>
      <w:r w:rsidR="00E30DDC" w:rsidRPr="0041126E">
        <w:t>ustralian Bureau of Statistics (</w:t>
      </w:r>
      <w:r w:rsidR="00D737A7" w:rsidRPr="00EF0581">
        <w:t>A</w:t>
      </w:r>
      <w:r w:rsidR="00FA55F6" w:rsidRPr="00EF0581">
        <w:t>BS</w:t>
      </w:r>
      <w:r w:rsidR="00E30DDC" w:rsidRPr="0041126E">
        <w:t>)</w:t>
      </w:r>
      <w:r w:rsidR="00921829" w:rsidRPr="006A3BDC">
        <w:t>.</w:t>
      </w:r>
      <w:r w:rsidR="008C5F38" w:rsidRPr="006A3BDC">
        <w:t xml:space="preserve"> </w:t>
      </w:r>
      <w:r w:rsidR="00267314" w:rsidRPr="006A3BDC">
        <w:t>N</w:t>
      </w:r>
      <w:r w:rsidR="00F363A9" w:rsidRPr="006A3BDC">
        <w:t>et</w:t>
      </w:r>
      <w:r w:rsidR="00F363A9">
        <w:t xml:space="preserve"> </w:t>
      </w:r>
      <w:r w:rsidR="000D720C">
        <w:t xml:space="preserve">new housing </w:t>
      </w:r>
      <w:r w:rsidR="000D720C" w:rsidRPr="00E277DC">
        <w:t>supply</w:t>
      </w:r>
      <w:r w:rsidR="000D720C">
        <w:t xml:space="preserve"> </w:t>
      </w:r>
      <w:r w:rsidR="00A56FB7" w:rsidRPr="0041126E">
        <w:t>is an</w:t>
      </w:r>
      <w:r w:rsidR="000D720C" w:rsidRPr="006A3BDC">
        <w:t xml:space="preserve"> </w:t>
      </w:r>
      <w:r w:rsidR="000D720C">
        <w:t>estimated</w:t>
      </w:r>
      <w:r w:rsidR="00A56FB7" w:rsidRPr="0041126E">
        <w:t xml:space="preserve"> series</w:t>
      </w:r>
      <w:r w:rsidR="000F7A57" w:rsidRPr="006A3BDC">
        <w:t>, but</w:t>
      </w:r>
      <w:r w:rsidR="008B65A1" w:rsidRPr="006A3BDC">
        <w:t xml:space="preserve"> </w:t>
      </w:r>
      <w:r w:rsidR="00C04E82" w:rsidRPr="006A3BDC">
        <w:t>is</w:t>
      </w:r>
      <w:r w:rsidR="00025EDB" w:rsidRPr="006A3BDC">
        <w:t xml:space="preserve"> </w:t>
      </w:r>
      <w:r w:rsidR="008661D1" w:rsidRPr="0041126E">
        <w:t>a</w:t>
      </w:r>
      <w:r w:rsidR="00025EDB" w:rsidRPr="00EF0581">
        <w:t xml:space="preserve"> </w:t>
      </w:r>
      <w:r w:rsidR="008661D1" w:rsidRPr="0041126E">
        <w:t xml:space="preserve">better measure of </w:t>
      </w:r>
      <w:r w:rsidR="000D720C" w:rsidRPr="00EF0581">
        <w:t xml:space="preserve">the </w:t>
      </w:r>
      <w:r w:rsidR="000D720C">
        <w:t xml:space="preserve">overall </w:t>
      </w:r>
      <w:r w:rsidR="008661D1" w:rsidRPr="0041126E">
        <w:t>number of</w:t>
      </w:r>
      <w:r w:rsidR="000D720C">
        <w:t xml:space="preserve"> dwellings entering the housing syste</w:t>
      </w:r>
      <w:r w:rsidR="000D720C" w:rsidRPr="00EF0581">
        <w:t>m</w:t>
      </w:r>
      <w:r w:rsidR="00643D84" w:rsidRPr="008F2984">
        <w:t>, which</w:t>
      </w:r>
      <w:r w:rsidR="00643D84" w:rsidRPr="0041126E">
        <w:t xml:space="preserve"> more directly influences rents, prices</w:t>
      </w:r>
      <w:r w:rsidR="008661D1" w:rsidRPr="0041126E">
        <w:t xml:space="preserve"> and </w:t>
      </w:r>
      <w:r w:rsidR="000D720C">
        <w:t xml:space="preserve">affordability </w:t>
      </w:r>
      <w:r w:rsidR="00643D84" w:rsidRPr="0041126E">
        <w:t>measures</w:t>
      </w:r>
      <w:r w:rsidR="000D720C">
        <w:t>.</w:t>
      </w:r>
    </w:p>
  </w:footnote>
  <w:footnote w:id="5">
    <w:p w14:paraId="5DAB665D" w14:textId="1208E82E" w:rsidR="007F2143" w:rsidRPr="009628A8" w:rsidRDefault="006E082A" w:rsidP="0099326B">
      <w:pPr>
        <w:pStyle w:val="FootnoteText"/>
        <w:rPr>
          <w:highlight w:val="green"/>
        </w:rPr>
      </w:pPr>
      <w:r w:rsidRPr="006E082A">
        <w:rPr>
          <w:rStyle w:val="FootnoteReference"/>
          <w:sz w:val="20"/>
          <w:vertAlign w:val="baseline"/>
        </w:rPr>
        <w:footnoteRef/>
      </w:r>
      <w:r w:rsidR="007F2143" w:rsidRPr="009628A8">
        <w:t xml:space="preserve"> </w:t>
      </w:r>
      <w:r w:rsidR="0099326B">
        <w:tab/>
      </w:r>
      <w:r w:rsidR="007F2143" w:rsidRPr="0099326B">
        <w:t>This</w:t>
      </w:r>
      <w:r w:rsidR="007F2143" w:rsidRPr="009628A8">
        <w:t xml:space="preserve"> report </w:t>
      </w:r>
      <w:r w:rsidR="007F2143">
        <w:t>draws on</w:t>
      </w:r>
      <w:r w:rsidR="007F2143" w:rsidRPr="009628A8">
        <w:t xml:space="preserve"> CoreLogic </w:t>
      </w:r>
      <w:r w:rsidR="007F2143" w:rsidRPr="002949B5">
        <w:t xml:space="preserve">and </w:t>
      </w:r>
      <w:r w:rsidR="00E30DDC" w:rsidRPr="002949B5">
        <w:t>ABS</w:t>
      </w:r>
      <w:r w:rsidR="007F2143" w:rsidRPr="002949B5">
        <w:t xml:space="preserve"> housing data. For CoreLogic data, </w:t>
      </w:r>
      <w:r w:rsidR="00A15C79" w:rsidRPr="002949B5">
        <w:t>‘</w:t>
      </w:r>
      <w:r w:rsidR="007F2143" w:rsidRPr="002949B5">
        <w:t>houses</w:t>
      </w:r>
      <w:r w:rsidR="00A15C79" w:rsidRPr="002949B5">
        <w:t>’</w:t>
      </w:r>
      <w:r w:rsidR="007F2143" w:rsidRPr="002949B5">
        <w:t xml:space="preserve"> refer to properties on a Torrens </w:t>
      </w:r>
      <w:r w:rsidR="004F79B9" w:rsidRPr="002949B5">
        <w:t>t</w:t>
      </w:r>
      <w:r w:rsidR="007F2143" w:rsidRPr="002949B5">
        <w:t>itle (including detached dwellings</w:t>
      </w:r>
      <w:r w:rsidR="007F2143" w:rsidRPr="009628A8">
        <w:t>, semi</w:t>
      </w:r>
      <w:r w:rsidR="00A15C79">
        <w:noBreakHyphen/>
      </w:r>
      <w:r w:rsidR="007F2143" w:rsidRPr="009628A8">
        <w:t>detached dwellings, terraces and duplexes)</w:t>
      </w:r>
      <w:r w:rsidR="00DC46C8">
        <w:t>,</w:t>
      </w:r>
      <w:r w:rsidR="007F2143" w:rsidRPr="009628A8">
        <w:t xml:space="preserve"> and </w:t>
      </w:r>
      <w:r w:rsidR="00A15C79">
        <w:t>‘</w:t>
      </w:r>
      <w:r w:rsidR="007F2143" w:rsidRPr="009628A8">
        <w:t>units</w:t>
      </w:r>
      <w:r w:rsidR="00A15C79">
        <w:t>’</w:t>
      </w:r>
      <w:r w:rsidR="007F2143" w:rsidRPr="009628A8">
        <w:t xml:space="preserve"> </w:t>
      </w:r>
      <w:r w:rsidR="007F2143">
        <w:t>refer to</w:t>
      </w:r>
      <w:r w:rsidR="007F2143" w:rsidRPr="009628A8">
        <w:t xml:space="preserve"> propert</w:t>
      </w:r>
      <w:r w:rsidR="007F2143">
        <w:t>ies</w:t>
      </w:r>
      <w:r w:rsidR="007F2143" w:rsidRPr="009628A8">
        <w:t xml:space="preserve"> on a strata title (including townhouses, villas and apartments). </w:t>
      </w:r>
      <w:r w:rsidR="007F2143">
        <w:t>For ABS data,</w:t>
      </w:r>
      <w:r w:rsidR="007F2143" w:rsidRPr="009628A8">
        <w:t xml:space="preserve"> </w:t>
      </w:r>
      <w:r w:rsidR="00A15C79">
        <w:t>‘</w:t>
      </w:r>
      <w:r w:rsidR="007F2143" w:rsidRPr="009628A8">
        <w:t>detached houses</w:t>
      </w:r>
      <w:r w:rsidR="00A15C79">
        <w:t>’</w:t>
      </w:r>
      <w:r w:rsidR="007F2143" w:rsidRPr="009628A8">
        <w:t xml:space="preserve"> </w:t>
      </w:r>
      <w:r w:rsidR="007F2143">
        <w:t>refer to</w:t>
      </w:r>
      <w:r w:rsidR="007F2143" w:rsidRPr="009628A8">
        <w:t xml:space="preserve"> </w:t>
      </w:r>
      <w:r w:rsidR="007F2143">
        <w:t>freestanding</w:t>
      </w:r>
      <w:r w:rsidR="007F2143" w:rsidRPr="009628A8">
        <w:t xml:space="preserve"> single </w:t>
      </w:r>
      <w:r w:rsidR="007F2143">
        <w:t>dwellings</w:t>
      </w:r>
      <w:r w:rsidR="00DC46C8">
        <w:t>,</w:t>
      </w:r>
      <w:r w:rsidR="007F2143" w:rsidRPr="009628A8">
        <w:t xml:space="preserve"> and</w:t>
      </w:r>
      <w:r w:rsidR="007F2143" w:rsidRPr="00265E10">
        <w:t xml:space="preserve"> </w:t>
      </w:r>
      <w:r w:rsidR="00A15C79">
        <w:t>‘</w:t>
      </w:r>
      <w:r w:rsidR="007F2143" w:rsidRPr="009628A8">
        <w:t>higher</w:t>
      </w:r>
      <w:r w:rsidR="00A15C79">
        <w:noBreakHyphen/>
      </w:r>
      <w:r w:rsidR="007F2143" w:rsidRPr="009628A8">
        <w:t>density dwellings</w:t>
      </w:r>
      <w:r w:rsidR="00A15C79">
        <w:t>’</w:t>
      </w:r>
      <w:r w:rsidR="007F2143" w:rsidRPr="00265E10">
        <w:t xml:space="preserve"> </w:t>
      </w:r>
      <w:r w:rsidR="007F2143">
        <w:t>refer to</w:t>
      </w:r>
      <w:r w:rsidR="007F2143" w:rsidRPr="009628A8">
        <w:t xml:space="preserve"> all</w:t>
      </w:r>
      <w:r w:rsidR="007F2143" w:rsidRPr="00265E10">
        <w:t xml:space="preserve"> non</w:t>
      </w:r>
      <w:r w:rsidR="00A15C79">
        <w:noBreakHyphen/>
      </w:r>
      <w:r w:rsidR="007F2143" w:rsidRPr="00265E10">
        <w:t xml:space="preserve">freestanding </w:t>
      </w:r>
      <w:r w:rsidR="007F2143">
        <w:t>dwellings</w:t>
      </w:r>
      <w:r w:rsidR="007F2143" w:rsidRPr="00265E10">
        <w:t xml:space="preserve"> </w:t>
      </w:r>
      <w:r w:rsidR="007F2143" w:rsidRPr="009628A8">
        <w:t xml:space="preserve">(including </w:t>
      </w:r>
      <w:r w:rsidR="007F2143" w:rsidRPr="00265E10">
        <w:t>semi</w:t>
      </w:r>
      <w:r w:rsidR="00A15C79">
        <w:noBreakHyphen/>
      </w:r>
      <w:r w:rsidR="007F2143" w:rsidRPr="00265E10">
        <w:t>detached houses</w:t>
      </w:r>
      <w:r w:rsidR="007F2143" w:rsidRPr="009628A8">
        <w:t>, duplexes, flats, apartments and high</w:t>
      </w:r>
      <w:r w:rsidR="00A15C79">
        <w:noBreakHyphen/>
      </w:r>
      <w:r w:rsidR="007F2143" w:rsidRPr="009628A8">
        <w:t>rises).</w:t>
      </w:r>
    </w:p>
  </w:footnote>
  <w:footnote w:id="6">
    <w:p w14:paraId="1F85508E" w14:textId="293C33CD" w:rsidR="007F2143" w:rsidRPr="007E1973" w:rsidDel="00D32663" w:rsidRDefault="006E082A" w:rsidP="00EB0064">
      <w:pPr>
        <w:pStyle w:val="FootnoteText"/>
        <w:rPr>
          <w:rStyle w:val="FootnoteReference"/>
          <w:sz w:val="20"/>
          <w:vertAlign w:val="baseline"/>
        </w:rPr>
      </w:pPr>
      <w:r w:rsidRPr="006E082A" w:rsidDel="00D32663">
        <w:rPr>
          <w:rStyle w:val="FootnoteReference"/>
          <w:sz w:val="20"/>
          <w:vertAlign w:val="baseline"/>
        </w:rPr>
        <w:footnoteRef/>
      </w:r>
      <w:r w:rsidR="007F2143" w:rsidRPr="00A924A2" w:rsidDel="00D32663">
        <w:t xml:space="preserve"> </w:t>
      </w:r>
      <w:r w:rsidR="0099326B" w:rsidDel="00D32663">
        <w:tab/>
      </w:r>
      <w:r w:rsidR="008B0DF7">
        <w:t xml:space="preserve">The letter </w:t>
      </w:r>
      <w:r w:rsidR="008B0DF7" w:rsidRPr="007E1973">
        <w:t xml:space="preserve">stated construction finance for new higher-density housing development should depend on all properties being pre-sold (APRA 2017). </w:t>
      </w:r>
    </w:p>
  </w:footnote>
  <w:footnote w:id="7">
    <w:p w14:paraId="4E52B0B5" w14:textId="7DC3423C" w:rsidR="00791A68" w:rsidRDefault="006E082A" w:rsidP="0041126E">
      <w:pPr>
        <w:pStyle w:val="FootnoteText"/>
      </w:pPr>
      <w:r w:rsidRPr="006E082A">
        <w:rPr>
          <w:rStyle w:val="FootnoteReference"/>
          <w:sz w:val="20"/>
          <w:vertAlign w:val="baseline"/>
        </w:rPr>
        <w:footnoteRef/>
      </w:r>
      <w:r w:rsidR="00EB4709">
        <w:t xml:space="preserve"> </w:t>
      </w:r>
      <w:r w:rsidR="007D394E">
        <w:tab/>
      </w:r>
      <w:r w:rsidR="00791A68">
        <w:t>In the A</w:t>
      </w:r>
      <w:r w:rsidR="00EB4709">
        <w:t xml:space="preserve">ustralian </w:t>
      </w:r>
      <w:r w:rsidR="00791A68">
        <w:t>C</w:t>
      </w:r>
      <w:r w:rsidR="00EB4709">
        <w:t xml:space="preserve">apital </w:t>
      </w:r>
      <w:r w:rsidR="00791A68">
        <w:t>T</w:t>
      </w:r>
      <w:r w:rsidR="00EB4709">
        <w:t>erritory</w:t>
      </w:r>
      <w:r w:rsidR="00791A68">
        <w:t xml:space="preserve">, government land sold to developers may require a </w:t>
      </w:r>
      <w:r w:rsidR="007F144A">
        <w:t>number</w:t>
      </w:r>
      <w:r w:rsidR="00791A68">
        <w:t xml:space="preserve"> of dwellings </w:t>
      </w:r>
      <w:r w:rsidR="00F66A95">
        <w:t xml:space="preserve">to be </w:t>
      </w:r>
      <w:r w:rsidR="00791A68" w:rsidDel="00F66A95">
        <w:t>sold at affordable below</w:t>
      </w:r>
      <w:r w:rsidR="00A15C79">
        <w:noBreakHyphen/>
      </w:r>
      <w:r w:rsidR="00791A68" w:rsidDel="00F66A95">
        <w:t xml:space="preserve">market prices. </w:t>
      </w:r>
      <w:r w:rsidR="00F66A95">
        <w:t>In South Australia, eligible home</w:t>
      </w:r>
      <w:r w:rsidR="007D23D1">
        <w:t xml:space="preserve"> </w:t>
      </w:r>
      <w:r w:rsidR="00F66A95">
        <w:t>buyers may purchase affordable homes at a discount to the</w:t>
      </w:r>
      <w:r w:rsidR="00791A68">
        <w:t xml:space="preserve"> market rate.</w:t>
      </w:r>
    </w:p>
  </w:footnote>
  <w:footnote w:id="8">
    <w:p w14:paraId="25A58B4C" w14:textId="489AA5EF" w:rsidR="00FE0499" w:rsidRDefault="006E082A" w:rsidP="00FE0499">
      <w:pPr>
        <w:pStyle w:val="FootnoteText"/>
      </w:pPr>
      <w:r w:rsidRPr="006E082A">
        <w:rPr>
          <w:rStyle w:val="FootnoteReference"/>
          <w:sz w:val="20"/>
          <w:vertAlign w:val="baseline"/>
        </w:rPr>
        <w:footnoteRef/>
      </w:r>
      <w:r w:rsidR="00FE0499">
        <w:t xml:space="preserve"> </w:t>
      </w:r>
      <w:r w:rsidR="007D394E">
        <w:tab/>
      </w:r>
      <w:r w:rsidR="00FE0499">
        <w:t>Equivalised disposable household income adjusts for differences in household size and composition, allowing economic wellbeing of households to be compared. The modified OECD equivalence scale is used.</w:t>
      </w:r>
    </w:p>
  </w:footnote>
  <w:footnote w:id="9">
    <w:p w14:paraId="6AFE7D20" w14:textId="49ED1093" w:rsidR="00791A68" w:rsidRDefault="006E082A" w:rsidP="0099326B">
      <w:pPr>
        <w:pStyle w:val="FootnoteText"/>
      </w:pPr>
      <w:r w:rsidRPr="006E082A">
        <w:rPr>
          <w:rStyle w:val="FootnoteReference"/>
          <w:sz w:val="20"/>
          <w:vertAlign w:val="baseline"/>
        </w:rPr>
        <w:footnoteRef/>
      </w:r>
      <w:r w:rsidR="00791A68">
        <w:t xml:space="preserve"> </w:t>
      </w:r>
      <w:r w:rsidR="0099326B">
        <w:tab/>
      </w:r>
      <w:r w:rsidR="00791A68" w:rsidRPr="0027579E">
        <w:t>The Council</w:t>
      </w:r>
      <w:r w:rsidR="00A15C79">
        <w:t>’</w:t>
      </w:r>
      <w:r w:rsidR="00791A68" w:rsidRPr="0027579E">
        <w:t xml:space="preserve">s forecasts incorporate government policy measures that affect the macroeconomic outlook, directly support the provision of social and affordable housing, or are already an established feature of the housing system (and have therefore affected recent housing supply outcomes). Box 5.1 provides more </w:t>
      </w:r>
      <w:r w:rsidR="00250FD0" w:rsidRPr="0027579E">
        <w:t xml:space="preserve">information </w:t>
      </w:r>
      <w:r w:rsidR="00791A68" w:rsidRPr="0027579E">
        <w:t>on the Council</w:t>
      </w:r>
      <w:r w:rsidR="00A15C79">
        <w:t>’</w:t>
      </w:r>
      <w:r w:rsidR="00791A68" w:rsidRPr="0027579E">
        <w:t>s forecasting methodology</w:t>
      </w:r>
      <w:r w:rsidR="00791A68">
        <w:t>.</w:t>
      </w:r>
    </w:p>
  </w:footnote>
  <w:footnote w:id="10">
    <w:p w14:paraId="40132F6F" w14:textId="2FAB95B4" w:rsidR="00791A68" w:rsidRDefault="006E082A" w:rsidP="0099326B">
      <w:pPr>
        <w:pStyle w:val="FootnoteText"/>
      </w:pPr>
      <w:r w:rsidRPr="006E082A">
        <w:rPr>
          <w:rStyle w:val="FootnoteReference"/>
          <w:sz w:val="20"/>
          <w:vertAlign w:val="baseline"/>
        </w:rPr>
        <w:footnoteRef/>
      </w:r>
      <w:r w:rsidR="00791A68">
        <w:t xml:space="preserve"> </w:t>
      </w:r>
      <w:r w:rsidR="0099326B">
        <w:tab/>
      </w:r>
      <w:r w:rsidR="00791A68" w:rsidRPr="001D6D96">
        <w:t>The Council</w:t>
      </w:r>
      <w:r w:rsidR="00A15C79">
        <w:t>’</w:t>
      </w:r>
      <w:r w:rsidR="00791A68" w:rsidRPr="001D6D96">
        <w:t xml:space="preserve">s modelling of market housing supply in the </w:t>
      </w:r>
      <w:r w:rsidR="00791A68">
        <w:t>Northern Territory</w:t>
      </w:r>
      <w:r w:rsidR="00791A68" w:rsidRPr="001D6D96">
        <w:t xml:space="preserve"> only accounts for housing built inside declared building control areas, where building permits are required</w:t>
      </w:r>
      <w:r w:rsidR="00791A68">
        <w:t xml:space="preserve"> (</w:t>
      </w:r>
      <w:r w:rsidR="00791A68" w:rsidRPr="00785890">
        <w:t>Northern Territory Government</w:t>
      </w:r>
      <w:r w:rsidR="00791A68">
        <w:t xml:space="preserve"> 2025) and captured in ABS Building Approvals data (</w:t>
      </w:r>
      <w:r w:rsidR="00791A68" w:rsidRPr="00785890">
        <w:t>ABS</w:t>
      </w:r>
      <w:r w:rsidR="00791A68">
        <w:t xml:space="preserve"> 2025</w:t>
      </w:r>
      <w:r w:rsidR="00A83FAF">
        <w:t>c</w:t>
      </w:r>
      <w:r w:rsidR="00791A68">
        <w:t>). However, government policy measures that directly support the provision of social and affordable housing are accounted for in the Council</w:t>
      </w:r>
      <w:r w:rsidR="00A15C79">
        <w:t>’</w:t>
      </w:r>
      <w:r w:rsidR="00791A68">
        <w:t>s forecasts, and these homes may be outside building control areas, including in remote communities (</w:t>
      </w:r>
      <w:r w:rsidR="00791A68" w:rsidRPr="00785890">
        <w:t>Burney</w:t>
      </w:r>
      <w:r w:rsidR="00791A68">
        <w:t xml:space="preserve"> 2024).</w:t>
      </w:r>
    </w:p>
  </w:footnote>
  <w:footnote w:id="11">
    <w:p w14:paraId="3B0F8413" w14:textId="5DBC68E1" w:rsidR="00791A68" w:rsidRDefault="006E082A" w:rsidP="0099326B">
      <w:pPr>
        <w:pStyle w:val="FootnoteText"/>
      </w:pPr>
      <w:r w:rsidRPr="006E082A">
        <w:rPr>
          <w:rStyle w:val="FootnoteReference"/>
          <w:sz w:val="20"/>
          <w:vertAlign w:val="baseline"/>
        </w:rPr>
        <w:footnoteRef/>
      </w:r>
      <w:r w:rsidR="00791A68">
        <w:t xml:space="preserve"> </w:t>
      </w:r>
      <w:r w:rsidR="0099326B">
        <w:tab/>
      </w:r>
      <w:r w:rsidR="00791A68" w:rsidRPr="001A0C0E">
        <w:t xml:space="preserve">The NSW Government has estimated that its </w:t>
      </w:r>
      <w:r w:rsidR="00791A68" w:rsidRPr="007F7764">
        <w:t>Low and Mid</w:t>
      </w:r>
      <w:r w:rsidR="00A15C79">
        <w:noBreakHyphen/>
      </w:r>
      <w:r w:rsidR="00791A68" w:rsidRPr="007F7764">
        <w:t>Rise Housing Policy</w:t>
      </w:r>
      <w:r w:rsidR="00791A68" w:rsidRPr="001A0C0E">
        <w:t xml:space="preserve"> initiative has the potential to supply 112,000 new homes over the Housing Accord period (</w:t>
      </w:r>
      <w:r w:rsidR="003F2DE3" w:rsidRPr="0080378D">
        <w:t>NSW</w:t>
      </w:r>
      <w:r w:rsidR="00914890">
        <w:t xml:space="preserve"> Government</w:t>
      </w:r>
      <w:r w:rsidR="00791A68" w:rsidRPr="001A0C0E">
        <w:t xml:space="preserve"> 2024</w:t>
      </w:r>
      <w:r w:rsidR="00467F9B">
        <w:t>a</w:t>
      </w:r>
      <w:r w:rsidR="00791A68" w:rsidRPr="001A0C0E">
        <w:t xml:space="preserve">) and that its </w:t>
      </w:r>
      <w:r w:rsidR="00791A68" w:rsidRPr="007F7764">
        <w:t>Transport Oriented Development Program</w:t>
      </w:r>
      <w:r w:rsidR="00791A68" w:rsidRPr="001A0C0E">
        <w:t xml:space="preserve"> has the potential to supply 231,855 new homes by 2039 (</w:t>
      </w:r>
      <w:r w:rsidR="007E7E71">
        <w:t xml:space="preserve">NSW </w:t>
      </w:r>
      <w:r w:rsidR="00F9636C">
        <w:t>Department of Planning, Housing and Infrastructure 2024</w:t>
      </w:r>
      <w:r w:rsidR="00791A68">
        <w:t>).</w:t>
      </w:r>
      <w:r w:rsidR="00791A68" w:rsidRPr="001A0C0E">
        <w:t xml:space="preserve"> The </w:t>
      </w:r>
      <w:r w:rsidR="00791A68" w:rsidRPr="0099326B">
        <w:t>Victorian</w:t>
      </w:r>
      <w:r w:rsidR="00791A68" w:rsidRPr="001A0C0E">
        <w:t xml:space="preserve"> Government has estimated that its </w:t>
      </w:r>
      <w:r w:rsidR="00791A68" w:rsidRPr="007F7764">
        <w:t>Activity Centre Program</w:t>
      </w:r>
      <w:r w:rsidR="00791A68" w:rsidRPr="001A0C0E">
        <w:t xml:space="preserve"> will deliver an additional 60,000 homes in 10 activity centre suburbs by 2034 (</w:t>
      </w:r>
      <w:r w:rsidR="003F2DE3" w:rsidRPr="0080378D">
        <w:t>Victorian Government</w:t>
      </w:r>
      <w:r w:rsidR="00791A68" w:rsidRPr="001A0C0E">
        <w:t xml:space="preserve"> 2023) and an additional 300,000 homes in another 50 train and tram </w:t>
      </w:r>
      <w:r w:rsidR="00525FB7">
        <w:t xml:space="preserve">zone </w:t>
      </w:r>
      <w:r w:rsidR="00791A68" w:rsidRPr="001A0C0E">
        <w:t>activity centres by 2051 (</w:t>
      </w:r>
      <w:r w:rsidR="003F2DE3" w:rsidRPr="0080378D">
        <w:t>Victorian Government</w:t>
      </w:r>
      <w:r w:rsidR="00791A68">
        <w:t xml:space="preserve"> 2024).</w:t>
      </w:r>
      <w:r w:rsidR="00791A68" w:rsidRPr="001A0C0E">
        <w:t xml:space="preserve"> The NSW and Victorian </w:t>
      </w:r>
      <w:r w:rsidR="001F73E1">
        <w:t>g</w:t>
      </w:r>
      <w:r w:rsidR="00791A68" w:rsidRPr="001A0C0E">
        <w:t xml:space="preserve">overnments are further supporting these initiatives with a range of complementary measures, such as the streamlining of development approval processes. For example, </w:t>
      </w:r>
      <w:r w:rsidR="00304502">
        <w:t xml:space="preserve">the </w:t>
      </w:r>
      <w:r w:rsidR="00791A68" w:rsidRPr="001A0C0E">
        <w:t>NSW</w:t>
      </w:r>
      <w:r w:rsidR="00304502">
        <w:t xml:space="preserve"> Government</w:t>
      </w:r>
      <w:r w:rsidR="00791A68" w:rsidRPr="001A0C0E">
        <w:t xml:space="preserve"> is currently fast</w:t>
      </w:r>
      <w:r w:rsidR="00A15C79">
        <w:noBreakHyphen/>
      </w:r>
      <w:r w:rsidR="00791A68" w:rsidRPr="001A0C0E">
        <w:t xml:space="preserve">tracking the approval of 11 new housing projects containing around 6,414 new dwellings </w:t>
      </w:r>
      <w:r w:rsidR="00791A68" w:rsidRPr="002949B5">
        <w:t>(</w:t>
      </w:r>
      <w:r w:rsidR="00CA5B23" w:rsidRPr="002949B5">
        <w:t>Kwan</w:t>
      </w:r>
      <w:r w:rsidR="00791A68" w:rsidRPr="002949B5">
        <w:t xml:space="preserve"> 2025).</w:t>
      </w:r>
    </w:p>
  </w:footnote>
  <w:footnote w:id="12">
    <w:p w14:paraId="1411FC13" w14:textId="203AA478" w:rsidR="00B92C7A" w:rsidRDefault="006E082A">
      <w:pPr>
        <w:pStyle w:val="FootnoteText"/>
      </w:pPr>
      <w:r w:rsidRPr="006E082A">
        <w:rPr>
          <w:rStyle w:val="FootnoteReference"/>
          <w:sz w:val="20"/>
          <w:vertAlign w:val="baseline"/>
        </w:rPr>
        <w:footnoteRef/>
      </w:r>
      <w:r w:rsidR="00B92C7A">
        <w:t xml:space="preserve"> </w:t>
      </w:r>
      <w:r w:rsidR="00A97DD6">
        <w:tab/>
      </w:r>
      <w:r w:rsidR="00856D32">
        <w:t>The b</w:t>
      </w:r>
      <w:r w:rsidR="00651D61">
        <w:t xml:space="preserve">aseline </w:t>
      </w:r>
      <w:r w:rsidR="00856D32">
        <w:t xml:space="preserve">forecast for </w:t>
      </w:r>
      <w:r w:rsidR="00651D61">
        <w:t>rent growth</w:t>
      </w:r>
      <w:r w:rsidR="00C424DF">
        <w:t xml:space="preserve"> is</w:t>
      </w:r>
      <w:r w:rsidR="00651D61">
        <w:t xml:space="preserve"> discussed in </w:t>
      </w:r>
      <w:r w:rsidR="00337EDC">
        <w:t>s</w:t>
      </w:r>
      <w:r w:rsidR="00651D61">
        <w:t xml:space="preserve">ection </w:t>
      </w:r>
      <w:r w:rsidR="00D4668B">
        <w:t>5.4</w:t>
      </w:r>
      <w:r w:rsidR="00337EDC">
        <w:t>,</w:t>
      </w:r>
      <w:r w:rsidR="00C424DF" w:rsidRPr="00C424DF">
        <w:t xml:space="preserve"> </w:t>
      </w:r>
      <w:r w:rsidR="00C424DF" w:rsidRPr="00B72216">
        <w:rPr>
          <w:i/>
        </w:rPr>
        <w:t>The supply shortfall will weigh on housing affordability</w:t>
      </w:r>
      <w:r w:rsidR="00D4668B" w:rsidRPr="00B72216">
        <w:rPr>
          <w:i/>
        </w:rPr>
        <w:t>.</w:t>
      </w:r>
    </w:p>
  </w:footnote>
  <w:footnote w:id="13">
    <w:p w14:paraId="29721AF6" w14:textId="69210216" w:rsidR="00791A68" w:rsidRPr="009628A8" w:rsidRDefault="006E082A" w:rsidP="00AF4C27">
      <w:pPr>
        <w:pStyle w:val="FootnoteText"/>
      </w:pPr>
      <w:r w:rsidRPr="006E082A">
        <w:rPr>
          <w:rStyle w:val="FootnoteReference"/>
          <w:sz w:val="20"/>
          <w:vertAlign w:val="baseline"/>
        </w:rPr>
        <w:footnoteRef/>
      </w:r>
      <w:r w:rsidR="00791A68" w:rsidRPr="009628A8">
        <w:t xml:space="preserve"> </w:t>
      </w:r>
      <w:r w:rsidR="00AF4C27">
        <w:tab/>
      </w:r>
      <w:r w:rsidR="00791A68" w:rsidRPr="009628A8">
        <w:t xml:space="preserve">The ABS definition of homelessness has been developed for application to the general population in Australia. While </w:t>
      </w:r>
      <w:r w:rsidR="00791A68" w:rsidRPr="00AF4C27">
        <w:t>Aboriginal</w:t>
      </w:r>
      <w:r w:rsidR="00791A68" w:rsidRPr="009628A8">
        <w:t xml:space="preserve"> and </w:t>
      </w:r>
      <w:r w:rsidR="0099326B">
        <w:t>Torres Strait</w:t>
      </w:r>
      <w:r w:rsidR="00791A68" w:rsidRPr="009628A8">
        <w:t xml:space="preserve"> Islander people are over</w:t>
      </w:r>
      <w:r w:rsidR="00A15C79">
        <w:noBreakHyphen/>
      </w:r>
      <w:r w:rsidR="00791A68" w:rsidRPr="009628A8">
        <w:t>represented in the measures of homelessness developed with</w:t>
      </w:r>
      <w:r w:rsidR="00C36E69">
        <w:t>in</w:t>
      </w:r>
      <w:r w:rsidR="00791A68" w:rsidRPr="009628A8">
        <w:t xml:space="preserve"> this definition, there are likely to be aspects to homelessness from Aboriginal and </w:t>
      </w:r>
      <w:r w:rsidR="0099326B">
        <w:t>Torres Strait</w:t>
      </w:r>
      <w:r w:rsidR="00791A68" w:rsidRPr="009628A8">
        <w:t xml:space="preserve"> Islander </w:t>
      </w:r>
      <w:r w:rsidR="00C36E69">
        <w:t>people</w:t>
      </w:r>
      <w:r w:rsidR="00A15C79">
        <w:t>’</w:t>
      </w:r>
      <w:r w:rsidR="00C36E69">
        <w:t xml:space="preserve">s </w:t>
      </w:r>
      <w:r w:rsidR="00791A68" w:rsidRPr="009628A8">
        <w:t>perspectives that the definition does not adequately capture.</w:t>
      </w:r>
    </w:p>
  </w:footnote>
  <w:footnote w:id="14">
    <w:p w14:paraId="5ADF3B12" w14:textId="1042B2A3" w:rsidR="00791A68" w:rsidRDefault="006E082A" w:rsidP="00AF4C27">
      <w:pPr>
        <w:pStyle w:val="FootnoteText"/>
      </w:pPr>
      <w:r w:rsidRPr="006E082A">
        <w:rPr>
          <w:rStyle w:val="FootnoteReference"/>
          <w:sz w:val="20"/>
          <w:vertAlign w:val="baseline"/>
        </w:rPr>
        <w:footnoteRef/>
      </w:r>
      <w:r w:rsidR="00791A68" w:rsidRPr="004A11A3">
        <w:t xml:space="preserve"> </w:t>
      </w:r>
      <w:r w:rsidR="00AF4C27">
        <w:tab/>
      </w:r>
      <w:r w:rsidR="00791A68" w:rsidRPr="004A11A3">
        <w:t>Excluding cases where Indigenous status was not stated.</w:t>
      </w:r>
    </w:p>
  </w:footnote>
  <w:footnote w:id="15">
    <w:p w14:paraId="40E9FFC3" w14:textId="1B2C0BA9" w:rsidR="00791A68" w:rsidRDefault="006E082A" w:rsidP="00AF4C27">
      <w:pPr>
        <w:pStyle w:val="FootnoteText"/>
      </w:pPr>
      <w:r w:rsidRPr="006E082A">
        <w:rPr>
          <w:rStyle w:val="FootnoteReference"/>
          <w:sz w:val="20"/>
          <w:vertAlign w:val="baseline"/>
        </w:rPr>
        <w:footnoteRef/>
      </w:r>
      <w:r w:rsidR="00791A68" w:rsidRPr="00401B4E">
        <w:t xml:space="preserve"> </w:t>
      </w:r>
      <w:r w:rsidR="00AF4C27">
        <w:tab/>
      </w:r>
      <w:r w:rsidR="00791A68" w:rsidRPr="00401B4E">
        <w:t>Data reflects waitlists in New South Wales, Queensland, South Australia and the Northern Territory only</w:t>
      </w:r>
      <w:r w:rsidR="00791A68" w:rsidRPr="007D48B8">
        <w:t xml:space="preserve">. </w:t>
      </w:r>
      <w:r w:rsidR="00791A68" w:rsidRPr="009628A8">
        <w:t xml:space="preserve">Tasmania does not provide </w:t>
      </w:r>
      <w:r w:rsidR="00791A68" w:rsidRPr="00401B4E">
        <w:t>data on its SOMIH waitlist</w:t>
      </w:r>
      <w:r w:rsidR="00791A68" w:rsidRPr="009628A8">
        <w:t>. Victoria, Western Australia and the Australian</w:t>
      </w:r>
      <w:r w:rsidR="001B4EAF">
        <w:t> </w:t>
      </w:r>
      <w:r w:rsidR="00791A68" w:rsidRPr="009628A8">
        <w:t xml:space="preserve">Capital </w:t>
      </w:r>
      <w:r w:rsidR="00791A68" w:rsidRPr="00401B4E">
        <w:t>Territory</w:t>
      </w:r>
      <w:r w:rsidR="00791A68" w:rsidRPr="009628A8">
        <w:t xml:space="preserve"> do not operate </w:t>
      </w:r>
      <w:r w:rsidR="00791A68" w:rsidRPr="00401B4E">
        <w:t>SOMIH.</w:t>
      </w:r>
    </w:p>
  </w:footnote>
  <w:footnote w:id="16">
    <w:p w14:paraId="6C05B24E" w14:textId="18D37B14" w:rsidR="00791A68" w:rsidRDefault="006E082A" w:rsidP="00BC16AE">
      <w:pPr>
        <w:pStyle w:val="FootnoteText"/>
      </w:pPr>
      <w:r w:rsidRPr="006E082A">
        <w:rPr>
          <w:rStyle w:val="FootnoteReference"/>
          <w:sz w:val="20"/>
          <w:vertAlign w:val="baseline"/>
        </w:rPr>
        <w:footnoteRef/>
      </w:r>
      <w:r w:rsidR="00791A68" w:rsidRPr="00876CF7">
        <w:t xml:space="preserve"> </w:t>
      </w:r>
      <w:r w:rsidR="00BC16AE">
        <w:tab/>
      </w:r>
      <w:r w:rsidR="00791A68" w:rsidRPr="00876CF7">
        <w:t xml:space="preserve">The </w:t>
      </w:r>
      <w:r w:rsidR="00791A68" w:rsidRPr="00785890">
        <w:t>National Agreement on Social Housing and Homelessness</w:t>
      </w:r>
      <w:r w:rsidR="00791A68" w:rsidRPr="00876CF7">
        <w:t xml:space="preserve"> provides an example of improved data collection practices in relation to </w:t>
      </w:r>
      <w:r w:rsidR="0099326B">
        <w:t>First Nations</w:t>
      </w:r>
      <w:r w:rsidR="00791A68" w:rsidRPr="00876CF7">
        <w:t xml:space="preserve"> housing, requiring </w:t>
      </w:r>
      <w:r w:rsidR="0061688A">
        <w:t>p</w:t>
      </w:r>
      <w:r w:rsidR="00791A68" w:rsidRPr="00876CF7">
        <w:t xml:space="preserve">artnership </w:t>
      </w:r>
      <w:r w:rsidR="0061688A">
        <w:t>b</w:t>
      </w:r>
      <w:r w:rsidR="00791A68" w:rsidRPr="00876CF7">
        <w:t>odies to develop outcomes frameworks and statements of assurance for their jurisdictions.</w:t>
      </w:r>
    </w:p>
  </w:footnote>
  <w:footnote w:id="17">
    <w:p w14:paraId="0319E710" w14:textId="08E1E2EF" w:rsidR="00791A68" w:rsidRDefault="006E082A" w:rsidP="001B4EAF">
      <w:pPr>
        <w:pStyle w:val="FootnoteText"/>
      </w:pPr>
      <w:r w:rsidRPr="006E082A">
        <w:rPr>
          <w:rStyle w:val="FootnoteReference"/>
          <w:sz w:val="20"/>
          <w:vertAlign w:val="baseline"/>
        </w:rPr>
        <w:footnoteRef/>
      </w:r>
      <w:r w:rsidR="001B4EAF">
        <w:tab/>
      </w:r>
      <w:r w:rsidR="00791A68" w:rsidRPr="00AC7DBB">
        <w:t xml:space="preserve">Estimates of unmet housing need vary. </w:t>
      </w:r>
      <w:r w:rsidR="006C7E74">
        <w:t>The National Housing Finance and Investment Corporation</w:t>
      </w:r>
      <w:r w:rsidR="00791A68" w:rsidRPr="00AC7DBB">
        <w:t xml:space="preserve"> (2023) found 377,600 households were in housing need in 2021</w:t>
      </w:r>
      <w:r w:rsidR="00695144">
        <w:t>. A</w:t>
      </w:r>
      <w:r w:rsidR="00791A68" w:rsidRPr="00AC7DBB">
        <w:t xml:space="preserve">lthough this was in addition to those already in social housing, </w:t>
      </w:r>
      <w:r w:rsidR="00695144">
        <w:t xml:space="preserve">it </w:t>
      </w:r>
      <w:r w:rsidR="00791A68" w:rsidRPr="00AC7DBB">
        <w:t>suggest</w:t>
      </w:r>
      <w:r w:rsidR="00695144">
        <w:t>s</w:t>
      </w:r>
      <w:r w:rsidR="00791A68" w:rsidRPr="00AC7DBB">
        <w:t xml:space="preserve"> the share of non</w:t>
      </w:r>
      <w:r w:rsidR="00A15C79">
        <w:noBreakHyphen/>
      </w:r>
      <w:r w:rsidR="00791A68" w:rsidRPr="00AC7DBB">
        <w:t>market housing would need to double to 7</w:t>
      </w:r>
      <w:r w:rsidR="0099326B">
        <w:t> per cent</w:t>
      </w:r>
      <w:r w:rsidR="00791A68" w:rsidRPr="00AC7DBB">
        <w:t xml:space="preserve"> of the total stock. Rowley et. al (2017) used an econometric model of housing need to estimate that 678,300 households would require social or affordable housing by 2025. This included those already in social housing, meaning over 200,000 additional non</w:t>
      </w:r>
      <w:r w:rsidR="00A15C79">
        <w:noBreakHyphen/>
      </w:r>
      <w:r w:rsidR="00791A68" w:rsidRPr="00AC7DBB">
        <w:t>market dwellings were needed (around 2</w:t>
      </w:r>
      <w:r w:rsidR="0099326B">
        <w:t> per cent</w:t>
      </w:r>
      <w:r w:rsidR="00791A68" w:rsidRPr="00AC7DBB">
        <w:t xml:space="preserve"> of stock). Other low</w:t>
      </w:r>
      <w:r w:rsidR="00A15C79">
        <w:noBreakHyphen/>
      </w:r>
      <w:r w:rsidR="00791A68" w:rsidRPr="00AC7DBB">
        <w:t>income households in housing stress would require income assistance.</w:t>
      </w:r>
      <w:r w:rsidR="00791A68">
        <w:t xml:space="preserve"> </w:t>
      </w:r>
    </w:p>
  </w:footnote>
  <w:footnote w:id="18">
    <w:p w14:paraId="13C1FA40" w14:textId="4D69D361" w:rsidR="00791A68" w:rsidRDefault="006E082A" w:rsidP="001B4EAF">
      <w:pPr>
        <w:pStyle w:val="FootnoteText"/>
      </w:pPr>
      <w:r w:rsidRPr="006E082A">
        <w:rPr>
          <w:rStyle w:val="FootnoteReference"/>
          <w:sz w:val="20"/>
          <w:vertAlign w:val="baseline"/>
        </w:rPr>
        <w:footnoteRef/>
      </w:r>
      <w:r w:rsidR="00791A68">
        <w:t xml:space="preserve"> </w:t>
      </w:r>
      <w:r w:rsidR="001B4EAF">
        <w:tab/>
      </w:r>
      <w:r w:rsidR="00791A68">
        <w:t>Modern</w:t>
      </w:r>
      <w:r w:rsidR="0084211B">
        <w:t xml:space="preserve"> construction</w:t>
      </w:r>
      <w:r w:rsidR="00791A68">
        <w:t xml:space="preserve"> methods such as prefabrication and modular housing are innovative building techniques that enhance the efficiency, quality and sustainability of work in the construction sector (NSW PC 2024</w:t>
      </w:r>
      <w:r w:rsidR="00791A68" w:rsidRPr="00A174F4">
        <w:t xml:space="preserve">). </w:t>
      </w:r>
      <w:r w:rsidR="00A15C79">
        <w:t>‘</w:t>
      </w:r>
      <w:r w:rsidR="00791A68" w:rsidRPr="00A174F4">
        <w:t>M</w:t>
      </w:r>
      <w:r w:rsidR="00FB04F8">
        <w:t>MC</w:t>
      </w:r>
      <w:r w:rsidR="00A15C79">
        <w:t>’</w:t>
      </w:r>
      <w:r w:rsidR="00791A68" w:rsidRPr="00A174F4">
        <w:t xml:space="preserve"> may also refer to a number of other new construction methods, including technologies such as robotics and artificial intelligence, and non</w:t>
      </w:r>
      <w:r w:rsidR="00A15C79">
        <w:noBreakHyphen/>
      </w:r>
      <w:r w:rsidR="00791A68" w:rsidRPr="00A174F4">
        <w:t>offsite manufacturing methods such as insulated concrete forms.</w:t>
      </w:r>
    </w:p>
  </w:footnote>
  <w:footnote w:id="19">
    <w:p w14:paraId="13AA2DE4" w14:textId="79D6C496" w:rsidR="00791A68" w:rsidRDefault="006E082A" w:rsidP="00AF4C27">
      <w:pPr>
        <w:pStyle w:val="FootnoteText"/>
      </w:pPr>
      <w:r w:rsidRPr="006E082A">
        <w:rPr>
          <w:rStyle w:val="FootnoteReference"/>
          <w:sz w:val="20"/>
          <w:vertAlign w:val="baseline"/>
        </w:rPr>
        <w:footnoteRef/>
      </w:r>
      <w:r w:rsidR="00791A68">
        <w:t xml:space="preserve"> </w:t>
      </w:r>
      <w:r w:rsidR="00AF4C27">
        <w:tab/>
      </w:r>
      <w:r w:rsidR="00791A68" w:rsidRPr="009628A8">
        <w:t xml:space="preserve">It is </w:t>
      </w:r>
      <w:r w:rsidR="00791A68" w:rsidRPr="00AF4C27">
        <w:t>estimated</w:t>
      </w:r>
      <w:r w:rsidR="00791A68" w:rsidRPr="009628A8">
        <w:t xml:space="preserve"> that a 10</w:t>
      </w:r>
      <w:r w:rsidR="0099326B">
        <w:t> per cent</w:t>
      </w:r>
      <w:r w:rsidR="00791A68" w:rsidRPr="009628A8">
        <w:t xml:space="preserve"> rise in stamp duty </w:t>
      </w:r>
      <w:r w:rsidR="00764436">
        <w:t>reduces the number of</w:t>
      </w:r>
      <w:r w:rsidR="00764436" w:rsidRPr="009628A8">
        <w:t xml:space="preserve"> </w:t>
      </w:r>
      <w:r w:rsidR="00791A68" w:rsidRPr="009628A8">
        <w:t>housing market transactions by 3</w:t>
      </w:r>
      <w:r w:rsidR="0099326B">
        <w:t> per cent</w:t>
      </w:r>
      <w:r w:rsidR="00791A68" w:rsidRPr="009628A8">
        <w:t xml:space="preserve"> in the first year, and by 6</w:t>
      </w:r>
      <w:r w:rsidR="0099326B">
        <w:t> per cent</w:t>
      </w:r>
      <w:r w:rsidR="00791A68" w:rsidRPr="009628A8">
        <w:t xml:space="preserve"> if sustained over </w:t>
      </w:r>
      <w:r w:rsidR="00486C48">
        <w:t>3</w:t>
      </w:r>
      <w:r w:rsidR="00791A68" w:rsidRPr="009628A8">
        <w:t xml:space="preserve"> years </w:t>
      </w:r>
      <w:r w:rsidR="00791A68" w:rsidRPr="009628A8">
        <w:fldChar w:fldCharType="begin"/>
      </w:r>
      <w:r w:rsidR="00791A68" w:rsidRPr="009628A8">
        <w:instrText xml:space="preserve"> ADDIN ZOTERO_ITEM CSL_CITATION {"citationID":"dQJZrRwj","properties":{"formattedCitation":"(Davidoff and Leigh, 2013)","plainCitation":"(Davidoff and Leigh, 2013)","noteIndex":0},"citationItems":[{"id":1196,"uris":["http://zotero.org/users/8274939/items/PBA7THCU"],"itemData":{"id":1196,"type":"article-journal","abstract":"Land transfer taxes are a substantial portion of the cost of moving house in many developed countries. Because stamp duties are endogenous with respect to the house price, we create an instrumental variable that is the stamp duty on a property, based on the starting house price in the relevant postcode and the national house price trend. In a specification with postcode and year fixed effects, this instrument effectively captures policy changes and non‐linearities in the stamp duty schedule. We find that the impact of an increase in the tax rate is to lower house prices suggesting that the economic incidence of the tax falls on the seller. We also observe impacts of stamp duty on housing turnover. A 10 per cent increase in stamp duty lowers turnover by 3 per cent in the first year, and by 6 per cent if sustained over a 3‐year period.","container-title":"Economic Record","DOI":"10.1111/1475-4932.12056","ISSN":"0013-0249, 1475-4932","issue":"286","journalAbbreviation":"Economic Record","language":"en","page":"396-410","source":"DOI.org (Crossref)","title":"How Do Stamp Duties Affect the Housing Market?","volume":"89","author":[{"family":"Davidoff","given":"Ian"},{"family":"Leigh","given":"Andrew"}],"issued":{"date-parts":[["2013",9]]}}}],"schema":"https://github.com/citation-style-language/schema/raw/master/csl-citation.json"} </w:instrText>
      </w:r>
      <w:r w:rsidR="00791A68" w:rsidRPr="009628A8">
        <w:fldChar w:fldCharType="separate"/>
      </w:r>
      <w:r w:rsidR="00791A68" w:rsidRPr="009628A8">
        <w:t>(Davidoff and Leigh 2013)</w:t>
      </w:r>
      <w:r w:rsidR="00791A68" w:rsidRPr="009628A8">
        <w:fldChar w:fldCharType="end"/>
      </w:r>
      <w:r w:rsidR="00791A68" w:rsidRPr="009628A8">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242B4" w14:textId="1A6A82DE" w:rsidR="00557865" w:rsidRDefault="0055786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5603A" w14:textId="2BC82148" w:rsidR="00D86A1F" w:rsidRPr="00F60198" w:rsidRDefault="00287FB0" w:rsidP="00A12F62">
    <w:pPr>
      <w:pStyle w:val="HeaderOdd"/>
    </w:pPr>
    <w:r>
      <w:fldChar w:fldCharType="begin"/>
    </w:r>
    <w:r>
      <w:instrText xml:space="preserve"> TITLE   \* MERGEFORMAT </w:instrText>
    </w:r>
    <w:r>
      <w:fldChar w:fldCharType="separate"/>
    </w:r>
    <w:r w:rsidR="001F121F">
      <w:t>State of the Housing System 2025</w:t>
    </w:r>
    <w:r>
      <w:fldChar w:fldCharType="end"/>
    </w:r>
    <w:bookmarkStart w:id="145" w:name="_Toc195173190"/>
    <w:bookmarkStart w:id="146" w:name="_Toc195175533"/>
    <w:bookmarkStart w:id="147" w:name="_Toc195177987"/>
    <w:bookmarkStart w:id="148" w:name="_Toc195195118"/>
    <w:bookmarkStart w:id="149" w:name="_Toc195625111"/>
    <w:bookmarkStart w:id="150" w:name="_Toc196324227"/>
    <w:bookmarkStart w:id="151" w:name="_Toc196395871"/>
    <w:bookmarkStart w:id="152" w:name="_Toc194478400"/>
    <w:bookmarkStart w:id="153" w:name="_Toc194478942"/>
    <w:bookmarkStart w:id="154" w:name="_Toc194482539"/>
    <w:bookmarkEnd w:id="145"/>
    <w:bookmarkEnd w:id="146"/>
    <w:bookmarkEnd w:id="147"/>
    <w:bookmarkEnd w:id="148"/>
    <w:bookmarkEnd w:id="149"/>
    <w:bookmarkEnd w:id="150"/>
    <w:bookmarkEnd w:id="151"/>
    <w:bookmarkEnd w:id="152"/>
    <w:bookmarkEnd w:id="153"/>
    <w:bookmarkEnd w:id="15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B6B66" w14:textId="4FD92608" w:rsidR="004C5F02" w:rsidRDefault="004C5F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A3D31" w14:textId="77777777" w:rsidR="00204527" w:rsidRDefault="0020452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515F1" w14:textId="2DE17A5E" w:rsidR="00C60B0F" w:rsidRPr="00647692" w:rsidRDefault="00287FB0" w:rsidP="00647692">
    <w:pPr>
      <w:pStyle w:val="HeaderEven"/>
    </w:pPr>
    <w:r>
      <w:fldChar w:fldCharType="begin"/>
    </w:r>
    <w:r>
      <w:instrText xml:space="preserve"> TITLE   \* MERGEFORMAT </w:instrText>
    </w:r>
    <w:r>
      <w:fldChar w:fldCharType="separate"/>
    </w:r>
    <w:r w:rsidR="001F121F">
      <w:t>State of the Housing System 2025</w:t>
    </w:r>
    <w:r>
      <w:fldChar w:fldCharType="end"/>
    </w:r>
    <w:r w:rsidR="00BF41D4">
      <w:rPr>
        <w:noProof/>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EE3CD" w14:textId="71A83118" w:rsidR="00C60B0F" w:rsidRPr="00F60198" w:rsidRDefault="00287FB0" w:rsidP="00F84DDA">
    <w:pPr>
      <w:pStyle w:val="HeaderOdd"/>
    </w:pPr>
    <w:r>
      <w:fldChar w:fldCharType="begin"/>
    </w:r>
    <w:r>
      <w:instrText xml:space="preserve"> TITLE   \* MERGEFORMAT </w:instrText>
    </w:r>
    <w:r>
      <w:fldChar w:fldCharType="separate"/>
    </w:r>
    <w:r w:rsidR="001F121F">
      <w:t>State of the Housing System 2025</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D5593" w14:textId="77777777" w:rsidR="00C60B0F" w:rsidRDefault="00C60B0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8198F" w14:textId="48B35AA2" w:rsidR="00D86A1F" w:rsidRPr="008167E8" w:rsidRDefault="000B239C" w:rsidP="008167E8">
    <w:pPr>
      <w:pStyle w:val="HeaderEven"/>
    </w:pPr>
    <w:fldSimple w:instr=" TITLE   \* MERGEFORMAT ">
      <w:r w:rsidR="001F121F">
        <w:t>State of the Housing System 2025</w:t>
      </w:r>
    </w:fldSimple>
    <w:r w:rsidR="008167E8">
      <w:rPr>
        <w:noProof/>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42C43" w14:textId="20C409A9" w:rsidR="00D86A1F" w:rsidRPr="008167E8" w:rsidRDefault="000B239C" w:rsidP="008167E8">
    <w:pPr>
      <w:pStyle w:val="HeaderOdd"/>
    </w:pPr>
    <w:fldSimple w:instr=" TITLE   \* MERGEFORMAT ">
      <w:r w:rsidR="001F121F">
        <w:t>State of the Housing System 2025</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97E97" w14:textId="4D01872D" w:rsidR="00D86A1F" w:rsidRPr="00647692" w:rsidRDefault="00287FB0" w:rsidP="00647692">
    <w:pPr>
      <w:pStyle w:val="HeaderEven"/>
    </w:pPr>
    <w:r>
      <w:fldChar w:fldCharType="begin"/>
    </w:r>
    <w:r>
      <w:instrText xml:space="preserve"> TITLE   \* MERGEFORMAT </w:instrText>
    </w:r>
    <w:r>
      <w:fldChar w:fldCharType="separate"/>
    </w:r>
    <w:r w:rsidR="001F121F">
      <w:t>State of the Housing System 2025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A0B745C"/>
    <w:multiLevelType w:val="multilevel"/>
    <w:tmpl w:val="5C386116"/>
    <w:numStyleLink w:val="Style3"/>
  </w:abstractNum>
  <w:abstractNum w:abstractNumId="2"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7DF7717"/>
    <w:multiLevelType w:val="multilevel"/>
    <w:tmpl w:val="D28A6DE8"/>
    <w:lvl w:ilvl="0">
      <w:start w:val="1"/>
      <w:numFmt w:val="decimal"/>
      <w:pStyle w:val="Heading1Numbered"/>
      <w:lvlText w:val="Chapter %1"/>
      <w:lvlJc w:val="left"/>
      <w:pPr>
        <w:ind w:left="0" w:firstLine="0"/>
      </w:pPr>
      <w:rPr>
        <w:rFonts w:hint="default"/>
      </w:rPr>
    </w:lvl>
    <w:lvl w:ilvl="1">
      <w:start w:val="1"/>
      <w:numFmt w:val="decimal"/>
      <w:pStyle w:val="Heading2Numbered"/>
      <w:lvlText w:val="%1.%2"/>
      <w:lvlJc w:val="left"/>
      <w:pPr>
        <w:ind w:left="1134" w:hanging="1134"/>
      </w:pPr>
      <w:rPr>
        <w:rFonts w:hint="default"/>
      </w:rPr>
    </w:lvl>
    <w:lvl w:ilvl="2">
      <w:start w:val="1"/>
      <w:numFmt w:val="decimal"/>
      <w:pStyle w:val="Heading3Numbered"/>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701" w:hanging="1701"/>
      </w:pPr>
      <w:rPr>
        <w:rFonts w:hint="default"/>
      </w:rPr>
    </w:lvl>
    <w:lvl w:ilvl="5">
      <w:start w:val="1"/>
      <w:numFmt w:val="decimal"/>
      <w:lvlRestart w:val="1"/>
      <w:pStyle w:val="BoxHeadingBox11"/>
      <w:suff w:val="space"/>
      <w:lvlText w:val="Box %1.%6"/>
      <w:lvlJc w:val="left"/>
      <w:pPr>
        <w:ind w:left="0" w:firstLine="0"/>
      </w:pPr>
      <w:rPr>
        <w:rFonts w:hint="default"/>
      </w:rPr>
    </w:lvl>
    <w:lvl w:ilvl="6">
      <w:start w:val="1"/>
      <w:numFmt w:val="decimal"/>
      <w:lvlRestart w:val="1"/>
      <w:pStyle w:val="FigureMainheading"/>
      <w:suff w:val="space"/>
      <w:lvlText w:val="Figure %1.%7"/>
      <w:lvlJc w:val="left"/>
      <w:pPr>
        <w:ind w:left="0" w:firstLine="0"/>
      </w:pPr>
      <w:rPr>
        <w:rFonts w:hint="default"/>
      </w:rPr>
    </w:lvl>
    <w:lvl w:ilvl="7">
      <w:start w:val="1"/>
      <w:numFmt w:val="decimal"/>
      <w:lvlRestart w:val="1"/>
      <w:pStyle w:val="ChartMainHeading"/>
      <w:suff w:val="space"/>
      <w:lvlText w:val="Chart %1.%8"/>
      <w:lvlJc w:val="left"/>
      <w:pPr>
        <w:ind w:left="0" w:firstLine="0"/>
      </w:pPr>
      <w:rPr>
        <w:rFonts w:hint="default"/>
      </w:rPr>
    </w:lvl>
    <w:lvl w:ilvl="8">
      <w:start w:val="1"/>
      <w:numFmt w:val="decimal"/>
      <w:lvlRestart w:val="1"/>
      <w:pStyle w:val="TableMainHeading"/>
      <w:suff w:val="space"/>
      <w:lvlText w:val="Table %1.%9"/>
      <w:lvlJc w:val="left"/>
      <w:pPr>
        <w:ind w:left="0" w:firstLine="0"/>
      </w:pPr>
      <w:rPr>
        <w:rFonts w:hint="default"/>
      </w:rPr>
    </w:lvl>
  </w:abstractNum>
  <w:abstractNum w:abstractNumId="4" w15:restartNumberingAfterBreak="0">
    <w:nsid w:val="1F750100"/>
    <w:multiLevelType w:val="multilevel"/>
    <w:tmpl w:val="5C386116"/>
    <w:numStyleLink w:val="Style1"/>
  </w:abstractNum>
  <w:abstractNum w:abstractNumId="5" w15:restartNumberingAfterBreak="0">
    <w:nsid w:val="274F422A"/>
    <w:multiLevelType w:val="multilevel"/>
    <w:tmpl w:val="5C386116"/>
    <w:styleLink w:val="Style4"/>
    <w:lvl w:ilvl="0">
      <w:start w:val="5"/>
      <w:numFmt w:val="decimal"/>
      <w:lvlText w:val="%1."/>
      <w:lvlJc w:val="left"/>
      <w:pPr>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284" w:hanging="284"/>
      </w:pPr>
      <w:rPr>
        <w:rFonts w:hint="default"/>
      </w:rPr>
    </w:lvl>
    <w:lvl w:ilvl="4">
      <w:start w:val="1"/>
      <w:numFmt w:val="lowerLetter"/>
      <w:lvlText w:val="(%5)"/>
      <w:lvlJc w:val="left"/>
      <w:pPr>
        <w:ind w:left="284" w:hanging="284"/>
      </w:pPr>
      <w:rPr>
        <w:rFonts w:hint="default"/>
      </w:rPr>
    </w:lvl>
    <w:lvl w:ilvl="5">
      <w:start w:val="1"/>
      <w:numFmt w:val="lowerRoman"/>
      <w:lvlText w:val="(%6)"/>
      <w:lvlJc w:val="lef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left"/>
      <w:pPr>
        <w:ind w:left="284" w:hanging="284"/>
      </w:pPr>
      <w:rPr>
        <w:rFonts w:hint="default"/>
      </w:rPr>
    </w:lvl>
  </w:abstractNum>
  <w:abstractNum w:abstractNumId="6"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9D332E1"/>
    <w:multiLevelType w:val="hybridMultilevel"/>
    <w:tmpl w:val="4574D0C2"/>
    <w:lvl w:ilvl="0" w:tplc="40B6D412">
      <w:start w:val="1"/>
      <w:numFmt w:val="bullet"/>
      <w:lvlText w:val=""/>
      <w:lvlJc w:val="left"/>
      <w:pPr>
        <w:ind w:left="1080" w:hanging="360"/>
      </w:pPr>
      <w:rPr>
        <w:rFonts w:ascii="Symbol" w:hAnsi="Symbol"/>
      </w:rPr>
    </w:lvl>
    <w:lvl w:ilvl="1" w:tplc="625E4FCA">
      <w:start w:val="1"/>
      <w:numFmt w:val="bullet"/>
      <w:lvlText w:val=""/>
      <w:lvlJc w:val="left"/>
      <w:pPr>
        <w:ind w:left="1080" w:hanging="360"/>
      </w:pPr>
      <w:rPr>
        <w:rFonts w:ascii="Symbol" w:hAnsi="Symbol"/>
      </w:rPr>
    </w:lvl>
    <w:lvl w:ilvl="2" w:tplc="8BB62E9C">
      <w:start w:val="1"/>
      <w:numFmt w:val="bullet"/>
      <w:lvlText w:val=""/>
      <w:lvlJc w:val="left"/>
      <w:pPr>
        <w:ind w:left="1080" w:hanging="360"/>
      </w:pPr>
      <w:rPr>
        <w:rFonts w:ascii="Symbol" w:hAnsi="Symbol"/>
      </w:rPr>
    </w:lvl>
    <w:lvl w:ilvl="3" w:tplc="922C17B8">
      <w:start w:val="1"/>
      <w:numFmt w:val="bullet"/>
      <w:lvlText w:val=""/>
      <w:lvlJc w:val="left"/>
      <w:pPr>
        <w:ind w:left="1080" w:hanging="360"/>
      </w:pPr>
      <w:rPr>
        <w:rFonts w:ascii="Symbol" w:hAnsi="Symbol"/>
      </w:rPr>
    </w:lvl>
    <w:lvl w:ilvl="4" w:tplc="56F66CF6">
      <w:start w:val="1"/>
      <w:numFmt w:val="bullet"/>
      <w:lvlText w:val=""/>
      <w:lvlJc w:val="left"/>
      <w:pPr>
        <w:ind w:left="1080" w:hanging="360"/>
      </w:pPr>
      <w:rPr>
        <w:rFonts w:ascii="Symbol" w:hAnsi="Symbol"/>
      </w:rPr>
    </w:lvl>
    <w:lvl w:ilvl="5" w:tplc="7570C178">
      <w:start w:val="1"/>
      <w:numFmt w:val="bullet"/>
      <w:lvlText w:val=""/>
      <w:lvlJc w:val="left"/>
      <w:pPr>
        <w:ind w:left="1080" w:hanging="360"/>
      </w:pPr>
      <w:rPr>
        <w:rFonts w:ascii="Symbol" w:hAnsi="Symbol"/>
      </w:rPr>
    </w:lvl>
    <w:lvl w:ilvl="6" w:tplc="8BEA32E4">
      <w:start w:val="1"/>
      <w:numFmt w:val="bullet"/>
      <w:lvlText w:val=""/>
      <w:lvlJc w:val="left"/>
      <w:pPr>
        <w:ind w:left="1080" w:hanging="360"/>
      </w:pPr>
      <w:rPr>
        <w:rFonts w:ascii="Symbol" w:hAnsi="Symbol"/>
      </w:rPr>
    </w:lvl>
    <w:lvl w:ilvl="7" w:tplc="D8E696D0">
      <w:start w:val="1"/>
      <w:numFmt w:val="bullet"/>
      <w:lvlText w:val=""/>
      <w:lvlJc w:val="left"/>
      <w:pPr>
        <w:ind w:left="1080" w:hanging="360"/>
      </w:pPr>
      <w:rPr>
        <w:rFonts w:ascii="Symbol" w:hAnsi="Symbol"/>
      </w:rPr>
    </w:lvl>
    <w:lvl w:ilvl="8" w:tplc="36AA718A">
      <w:start w:val="1"/>
      <w:numFmt w:val="bullet"/>
      <w:lvlText w:val=""/>
      <w:lvlJc w:val="left"/>
      <w:pPr>
        <w:ind w:left="1080" w:hanging="360"/>
      </w:pPr>
      <w:rPr>
        <w:rFonts w:ascii="Symbol" w:hAnsi="Symbol"/>
      </w:rPr>
    </w:lvl>
  </w:abstractNum>
  <w:abstractNum w:abstractNumId="8" w15:restartNumberingAfterBreak="0">
    <w:nsid w:val="308C2710"/>
    <w:multiLevelType w:val="multilevel"/>
    <w:tmpl w:val="7F402170"/>
    <w:styleLink w:val="BulletedList"/>
    <w:lvl w:ilvl="0">
      <w:start w:val="1"/>
      <w:numFmt w:val="bullet"/>
      <w:lvlRestart w:val="0"/>
      <w:lvlText w:val="•"/>
      <w:lvlJc w:val="left"/>
      <w:pPr>
        <w:tabs>
          <w:tab w:val="num" w:pos="283"/>
        </w:tabs>
        <w:ind w:left="284" w:hanging="284"/>
      </w:pPr>
      <w:rPr>
        <w:rFonts w:ascii="Times New Roman" w:hAnsi="Times New Roman" w:cs="Times New Roman" w:hint="default"/>
        <w:b w:val="0"/>
        <w:i w:val="0"/>
      </w:rPr>
    </w:lvl>
    <w:lvl w:ilvl="1">
      <w:start w:val="1"/>
      <w:numFmt w:val="bullet"/>
      <w:lvlText w:val="–"/>
      <w:lvlJc w:val="left"/>
      <w:pPr>
        <w:tabs>
          <w:tab w:val="num" w:pos="567"/>
        </w:tabs>
        <w:ind w:left="568" w:hanging="284"/>
      </w:pPr>
      <w:rPr>
        <w:rFonts w:ascii="Times New Roman" w:hAnsi="Times New Roman" w:cs="Times New Roman" w:hint="default"/>
        <w:b w:val="0"/>
        <w:i w:val="0"/>
      </w:rPr>
    </w:lvl>
    <w:lvl w:ilvl="2">
      <w:start w:val="1"/>
      <w:numFmt w:val="bulle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9"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39E028A"/>
    <w:multiLevelType w:val="hybridMultilevel"/>
    <w:tmpl w:val="B74C8020"/>
    <w:lvl w:ilvl="0" w:tplc="3EDE363C">
      <w:start w:val="1"/>
      <w:numFmt w:val="decimal"/>
      <w:lvlText w:val="Priority %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3F7469D"/>
    <w:multiLevelType w:val="multilevel"/>
    <w:tmpl w:val="5C386116"/>
    <w:numStyleLink w:val="Style2"/>
  </w:abstractNum>
  <w:abstractNum w:abstractNumId="13" w15:restartNumberingAfterBreak="0">
    <w:nsid w:val="36440598"/>
    <w:multiLevelType w:val="multilevel"/>
    <w:tmpl w:val="5C386116"/>
    <w:styleLink w:val="Style2"/>
    <w:lvl w:ilvl="0">
      <w:start w:val="3"/>
      <w:numFmt w:val="decimal"/>
      <w:lvlText w:val="%1."/>
      <w:lvlJc w:val="left"/>
      <w:pPr>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284" w:hanging="284"/>
      </w:pPr>
      <w:rPr>
        <w:rFonts w:hint="default"/>
      </w:rPr>
    </w:lvl>
    <w:lvl w:ilvl="4">
      <w:start w:val="1"/>
      <w:numFmt w:val="lowerLetter"/>
      <w:lvlText w:val="(%5)"/>
      <w:lvlJc w:val="left"/>
      <w:pPr>
        <w:ind w:left="284" w:hanging="284"/>
      </w:pPr>
      <w:rPr>
        <w:rFonts w:hint="default"/>
      </w:rPr>
    </w:lvl>
    <w:lvl w:ilvl="5">
      <w:start w:val="1"/>
      <w:numFmt w:val="lowerRoman"/>
      <w:lvlText w:val="(%6)"/>
      <w:lvlJc w:val="lef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left"/>
      <w:pPr>
        <w:ind w:left="284" w:hanging="284"/>
      </w:pPr>
      <w:rPr>
        <w:rFonts w:hint="default"/>
      </w:rPr>
    </w:lvl>
  </w:abstractNum>
  <w:abstractNum w:abstractNumId="14" w15:restartNumberingAfterBreak="0">
    <w:nsid w:val="402E767B"/>
    <w:multiLevelType w:val="multilevel"/>
    <w:tmpl w:val="5C386116"/>
    <w:styleLink w:val="Style3"/>
    <w:lvl w:ilvl="0">
      <w:start w:val="4"/>
      <w:numFmt w:val="decimal"/>
      <w:lvlText w:val="%1."/>
      <w:lvlJc w:val="left"/>
      <w:pPr>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284" w:hanging="284"/>
      </w:pPr>
      <w:rPr>
        <w:rFonts w:hint="default"/>
      </w:rPr>
    </w:lvl>
    <w:lvl w:ilvl="4">
      <w:start w:val="1"/>
      <w:numFmt w:val="lowerLetter"/>
      <w:lvlText w:val="(%5)"/>
      <w:lvlJc w:val="left"/>
      <w:pPr>
        <w:ind w:left="284" w:hanging="284"/>
      </w:pPr>
      <w:rPr>
        <w:rFonts w:hint="default"/>
      </w:rPr>
    </w:lvl>
    <w:lvl w:ilvl="5">
      <w:start w:val="1"/>
      <w:numFmt w:val="lowerRoman"/>
      <w:lvlText w:val="(%6)"/>
      <w:lvlJc w:val="lef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left"/>
      <w:pPr>
        <w:ind w:left="284" w:hanging="284"/>
      </w:pPr>
      <w:rPr>
        <w:rFonts w:hint="default"/>
      </w:rPr>
    </w:lvl>
  </w:abstractNum>
  <w:abstractNum w:abstractNumId="15" w15:restartNumberingAfterBreak="0">
    <w:nsid w:val="45BE4C7F"/>
    <w:multiLevelType w:val="multilevel"/>
    <w:tmpl w:val="5C386116"/>
    <w:styleLink w:val="Style1"/>
    <w:lvl w:ilvl="0">
      <w:start w:val="2"/>
      <w:numFmt w:val="decimal"/>
      <w:lvlText w:val="%1."/>
      <w:lvlJc w:val="left"/>
      <w:pPr>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284" w:hanging="284"/>
      </w:pPr>
      <w:rPr>
        <w:rFonts w:hint="default"/>
      </w:rPr>
    </w:lvl>
    <w:lvl w:ilvl="4">
      <w:start w:val="1"/>
      <w:numFmt w:val="lowerLetter"/>
      <w:lvlText w:val="(%5)"/>
      <w:lvlJc w:val="left"/>
      <w:pPr>
        <w:ind w:left="284" w:hanging="284"/>
      </w:pPr>
      <w:rPr>
        <w:rFonts w:hint="default"/>
      </w:rPr>
    </w:lvl>
    <w:lvl w:ilvl="5">
      <w:start w:val="1"/>
      <w:numFmt w:val="lowerRoman"/>
      <w:lvlText w:val="(%6)"/>
      <w:lvlJc w:val="lef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left"/>
      <w:pPr>
        <w:ind w:left="284" w:hanging="284"/>
      </w:pPr>
      <w:rPr>
        <w:rFonts w:hint="default"/>
      </w:rPr>
    </w:lvl>
  </w:abstractNum>
  <w:abstractNum w:abstractNumId="16" w15:restartNumberingAfterBreak="0">
    <w:nsid w:val="4ADC2F89"/>
    <w:multiLevelType w:val="multilevel"/>
    <w:tmpl w:val="CBE4744A"/>
    <w:lvl w:ilvl="0">
      <w:start w:val="1"/>
      <w:numFmt w:val="decimal"/>
      <w:pStyle w:val="OutlineNumbered1"/>
      <w:lvlText w:val="%1."/>
      <w:lvlJc w:val="left"/>
      <w:pPr>
        <w:ind w:left="284" w:hanging="284"/>
      </w:pPr>
      <w:rPr>
        <w:rFonts w:hint="default"/>
      </w:rPr>
    </w:lvl>
    <w:lvl w:ilvl="1">
      <w:start w:val="1"/>
      <w:numFmt w:val="decimal"/>
      <w:pStyle w:val="OutlineNumbered211"/>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284" w:hanging="284"/>
      </w:pPr>
      <w:rPr>
        <w:rFonts w:hint="default"/>
      </w:rPr>
    </w:lvl>
    <w:lvl w:ilvl="4">
      <w:start w:val="1"/>
      <w:numFmt w:val="lowerLetter"/>
      <w:lvlText w:val="(%5)"/>
      <w:lvlJc w:val="left"/>
      <w:pPr>
        <w:ind w:left="284" w:hanging="284"/>
      </w:pPr>
      <w:rPr>
        <w:rFonts w:hint="default"/>
      </w:rPr>
    </w:lvl>
    <w:lvl w:ilvl="5">
      <w:start w:val="1"/>
      <w:numFmt w:val="lowerRoman"/>
      <w:lvlText w:val="(%6)"/>
      <w:lvlJc w:val="lef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left"/>
      <w:pPr>
        <w:ind w:left="284" w:hanging="284"/>
      </w:pPr>
      <w:rPr>
        <w:rFonts w:hint="default"/>
      </w:rPr>
    </w:lvl>
  </w:abstractNum>
  <w:abstractNum w:abstractNumId="17" w15:restartNumberingAfterBreak="0">
    <w:nsid w:val="4EE44581"/>
    <w:multiLevelType w:val="hybridMultilevel"/>
    <w:tmpl w:val="4236A4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09B1DED"/>
    <w:multiLevelType w:val="hybridMultilevel"/>
    <w:tmpl w:val="746CE278"/>
    <w:lvl w:ilvl="0" w:tplc="D070DB34">
      <w:start w:val="1"/>
      <w:numFmt w:val="bullet"/>
      <w:lvlText w:val=""/>
      <w:lvlJc w:val="left"/>
      <w:pPr>
        <w:ind w:left="1080" w:hanging="360"/>
      </w:pPr>
      <w:rPr>
        <w:rFonts w:ascii="Symbol" w:hAnsi="Symbol"/>
      </w:rPr>
    </w:lvl>
    <w:lvl w:ilvl="1" w:tplc="FA0AE8EE">
      <w:start w:val="1"/>
      <w:numFmt w:val="bullet"/>
      <w:lvlText w:val=""/>
      <w:lvlJc w:val="left"/>
      <w:pPr>
        <w:ind w:left="1080" w:hanging="360"/>
      </w:pPr>
      <w:rPr>
        <w:rFonts w:ascii="Symbol" w:hAnsi="Symbol"/>
      </w:rPr>
    </w:lvl>
    <w:lvl w:ilvl="2" w:tplc="9350C87E">
      <w:start w:val="1"/>
      <w:numFmt w:val="bullet"/>
      <w:lvlText w:val=""/>
      <w:lvlJc w:val="left"/>
      <w:pPr>
        <w:ind w:left="1080" w:hanging="360"/>
      </w:pPr>
      <w:rPr>
        <w:rFonts w:ascii="Symbol" w:hAnsi="Symbol"/>
      </w:rPr>
    </w:lvl>
    <w:lvl w:ilvl="3" w:tplc="38649D92">
      <w:start w:val="1"/>
      <w:numFmt w:val="bullet"/>
      <w:lvlText w:val=""/>
      <w:lvlJc w:val="left"/>
      <w:pPr>
        <w:ind w:left="1080" w:hanging="360"/>
      </w:pPr>
      <w:rPr>
        <w:rFonts w:ascii="Symbol" w:hAnsi="Symbol"/>
      </w:rPr>
    </w:lvl>
    <w:lvl w:ilvl="4" w:tplc="74CA00EC">
      <w:start w:val="1"/>
      <w:numFmt w:val="bullet"/>
      <w:lvlText w:val=""/>
      <w:lvlJc w:val="left"/>
      <w:pPr>
        <w:ind w:left="1080" w:hanging="360"/>
      </w:pPr>
      <w:rPr>
        <w:rFonts w:ascii="Symbol" w:hAnsi="Symbol"/>
      </w:rPr>
    </w:lvl>
    <w:lvl w:ilvl="5" w:tplc="9E522074">
      <w:start w:val="1"/>
      <w:numFmt w:val="bullet"/>
      <w:lvlText w:val=""/>
      <w:lvlJc w:val="left"/>
      <w:pPr>
        <w:ind w:left="1080" w:hanging="360"/>
      </w:pPr>
      <w:rPr>
        <w:rFonts w:ascii="Symbol" w:hAnsi="Symbol"/>
      </w:rPr>
    </w:lvl>
    <w:lvl w:ilvl="6" w:tplc="68EE0892">
      <w:start w:val="1"/>
      <w:numFmt w:val="bullet"/>
      <w:lvlText w:val=""/>
      <w:lvlJc w:val="left"/>
      <w:pPr>
        <w:ind w:left="1080" w:hanging="360"/>
      </w:pPr>
      <w:rPr>
        <w:rFonts w:ascii="Symbol" w:hAnsi="Symbol"/>
      </w:rPr>
    </w:lvl>
    <w:lvl w:ilvl="7" w:tplc="162E292A">
      <w:start w:val="1"/>
      <w:numFmt w:val="bullet"/>
      <w:lvlText w:val=""/>
      <w:lvlJc w:val="left"/>
      <w:pPr>
        <w:ind w:left="1080" w:hanging="360"/>
      </w:pPr>
      <w:rPr>
        <w:rFonts w:ascii="Symbol" w:hAnsi="Symbol"/>
      </w:rPr>
    </w:lvl>
    <w:lvl w:ilvl="8" w:tplc="7C346BFA">
      <w:start w:val="1"/>
      <w:numFmt w:val="bullet"/>
      <w:lvlText w:val=""/>
      <w:lvlJc w:val="left"/>
      <w:pPr>
        <w:ind w:left="1080" w:hanging="360"/>
      </w:pPr>
      <w:rPr>
        <w:rFonts w:ascii="Symbol" w:hAnsi="Symbol"/>
      </w:rPr>
    </w:lvl>
  </w:abstractNum>
  <w:abstractNum w:abstractNumId="19" w15:restartNumberingAfterBreak="0">
    <w:nsid w:val="510D2021"/>
    <w:multiLevelType w:val="multilevel"/>
    <w:tmpl w:val="B0007A78"/>
    <w:lvl w:ilvl="0">
      <w:start w:val="1"/>
      <w:numFmt w:val="decimal"/>
      <w:pStyle w:val="BoxtextNumbered1"/>
      <w:lvlText w:val="%1."/>
      <w:lvlJc w:val="left"/>
      <w:pPr>
        <w:ind w:left="284" w:hanging="284"/>
      </w:pPr>
      <w:rPr>
        <w:rFonts w:hint="default"/>
      </w:rPr>
    </w:lvl>
    <w:lvl w:ilvl="1">
      <w:start w:val="1"/>
      <w:numFmt w:val="decimal"/>
      <w:pStyle w:val="BoxtextNumbered211"/>
      <w:lvlText w:val="%1.%2"/>
      <w:lvlJc w:val="left"/>
      <w:pPr>
        <w:ind w:left="567" w:hanging="567"/>
      </w:pPr>
      <w:rPr>
        <w:rFonts w:hint="default"/>
      </w:rPr>
    </w:lvl>
    <w:lvl w:ilvl="2">
      <w:start w:val="1"/>
      <w:numFmt w:val="lowerLetter"/>
      <w:pStyle w:val="BoxtextNumbered3111"/>
      <w:lvlText w:val="%1.%2%3"/>
      <w:lvlJc w:val="left"/>
      <w:pPr>
        <w:ind w:left="851" w:hanging="851"/>
      </w:pPr>
      <w:rPr>
        <w:rFonts w:hint="default"/>
        <w:b w:val="0"/>
        <w:bCs/>
      </w:rPr>
    </w:lvl>
    <w:lvl w:ilvl="3">
      <w:start w:val="1"/>
      <w:numFmt w:val="decimal"/>
      <w:lvlText w:val="(%4)"/>
      <w:lvlJc w:val="left"/>
      <w:pPr>
        <w:ind w:left="284" w:hanging="284"/>
      </w:pPr>
      <w:rPr>
        <w:rFonts w:hint="default"/>
      </w:rPr>
    </w:lvl>
    <w:lvl w:ilvl="4">
      <w:start w:val="1"/>
      <w:numFmt w:val="lowerLetter"/>
      <w:lvlText w:val="(%5)"/>
      <w:lvlJc w:val="left"/>
      <w:pPr>
        <w:ind w:left="284" w:hanging="284"/>
      </w:pPr>
      <w:rPr>
        <w:rFonts w:hint="default"/>
      </w:rPr>
    </w:lvl>
    <w:lvl w:ilvl="5">
      <w:start w:val="1"/>
      <w:numFmt w:val="lowerRoman"/>
      <w:lvlText w:val="(%6)"/>
      <w:lvlJc w:val="lef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left"/>
      <w:pPr>
        <w:ind w:left="284" w:hanging="284"/>
      </w:pPr>
      <w:rPr>
        <w:rFonts w:hint="default"/>
      </w:rPr>
    </w:lvl>
  </w:abstractNum>
  <w:abstractNum w:abstractNumId="20" w15:restartNumberingAfterBreak="0">
    <w:nsid w:val="51DB0AC9"/>
    <w:multiLevelType w:val="multilevel"/>
    <w:tmpl w:val="0116E982"/>
    <w:lvl w:ilvl="0">
      <w:start w:val="5"/>
      <w:numFmt w:val="none"/>
      <w:lvlText w:val="2."/>
      <w:lvlJc w:val="left"/>
      <w:pPr>
        <w:ind w:left="284" w:hanging="284"/>
      </w:pPr>
      <w:rPr>
        <w:rFonts w:hint="default"/>
      </w:rPr>
    </w:lvl>
    <w:lvl w:ilvl="1">
      <w:start w:val="1"/>
      <w:numFmt w:val="decimal"/>
      <w:lvlText w:val="5%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284" w:hanging="284"/>
      </w:pPr>
      <w:rPr>
        <w:rFonts w:hint="default"/>
      </w:rPr>
    </w:lvl>
    <w:lvl w:ilvl="4">
      <w:start w:val="1"/>
      <w:numFmt w:val="lowerLetter"/>
      <w:lvlText w:val="(%5)"/>
      <w:lvlJc w:val="left"/>
      <w:pPr>
        <w:ind w:left="284" w:hanging="284"/>
      </w:pPr>
      <w:rPr>
        <w:rFonts w:hint="default"/>
      </w:rPr>
    </w:lvl>
    <w:lvl w:ilvl="5">
      <w:start w:val="1"/>
      <w:numFmt w:val="lowerRoman"/>
      <w:lvlText w:val="(%6)"/>
      <w:lvlJc w:val="lef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left"/>
      <w:pPr>
        <w:ind w:left="284" w:hanging="284"/>
      </w:pPr>
      <w:rPr>
        <w:rFonts w:hint="default"/>
      </w:rPr>
    </w:lvl>
  </w:abstractNum>
  <w:abstractNum w:abstractNumId="21" w15:restartNumberingAfterBreak="0">
    <w:nsid w:val="59BD7DFF"/>
    <w:multiLevelType w:val="multilevel"/>
    <w:tmpl w:val="55D42826"/>
    <w:name w:val="StandardBulletedList2"/>
    <w:lvl w:ilvl="0">
      <w:start w:val="1"/>
      <w:numFmt w:val="bullet"/>
      <w:pStyle w:val="Boxbullet"/>
      <w:lvlText w:val="•"/>
      <w:lvlJc w:val="left"/>
      <w:pPr>
        <w:ind w:left="284" w:hanging="284"/>
      </w:pPr>
      <w:rPr>
        <w:rFonts w:ascii="Times New Roman" w:hAnsi="Times New Roman" w:cs="Times New Roman" w:hint="default"/>
        <w:color w:val="auto"/>
      </w:rPr>
    </w:lvl>
    <w:lvl w:ilvl="1">
      <w:start w:val="1"/>
      <w:numFmt w:val="bullet"/>
      <w:pStyle w:val="Boxdash"/>
      <w:lvlText w:val="–"/>
      <w:lvlJc w:val="left"/>
      <w:pPr>
        <w:ind w:left="568" w:hanging="284"/>
      </w:pPr>
      <w:rPr>
        <w:rFonts w:ascii="Times New Roman" w:hAnsi="Times New Roman" w:cs="Times New Roman" w:hint="default"/>
      </w:rPr>
    </w:lvl>
    <w:lvl w:ilvl="2">
      <w:start w:val="1"/>
      <w:numFmt w:val="bullet"/>
      <w:pStyle w:val="Boxdoubledot"/>
      <w:lvlText w:val=":"/>
      <w:lvlJc w:val="left"/>
      <w:pPr>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22" w15:restartNumberingAfterBreak="0">
    <w:nsid w:val="7BF6648F"/>
    <w:multiLevelType w:val="multilevel"/>
    <w:tmpl w:val="A670A960"/>
    <w:lvl w:ilvl="0">
      <w:start w:val="1"/>
      <w:numFmt w:val="bullet"/>
      <w:lvlText w:val="•"/>
      <w:lvlJc w:val="left"/>
      <w:pPr>
        <w:ind w:left="284" w:hanging="284"/>
      </w:pPr>
      <w:rPr>
        <w:rFonts w:ascii="Times New Roman" w:hAnsi="Times New Roman" w:cs="Times New Roman" w:hint="default"/>
        <w:color w:val="auto"/>
      </w:rPr>
    </w:lvl>
    <w:lvl w:ilvl="1">
      <w:start w:val="1"/>
      <w:numFmt w:val="decimal"/>
      <w:lvlText w:val="%2."/>
      <w:lvlJc w:val="left"/>
      <w:pPr>
        <w:ind w:left="644" w:hanging="360"/>
      </w:pPr>
    </w:lvl>
    <w:lvl w:ilvl="2">
      <w:start w:val="1"/>
      <w:numFmt w:val="bullet"/>
      <w:lvlText w:val=":"/>
      <w:lvlJc w:val="left"/>
      <w:pPr>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23" w15:restartNumberingAfterBreak="0">
    <w:nsid w:val="7D6B5224"/>
    <w:multiLevelType w:val="multilevel"/>
    <w:tmpl w:val="1054EE12"/>
    <w:name w:val="StandardBulletedList"/>
    <w:lvl w:ilvl="0">
      <w:start w:val="1"/>
      <w:numFmt w:val="bullet"/>
      <w:pStyle w:val="Bullet"/>
      <w:lvlText w:val="•"/>
      <w:lvlJc w:val="left"/>
      <w:pPr>
        <w:ind w:left="284" w:hanging="284"/>
      </w:pPr>
      <w:rPr>
        <w:rFonts w:ascii="Times New Roman" w:hAnsi="Times New Roman" w:cs="Times New Roman" w:hint="default"/>
        <w:color w:val="auto"/>
      </w:rPr>
    </w:lvl>
    <w:lvl w:ilvl="1">
      <w:start w:val="1"/>
      <w:numFmt w:val="bullet"/>
      <w:pStyle w:val="Dash"/>
      <w:lvlText w:val="–"/>
      <w:lvlJc w:val="left"/>
      <w:pPr>
        <w:ind w:left="568" w:hanging="284"/>
      </w:pPr>
      <w:rPr>
        <w:rFonts w:ascii="Times New Roman" w:hAnsi="Times New Roman" w:cs="Times New Roman" w:hint="default"/>
      </w:rPr>
    </w:lvl>
    <w:lvl w:ilvl="2">
      <w:start w:val="1"/>
      <w:numFmt w:val="bullet"/>
      <w:pStyle w:val="DoubleDot"/>
      <w:lvlText w:val=":"/>
      <w:lvlJc w:val="left"/>
      <w:pPr>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num w:numId="1" w16cid:durableId="747112092">
    <w:abstractNumId w:val="8"/>
  </w:num>
  <w:num w:numId="2" w16cid:durableId="125392115">
    <w:abstractNumId w:val="0"/>
  </w:num>
  <w:num w:numId="3" w16cid:durableId="1138493796">
    <w:abstractNumId w:val="10"/>
  </w:num>
  <w:num w:numId="4" w16cid:durableId="697198535">
    <w:abstractNumId w:val="2"/>
  </w:num>
  <w:num w:numId="5" w16cid:durableId="732696603">
    <w:abstractNumId w:val="6"/>
  </w:num>
  <w:num w:numId="6" w16cid:durableId="157624863">
    <w:abstractNumId w:val="9"/>
  </w:num>
  <w:num w:numId="7" w16cid:durableId="1065297974">
    <w:abstractNumId w:val="21"/>
  </w:num>
  <w:num w:numId="8" w16cid:durableId="1443527952">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2"/>
    </w:lvlOverride>
    <w:lvlOverride w:ilvl="6">
      <w:startOverride w:val="1"/>
    </w:lvlOverride>
    <w:lvlOverride w:ilvl="7">
      <w:startOverride w:val="16"/>
    </w:lvlOverride>
    <w:lvlOverride w:ilvl="8">
      <w:startOverride w:val="1"/>
    </w:lvlOverride>
  </w:num>
  <w:num w:numId="9" w16cid:durableId="204947942">
    <w:abstractNumId w:val="22"/>
  </w:num>
  <w:num w:numId="10" w16cid:durableId="13834776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5"/>
    </w:lvlOverride>
    <w:lvlOverride w:ilvl="8">
      <w:startOverride w:val="1"/>
    </w:lvlOverride>
  </w:num>
  <w:num w:numId="11" w16cid:durableId="10556665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61586330">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32076903">
    <w:abstractNumId w:val="3"/>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6"/>
    </w:lvlOverride>
    <w:lvlOverride w:ilvl="8">
      <w:startOverride w:val="1"/>
    </w:lvlOverride>
  </w:num>
  <w:num w:numId="14" w16cid:durableId="1843356572">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72300795">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65535353">
    <w:abstractNumId w:val="19"/>
  </w:num>
  <w:num w:numId="17" w16cid:durableId="1189637423">
    <w:abstractNumId w:val="3"/>
    <w:lvlOverride w:ilvl="0">
      <w:lvl w:ilvl="0">
        <w:start w:val="1"/>
        <w:numFmt w:val="decimal"/>
        <w:pStyle w:val="Heading1Numbered"/>
        <w:lvlText w:val="Chapter %1"/>
        <w:lvlJc w:val="left"/>
        <w:pPr>
          <w:ind w:left="0" w:firstLine="0"/>
        </w:pPr>
        <w:rPr>
          <w:rFonts w:hint="default"/>
        </w:rPr>
      </w:lvl>
    </w:lvlOverride>
    <w:lvlOverride w:ilvl="1">
      <w:lvl w:ilvl="1">
        <w:start w:val="1"/>
        <w:numFmt w:val="decimal"/>
        <w:pStyle w:val="Heading2Numbered"/>
        <w:lvlText w:val="%1.%2"/>
        <w:lvlJc w:val="left"/>
        <w:pPr>
          <w:ind w:left="1134" w:hanging="1134"/>
        </w:pPr>
        <w:rPr>
          <w:rFonts w:hint="default"/>
        </w:rPr>
      </w:lvl>
    </w:lvlOverride>
    <w:lvlOverride w:ilvl="2">
      <w:lvl w:ilvl="2">
        <w:start w:val="1"/>
        <w:numFmt w:val="decimal"/>
        <w:pStyle w:val="Heading3Numbered"/>
        <w:lvlText w:val="%1.%2.%3"/>
        <w:lvlJc w:val="left"/>
        <w:pPr>
          <w:ind w:left="1134" w:hanging="1134"/>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701" w:hanging="1701"/>
        </w:pPr>
        <w:rPr>
          <w:rFonts w:hint="default"/>
        </w:rPr>
      </w:lvl>
    </w:lvlOverride>
    <w:lvlOverride w:ilvl="5">
      <w:lvl w:ilvl="5">
        <w:start w:val="1"/>
        <w:numFmt w:val="decimal"/>
        <w:lvlRestart w:val="1"/>
        <w:pStyle w:val="BoxHeadingBox11"/>
        <w:suff w:val="space"/>
        <w:lvlText w:val="Box %1.%6"/>
        <w:lvlJc w:val="left"/>
        <w:pPr>
          <w:ind w:left="0" w:firstLine="0"/>
        </w:pPr>
        <w:rPr>
          <w:rFonts w:hint="default"/>
        </w:rPr>
      </w:lvl>
    </w:lvlOverride>
    <w:lvlOverride w:ilvl="6">
      <w:lvl w:ilvl="6">
        <w:start w:val="1"/>
        <w:numFmt w:val="decimal"/>
        <w:lvlRestart w:val="1"/>
        <w:pStyle w:val="FigureMainheading"/>
        <w:suff w:val="space"/>
        <w:lvlText w:val="Figure %1.%7"/>
        <w:lvlJc w:val="left"/>
        <w:pPr>
          <w:ind w:left="0" w:firstLine="0"/>
        </w:pPr>
        <w:rPr>
          <w:rFonts w:hint="default"/>
        </w:rPr>
      </w:lvl>
    </w:lvlOverride>
    <w:lvlOverride w:ilvl="7">
      <w:lvl w:ilvl="7">
        <w:start w:val="1"/>
        <w:numFmt w:val="decimal"/>
        <w:lvlRestart w:val="1"/>
        <w:pStyle w:val="ChartMainHeading"/>
        <w:suff w:val="space"/>
        <w:lvlText w:val="Chart %1.%8"/>
        <w:lvlJc w:val="left"/>
        <w:pPr>
          <w:ind w:left="0" w:firstLine="0"/>
        </w:pPr>
        <w:rPr>
          <w:rFonts w:hint="default"/>
        </w:rPr>
      </w:lvl>
    </w:lvlOverride>
    <w:lvlOverride w:ilvl="8">
      <w:lvl w:ilvl="8">
        <w:start w:val="1"/>
        <w:numFmt w:val="decimal"/>
        <w:lvlRestart w:val="1"/>
        <w:pStyle w:val="TableMainHeading"/>
        <w:suff w:val="space"/>
        <w:lvlText w:val="Table %1.%9"/>
        <w:lvlJc w:val="left"/>
        <w:pPr>
          <w:ind w:left="0" w:firstLine="0"/>
        </w:pPr>
        <w:rPr>
          <w:rFonts w:hint="default"/>
        </w:rPr>
      </w:lvl>
    </w:lvlOverride>
  </w:num>
  <w:num w:numId="18" w16cid:durableId="864946811">
    <w:abstractNumId w:val="16"/>
    <w:lvlOverride w:ilvl="0">
      <w:lvl w:ilvl="0">
        <w:start w:val="1"/>
        <w:numFmt w:val="decimal"/>
        <w:pStyle w:val="OutlineNumbered1"/>
        <w:lvlText w:val="%1."/>
        <w:lvlJc w:val="left"/>
        <w:pPr>
          <w:ind w:left="284" w:hanging="284"/>
        </w:pPr>
        <w:rPr>
          <w:rFonts w:hint="default"/>
        </w:rPr>
      </w:lvl>
    </w:lvlOverride>
    <w:lvlOverride w:ilvl="1">
      <w:lvl w:ilvl="1">
        <w:start w:val="1"/>
        <w:numFmt w:val="decimal"/>
        <w:pStyle w:val="OutlineNumbered211"/>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4)"/>
        <w:lvlJc w:val="left"/>
        <w:pPr>
          <w:ind w:left="284" w:hanging="284"/>
        </w:pPr>
        <w:rPr>
          <w:rFonts w:hint="default"/>
        </w:rPr>
      </w:lvl>
    </w:lvlOverride>
    <w:lvlOverride w:ilvl="4">
      <w:lvl w:ilvl="4">
        <w:start w:val="1"/>
        <w:numFmt w:val="lowerLetter"/>
        <w:lvlText w:val="(%5)"/>
        <w:lvlJc w:val="left"/>
        <w:pPr>
          <w:ind w:left="284" w:hanging="284"/>
        </w:pPr>
        <w:rPr>
          <w:rFonts w:hint="default"/>
        </w:rPr>
      </w:lvl>
    </w:lvlOverride>
    <w:lvlOverride w:ilvl="5">
      <w:lvl w:ilvl="5">
        <w:start w:val="1"/>
        <w:numFmt w:val="lowerRoman"/>
        <w:lvlText w:val="(%6)"/>
        <w:lvlJc w:val="left"/>
        <w:pPr>
          <w:ind w:left="284" w:hanging="284"/>
        </w:pPr>
        <w:rPr>
          <w:rFonts w:hint="default"/>
        </w:rPr>
      </w:lvl>
    </w:lvlOverride>
    <w:lvlOverride w:ilvl="6">
      <w:lvl w:ilvl="6">
        <w:start w:val="1"/>
        <w:numFmt w:val="decimal"/>
        <w:lvlText w:val="%7."/>
        <w:lvlJc w:val="left"/>
        <w:pPr>
          <w:ind w:left="284" w:hanging="284"/>
        </w:pPr>
        <w:rPr>
          <w:rFonts w:hint="default"/>
        </w:rPr>
      </w:lvl>
    </w:lvlOverride>
    <w:lvlOverride w:ilvl="7">
      <w:lvl w:ilvl="7">
        <w:start w:val="1"/>
        <w:numFmt w:val="lowerLetter"/>
        <w:lvlText w:val="%8."/>
        <w:lvlJc w:val="left"/>
        <w:pPr>
          <w:ind w:left="284" w:hanging="284"/>
        </w:pPr>
        <w:rPr>
          <w:rFonts w:hint="default"/>
        </w:rPr>
      </w:lvl>
    </w:lvlOverride>
    <w:lvlOverride w:ilvl="8">
      <w:lvl w:ilvl="8">
        <w:start w:val="1"/>
        <w:numFmt w:val="lowerRoman"/>
        <w:lvlText w:val="%9."/>
        <w:lvlJc w:val="left"/>
        <w:pPr>
          <w:ind w:left="284" w:hanging="284"/>
        </w:pPr>
        <w:rPr>
          <w:rFonts w:hint="default"/>
        </w:rPr>
      </w:lvl>
    </w:lvlOverride>
  </w:num>
  <w:num w:numId="19" w16cid:durableId="496919720">
    <w:abstractNumId w:val="3"/>
    <w:lvlOverride w:ilvl="0">
      <w:startOverride w:val="1"/>
      <w:lvl w:ilvl="0">
        <w:start w:val="1"/>
        <w:numFmt w:val="decimal"/>
        <w:pStyle w:val="Heading1Numbered"/>
        <w:lvlText w:val="Chapter %1"/>
        <w:lvlJc w:val="left"/>
        <w:pPr>
          <w:ind w:left="0" w:firstLine="0"/>
        </w:pPr>
        <w:rPr>
          <w:rFonts w:hint="default"/>
        </w:rPr>
      </w:lvl>
    </w:lvlOverride>
    <w:lvlOverride w:ilvl="1">
      <w:startOverride w:val="1"/>
      <w:lvl w:ilvl="1">
        <w:start w:val="1"/>
        <w:numFmt w:val="decimal"/>
        <w:pStyle w:val="Heading2Numbered"/>
        <w:lvlText w:val="%1.%2"/>
        <w:lvlJc w:val="left"/>
        <w:pPr>
          <w:ind w:left="1134" w:hanging="1134"/>
        </w:pPr>
        <w:rPr>
          <w:rFonts w:hint="default"/>
        </w:rPr>
      </w:lvl>
    </w:lvlOverride>
    <w:lvlOverride w:ilvl="2">
      <w:startOverride w:val="8"/>
      <w:lvl w:ilvl="2">
        <w:start w:val="8"/>
        <w:numFmt w:val="decimal"/>
        <w:pStyle w:val="Heading3Numbered"/>
        <w:lvlText w:val="%1.%2.%3"/>
        <w:lvlJc w:val="left"/>
        <w:pPr>
          <w:ind w:left="1134" w:hanging="1134"/>
        </w:pPr>
        <w:rPr>
          <w:rFonts w:hint="default"/>
        </w:rPr>
      </w:lvl>
    </w:lvlOverride>
    <w:lvlOverride w:ilvl="3">
      <w:startOverride w:val="1"/>
      <w:lvl w:ilvl="3">
        <w:start w:val="1"/>
        <w:numFmt w:val="decimal"/>
        <w:lvlText w:val="%1.%2.%3.%4"/>
        <w:lvlJc w:val="left"/>
        <w:pPr>
          <w:ind w:left="1134" w:hanging="1134"/>
        </w:pPr>
        <w:rPr>
          <w:rFonts w:hint="default"/>
        </w:rPr>
      </w:lvl>
    </w:lvlOverride>
    <w:lvlOverride w:ilvl="4">
      <w:startOverride w:val="1"/>
      <w:lvl w:ilvl="4">
        <w:start w:val="1"/>
        <w:numFmt w:val="decimal"/>
        <w:lvlText w:val="%1.%2.%3.%4.%5"/>
        <w:lvlJc w:val="left"/>
        <w:pPr>
          <w:ind w:left="1701" w:hanging="1701"/>
        </w:pPr>
        <w:rPr>
          <w:rFonts w:hint="default"/>
        </w:rPr>
      </w:lvl>
    </w:lvlOverride>
    <w:lvlOverride w:ilvl="5">
      <w:startOverride w:val="2"/>
      <w:lvl w:ilvl="5">
        <w:start w:val="2"/>
        <w:numFmt w:val="decimal"/>
        <w:lvlRestart w:val="1"/>
        <w:pStyle w:val="BoxHeadingBox11"/>
        <w:suff w:val="space"/>
        <w:lvlText w:val="Box %1.%6"/>
        <w:lvlJc w:val="left"/>
        <w:pPr>
          <w:ind w:left="1134" w:hanging="1134"/>
        </w:pPr>
        <w:rPr>
          <w:rFonts w:hint="default"/>
        </w:rPr>
      </w:lvl>
    </w:lvlOverride>
    <w:lvlOverride w:ilvl="6">
      <w:startOverride w:val="1"/>
      <w:lvl w:ilvl="6">
        <w:start w:val="1"/>
        <w:numFmt w:val="decimal"/>
        <w:lvlRestart w:val="1"/>
        <w:pStyle w:val="FigureMainheading"/>
        <w:suff w:val="space"/>
        <w:lvlText w:val="Figure %1.%7"/>
        <w:lvlJc w:val="left"/>
        <w:pPr>
          <w:ind w:left="0" w:firstLine="0"/>
        </w:pPr>
        <w:rPr>
          <w:rFonts w:hint="default"/>
        </w:rPr>
      </w:lvl>
    </w:lvlOverride>
    <w:lvlOverride w:ilvl="7">
      <w:startOverride w:val="1"/>
      <w:lvl w:ilvl="7">
        <w:start w:val="1"/>
        <w:numFmt w:val="decimal"/>
        <w:lvlRestart w:val="1"/>
        <w:pStyle w:val="ChartMainHeading"/>
        <w:suff w:val="space"/>
        <w:lvlText w:val="Chart %1.%8"/>
        <w:lvlJc w:val="left"/>
        <w:pPr>
          <w:ind w:left="0" w:firstLine="0"/>
        </w:pPr>
        <w:rPr>
          <w:rFonts w:hint="default"/>
        </w:rPr>
      </w:lvl>
    </w:lvlOverride>
    <w:lvlOverride w:ilvl="8">
      <w:startOverride w:val="1"/>
      <w:lvl w:ilvl="8">
        <w:start w:val="1"/>
        <w:numFmt w:val="decimal"/>
        <w:lvlRestart w:val="1"/>
        <w:pStyle w:val="TableMainHeading"/>
        <w:suff w:val="space"/>
        <w:lvlText w:val="Table %1.%9"/>
        <w:lvlJc w:val="left"/>
        <w:pPr>
          <w:ind w:left="0" w:firstLine="0"/>
        </w:pPr>
        <w:rPr>
          <w:rFonts w:hint="default"/>
        </w:rPr>
      </w:lvl>
    </w:lvlOverride>
  </w:num>
  <w:num w:numId="20" w16cid:durableId="1291475561">
    <w:abstractNumId w:val="16"/>
    <w:lvlOverride w:ilvl="0">
      <w:startOverride w:val="1"/>
      <w:lvl w:ilvl="0">
        <w:start w:val="1"/>
        <w:numFmt w:val="decimal"/>
        <w:pStyle w:val="OutlineNumbered1"/>
        <w:lvlText w:val="%1."/>
        <w:lvlJc w:val="left"/>
        <w:pPr>
          <w:ind w:left="284" w:hanging="284"/>
        </w:pPr>
        <w:rPr>
          <w:rFonts w:hint="default"/>
        </w:rPr>
      </w:lvl>
    </w:lvlOverride>
    <w:lvlOverride w:ilvl="1">
      <w:startOverride w:val="1"/>
      <w:lvl w:ilvl="1">
        <w:start w:val="1"/>
        <w:numFmt w:val="decimal"/>
        <w:pStyle w:val="OutlineNumbered211"/>
        <w:lvlText w:val="%1.%2"/>
        <w:lvlJc w:val="left"/>
        <w:pPr>
          <w:ind w:left="567" w:hanging="567"/>
        </w:pPr>
        <w:rPr>
          <w:rFonts w:hint="default"/>
        </w:rPr>
      </w:lvl>
    </w:lvlOverride>
    <w:lvlOverride w:ilvl="2">
      <w:startOverride w:val="1"/>
      <w:lvl w:ilvl="2">
        <w:start w:val="1"/>
        <w:numFmt w:val="decimal"/>
        <w:lvlText w:val="%1.%2.%3"/>
        <w:lvlJc w:val="left"/>
        <w:pPr>
          <w:ind w:left="851" w:hanging="851"/>
        </w:pPr>
        <w:rPr>
          <w:rFonts w:hint="default"/>
        </w:rPr>
      </w:lvl>
    </w:lvlOverride>
    <w:lvlOverride w:ilvl="3">
      <w:startOverride w:val="1"/>
      <w:lvl w:ilvl="3">
        <w:start w:val="1"/>
        <w:numFmt w:val="decimal"/>
        <w:lvlText w:val="(%4)"/>
        <w:lvlJc w:val="left"/>
        <w:pPr>
          <w:ind w:left="284" w:hanging="284"/>
        </w:pPr>
        <w:rPr>
          <w:rFonts w:hint="default"/>
        </w:rPr>
      </w:lvl>
    </w:lvlOverride>
    <w:lvlOverride w:ilvl="4">
      <w:startOverride w:val="1"/>
      <w:lvl w:ilvl="4">
        <w:start w:val="1"/>
        <w:numFmt w:val="lowerLetter"/>
        <w:lvlText w:val="(%5)"/>
        <w:lvlJc w:val="left"/>
        <w:pPr>
          <w:ind w:left="284" w:hanging="284"/>
        </w:pPr>
        <w:rPr>
          <w:rFonts w:hint="default"/>
        </w:rPr>
      </w:lvl>
    </w:lvlOverride>
    <w:lvlOverride w:ilvl="5">
      <w:startOverride w:val="1"/>
      <w:lvl w:ilvl="5">
        <w:start w:val="1"/>
        <w:numFmt w:val="lowerRoman"/>
        <w:lvlText w:val="(%6)"/>
        <w:lvlJc w:val="left"/>
        <w:pPr>
          <w:ind w:left="284" w:hanging="284"/>
        </w:pPr>
        <w:rPr>
          <w:rFonts w:hint="default"/>
        </w:rPr>
      </w:lvl>
    </w:lvlOverride>
    <w:lvlOverride w:ilvl="6">
      <w:startOverride w:val="1"/>
      <w:lvl w:ilvl="6">
        <w:start w:val="1"/>
        <w:numFmt w:val="decimal"/>
        <w:lvlText w:val="%7."/>
        <w:lvlJc w:val="left"/>
        <w:pPr>
          <w:ind w:left="284" w:hanging="284"/>
        </w:pPr>
        <w:rPr>
          <w:rFonts w:hint="default"/>
        </w:rPr>
      </w:lvl>
    </w:lvlOverride>
    <w:lvlOverride w:ilvl="7">
      <w:startOverride w:val="1"/>
      <w:lvl w:ilvl="7">
        <w:start w:val="1"/>
        <w:numFmt w:val="lowerLetter"/>
        <w:lvlText w:val="%8."/>
        <w:lvlJc w:val="left"/>
        <w:pPr>
          <w:ind w:left="284" w:hanging="284"/>
        </w:pPr>
        <w:rPr>
          <w:rFonts w:hint="default"/>
        </w:rPr>
      </w:lvl>
    </w:lvlOverride>
    <w:lvlOverride w:ilvl="8">
      <w:startOverride w:val="1"/>
      <w:lvl w:ilvl="8">
        <w:start w:val="1"/>
        <w:numFmt w:val="lowerRoman"/>
        <w:lvlText w:val="%9."/>
        <w:lvlJc w:val="left"/>
        <w:pPr>
          <w:ind w:left="284" w:hanging="284"/>
        </w:pPr>
        <w:rPr>
          <w:rFonts w:hint="default"/>
        </w:rPr>
      </w:lvl>
    </w:lvlOverride>
  </w:num>
  <w:num w:numId="21" w16cid:durableId="410472958">
    <w:abstractNumId w:val="11"/>
  </w:num>
  <w:num w:numId="22" w16cid:durableId="2560580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28899018">
    <w:abstractNumId w:val="3"/>
    <w:lvlOverride w:ilvl="0">
      <w:startOverride w:val="1"/>
      <w:lvl w:ilvl="0">
        <w:start w:val="1"/>
        <w:numFmt w:val="decimal"/>
        <w:pStyle w:val="Heading1Numbered"/>
        <w:lvlText w:val="Chapter %1"/>
        <w:lvlJc w:val="left"/>
        <w:pPr>
          <w:ind w:left="0" w:firstLine="0"/>
        </w:pPr>
        <w:rPr>
          <w:rFonts w:hint="default"/>
        </w:rPr>
      </w:lvl>
    </w:lvlOverride>
    <w:lvlOverride w:ilvl="1">
      <w:startOverride w:val="1"/>
      <w:lvl w:ilvl="1">
        <w:start w:val="1"/>
        <w:numFmt w:val="decimal"/>
        <w:pStyle w:val="Heading2Numbered"/>
        <w:lvlText w:val="%1.%2"/>
        <w:lvlJc w:val="left"/>
        <w:pPr>
          <w:ind w:left="1134" w:hanging="1134"/>
        </w:pPr>
        <w:rPr>
          <w:rFonts w:hint="default"/>
        </w:rPr>
      </w:lvl>
    </w:lvlOverride>
    <w:lvlOverride w:ilvl="2">
      <w:startOverride w:val="8"/>
      <w:lvl w:ilvl="2">
        <w:start w:val="8"/>
        <w:numFmt w:val="decimal"/>
        <w:pStyle w:val="Heading3Numbered"/>
        <w:lvlText w:val="%1.%2.%3"/>
        <w:lvlJc w:val="left"/>
        <w:pPr>
          <w:ind w:left="1134" w:hanging="1134"/>
        </w:pPr>
        <w:rPr>
          <w:rFonts w:hint="default"/>
        </w:rPr>
      </w:lvl>
    </w:lvlOverride>
    <w:lvlOverride w:ilvl="3">
      <w:startOverride w:val="1"/>
      <w:lvl w:ilvl="3">
        <w:start w:val="1"/>
        <w:numFmt w:val="decimal"/>
        <w:lvlText w:val="%1.%2.%3.%4"/>
        <w:lvlJc w:val="left"/>
        <w:pPr>
          <w:ind w:left="1134" w:hanging="1134"/>
        </w:pPr>
        <w:rPr>
          <w:rFonts w:hint="default"/>
        </w:rPr>
      </w:lvl>
    </w:lvlOverride>
    <w:lvlOverride w:ilvl="4">
      <w:startOverride w:val="1"/>
      <w:lvl w:ilvl="4">
        <w:start w:val="1"/>
        <w:numFmt w:val="decimal"/>
        <w:lvlText w:val="%1.%2.%3.%4.%5"/>
        <w:lvlJc w:val="left"/>
        <w:pPr>
          <w:ind w:left="1701" w:hanging="1701"/>
        </w:pPr>
        <w:rPr>
          <w:rFonts w:hint="default"/>
        </w:rPr>
      </w:lvl>
    </w:lvlOverride>
    <w:lvlOverride w:ilvl="5">
      <w:startOverride w:val="1"/>
      <w:lvl w:ilvl="5">
        <w:start w:val="1"/>
        <w:numFmt w:val="decimal"/>
        <w:lvlRestart w:val="1"/>
        <w:pStyle w:val="BoxHeadingBox11"/>
        <w:suff w:val="space"/>
        <w:lvlText w:val="Box %1.%6"/>
        <w:lvlJc w:val="left"/>
        <w:pPr>
          <w:ind w:left="0" w:firstLine="0"/>
        </w:pPr>
        <w:rPr>
          <w:rFonts w:hint="default"/>
        </w:rPr>
      </w:lvl>
    </w:lvlOverride>
    <w:lvlOverride w:ilvl="6">
      <w:startOverride w:val="1"/>
      <w:lvl w:ilvl="6">
        <w:start w:val="1"/>
        <w:numFmt w:val="decimal"/>
        <w:lvlRestart w:val="1"/>
        <w:pStyle w:val="FigureMainheading"/>
        <w:suff w:val="space"/>
        <w:lvlText w:val="Figure %1.%7"/>
        <w:lvlJc w:val="left"/>
        <w:pPr>
          <w:ind w:left="0" w:firstLine="0"/>
        </w:pPr>
        <w:rPr>
          <w:rFonts w:hint="default"/>
        </w:rPr>
      </w:lvl>
    </w:lvlOverride>
    <w:lvlOverride w:ilvl="7">
      <w:startOverride w:val="1"/>
      <w:lvl w:ilvl="7">
        <w:start w:val="1"/>
        <w:numFmt w:val="decimal"/>
        <w:lvlRestart w:val="1"/>
        <w:pStyle w:val="ChartMainHeading"/>
        <w:suff w:val="space"/>
        <w:lvlText w:val="Chart %1.%8"/>
        <w:lvlJc w:val="left"/>
        <w:pPr>
          <w:ind w:left="0" w:firstLine="0"/>
        </w:pPr>
        <w:rPr>
          <w:rFonts w:hint="default"/>
        </w:rPr>
      </w:lvl>
    </w:lvlOverride>
    <w:lvlOverride w:ilvl="8">
      <w:startOverride w:val="1"/>
      <w:lvl w:ilvl="8">
        <w:start w:val="1"/>
        <w:numFmt w:val="decimal"/>
        <w:lvlRestart w:val="1"/>
        <w:pStyle w:val="TableMainHeading"/>
        <w:suff w:val="space"/>
        <w:lvlText w:val="Table %1.%9"/>
        <w:lvlJc w:val="left"/>
        <w:pPr>
          <w:ind w:left="0" w:firstLine="0"/>
        </w:pPr>
        <w:rPr>
          <w:rFonts w:hint="default"/>
        </w:rPr>
      </w:lvl>
    </w:lvlOverride>
  </w:num>
  <w:num w:numId="24" w16cid:durableId="577862153">
    <w:abstractNumId w:val="3"/>
    <w:lvlOverride w:ilvl="0">
      <w:startOverride w:val="1"/>
      <w:lvl w:ilvl="0">
        <w:start w:val="1"/>
        <w:numFmt w:val="decimal"/>
        <w:pStyle w:val="Heading1Numbered"/>
        <w:lvlText w:val="Chapter %1"/>
        <w:lvlJc w:val="left"/>
        <w:pPr>
          <w:ind w:left="0" w:firstLine="0"/>
        </w:pPr>
        <w:rPr>
          <w:rFonts w:hint="default"/>
        </w:rPr>
      </w:lvl>
    </w:lvlOverride>
    <w:lvlOverride w:ilvl="1">
      <w:startOverride w:val="1"/>
      <w:lvl w:ilvl="1">
        <w:start w:val="1"/>
        <w:numFmt w:val="decimal"/>
        <w:pStyle w:val="Heading2Numbered"/>
        <w:lvlText w:val="%1.%2"/>
        <w:lvlJc w:val="left"/>
        <w:pPr>
          <w:ind w:left="1134" w:hanging="1134"/>
        </w:pPr>
        <w:rPr>
          <w:rFonts w:hint="default"/>
        </w:rPr>
      </w:lvl>
    </w:lvlOverride>
    <w:lvlOverride w:ilvl="2">
      <w:startOverride w:val="8"/>
      <w:lvl w:ilvl="2">
        <w:start w:val="8"/>
        <w:numFmt w:val="decimal"/>
        <w:pStyle w:val="Heading3Numbered"/>
        <w:lvlText w:val="%1.%2.%3"/>
        <w:lvlJc w:val="left"/>
        <w:pPr>
          <w:ind w:left="1134" w:hanging="1134"/>
        </w:pPr>
        <w:rPr>
          <w:rFonts w:hint="default"/>
        </w:rPr>
      </w:lvl>
    </w:lvlOverride>
    <w:lvlOverride w:ilvl="3">
      <w:startOverride w:val="1"/>
      <w:lvl w:ilvl="3">
        <w:start w:val="1"/>
        <w:numFmt w:val="decimal"/>
        <w:lvlText w:val="%1.%2.%3.%4"/>
        <w:lvlJc w:val="left"/>
        <w:pPr>
          <w:ind w:left="1134" w:hanging="1134"/>
        </w:pPr>
        <w:rPr>
          <w:rFonts w:hint="default"/>
        </w:rPr>
      </w:lvl>
    </w:lvlOverride>
    <w:lvlOverride w:ilvl="4">
      <w:startOverride w:val="1"/>
      <w:lvl w:ilvl="4">
        <w:start w:val="1"/>
        <w:numFmt w:val="decimal"/>
        <w:lvlText w:val="%1.%2.%3.%4.%5"/>
        <w:lvlJc w:val="left"/>
        <w:pPr>
          <w:ind w:left="1701" w:hanging="1701"/>
        </w:pPr>
        <w:rPr>
          <w:rFonts w:hint="default"/>
        </w:rPr>
      </w:lvl>
    </w:lvlOverride>
    <w:lvlOverride w:ilvl="5">
      <w:startOverride w:val="1"/>
      <w:lvl w:ilvl="5">
        <w:start w:val="1"/>
        <w:numFmt w:val="decimal"/>
        <w:lvlRestart w:val="1"/>
        <w:pStyle w:val="BoxHeadingBox11"/>
        <w:suff w:val="space"/>
        <w:lvlText w:val="Box %1.%6"/>
        <w:lvlJc w:val="left"/>
        <w:pPr>
          <w:ind w:left="0" w:firstLine="0"/>
        </w:pPr>
        <w:rPr>
          <w:rFonts w:hint="default"/>
        </w:rPr>
      </w:lvl>
    </w:lvlOverride>
    <w:lvlOverride w:ilvl="6">
      <w:startOverride w:val="1"/>
      <w:lvl w:ilvl="6">
        <w:start w:val="1"/>
        <w:numFmt w:val="decimal"/>
        <w:lvlRestart w:val="1"/>
        <w:pStyle w:val="FigureMainheading"/>
        <w:suff w:val="space"/>
        <w:lvlText w:val="Figure %1.%7"/>
        <w:lvlJc w:val="left"/>
        <w:pPr>
          <w:ind w:left="0" w:firstLine="0"/>
        </w:pPr>
        <w:rPr>
          <w:rFonts w:hint="default"/>
        </w:rPr>
      </w:lvl>
    </w:lvlOverride>
    <w:lvlOverride w:ilvl="7">
      <w:startOverride w:val="1"/>
      <w:lvl w:ilvl="7">
        <w:start w:val="1"/>
        <w:numFmt w:val="decimal"/>
        <w:lvlRestart w:val="1"/>
        <w:pStyle w:val="ChartMainHeading"/>
        <w:suff w:val="space"/>
        <w:lvlText w:val="Chart %1.%8"/>
        <w:lvlJc w:val="left"/>
        <w:pPr>
          <w:ind w:left="0" w:firstLine="0"/>
        </w:pPr>
        <w:rPr>
          <w:rFonts w:hint="default"/>
        </w:rPr>
      </w:lvl>
    </w:lvlOverride>
    <w:lvlOverride w:ilvl="8">
      <w:startOverride w:val="1"/>
      <w:lvl w:ilvl="8">
        <w:start w:val="1"/>
        <w:numFmt w:val="decimal"/>
        <w:lvlRestart w:val="1"/>
        <w:pStyle w:val="TableMainHeading"/>
        <w:suff w:val="space"/>
        <w:lvlText w:val="Table %1.%9"/>
        <w:lvlJc w:val="left"/>
        <w:pPr>
          <w:ind w:left="0" w:firstLine="0"/>
        </w:pPr>
        <w:rPr>
          <w:rFonts w:hint="default"/>
        </w:rPr>
      </w:lvl>
    </w:lvlOverride>
  </w:num>
  <w:num w:numId="25" w16cid:durableId="477769195">
    <w:abstractNumId w:val="3"/>
    <w:lvlOverride w:ilvl="0">
      <w:startOverride w:val="1"/>
      <w:lvl w:ilvl="0">
        <w:start w:val="1"/>
        <w:numFmt w:val="decimal"/>
        <w:pStyle w:val="Heading1Numbered"/>
        <w:lvlText w:val="Chapter %1"/>
        <w:lvlJc w:val="left"/>
        <w:pPr>
          <w:ind w:left="0" w:firstLine="0"/>
        </w:pPr>
        <w:rPr>
          <w:rFonts w:hint="default"/>
        </w:rPr>
      </w:lvl>
    </w:lvlOverride>
    <w:lvlOverride w:ilvl="1">
      <w:startOverride w:val="1"/>
      <w:lvl w:ilvl="1">
        <w:start w:val="1"/>
        <w:numFmt w:val="decimal"/>
        <w:pStyle w:val="Heading2Numbered"/>
        <w:lvlText w:val="%1.%2"/>
        <w:lvlJc w:val="left"/>
        <w:pPr>
          <w:ind w:left="1134" w:hanging="1134"/>
        </w:pPr>
        <w:rPr>
          <w:rFonts w:hint="default"/>
        </w:rPr>
      </w:lvl>
    </w:lvlOverride>
    <w:lvlOverride w:ilvl="2">
      <w:startOverride w:val="8"/>
      <w:lvl w:ilvl="2">
        <w:start w:val="8"/>
        <w:numFmt w:val="decimal"/>
        <w:pStyle w:val="Heading3Numbered"/>
        <w:lvlText w:val="%1.%2.%3"/>
        <w:lvlJc w:val="left"/>
        <w:pPr>
          <w:ind w:left="1134" w:hanging="1134"/>
        </w:pPr>
        <w:rPr>
          <w:rFonts w:hint="default"/>
        </w:rPr>
      </w:lvl>
    </w:lvlOverride>
    <w:lvlOverride w:ilvl="3">
      <w:startOverride w:val="1"/>
      <w:lvl w:ilvl="3">
        <w:start w:val="1"/>
        <w:numFmt w:val="decimal"/>
        <w:lvlText w:val="%1.%2.%3.%4"/>
        <w:lvlJc w:val="left"/>
        <w:pPr>
          <w:ind w:left="1134" w:hanging="1134"/>
        </w:pPr>
        <w:rPr>
          <w:rFonts w:hint="default"/>
        </w:rPr>
      </w:lvl>
    </w:lvlOverride>
    <w:lvlOverride w:ilvl="4">
      <w:startOverride w:val="1"/>
      <w:lvl w:ilvl="4">
        <w:start w:val="1"/>
        <w:numFmt w:val="decimal"/>
        <w:lvlText w:val="%1.%2.%3.%4.%5"/>
        <w:lvlJc w:val="left"/>
        <w:pPr>
          <w:ind w:left="1701" w:hanging="1701"/>
        </w:pPr>
        <w:rPr>
          <w:rFonts w:hint="default"/>
        </w:rPr>
      </w:lvl>
    </w:lvlOverride>
    <w:lvlOverride w:ilvl="5">
      <w:startOverride w:val="1"/>
      <w:lvl w:ilvl="5">
        <w:start w:val="1"/>
        <w:numFmt w:val="decimal"/>
        <w:lvlRestart w:val="1"/>
        <w:pStyle w:val="BoxHeadingBox11"/>
        <w:suff w:val="space"/>
        <w:lvlText w:val="Box %1.%6"/>
        <w:lvlJc w:val="left"/>
        <w:pPr>
          <w:ind w:left="0" w:firstLine="0"/>
        </w:pPr>
        <w:rPr>
          <w:rFonts w:hint="default"/>
        </w:rPr>
      </w:lvl>
    </w:lvlOverride>
    <w:lvlOverride w:ilvl="6">
      <w:startOverride w:val="1"/>
      <w:lvl w:ilvl="6">
        <w:start w:val="1"/>
        <w:numFmt w:val="decimal"/>
        <w:lvlRestart w:val="1"/>
        <w:pStyle w:val="FigureMainheading"/>
        <w:suff w:val="space"/>
        <w:lvlText w:val="Figure %1.%7"/>
        <w:lvlJc w:val="left"/>
        <w:pPr>
          <w:ind w:left="0" w:firstLine="0"/>
        </w:pPr>
        <w:rPr>
          <w:rFonts w:hint="default"/>
        </w:rPr>
      </w:lvl>
    </w:lvlOverride>
    <w:lvlOverride w:ilvl="7">
      <w:startOverride w:val="1"/>
      <w:lvl w:ilvl="7">
        <w:start w:val="1"/>
        <w:numFmt w:val="decimal"/>
        <w:lvlRestart w:val="1"/>
        <w:pStyle w:val="ChartMainHeading"/>
        <w:suff w:val="space"/>
        <w:lvlText w:val="Chart %1.%8"/>
        <w:lvlJc w:val="left"/>
        <w:pPr>
          <w:ind w:left="0" w:firstLine="0"/>
        </w:pPr>
        <w:rPr>
          <w:rFonts w:hint="default"/>
        </w:rPr>
      </w:lvl>
    </w:lvlOverride>
    <w:lvlOverride w:ilvl="8">
      <w:startOverride w:val="1"/>
      <w:lvl w:ilvl="8">
        <w:start w:val="1"/>
        <w:numFmt w:val="decimal"/>
        <w:lvlRestart w:val="1"/>
        <w:pStyle w:val="TableMainHeading"/>
        <w:suff w:val="space"/>
        <w:lvlText w:val="Table %1.%9"/>
        <w:lvlJc w:val="left"/>
        <w:pPr>
          <w:ind w:left="0" w:firstLine="0"/>
        </w:pPr>
        <w:rPr>
          <w:rFonts w:hint="default"/>
        </w:rPr>
      </w:lvl>
    </w:lvlOverride>
  </w:num>
  <w:num w:numId="26" w16cid:durableId="8137184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480412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09289510">
    <w:abstractNumId w:val="3"/>
    <w:lvlOverride w:ilvl="0">
      <w:startOverride w:val="3"/>
      <w:lvl w:ilvl="0">
        <w:start w:val="3"/>
        <w:numFmt w:val="decimal"/>
        <w:pStyle w:val="Heading1Numbered"/>
        <w:lvlText w:val="Chapter %1"/>
        <w:lvlJc w:val="left"/>
        <w:pPr>
          <w:ind w:left="0" w:firstLine="0"/>
        </w:pPr>
        <w:rPr>
          <w:rFonts w:hint="default"/>
        </w:rPr>
      </w:lvl>
    </w:lvlOverride>
    <w:lvlOverride w:ilvl="1">
      <w:startOverride w:val="1"/>
      <w:lvl w:ilvl="1">
        <w:start w:val="1"/>
        <w:numFmt w:val="decimal"/>
        <w:pStyle w:val="Heading2Numbered"/>
        <w:lvlText w:val="%1.%2"/>
        <w:lvlJc w:val="left"/>
        <w:pPr>
          <w:ind w:left="1134" w:hanging="1134"/>
        </w:pPr>
        <w:rPr>
          <w:rFonts w:hint="default"/>
        </w:rPr>
      </w:lvl>
    </w:lvlOverride>
    <w:lvlOverride w:ilvl="2">
      <w:startOverride w:val="1"/>
      <w:lvl w:ilvl="2">
        <w:start w:val="1"/>
        <w:numFmt w:val="decimal"/>
        <w:pStyle w:val="Heading3Numbered"/>
        <w:lvlText w:val="%1.%2.%3"/>
        <w:lvlJc w:val="left"/>
        <w:pPr>
          <w:ind w:left="1134" w:hanging="1134"/>
        </w:pPr>
        <w:rPr>
          <w:rFonts w:hint="default"/>
        </w:rPr>
      </w:lvl>
    </w:lvlOverride>
    <w:lvlOverride w:ilvl="3">
      <w:startOverride w:val="1"/>
      <w:lvl w:ilvl="3">
        <w:start w:val="1"/>
        <w:numFmt w:val="decimal"/>
        <w:lvlText w:val="%1.%2.%3.%4"/>
        <w:lvlJc w:val="left"/>
        <w:pPr>
          <w:ind w:left="1134" w:hanging="1134"/>
        </w:pPr>
        <w:rPr>
          <w:rFonts w:hint="default"/>
        </w:rPr>
      </w:lvl>
    </w:lvlOverride>
    <w:lvlOverride w:ilvl="4">
      <w:startOverride w:val="1"/>
      <w:lvl w:ilvl="4">
        <w:start w:val="1"/>
        <w:numFmt w:val="decimal"/>
        <w:lvlText w:val="%1.%2.%3.%4.%5"/>
        <w:lvlJc w:val="left"/>
        <w:pPr>
          <w:ind w:left="1701" w:hanging="1701"/>
        </w:pPr>
        <w:rPr>
          <w:rFonts w:hint="default"/>
        </w:rPr>
      </w:lvl>
    </w:lvlOverride>
    <w:lvlOverride w:ilvl="5">
      <w:startOverride w:val="1"/>
      <w:lvl w:ilvl="5">
        <w:start w:val="1"/>
        <w:numFmt w:val="decimal"/>
        <w:lvlRestart w:val="1"/>
        <w:pStyle w:val="BoxHeadingBox11"/>
        <w:suff w:val="space"/>
        <w:lvlText w:val="Box %1.%6"/>
        <w:lvlJc w:val="left"/>
        <w:pPr>
          <w:ind w:left="0" w:firstLine="0"/>
        </w:pPr>
        <w:rPr>
          <w:rFonts w:hint="default"/>
        </w:rPr>
      </w:lvl>
    </w:lvlOverride>
    <w:lvlOverride w:ilvl="6">
      <w:startOverride w:val="1"/>
      <w:lvl w:ilvl="6">
        <w:start w:val="1"/>
        <w:numFmt w:val="decimal"/>
        <w:lvlRestart w:val="1"/>
        <w:pStyle w:val="FigureMainheading"/>
        <w:suff w:val="space"/>
        <w:lvlText w:val="Figure %1.%7"/>
        <w:lvlJc w:val="left"/>
        <w:pPr>
          <w:ind w:left="0" w:firstLine="0"/>
        </w:pPr>
        <w:rPr>
          <w:rFonts w:hint="default"/>
        </w:rPr>
      </w:lvl>
    </w:lvlOverride>
    <w:lvlOverride w:ilvl="7">
      <w:startOverride w:val="1"/>
      <w:lvl w:ilvl="7">
        <w:start w:val="1"/>
        <w:numFmt w:val="decimal"/>
        <w:lvlRestart w:val="1"/>
        <w:pStyle w:val="ChartMainHeading"/>
        <w:suff w:val="space"/>
        <w:lvlText w:val="Chart %1.%8"/>
        <w:lvlJc w:val="left"/>
        <w:pPr>
          <w:ind w:left="142" w:firstLine="0"/>
        </w:pPr>
        <w:rPr>
          <w:rFonts w:hint="default"/>
        </w:rPr>
      </w:lvl>
    </w:lvlOverride>
    <w:lvlOverride w:ilvl="8">
      <w:startOverride w:val="1"/>
      <w:lvl w:ilvl="8">
        <w:start w:val="1"/>
        <w:numFmt w:val="decimal"/>
        <w:lvlRestart w:val="1"/>
        <w:pStyle w:val="TableMainHeading"/>
        <w:suff w:val="space"/>
        <w:lvlText w:val="Table %1.%9"/>
        <w:lvlJc w:val="left"/>
        <w:pPr>
          <w:ind w:left="0" w:firstLine="0"/>
        </w:pPr>
        <w:rPr>
          <w:rFonts w:hint="default"/>
        </w:rPr>
      </w:lvl>
    </w:lvlOverride>
  </w:num>
  <w:num w:numId="29" w16cid:durableId="700328673">
    <w:abstractNumId w:val="3"/>
    <w:lvlOverride w:ilvl="0">
      <w:startOverride w:val="5"/>
      <w:lvl w:ilvl="0">
        <w:start w:val="5"/>
        <w:numFmt w:val="decimal"/>
        <w:pStyle w:val="Heading1Numbered"/>
        <w:lvlText w:val="Chapter %1"/>
        <w:lvlJc w:val="left"/>
        <w:pPr>
          <w:ind w:left="0" w:firstLine="0"/>
        </w:pPr>
        <w:rPr>
          <w:rFonts w:hint="default"/>
        </w:rPr>
      </w:lvl>
    </w:lvlOverride>
    <w:lvlOverride w:ilvl="1">
      <w:startOverride w:val="5"/>
      <w:lvl w:ilvl="1">
        <w:start w:val="5"/>
        <w:numFmt w:val="decimal"/>
        <w:pStyle w:val="Heading2Numbered"/>
        <w:lvlText w:val="%1.%2"/>
        <w:lvlJc w:val="left"/>
        <w:pPr>
          <w:ind w:left="1134" w:hanging="1134"/>
        </w:pPr>
        <w:rPr>
          <w:rFonts w:hint="default"/>
        </w:rPr>
      </w:lvl>
    </w:lvlOverride>
    <w:lvlOverride w:ilvl="2">
      <w:startOverride w:val="3"/>
      <w:lvl w:ilvl="2">
        <w:start w:val="3"/>
        <w:numFmt w:val="decimal"/>
        <w:pStyle w:val="Heading3Numbered"/>
        <w:lvlText w:val="%1.%2.%3"/>
        <w:lvlJc w:val="left"/>
        <w:pPr>
          <w:ind w:left="1134" w:hanging="1134"/>
        </w:pPr>
        <w:rPr>
          <w:rFonts w:hint="default"/>
        </w:rPr>
      </w:lvl>
    </w:lvlOverride>
    <w:lvlOverride w:ilvl="3">
      <w:startOverride w:val="1"/>
      <w:lvl w:ilvl="3">
        <w:start w:val="1"/>
        <w:numFmt w:val="decimal"/>
        <w:lvlText w:val="%1.%2.%3.%4"/>
        <w:lvlJc w:val="left"/>
        <w:pPr>
          <w:ind w:left="1134" w:hanging="1134"/>
        </w:pPr>
        <w:rPr>
          <w:rFonts w:hint="default"/>
        </w:rPr>
      </w:lvl>
    </w:lvlOverride>
    <w:lvlOverride w:ilvl="4">
      <w:startOverride w:val="1"/>
      <w:lvl w:ilvl="4">
        <w:start w:val="1"/>
        <w:numFmt w:val="decimal"/>
        <w:lvlText w:val="%1.%2.%3.%4.%5"/>
        <w:lvlJc w:val="left"/>
        <w:pPr>
          <w:ind w:left="1701" w:hanging="1701"/>
        </w:pPr>
        <w:rPr>
          <w:rFonts w:hint="default"/>
        </w:rPr>
      </w:lvl>
    </w:lvlOverride>
    <w:lvlOverride w:ilvl="5">
      <w:startOverride w:val="1"/>
      <w:lvl w:ilvl="5">
        <w:start w:val="1"/>
        <w:numFmt w:val="decimal"/>
        <w:lvlRestart w:val="1"/>
        <w:pStyle w:val="BoxHeadingBox11"/>
        <w:suff w:val="space"/>
        <w:lvlText w:val="Box %1.%6"/>
        <w:lvlJc w:val="left"/>
        <w:pPr>
          <w:ind w:left="0" w:firstLine="0"/>
        </w:pPr>
        <w:rPr>
          <w:rFonts w:hint="default"/>
        </w:rPr>
      </w:lvl>
    </w:lvlOverride>
    <w:lvlOverride w:ilvl="6">
      <w:startOverride w:val="1"/>
      <w:lvl w:ilvl="6">
        <w:start w:val="1"/>
        <w:numFmt w:val="decimal"/>
        <w:lvlRestart w:val="1"/>
        <w:pStyle w:val="FigureMainheading"/>
        <w:suff w:val="space"/>
        <w:lvlText w:val="Figure %1.%7"/>
        <w:lvlJc w:val="left"/>
        <w:pPr>
          <w:ind w:left="0" w:firstLine="0"/>
        </w:pPr>
        <w:rPr>
          <w:rFonts w:hint="default"/>
        </w:rPr>
      </w:lvl>
    </w:lvlOverride>
    <w:lvlOverride w:ilvl="7">
      <w:startOverride w:val="1"/>
      <w:lvl w:ilvl="7">
        <w:start w:val="1"/>
        <w:numFmt w:val="decimal"/>
        <w:lvlRestart w:val="1"/>
        <w:pStyle w:val="ChartMainHeading"/>
        <w:suff w:val="space"/>
        <w:lvlText w:val="Chart %1.%8"/>
        <w:lvlJc w:val="left"/>
        <w:pPr>
          <w:ind w:left="142" w:firstLine="0"/>
        </w:pPr>
        <w:rPr>
          <w:rFonts w:hint="default"/>
        </w:rPr>
      </w:lvl>
    </w:lvlOverride>
    <w:lvlOverride w:ilvl="8">
      <w:startOverride w:val="1"/>
      <w:lvl w:ilvl="8">
        <w:start w:val="1"/>
        <w:numFmt w:val="decimal"/>
        <w:lvlRestart w:val="1"/>
        <w:pStyle w:val="TableMainHeading"/>
        <w:suff w:val="space"/>
        <w:lvlText w:val="Table %1.%9"/>
        <w:lvlJc w:val="left"/>
        <w:pPr>
          <w:ind w:left="0" w:firstLine="0"/>
        </w:pPr>
        <w:rPr>
          <w:rFonts w:hint="default"/>
        </w:rPr>
      </w:lvl>
    </w:lvlOverride>
  </w:num>
  <w:num w:numId="30" w16cid:durableId="895507008">
    <w:abstractNumId w:val="3"/>
    <w:lvlOverride w:ilvl="0">
      <w:startOverride w:val="5"/>
      <w:lvl w:ilvl="0">
        <w:start w:val="5"/>
        <w:numFmt w:val="decimal"/>
        <w:pStyle w:val="Heading1Numbered"/>
        <w:lvlText w:val="Chapter %1"/>
        <w:lvlJc w:val="left"/>
        <w:pPr>
          <w:ind w:left="0" w:firstLine="0"/>
        </w:pPr>
        <w:rPr>
          <w:rFonts w:hint="default"/>
        </w:rPr>
      </w:lvl>
    </w:lvlOverride>
    <w:lvlOverride w:ilvl="1">
      <w:startOverride w:val="5"/>
      <w:lvl w:ilvl="1">
        <w:start w:val="5"/>
        <w:numFmt w:val="decimal"/>
        <w:pStyle w:val="Heading2Numbered"/>
        <w:lvlText w:val="%1.%2"/>
        <w:lvlJc w:val="left"/>
        <w:pPr>
          <w:ind w:left="1134" w:hanging="1134"/>
        </w:pPr>
        <w:rPr>
          <w:rFonts w:hint="default"/>
        </w:rPr>
      </w:lvl>
    </w:lvlOverride>
    <w:lvlOverride w:ilvl="2">
      <w:startOverride w:val="3"/>
      <w:lvl w:ilvl="2">
        <w:start w:val="3"/>
        <w:numFmt w:val="decimal"/>
        <w:pStyle w:val="Heading3Numbered"/>
        <w:lvlText w:val="%1.%2.%3"/>
        <w:lvlJc w:val="left"/>
        <w:pPr>
          <w:ind w:left="1134" w:hanging="1134"/>
        </w:pPr>
        <w:rPr>
          <w:rFonts w:hint="default"/>
        </w:rPr>
      </w:lvl>
    </w:lvlOverride>
    <w:lvlOverride w:ilvl="3">
      <w:startOverride w:val="1"/>
      <w:lvl w:ilvl="3">
        <w:start w:val="1"/>
        <w:numFmt w:val="decimal"/>
        <w:lvlText w:val="%1.%2.%3.%4"/>
        <w:lvlJc w:val="left"/>
        <w:pPr>
          <w:ind w:left="1134" w:hanging="1134"/>
        </w:pPr>
        <w:rPr>
          <w:rFonts w:hint="default"/>
        </w:rPr>
      </w:lvl>
    </w:lvlOverride>
    <w:lvlOverride w:ilvl="4">
      <w:startOverride w:val="1"/>
      <w:lvl w:ilvl="4">
        <w:start w:val="1"/>
        <w:numFmt w:val="decimal"/>
        <w:lvlText w:val="%1.%2.%3.%4.%5"/>
        <w:lvlJc w:val="left"/>
        <w:pPr>
          <w:ind w:left="1701" w:hanging="1701"/>
        </w:pPr>
        <w:rPr>
          <w:rFonts w:hint="default"/>
        </w:rPr>
      </w:lvl>
    </w:lvlOverride>
    <w:lvlOverride w:ilvl="5">
      <w:startOverride w:val="1"/>
      <w:lvl w:ilvl="5">
        <w:start w:val="1"/>
        <w:numFmt w:val="decimal"/>
        <w:lvlRestart w:val="1"/>
        <w:pStyle w:val="BoxHeadingBox11"/>
        <w:suff w:val="space"/>
        <w:lvlText w:val="Box %1.%6"/>
        <w:lvlJc w:val="left"/>
        <w:pPr>
          <w:ind w:left="0" w:firstLine="0"/>
        </w:pPr>
        <w:rPr>
          <w:rFonts w:hint="default"/>
        </w:rPr>
      </w:lvl>
    </w:lvlOverride>
    <w:lvlOverride w:ilvl="6">
      <w:startOverride w:val="1"/>
      <w:lvl w:ilvl="6">
        <w:start w:val="1"/>
        <w:numFmt w:val="decimal"/>
        <w:lvlRestart w:val="1"/>
        <w:pStyle w:val="FigureMainheading"/>
        <w:suff w:val="space"/>
        <w:lvlText w:val="Figure %1.%7"/>
        <w:lvlJc w:val="left"/>
        <w:pPr>
          <w:ind w:left="0" w:firstLine="0"/>
        </w:pPr>
        <w:rPr>
          <w:rFonts w:hint="default"/>
        </w:rPr>
      </w:lvl>
    </w:lvlOverride>
    <w:lvlOverride w:ilvl="7">
      <w:startOverride w:val="1"/>
      <w:lvl w:ilvl="7">
        <w:start w:val="1"/>
        <w:numFmt w:val="decimal"/>
        <w:lvlRestart w:val="1"/>
        <w:pStyle w:val="ChartMainHeading"/>
        <w:suff w:val="space"/>
        <w:lvlText w:val="Chart %1.%8"/>
        <w:lvlJc w:val="left"/>
        <w:pPr>
          <w:ind w:left="0" w:firstLine="0"/>
        </w:pPr>
        <w:rPr>
          <w:rFonts w:hint="default"/>
        </w:rPr>
      </w:lvl>
    </w:lvlOverride>
    <w:lvlOverride w:ilvl="8">
      <w:startOverride w:val="1"/>
      <w:lvl w:ilvl="8">
        <w:start w:val="1"/>
        <w:numFmt w:val="decimal"/>
        <w:lvlRestart w:val="1"/>
        <w:pStyle w:val="TableMainHeading"/>
        <w:suff w:val="space"/>
        <w:lvlText w:val="Table %1.%9"/>
        <w:lvlJc w:val="left"/>
        <w:pPr>
          <w:ind w:left="0" w:firstLine="0"/>
        </w:pPr>
        <w:rPr>
          <w:rFonts w:hint="default"/>
        </w:rPr>
      </w:lvl>
    </w:lvlOverride>
  </w:num>
  <w:num w:numId="31" w16cid:durableId="1887984969">
    <w:abstractNumId w:val="15"/>
  </w:num>
  <w:num w:numId="32" w16cid:durableId="670645922">
    <w:abstractNumId w:val="4"/>
  </w:num>
  <w:num w:numId="33" w16cid:durableId="1238855946">
    <w:abstractNumId w:val="12"/>
  </w:num>
  <w:num w:numId="34" w16cid:durableId="1214270483">
    <w:abstractNumId w:val="13"/>
  </w:num>
  <w:num w:numId="35" w16cid:durableId="1227565142">
    <w:abstractNumId w:val="1"/>
  </w:num>
  <w:num w:numId="36" w16cid:durableId="379138622">
    <w:abstractNumId w:val="14"/>
  </w:num>
  <w:num w:numId="37" w16cid:durableId="1654795348">
    <w:abstractNumId w:val="20"/>
  </w:num>
  <w:num w:numId="38" w16cid:durableId="2135782289">
    <w:abstractNumId w:val="5"/>
  </w:num>
  <w:num w:numId="39" w16cid:durableId="1317222298">
    <w:abstractNumId w:val="17"/>
  </w:num>
  <w:num w:numId="40" w16cid:durableId="2038113744">
    <w:abstractNumId w:val="18"/>
  </w:num>
  <w:num w:numId="41" w16cid:durableId="600990763">
    <w:abstractNumId w:val="7"/>
  </w:num>
  <w:num w:numId="42" w16cid:durableId="309528763">
    <w:abstractNumId w:val="3"/>
  </w:num>
  <w:num w:numId="43" w16cid:durableId="447894251">
    <w:abstractNumId w:val="16"/>
  </w:num>
  <w:num w:numId="44" w16cid:durableId="8476444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removePersonalInformation/>
  <w:removeDateAndTime/>
  <w:proofState w:spelling="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989"/>
    <w:rsid w:val="0000005A"/>
    <w:rsid w:val="000000FB"/>
    <w:rsid w:val="00000149"/>
    <w:rsid w:val="00000217"/>
    <w:rsid w:val="000006BE"/>
    <w:rsid w:val="000006F2"/>
    <w:rsid w:val="000006FC"/>
    <w:rsid w:val="0000072F"/>
    <w:rsid w:val="00000798"/>
    <w:rsid w:val="00000836"/>
    <w:rsid w:val="0000098E"/>
    <w:rsid w:val="00000C2F"/>
    <w:rsid w:val="00000CBE"/>
    <w:rsid w:val="00000E52"/>
    <w:rsid w:val="00000E81"/>
    <w:rsid w:val="00000FAE"/>
    <w:rsid w:val="00001050"/>
    <w:rsid w:val="000011A4"/>
    <w:rsid w:val="000012EA"/>
    <w:rsid w:val="00001322"/>
    <w:rsid w:val="000013C3"/>
    <w:rsid w:val="000014A1"/>
    <w:rsid w:val="0000151D"/>
    <w:rsid w:val="00001706"/>
    <w:rsid w:val="00001789"/>
    <w:rsid w:val="000018A9"/>
    <w:rsid w:val="00001919"/>
    <w:rsid w:val="00001A4B"/>
    <w:rsid w:val="00001AA4"/>
    <w:rsid w:val="00001AAA"/>
    <w:rsid w:val="00001B4C"/>
    <w:rsid w:val="000020BB"/>
    <w:rsid w:val="0000211A"/>
    <w:rsid w:val="0000213B"/>
    <w:rsid w:val="00002775"/>
    <w:rsid w:val="000027B7"/>
    <w:rsid w:val="0000296A"/>
    <w:rsid w:val="00002A7D"/>
    <w:rsid w:val="00002BFA"/>
    <w:rsid w:val="00002C24"/>
    <w:rsid w:val="00002C62"/>
    <w:rsid w:val="00002D7F"/>
    <w:rsid w:val="00002E6A"/>
    <w:rsid w:val="00002F1E"/>
    <w:rsid w:val="00002FFC"/>
    <w:rsid w:val="00003053"/>
    <w:rsid w:val="000030A9"/>
    <w:rsid w:val="00003308"/>
    <w:rsid w:val="0000330D"/>
    <w:rsid w:val="0000350B"/>
    <w:rsid w:val="00003546"/>
    <w:rsid w:val="00003665"/>
    <w:rsid w:val="00003725"/>
    <w:rsid w:val="00003776"/>
    <w:rsid w:val="00003840"/>
    <w:rsid w:val="0000388D"/>
    <w:rsid w:val="00003A93"/>
    <w:rsid w:val="00003DC0"/>
    <w:rsid w:val="00003E97"/>
    <w:rsid w:val="00003EA2"/>
    <w:rsid w:val="00003F64"/>
    <w:rsid w:val="00003F6D"/>
    <w:rsid w:val="00003F80"/>
    <w:rsid w:val="00004095"/>
    <w:rsid w:val="00004160"/>
    <w:rsid w:val="00004349"/>
    <w:rsid w:val="00004386"/>
    <w:rsid w:val="0000453A"/>
    <w:rsid w:val="0000458E"/>
    <w:rsid w:val="000048DF"/>
    <w:rsid w:val="000048F3"/>
    <w:rsid w:val="00004A5E"/>
    <w:rsid w:val="00004AA6"/>
    <w:rsid w:val="00004DAE"/>
    <w:rsid w:val="00004EE6"/>
    <w:rsid w:val="00004F15"/>
    <w:rsid w:val="00004FC0"/>
    <w:rsid w:val="00005225"/>
    <w:rsid w:val="000052C4"/>
    <w:rsid w:val="00005316"/>
    <w:rsid w:val="00005431"/>
    <w:rsid w:val="00005508"/>
    <w:rsid w:val="000057B0"/>
    <w:rsid w:val="00005B0F"/>
    <w:rsid w:val="00005B73"/>
    <w:rsid w:val="00005C3A"/>
    <w:rsid w:val="00005C6C"/>
    <w:rsid w:val="00005CA6"/>
    <w:rsid w:val="00005CD4"/>
    <w:rsid w:val="00005D46"/>
    <w:rsid w:val="00005E3D"/>
    <w:rsid w:val="000061B0"/>
    <w:rsid w:val="00006201"/>
    <w:rsid w:val="000062DC"/>
    <w:rsid w:val="00006362"/>
    <w:rsid w:val="000063DF"/>
    <w:rsid w:val="00006416"/>
    <w:rsid w:val="0000649D"/>
    <w:rsid w:val="000066FE"/>
    <w:rsid w:val="00006873"/>
    <w:rsid w:val="00006878"/>
    <w:rsid w:val="00006942"/>
    <w:rsid w:val="0000698F"/>
    <w:rsid w:val="000069E9"/>
    <w:rsid w:val="00006AA7"/>
    <w:rsid w:val="00006BC2"/>
    <w:rsid w:val="00006D52"/>
    <w:rsid w:val="00006DD6"/>
    <w:rsid w:val="00006ED7"/>
    <w:rsid w:val="00006EDD"/>
    <w:rsid w:val="0000715F"/>
    <w:rsid w:val="00007196"/>
    <w:rsid w:val="00007211"/>
    <w:rsid w:val="00007255"/>
    <w:rsid w:val="00007285"/>
    <w:rsid w:val="00007348"/>
    <w:rsid w:val="0000734F"/>
    <w:rsid w:val="000073C9"/>
    <w:rsid w:val="000073D9"/>
    <w:rsid w:val="00007558"/>
    <w:rsid w:val="0000777B"/>
    <w:rsid w:val="0000793A"/>
    <w:rsid w:val="00007ADB"/>
    <w:rsid w:val="00007C02"/>
    <w:rsid w:val="00007D11"/>
    <w:rsid w:val="00007E17"/>
    <w:rsid w:val="00007F21"/>
    <w:rsid w:val="00007F6B"/>
    <w:rsid w:val="000100E9"/>
    <w:rsid w:val="000101C4"/>
    <w:rsid w:val="00010286"/>
    <w:rsid w:val="00010474"/>
    <w:rsid w:val="00010496"/>
    <w:rsid w:val="00010654"/>
    <w:rsid w:val="00010837"/>
    <w:rsid w:val="0001088A"/>
    <w:rsid w:val="00010941"/>
    <w:rsid w:val="00010A38"/>
    <w:rsid w:val="00010D22"/>
    <w:rsid w:val="00010D9A"/>
    <w:rsid w:val="00010ECC"/>
    <w:rsid w:val="000110E3"/>
    <w:rsid w:val="000110F7"/>
    <w:rsid w:val="00011195"/>
    <w:rsid w:val="000112DA"/>
    <w:rsid w:val="0001132A"/>
    <w:rsid w:val="000113A1"/>
    <w:rsid w:val="00011541"/>
    <w:rsid w:val="00011725"/>
    <w:rsid w:val="0001185E"/>
    <w:rsid w:val="000119D8"/>
    <w:rsid w:val="00011B57"/>
    <w:rsid w:val="00011BDE"/>
    <w:rsid w:val="00011C6D"/>
    <w:rsid w:val="00011DF1"/>
    <w:rsid w:val="00011F01"/>
    <w:rsid w:val="00011F51"/>
    <w:rsid w:val="00012011"/>
    <w:rsid w:val="00012022"/>
    <w:rsid w:val="0001215A"/>
    <w:rsid w:val="0001215C"/>
    <w:rsid w:val="00012274"/>
    <w:rsid w:val="0001230D"/>
    <w:rsid w:val="0001240F"/>
    <w:rsid w:val="0001244E"/>
    <w:rsid w:val="0001250C"/>
    <w:rsid w:val="000126E5"/>
    <w:rsid w:val="0001271F"/>
    <w:rsid w:val="00012851"/>
    <w:rsid w:val="000128AD"/>
    <w:rsid w:val="000128BA"/>
    <w:rsid w:val="000128EB"/>
    <w:rsid w:val="00012927"/>
    <w:rsid w:val="00012A10"/>
    <w:rsid w:val="00012B33"/>
    <w:rsid w:val="00012BB6"/>
    <w:rsid w:val="00012C62"/>
    <w:rsid w:val="00012D7C"/>
    <w:rsid w:val="00012EAE"/>
    <w:rsid w:val="00012EC0"/>
    <w:rsid w:val="00012EE1"/>
    <w:rsid w:val="00013060"/>
    <w:rsid w:val="00013306"/>
    <w:rsid w:val="00013333"/>
    <w:rsid w:val="000135B2"/>
    <w:rsid w:val="000135E8"/>
    <w:rsid w:val="00013611"/>
    <w:rsid w:val="000136CE"/>
    <w:rsid w:val="0001374A"/>
    <w:rsid w:val="0001381E"/>
    <w:rsid w:val="0001382D"/>
    <w:rsid w:val="000138B7"/>
    <w:rsid w:val="0001396A"/>
    <w:rsid w:val="00013987"/>
    <w:rsid w:val="00013A73"/>
    <w:rsid w:val="00013ABC"/>
    <w:rsid w:val="00013BC3"/>
    <w:rsid w:val="00013C3C"/>
    <w:rsid w:val="00013C86"/>
    <w:rsid w:val="00013D67"/>
    <w:rsid w:val="00013DF1"/>
    <w:rsid w:val="00014046"/>
    <w:rsid w:val="00014065"/>
    <w:rsid w:val="00014090"/>
    <w:rsid w:val="000140A8"/>
    <w:rsid w:val="0001411E"/>
    <w:rsid w:val="000141FD"/>
    <w:rsid w:val="0001420B"/>
    <w:rsid w:val="0001439F"/>
    <w:rsid w:val="000143C6"/>
    <w:rsid w:val="000143C7"/>
    <w:rsid w:val="000144AE"/>
    <w:rsid w:val="000145AD"/>
    <w:rsid w:val="0001462D"/>
    <w:rsid w:val="00014718"/>
    <w:rsid w:val="000148F1"/>
    <w:rsid w:val="000148F2"/>
    <w:rsid w:val="0001492A"/>
    <w:rsid w:val="00014A54"/>
    <w:rsid w:val="00014B2D"/>
    <w:rsid w:val="00014B46"/>
    <w:rsid w:val="00014BF1"/>
    <w:rsid w:val="00014F6E"/>
    <w:rsid w:val="00014F7A"/>
    <w:rsid w:val="000151F2"/>
    <w:rsid w:val="000151F3"/>
    <w:rsid w:val="00015391"/>
    <w:rsid w:val="000153E1"/>
    <w:rsid w:val="00015614"/>
    <w:rsid w:val="000156BD"/>
    <w:rsid w:val="000156FF"/>
    <w:rsid w:val="00015799"/>
    <w:rsid w:val="0001583A"/>
    <w:rsid w:val="00015BBA"/>
    <w:rsid w:val="00015CD2"/>
    <w:rsid w:val="00015CDF"/>
    <w:rsid w:val="00015D1E"/>
    <w:rsid w:val="00015E5A"/>
    <w:rsid w:val="00015EC2"/>
    <w:rsid w:val="000160CB"/>
    <w:rsid w:val="000162F9"/>
    <w:rsid w:val="00016364"/>
    <w:rsid w:val="0001637C"/>
    <w:rsid w:val="000164FF"/>
    <w:rsid w:val="000165E1"/>
    <w:rsid w:val="000165FA"/>
    <w:rsid w:val="00016723"/>
    <w:rsid w:val="000167A2"/>
    <w:rsid w:val="000168F6"/>
    <w:rsid w:val="00016938"/>
    <w:rsid w:val="00016A2E"/>
    <w:rsid w:val="00016AF2"/>
    <w:rsid w:val="00016B5B"/>
    <w:rsid w:val="00016B7F"/>
    <w:rsid w:val="00016D89"/>
    <w:rsid w:val="00016FB9"/>
    <w:rsid w:val="00017144"/>
    <w:rsid w:val="000171F4"/>
    <w:rsid w:val="000172CA"/>
    <w:rsid w:val="000173C5"/>
    <w:rsid w:val="0001741D"/>
    <w:rsid w:val="000174A9"/>
    <w:rsid w:val="00017516"/>
    <w:rsid w:val="000175E7"/>
    <w:rsid w:val="00017666"/>
    <w:rsid w:val="000177A3"/>
    <w:rsid w:val="000177C4"/>
    <w:rsid w:val="0001797F"/>
    <w:rsid w:val="00017984"/>
    <w:rsid w:val="00017B2F"/>
    <w:rsid w:val="00017C93"/>
    <w:rsid w:val="00020027"/>
    <w:rsid w:val="00020044"/>
    <w:rsid w:val="00020099"/>
    <w:rsid w:val="000200B9"/>
    <w:rsid w:val="000200D3"/>
    <w:rsid w:val="000202B5"/>
    <w:rsid w:val="0002046A"/>
    <w:rsid w:val="00020528"/>
    <w:rsid w:val="0002053E"/>
    <w:rsid w:val="000207A7"/>
    <w:rsid w:val="000208AA"/>
    <w:rsid w:val="00020990"/>
    <w:rsid w:val="00020D15"/>
    <w:rsid w:val="00020D22"/>
    <w:rsid w:val="00020DB0"/>
    <w:rsid w:val="00021048"/>
    <w:rsid w:val="0002106F"/>
    <w:rsid w:val="0002119C"/>
    <w:rsid w:val="0002120E"/>
    <w:rsid w:val="000212FD"/>
    <w:rsid w:val="000213CE"/>
    <w:rsid w:val="000213D1"/>
    <w:rsid w:val="0002161B"/>
    <w:rsid w:val="00021686"/>
    <w:rsid w:val="0002169D"/>
    <w:rsid w:val="00021A8D"/>
    <w:rsid w:val="00021AB5"/>
    <w:rsid w:val="00021B35"/>
    <w:rsid w:val="00021BDA"/>
    <w:rsid w:val="00021C9A"/>
    <w:rsid w:val="00021D5C"/>
    <w:rsid w:val="00021DC7"/>
    <w:rsid w:val="00021E8C"/>
    <w:rsid w:val="00021F02"/>
    <w:rsid w:val="00022253"/>
    <w:rsid w:val="00022290"/>
    <w:rsid w:val="000222CB"/>
    <w:rsid w:val="000222FB"/>
    <w:rsid w:val="00022349"/>
    <w:rsid w:val="00022465"/>
    <w:rsid w:val="0002247C"/>
    <w:rsid w:val="000225D2"/>
    <w:rsid w:val="000226FC"/>
    <w:rsid w:val="00022728"/>
    <w:rsid w:val="0002275A"/>
    <w:rsid w:val="00022B08"/>
    <w:rsid w:val="00022CCD"/>
    <w:rsid w:val="00022D4E"/>
    <w:rsid w:val="00022D83"/>
    <w:rsid w:val="00022EB4"/>
    <w:rsid w:val="00022F24"/>
    <w:rsid w:val="00023211"/>
    <w:rsid w:val="00023294"/>
    <w:rsid w:val="00023447"/>
    <w:rsid w:val="00023486"/>
    <w:rsid w:val="00023536"/>
    <w:rsid w:val="0002354B"/>
    <w:rsid w:val="0002367B"/>
    <w:rsid w:val="0002370D"/>
    <w:rsid w:val="00023942"/>
    <w:rsid w:val="00023A4B"/>
    <w:rsid w:val="00023BFA"/>
    <w:rsid w:val="00023C43"/>
    <w:rsid w:val="00023CCD"/>
    <w:rsid w:val="00023DA7"/>
    <w:rsid w:val="00023E89"/>
    <w:rsid w:val="00023F1B"/>
    <w:rsid w:val="00023F4F"/>
    <w:rsid w:val="00024084"/>
    <w:rsid w:val="000240C8"/>
    <w:rsid w:val="000242A5"/>
    <w:rsid w:val="0002445E"/>
    <w:rsid w:val="000244B8"/>
    <w:rsid w:val="0002463D"/>
    <w:rsid w:val="00024729"/>
    <w:rsid w:val="000248AB"/>
    <w:rsid w:val="00024943"/>
    <w:rsid w:val="00024AF8"/>
    <w:rsid w:val="00024B19"/>
    <w:rsid w:val="00024B83"/>
    <w:rsid w:val="00024C1A"/>
    <w:rsid w:val="00024D0D"/>
    <w:rsid w:val="00024D91"/>
    <w:rsid w:val="00024E9F"/>
    <w:rsid w:val="00024F09"/>
    <w:rsid w:val="00024FA9"/>
    <w:rsid w:val="00024FDE"/>
    <w:rsid w:val="00025066"/>
    <w:rsid w:val="00025165"/>
    <w:rsid w:val="000252BC"/>
    <w:rsid w:val="0002544D"/>
    <w:rsid w:val="000257A5"/>
    <w:rsid w:val="00025D9D"/>
    <w:rsid w:val="00025EDB"/>
    <w:rsid w:val="00026048"/>
    <w:rsid w:val="00026150"/>
    <w:rsid w:val="00026361"/>
    <w:rsid w:val="00026578"/>
    <w:rsid w:val="000267E7"/>
    <w:rsid w:val="00026C07"/>
    <w:rsid w:val="00026CEB"/>
    <w:rsid w:val="00026DAA"/>
    <w:rsid w:val="00026ED0"/>
    <w:rsid w:val="00026F08"/>
    <w:rsid w:val="00026F60"/>
    <w:rsid w:val="000271D3"/>
    <w:rsid w:val="0002720D"/>
    <w:rsid w:val="0002725F"/>
    <w:rsid w:val="000273D8"/>
    <w:rsid w:val="0002741D"/>
    <w:rsid w:val="00027504"/>
    <w:rsid w:val="00027536"/>
    <w:rsid w:val="000276FB"/>
    <w:rsid w:val="0002774C"/>
    <w:rsid w:val="00027754"/>
    <w:rsid w:val="0002775C"/>
    <w:rsid w:val="000278D0"/>
    <w:rsid w:val="00027928"/>
    <w:rsid w:val="0002798B"/>
    <w:rsid w:val="000279CF"/>
    <w:rsid w:val="00027A63"/>
    <w:rsid w:val="00027AB5"/>
    <w:rsid w:val="00027D28"/>
    <w:rsid w:val="00027D4B"/>
    <w:rsid w:val="00027D98"/>
    <w:rsid w:val="00027DF3"/>
    <w:rsid w:val="00027F63"/>
    <w:rsid w:val="00027F98"/>
    <w:rsid w:val="00030090"/>
    <w:rsid w:val="00030147"/>
    <w:rsid w:val="000301C8"/>
    <w:rsid w:val="00030292"/>
    <w:rsid w:val="0003036D"/>
    <w:rsid w:val="00030464"/>
    <w:rsid w:val="00030948"/>
    <w:rsid w:val="000309DD"/>
    <w:rsid w:val="00030A71"/>
    <w:rsid w:val="00030C49"/>
    <w:rsid w:val="00030E44"/>
    <w:rsid w:val="00030F67"/>
    <w:rsid w:val="00030FF6"/>
    <w:rsid w:val="00031046"/>
    <w:rsid w:val="0003105D"/>
    <w:rsid w:val="0003124A"/>
    <w:rsid w:val="0003126D"/>
    <w:rsid w:val="00031369"/>
    <w:rsid w:val="0003174A"/>
    <w:rsid w:val="000317B1"/>
    <w:rsid w:val="0003187F"/>
    <w:rsid w:val="00031A4F"/>
    <w:rsid w:val="00031AD4"/>
    <w:rsid w:val="00031C09"/>
    <w:rsid w:val="00031C97"/>
    <w:rsid w:val="00031CE5"/>
    <w:rsid w:val="00031EAE"/>
    <w:rsid w:val="00031F05"/>
    <w:rsid w:val="00031F1F"/>
    <w:rsid w:val="00032102"/>
    <w:rsid w:val="00032175"/>
    <w:rsid w:val="00032210"/>
    <w:rsid w:val="00032249"/>
    <w:rsid w:val="00032344"/>
    <w:rsid w:val="00032422"/>
    <w:rsid w:val="00032433"/>
    <w:rsid w:val="000324A8"/>
    <w:rsid w:val="00032512"/>
    <w:rsid w:val="0003276C"/>
    <w:rsid w:val="00032879"/>
    <w:rsid w:val="000328BB"/>
    <w:rsid w:val="00032958"/>
    <w:rsid w:val="000329FF"/>
    <w:rsid w:val="00032C2F"/>
    <w:rsid w:val="00032CD7"/>
    <w:rsid w:val="00032F41"/>
    <w:rsid w:val="00032FBC"/>
    <w:rsid w:val="00033308"/>
    <w:rsid w:val="0003335C"/>
    <w:rsid w:val="00033402"/>
    <w:rsid w:val="0003363E"/>
    <w:rsid w:val="0003381B"/>
    <w:rsid w:val="000339BB"/>
    <w:rsid w:val="00033A72"/>
    <w:rsid w:val="00033BBD"/>
    <w:rsid w:val="00033DB4"/>
    <w:rsid w:val="00034241"/>
    <w:rsid w:val="0003425C"/>
    <w:rsid w:val="000343EB"/>
    <w:rsid w:val="0003446E"/>
    <w:rsid w:val="00034623"/>
    <w:rsid w:val="00034AA2"/>
    <w:rsid w:val="00034C32"/>
    <w:rsid w:val="00034C93"/>
    <w:rsid w:val="00034DCE"/>
    <w:rsid w:val="00034E48"/>
    <w:rsid w:val="00034F5C"/>
    <w:rsid w:val="000350FF"/>
    <w:rsid w:val="000352D6"/>
    <w:rsid w:val="000353FB"/>
    <w:rsid w:val="0003540B"/>
    <w:rsid w:val="00035457"/>
    <w:rsid w:val="000356E8"/>
    <w:rsid w:val="00035748"/>
    <w:rsid w:val="000358B4"/>
    <w:rsid w:val="000359E8"/>
    <w:rsid w:val="00035B0D"/>
    <w:rsid w:val="00035B7C"/>
    <w:rsid w:val="00035D74"/>
    <w:rsid w:val="00035DB3"/>
    <w:rsid w:val="00035DFD"/>
    <w:rsid w:val="00035FBB"/>
    <w:rsid w:val="0003633B"/>
    <w:rsid w:val="000363D9"/>
    <w:rsid w:val="00036444"/>
    <w:rsid w:val="0003655E"/>
    <w:rsid w:val="000365CA"/>
    <w:rsid w:val="000366AA"/>
    <w:rsid w:val="000368B0"/>
    <w:rsid w:val="000368D1"/>
    <w:rsid w:val="00036914"/>
    <w:rsid w:val="00036AA6"/>
    <w:rsid w:val="00037076"/>
    <w:rsid w:val="00037167"/>
    <w:rsid w:val="000374C9"/>
    <w:rsid w:val="00037521"/>
    <w:rsid w:val="000375E7"/>
    <w:rsid w:val="000378A9"/>
    <w:rsid w:val="000379D6"/>
    <w:rsid w:val="00037B80"/>
    <w:rsid w:val="00037D06"/>
    <w:rsid w:val="00037D30"/>
    <w:rsid w:val="00037E9E"/>
    <w:rsid w:val="00037F3D"/>
    <w:rsid w:val="00040120"/>
    <w:rsid w:val="00040378"/>
    <w:rsid w:val="0004054C"/>
    <w:rsid w:val="00040792"/>
    <w:rsid w:val="00040803"/>
    <w:rsid w:val="000408AF"/>
    <w:rsid w:val="00040B6E"/>
    <w:rsid w:val="00040C5E"/>
    <w:rsid w:val="00040D18"/>
    <w:rsid w:val="00040D3A"/>
    <w:rsid w:val="00040F3A"/>
    <w:rsid w:val="00041012"/>
    <w:rsid w:val="000410E2"/>
    <w:rsid w:val="00041121"/>
    <w:rsid w:val="00041189"/>
    <w:rsid w:val="000411B9"/>
    <w:rsid w:val="000414E8"/>
    <w:rsid w:val="0004167D"/>
    <w:rsid w:val="000416F7"/>
    <w:rsid w:val="0004179C"/>
    <w:rsid w:val="00041914"/>
    <w:rsid w:val="00041A79"/>
    <w:rsid w:val="00041AD9"/>
    <w:rsid w:val="00041DA5"/>
    <w:rsid w:val="00041E7C"/>
    <w:rsid w:val="00041EE8"/>
    <w:rsid w:val="00041F0F"/>
    <w:rsid w:val="000420C7"/>
    <w:rsid w:val="0004222B"/>
    <w:rsid w:val="0004274D"/>
    <w:rsid w:val="00042820"/>
    <w:rsid w:val="00042896"/>
    <w:rsid w:val="00042BB0"/>
    <w:rsid w:val="00042BCA"/>
    <w:rsid w:val="00042C9B"/>
    <w:rsid w:val="00042CFE"/>
    <w:rsid w:val="00042E1F"/>
    <w:rsid w:val="00043049"/>
    <w:rsid w:val="000431CD"/>
    <w:rsid w:val="0004322E"/>
    <w:rsid w:val="0004328A"/>
    <w:rsid w:val="00043348"/>
    <w:rsid w:val="00043541"/>
    <w:rsid w:val="000435AF"/>
    <w:rsid w:val="000436C2"/>
    <w:rsid w:val="0004379A"/>
    <w:rsid w:val="0004386F"/>
    <w:rsid w:val="000438CB"/>
    <w:rsid w:val="00043986"/>
    <w:rsid w:val="00043992"/>
    <w:rsid w:val="00043A2F"/>
    <w:rsid w:val="00043B9D"/>
    <w:rsid w:val="00043BA3"/>
    <w:rsid w:val="00043BEA"/>
    <w:rsid w:val="00043D11"/>
    <w:rsid w:val="00043FBA"/>
    <w:rsid w:val="00043FCA"/>
    <w:rsid w:val="0004411B"/>
    <w:rsid w:val="00044194"/>
    <w:rsid w:val="00044445"/>
    <w:rsid w:val="000444D5"/>
    <w:rsid w:val="00044505"/>
    <w:rsid w:val="0004459A"/>
    <w:rsid w:val="0004483F"/>
    <w:rsid w:val="000448A4"/>
    <w:rsid w:val="000448E2"/>
    <w:rsid w:val="00044A2E"/>
    <w:rsid w:val="00044A76"/>
    <w:rsid w:val="00044BC6"/>
    <w:rsid w:val="00044C4B"/>
    <w:rsid w:val="00044CF2"/>
    <w:rsid w:val="00044E9F"/>
    <w:rsid w:val="00044EC4"/>
    <w:rsid w:val="00044F1C"/>
    <w:rsid w:val="0004530B"/>
    <w:rsid w:val="0004555B"/>
    <w:rsid w:val="00045635"/>
    <w:rsid w:val="00045647"/>
    <w:rsid w:val="000457B7"/>
    <w:rsid w:val="000458A5"/>
    <w:rsid w:val="00045919"/>
    <w:rsid w:val="0004593C"/>
    <w:rsid w:val="00045BD9"/>
    <w:rsid w:val="00045C3A"/>
    <w:rsid w:val="00045DC5"/>
    <w:rsid w:val="00045DDA"/>
    <w:rsid w:val="00045E40"/>
    <w:rsid w:val="00045FCD"/>
    <w:rsid w:val="00046061"/>
    <w:rsid w:val="00046067"/>
    <w:rsid w:val="00046110"/>
    <w:rsid w:val="00046210"/>
    <w:rsid w:val="00046370"/>
    <w:rsid w:val="0004638F"/>
    <w:rsid w:val="00046403"/>
    <w:rsid w:val="0004645A"/>
    <w:rsid w:val="000465FC"/>
    <w:rsid w:val="00046604"/>
    <w:rsid w:val="00046703"/>
    <w:rsid w:val="0004675C"/>
    <w:rsid w:val="000467EE"/>
    <w:rsid w:val="000469BC"/>
    <w:rsid w:val="00046A1D"/>
    <w:rsid w:val="00046A43"/>
    <w:rsid w:val="00046B8C"/>
    <w:rsid w:val="00046C14"/>
    <w:rsid w:val="00046CB4"/>
    <w:rsid w:val="00046DAC"/>
    <w:rsid w:val="00046E3C"/>
    <w:rsid w:val="00046E3D"/>
    <w:rsid w:val="00046EC2"/>
    <w:rsid w:val="00046F44"/>
    <w:rsid w:val="00046F88"/>
    <w:rsid w:val="00046F8A"/>
    <w:rsid w:val="00046FD8"/>
    <w:rsid w:val="00047009"/>
    <w:rsid w:val="0004706C"/>
    <w:rsid w:val="000470D6"/>
    <w:rsid w:val="000471F3"/>
    <w:rsid w:val="00047267"/>
    <w:rsid w:val="00047309"/>
    <w:rsid w:val="0004748E"/>
    <w:rsid w:val="00047905"/>
    <w:rsid w:val="0004797C"/>
    <w:rsid w:val="000479A1"/>
    <w:rsid w:val="00047A52"/>
    <w:rsid w:val="00047AD6"/>
    <w:rsid w:val="00047BB8"/>
    <w:rsid w:val="00047BDC"/>
    <w:rsid w:val="00047CEE"/>
    <w:rsid w:val="00047E7E"/>
    <w:rsid w:val="00047EE9"/>
    <w:rsid w:val="0005006C"/>
    <w:rsid w:val="00050080"/>
    <w:rsid w:val="00050216"/>
    <w:rsid w:val="00050344"/>
    <w:rsid w:val="00050444"/>
    <w:rsid w:val="000504E5"/>
    <w:rsid w:val="000505A2"/>
    <w:rsid w:val="000505A3"/>
    <w:rsid w:val="000505E4"/>
    <w:rsid w:val="0005074B"/>
    <w:rsid w:val="0005095D"/>
    <w:rsid w:val="000509C2"/>
    <w:rsid w:val="00050E5E"/>
    <w:rsid w:val="00050EC6"/>
    <w:rsid w:val="00050EF9"/>
    <w:rsid w:val="0005133A"/>
    <w:rsid w:val="0005138B"/>
    <w:rsid w:val="0005141E"/>
    <w:rsid w:val="0005149F"/>
    <w:rsid w:val="000514E0"/>
    <w:rsid w:val="0005158E"/>
    <w:rsid w:val="000515B8"/>
    <w:rsid w:val="000515FE"/>
    <w:rsid w:val="0005166F"/>
    <w:rsid w:val="000516D3"/>
    <w:rsid w:val="00051780"/>
    <w:rsid w:val="00051781"/>
    <w:rsid w:val="000517DA"/>
    <w:rsid w:val="000519B5"/>
    <w:rsid w:val="00051A33"/>
    <w:rsid w:val="00051B34"/>
    <w:rsid w:val="00051CB8"/>
    <w:rsid w:val="00051CD1"/>
    <w:rsid w:val="00051D8D"/>
    <w:rsid w:val="00051ECE"/>
    <w:rsid w:val="00052151"/>
    <w:rsid w:val="00052159"/>
    <w:rsid w:val="000521E3"/>
    <w:rsid w:val="000522B7"/>
    <w:rsid w:val="0005234C"/>
    <w:rsid w:val="00052366"/>
    <w:rsid w:val="00052391"/>
    <w:rsid w:val="000524C2"/>
    <w:rsid w:val="000524FD"/>
    <w:rsid w:val="0005258B"/>
    <w:rsid w:val="000525BB"/>
    <w:rsid w:val="000525FC"/>
    <w:rsid w:val="00052796"/>
    <w:rsid w:val="00052881"/>
    <w:rsid w:val="00052C3C"/>
    <w:rsid w:val="00052CD7"/>
    <w:rsid w:val="00052CE8"/>
    <w:rsid w:val="00052F15"/>
    <w:rsid w:val="00052F7C"/>
    <w:rsid w:val="00052F7E"/>
    <w:rsid w:val="00052F94"/>
    <w:rsid w:val="0005366F"/>
    <w:rsid w:val="00053717"/>
    <w:rsid w:val="00053B05"/>
    <w:rsid w:val="00053BE5"/>
    <w:rsid w:val="00053C5B"/>
    <w:rsid w:val="00053C9A"/>
    <w:rsid w:val="00053D41"/>
    <w:rsid w:val="00053D82"/>
    <w:rsid w:val="00053E63"/>
    <w:rsid w:val="00053E9E"/>
    <w:rsid w:val="00053F32"/>
    <w:rsid w:val="00053F84"/>
    <w:rsid w:val="00054113"/>
    <w:rsid w:val="000541C7"/>
    <w:rsid w:val="000542B8"/>
    <w:rsid w:val="000543D9"/>
    <w:rsid w:val="000543ED"/>
    <w:rsid w:val="00054558"/>
    <w:rsid w:val="000545E8"/>
    <w:rsid w:val="000545FE"/>
    <w:rsid w:val="00054605"/>
    <w:rsid w:val="00054608"/>
    <w:rsid w:val="00054619"/>
    <w:rsid w:val="00054633"/>
    <w:rsid w:val="000546A9"/>
    <w:rsid w:val="0005472B"/>
    <w:rsid w:val="000547BD"/>
    <w:rsid w:val="000549EC"/>
    <w:rsid w:val="00054D45"/>
    <w:rsid w:val="00054F40"/>
    <w:rsid w:val="00054F43"/>
    <w:rsid w:val="00055146"/>
    <w:rsid w:val="00055318"/>
    <w:rsid w:val="00055325"/>
    <w:rsid w:val="000557DA"/>
    <w:rsid w:val="000557EF"/>
    <w:rsid w:val="0005584D"/>
    <w:rsid w:val="00055858"/>
    <w:rsid w:val="00055874"/>
    <w:rsid w:val="000559FE"/>
    <w:rsid w:val="00055C49"/>
    <w:rsid w:val="00055D97"/>
    <w:rsid w:val="00055E2D"/>
    <w:rsid w:val="00055E70"/>
    <w:rsid w:val="00055FB1"/>
    <w:rsid w:val="00056086"/>
    <w:rsid w:val="00056146"/>
    <w:rsid w:val="0005635E"/>
    <w:rsid w:val="0005636F"/>
    <w:rsid w:val="000565E6"/>
    <w:rsid w:val="00056662"/>
    <w:rsid w:val="000566F0"/>
    <w:rsid w:val="00056712"/>
    <w:rsid w:val="000567A7"/>
    <w:rsid w:val="000567B1"/>
    <w:rsid w:val="0005684B"/>
    <w:rsid w:val="00056880"/>
    <w:rsid w:val="00056966"/>
    <w:rsid w:val="00056B34"/>
    <w:rsid w:val="00056B76"/>
    <w:rsid w:val="00056D27"/>
    <w:rsid w:val="00056D54"/>
    <w:rsid w:val="00056FAE"/>
    <w:rsid w:val="00057197"/>
    <w:rsid w:val="000571FA"/>
    <w:rsid w:val="00057525"/>
    <w:rsid w:val="000575F3"/>
    <w:rsid w:val="0005761D"/>
    <w:rsid w:val="0005763D"/>
    <w:rsid w:val="000576FD"/>
    <w:rsid w:val="00057AD3"/>
    <w:rsid w:val="00057B17"/>
    <w:rsid w:val="00057B72"/>
    <w:rsid w:val="00057B78"/>
    <w:rsid w:val="00057BB7"/>
    <w:rsid w:val="00057D55"/>
    <w:rsid w:val="00057F66"/>
    <w:rsid w:val="0006014B"/>
    <w:rsid w:val="0006028A"/>
    <w:rsid w:val="00060337"/>
    <w:rsid w:val="0006041C"/>
    <w:rsid w:val="00060861"/>
    <w:rsid w:val="00060B14"/>
    <w:rsid w:val="00060BB2"/>
    <w:rsid w:val="00060C50"/>
    <w:rsid w:val="00060D2B"/>
    <w:rsid w:val="00060D30"/>
    <w:rsid w:val="00060DF3"/>
    <w:rsid w:val="00060E1C"/>
    <w:rsid w:val="00060E73"/>
    <w:rsid w:val="00060EB3"/>
    <w:rsid w:val="00060F4D"/>
    <w:rsid w:val="00060F89"/>
    <w:rsid w:val="00061125"/>
    <w:rsid w:val="00061173"/>
    <w:rsid w:val="000612FA"/>
    <w:rsid w:val="0006150F"/>
    <w:rsid w:val="00061522"/>
    <w:rsid w:val="00061781"/>
    <w:rsid w:val="000618AD"/>
    <w:rsid w:val="0006191C"/>
    <w:rsid w:val="00061A98"/>
    <w:rsid w:val="00061ADC"/>
    <w:rsid w:val="00061B34"/>
    <w:rsid w:val="00061BDA"/>
    <w:rsid w:val="00061BFC"/>
    <w:rsid w:val="00061DAE"/>
    <w:rsid w:val="00061EB3"/>
    <w:rsid w:val="00061ECA"/>
    <w:rsid w:val="00061F49"/>
    <w:rsid w:val="00061FDF"/>
    <w:rsid w:val="00062112"/>
    <w:rsid w:val="00062276"/>
    <w:rsid w:val="0006233E"/>
    <w:rsid w:val="00062653"/>
    <w:rsid w:val="000626D1"/>
    <w:rsid w:val="00062795"/>
    <w:rsid w:val="000628E3"/>
    <w:rsid w:val="0006295A"/>
    <w:rsid w:val="00062B28"/>
    <w:rsid w:val="00062B2B"/>
    <w:rsid w:val="00062B66"/>
    <w:rsid w:val="00062BDA"/>
    <w:rsid w:val="00062C62"/>
    <w:rsid w:val="00062C94"/>
    <w:rsid w:val="00062CF4"/>
    <w:rsid w:val="00062D48"/>
    <w:rsid w:val="00062DB6"/>
    <w:rsid w:val="00062E6C"/>
    <w:rsid w:val="00062F29"/>
    <w:rsid w:val="00062F6D"/>
    <w:rsid w:val="000632D1"/>
    <w:rsid w:val="00063319"/>
    <w:rsid w:val="0006342E"/>
    <w:rsid w:val="00063885"/>
    <w:rsid w:val="000638B8"/>
    <w:rsid w:val="00063A03"/>
    <w:rsid w:val="00063BC5"/>
    <w:rsid w:val="00064159"/>
    <w:rsid w:val="00064192"/>
    <w:rsid w:val="000641AF"/>
    <w:rsid w:val="000643F0"/>
    <w:rsid w:val="00064547"/>
    <w:rsid w:val="000645C1"/>
    <w:rsid w:val="000645C5"/>
    <w:rsid w:val="000645E3"/>
    <w:rsid w:val="0006471A"/>
    <w:rsid w:val="00064722"/>
    <w:rsid w:val="000647BF"/>
    <w:rsid w:val="00064800"/>
    <w:rsid w:val="00064886"/>
    <w:rsid w:val="00064BDC"/>
    <w:rsid w:val="00064D4F"/>
    <w:rsid w:val="00064E7B"/>
    <w:rsid w:val="00064EBE"/>
    <w:rsid w:val="0006500B"/>
    <w:rsid w:val="000650BE"/>
    <w:rsid w:val="000651EE"/>
    <w:rsid w:val="00065230"/>
    <w:rsid w:val="0006528B"/>
    <w:rsid w:val="00065380"/>
    <w:rsid w:val="00065423"/>
    <w:rsid w:val="000655DC"/>
    <w:rsid w:val="00065642"/>
    <w:rsid w:val="00065742"/>
    <w:rsid w:val="00065780"/>
    <w:rsid w:val="00065836"/>
    <w:rsid w:val="000659F4"/>
    <w:rsid w:val="00065B78"/>
    <w:rsid w:val="00065E05"/>
    <w:rsid w:val="00065E0B"/>
    <w:rsid w:val="0006609D"/>
    <w:rsid w:val="000660D0"/>
    <w:rsid w:val="00066199"/>
    <w:rsid w:val="000662A5"/>
    <w:rsid w:val="00066398"/>
    <w:rsid w:val="0006658B"/>
    <w:rsid w:val="00066767"/>
    <w:rsid w:val="00066782"/>
    <w:rsid w:val="0006697F"/>
    <w:rsid w:val="00066A8D"/>
    <w:rsid w:val="00066BC3"/>
    <w:rsid w:val="00066C40"/>
    <w:rsid w:val="00066C43"/>
    <w:rsid w:val="00066D64"/>
    <w:rsid w:val="00066DB0"/>
    <w:rsid w:val="00066E80"/>
    <w:rsid w:val="00066F26"/>
    <w:rsid w:val="00067121"/>
    <w:rsid w:val="00067157"/>
    <w:rsid w:val="00067169"/>
    <w:rsid w:val="00067297"/>
    <w:rsid w:val="00067468"/>
    <w:rsid w:val="000674A7"/>
    <w:rsid w:val="000675D1"/>
    <w:rsid w:val="00067967"/>
    <w:rsid w:val="000679F0"/>
    <w:rsid w:val="00067C30"/>
    <w:rsid w:val="00067C35"/>
    <w:rsid w:val="00067C3F"/>
    <w:rsid w:val="00067C8D"/>
    <w:rsid w:val="00067FB3"/>
    <w:rsid w:val="00067FB6"/>
    <w:rsid w:val="00070251"/>
    <w:rsid w:val="000702B3"/>
    <w:rsid w:val="000702B8"/>
    <w:rsid w:val="000703C6"/>
    <w:rsid w:val="00070526"/>
    <w:rsid w:val="000705B4"/>
    <w:rsid w:val="00070638"/>
    <w:rsid w:val="0007069C"/>
    <w:rsid w:val="000706B6"/>
    <w:rsid w:val="000706D0"/>
    <w:rsid w:val="00070700"/>
    <w:rsid w:val="0007077A"/>
    <w:rsid w:val="00070988"/>
    <w:rsid w:val="000709B1"/>
    <w:rsid w:val="00070C0E"/>
    <w:rsid w:val="00070D8A"/>
    <w:rsid w:val="00070F40"/>
    <w:rsid w:val="00071122"/>
    <w:rsid w:val="000712D0"/>
    <w:rsid w:val="0007130C"/>
    <w:rsid w:val="00071390"/>
    <w:rsid w:val="000714A5"/>
    <w:rsid w:val="000716C5"/>
    <w:rsid w:val="000718E3"/>
    <w:rsid w:val="00071944"/>
    <w:rsid w:val="00071B11"/>
    <w:rsid w:val="00071B43"/>
    <w:rsid w:val="00071BC2"/>
    <w:rsid w:val="00071E87"/>
    <w:rsid w:val="00071E94"/>
    <w:rsid w:val="00071F03"/>
    <w:rsid w:val="00071F6F"/>
    <w:rsid w:val="0007201F"/>
    <w:rsid w:val="000721C9"/>
    <w:rsid w:val="000723AD"/>
    <w:rsid w:val="000726B0"/>
    <w:rsid w:val="000726C7"/>
    <w:rsid w:val="000728A5"/>
    <w:rsid w:val="00072AAF"/>
    <w:rsid w:val="00072B28"/>
    <w:rsid w:val="00072C53"/>
    <w:rsid w:val="00072C54"/>
    <w:rsid w:val="00072D62"/>
    <w:rsid w:val="00072D9F"/>
    <w:rsid w:val="00072E1A"/>
    <w:rsid w:val="00073056"/>
    <w:rsid w:val="00073098"/>
    <w:rsid w:val="000732C4"/>
    <w:rsid w:val="00073323"/>
    <w:rsid w:val="00073352"/>
    <w:rsid w:val="00073521"/>
    <w:rsid w:val="00073C98"/>
    <w:rsid w:val="00073C9C"/>
    <w:rsid w:val="00073D70"/>
    <w:rsid w:val="00073FBC"/>
    <w:rsid w:val="0007405F"/>
    <w:rsid w:val="00074142"/>
    <w:rsid w:val="00074354"/>
    <w:rsid w:val="000743E3"/>
    <w:rsid w:val="000745A1"/>
    <w:rsid w:val="0007475A"/>
    <w:rsid w:val="000747DC"/>
    <w:rsid w:val="000747E3"/>
    <w:rsid w:val="000749A0"/>
    <w:rsid w:val="00074B04"/>
    <w:rsid w:val="00074C80"/>
    <w:rsid w:val="00074DE5"/>
    <w:rsid w:val="00074E7F"/>
    <w:rsid w:val="00074EEC"/>
    <w:rsid w:val="00074FE2"/>
    <w:rsid w:val="000750CF"/>
    <w:rsid w:val="00075292"/>
    <w:rsid w:val="00075544"/>
    <w:rsid w:val="000757A5"/>
    <w:rsid w:val="000757F0"/>
    <w:rsid w:val="00075809"/>
    <w:rsid w:val="000759D5"/>
    <w:rsid w:val="00075AB7"/>
    <w:rsid w:val="00075B48"/>
    <w:rsid w:val="00075C05"/>
    <w:rsid w:val="00075E20"/>
    <w:rsid w:val="00075EE0"/>
    <w:rsid w:val="00075F6E"/>
    <w:rsid w:val="00075F83"/>
    <w:rsid w:val="00076340"/>
    <w:rsid w:val="00076566"/>
    <w:rsid w:val="0007656F"/>
    <w:rsid w:val="00076588"/>
    <w:rsid w:val="000765F5"/>
    <w:rsid w:val="00076682"/>
    <w:rsid w:val="00076756"/>
    <w:rsid w:val="00076918"/>
    <w:rsid w:val="00076923"/>
    <w:rsid w:val="00076B45"/>
    <w:rsid w:val="00076B56"/>
    <w:rsid w:val="00076C25"/>
    <w:rsid w:val="00076CEB"/>
    <w:rsid w:val="00076D8F"/>
    <w:rsid w:val="00076E44"/>
    <w:rsid w:val="00076EB4"/>
    <w:rsid w:val="00077070"/>
    <w:rsid w:val="000770E3"/>
    <w:rsid w:val="00077159"/>
    <w:rsid w:val="00077349"/>
    <w:rsid w:val="000773B4"/>
    <w:rsid w:val="000773EB"/>
    <w:rsid w:val="00077486"/>
    <w:rsid w:val="00077513"/>
    <w:rsid w:val="00077565"/>
    <w:rsid w:val="0007757B"/>
    <w:rsid w:val="000775DE"/>
    <w:rsid w:val="000775FA"/>
    <w:rsid w:val="000776AF"/>
    <w:rsid w:val="000776DB"/>
    <w:rsid w:val="00077702"/>
    <w:rsid w:val="000777AB"/>
    <w:rsid w:val="000778BA"/>
    <w:rsid w:val="000778E3"/>
    <w:rsid w:val="000778E9"/>
    <w:rsid w:val="0007793F"/>
    <w:rsid w:val="00077B74"/>
    <w:rsid w:val="00077E3A"/>
    <w:rsid w:val="00077F4E"/>
    <w:rsid w:val="00080146"/>
    <w:rsid w:val="00080239"/>
    <w:rsid w:val="0008035F"/>
    <w:rsid w:val="00080395"/>
    <w:rsid w:val="00080586"/>
    <w:rsid w:val="000805CF"/>
    <w:rsid w:val="000806FD"/>
    <w:rsid w:val="00080896"/>
    <w:rsid w:val="000808AA"/>
    <w:rsid w:val="0008097D"/>
    <w:rsid w:val="00080C5C"/>
    <w:rsid w:val="00080C99"/>
    <w:rsid w:val="00080DE7"/>
    <w:rsid w:val="00080E2C"/>
    <w:rsid w:val="00080F54"/>
    <w:rsid w:val="000810FD"/>
    <w:rsid w:val="00081856"/>
    <w:rsid w:val="00081968"/>
    <w:rsid w:val="00081DFA"/>
    <w:rsid w:val="00081DFF"/>
    <w:rsid w:val="00081E05"/>
    <w:rsid w:val="00081E8B"/>
    <w:rsid w:val="00081FE0"/>
    <w:rsid w:val="00082038"/>
    <w:rsid w:val="00082066"/>
    <w:rsid w:val="000820E4"/>
    <w:rsid w:val="0008220E"/>
    <w:rsid w:val="0008233B"/>
    <w:rsid w:val="0008259D"/>
    <w:rsid w:val="0008267E"/>
    <w:rsid w:val="00082683"/>
    <w:rsid w:val="000826B1"/>
    <w:rsid w:val="000826C0"/>
    <w:rsid w:val="00082750"/>
    <w:rsid w:val="00082765"/>
    <w:rsid w:val="000828EB"/>
    <w:rsid w:val="0008292B"/>
    <w:rsid w:val="00082A59"/>
    <w:rsid w:val="00082B0C"/>
    <w:rsid w:val="00082C51"/>
    <w:rsid w:val="00082D45"/>
    <w:rsid w:val="00082DCD"/>
    <w:rsid w:val="00083005"/>
    <w:rsid w:val="00083007"/>
    <w:rsid w:val="0008303B"/>
    <w:rsid w:val="0008304D"/>
    <w:rsid w:val="00083157"/>
    <w:rsid w:val="00083240"/>
    <w:rsid w:val="000833B1"/>
    <w:rsid w:val="0008347C"/>
    <w:rsid w:val="000834F8"/>
    <w:rsid w:val="000835B3"/>
    <w:rsid w:val="00083682"/>
    <w:rsid w:val="000836A4"/>
    <w:rsid w:val="00083743"/>
    <w:rsid w:val="0008390A"/>
    <w:rsid w:val="0008397D"/>
    <w:rsid w:val="00083B21"/>
    <w:rsid w:val="00083B50"/>
    <w:rsid w:val="00084205"/>
    <w:rsid w:val="000842D7"/>
    <w:rsid w:val="0008432A"/>
    <w:rsid w:val="00084350"/>
    <w:rsid w:val="000843B8"/>
    <w:rsid w:val="00084431"/>
    <w:rsid w:val="000844FE"/>
    <w:rsid w:val="000845FF"/>
    <w:rsid w:val="00084667"/>
    <w:rsid w:val="00084892"/>
    <w:rsid w:val="0008494B"/>
    <w:rsid w:val="00084B95"/>
    <w:rsid w:val="00084C3C"/>
    <w:rsid w:val="00084D7C"/>
    <w:rsid w:val="00084E69"/>
    <w:rsid w:val="00084ECA"/>
    <w:rsid w:val="00085080"/>
    <w:rsid w:val="000850D8"/>
    <w:rsid w:val="00085179"/>
    <w:rsid w:val="00085262"/>
    <w:rsid w:val="0008526B"/>
    <w:rsid w:val="0008526E"/>
    <w:rsid w:val="000852A5"/>
    <w:rsid w:val="000852B3"/>
    <w:rsid w:val="000854E1"/>
    <w:rsid w:val="0008553F"/>
    <w:rsid w:val="00085631"/>
    <w:rsid w:val="0008569B"/>
    <w:rsid w:val="000856F8"/>
    <w:rsid w:val="00085706"/>
    <w:rsid w:val="000857F6"/>
    <w:rsid w:val="0008583C"/>
    <w:rsid w:val="00085840"/>
    <w:rsid w:val="0008584C"/>
    <w:rsid w:val="000858F9"/>
    <w:rsid w:val="00085900"/>
    <w:rsid w:val="0008596D"/>
    <w:rsid w:val="00085A16"/>
    <w:rsid w:val="00085AB4"/>
    <w:rsid w:val="00085B50"/>
    <w:rsid w:val="00085D77"/>
    <w:rsid w:val="00085E3F"/>
    <w:rsid w:val="00085E6A"/>
    <w:rsid w:val="00085FDA"/>
    <w:rsid w:val="0008606A"/>
    <w:rsid w:val="00086250"/>
    <w:rsid w:val="0008648D"/>
    <w:rsid w:val="000864E3"/>
    <w:rsid w:val="0008658F"/>
    <w:rsid w:val="000865E7"/>
    <w:rsid w:val="000868B6"/>
    <w:rsid w:val="000869E6"/>
    <w:rsid w:val="00086B5D"/>
    <w:rsid w:val="00086BCF"/>
    <w:rsid w:val="00086DC0"/>
    <w:rsid w:val="00086E9E"/>
    <w:rsid w:val="00086F72"/>
    <w:rsid w:val="0008705A"/>
    <w:rsid w:val="00087163"/>
    <w:rsid w:val="000871D3"/>
    <w:rsid w:val="00087251"/>
    <w:rsid w:val="00087257"/>
    <w:rsid w:val="000872CA"/>
    <w:rsid w:val="000872DD"/>
    <w:rsid w:val="00087491"/>
    <w:rsid w:val="000874F6"/>
    <w:rsid w:val="0008759A"/>
    <w:rsid w:val="00087991"/>
    <w:rsid w:val="000879BF"/>
    <w:rsid w:val="00087A72"/>
    <w:rsid w:val="00087A7F"/>
    <w:rsid w:val="00087ABF"/>
    <w:rsid w:val="00087AD8"/>
    <w:rsid w:val="00087BFB"/>
    <w:rsid w:val="00087D20"/>
    <w:rsid w:val="00087FAF"/>
    <w:rsid w:val="0009051F"/>
    <w:rsid w:val="0009058E"/>
    <w:rsid w:val="0009062C"/>
    <w:rsid w:val="000906AB"/>
    <w:rsid w:val="000907D9"/>
    <w:rsid w:val="0009085A"/>
    <w:rsid w:val="00090BFF"/>
    <w:rsid w:val="00090CB6"/>
    <w:rsid w:val="0009102B"/>
    <w:rsid w:val="00091031"/>
    <w:rsid w:val="00091220"/>
    <w:rsid w:val="0009134C"/>
    <w:rsid w:val="00091447"/>
    <w:rsid w:val="000914E5"/>
    <w:rsid w:val="00091595"/>
    <w:rsid w:val="000915D8"/>
    <w:rsid w:val="000915EB"/>
    <w:rsid w:val="000917B3"/>
    <w:rsid w:val="000917FB"/>
    <w:rsid w:val="00091858"/>
    <w:rsid w:val="000918B2"/>
    <w:rsid w:val="0009191A"/>
    <w:rsid w:val="000919CB"/>
    <w:rsid w:val="00091A5F"/>
    <w:rsid w:val="00091CD2"/>
    <w:rsid w:val="00091CEE"/>
    <w:rsid w:val="0009208E"/>
    <w:rsid w:val="000920D2"/>
    <w:rsid w:val="00092114"/>
    <w:rsid w:val="000921F5"/>
    <w:rsid w:val="000922BB"/>
    <w:rsid w:val="000922C2"/>
    <w:rsid w:val="000922C4"/>
    <w:rsid w:val="000922E0"/>
    <w:rsid w:val="000923CF"/>
    <w:rsid w:val="00092509"/>
    <w:rsid w:val="00092565"/>
    <w:rsid w:val="00092610"/>
    <w:rsid w:val="000928E3"/>
    <w:rsid w:val="00092919"/>
    <w:rsid w:val="0009293A"/>
    <w:rsid w:val="00092C34"/>
    <w:rsid w:val="00092E92"/>
    <w:rsid w:val="00092E96"/>
    <w:rsid w:val="00093012"/>
    <w:rsid w:val="00093088"/>
    <w:rsid w:val="00093125"/>
    <w:rsid w:val="000932DF"/>
    <w:rsid w:val="0009341F"/>
    <w:rsid w:val="000934B6"/>
    <w:rsid w:val="00093504"/>
    <w:rsid w:val="0009350B"/>
    <w:rsid w:val="0009351A"/>
    <w:rsid w:val="000936E3"/>
    <w:rsid w:val="00093768"/>
    <w:rsid w:val="00093854"/>
    <w:rsid w:val="00093B41"/>
    <w:rsid w:val="00093D26"/>
    <w:rsid w:val="00093D4F"/>
    <w:rsid w:val="00093F7C"/>
    <w:rsid w:val="000940FA"/>
    <w:rsid w:val="00094196"/>
    <w:rsid w:val="000941DB"/>
    <w:rsid w:val="000942FC"/>
    <w:rsid w:val="00094330"/>
    <w:rsid w:val="0009436E"/>
    <w:rsid w:val="00094499"/>
    <w:rsid w:val="000944F7"/>
    <w:rsid w:val="00094566"/>
    <w:rsid w:val="000945D5"/>
    <w:rsid w:val="000945FC"/>
    <w:rsid w:val="0009468F"/>
    <w:rsid w:val="000946B2"/>
    <w:rsid w:val="000946E3"/>
    <w:rsid w:val="000946EC"/>
    <w:rsid w:val="00094737"/>
    <w:rsid w:val="0009498B"/>
    <w:rsid w:val="00094B28"/>
    <w:rsid w:val="00094C50"/>
    <w:rsid w:val="00094D1B"/>
    <w:rsid w:val="00094DB9"/>
    <w:rsid w:val="00094E98"/>
    <w:rsid w:val="00094F1F"/>
    <w:rsid w:val="00094FD8"/>
    <w:rsid w:val="000950DF"/>
    <w:rsid w:val="0009512F"/>
    <w:rsid w:val="000952A4"/>
    <w:rsid w:val="00095441"/>
    <w:rsid w:val="000955E1"/>
    <w:rsid w:val="000958F0"/>
    <w:rsid w:val="000959C8"/>
    <w:rsid w:val="00095A3D"/>
    <w:rsid w:val="00095A72"/>
    <w:rsid w:val="00095AC8"/>
    <w:rsid w:val="00095B5B"/>
    <w:rsid w:val="00095BA4"/>
    <w:rsid w:val="00095C25"/>
    <w:rsid w:val="00095C2E"/>
    <w:rsid w:val="00095CAC"/>
    <w:rsid w:val="00095D1A"/>
    <w:rsid w:val="00095DE6"/>
    <w:rsid w:val="00095E91"/>
    <w:rsid w:val="000960EC"/>
    <w:rsid w:val="00096106"/>
    <w:rsid w:val="0009611A"/>
    <w:rsid w:val="0009622E"/>
    <w:rsid w:val="000962DA"/>
    <w:rsid w:val="000962DD"/>
    <w:rsid w:val="000964BF"/>
    <w:rsid w:val="00096517"/>
    <w:rsid w:val="00096544"/>
    <w:rsid w:val="000965EA"/>
    <w:rsid w:val="000967D6"/>
    <w:rsid w:val="00096853"/>
    <w:rsid w:val="0009691E"/>
    <w:rsid w:val="000969DC"/>
    <w:rsid w:val="000969EF"/>
    <w:rsid w:val="00096B8B"/>
    <w:rsid w:val="00096BBE"/>
    <w:rsid w:val="00096CD8"/>
    <w:rsid w:val="00096D05"/>
    <w:rsid w:val="00096ECE"/>
    <w:rsid w:val="00096FFB"/>
    <w:rsid w:val="00097126"/>
    <w:rsid w:val="0009731A"/>
    <w:rsid w:val="000973B1"/>
    <w:rsid w:val="000973EF"/>
    <w:rsid w:val="000973F5"/>
    <w:rsid w:val="000974FB"/>
    <w:rsid w:val="000975A7"/>
    <w:rsid w:val="00097607"/>
    <w:rsid w:val="000977C8"/>
    <w:rsid w:val="0009781D"/>
    <w:rsid w:val="00097866"/>
    <w:rsid w:val="0009789C"/>
    <w:rsid w:val="000978DC"/>
    <w:rsid w:val="00097929"/>
    <w:rsid w:val="00097951"/>
    <w:rsid w:val="00097A3B"/>
    <w:rsid w:val="00097BEF"/>
    <w:rsid w:val="00097CE3"/>
    <w:rsid w:val="000A0026"/>
    <w:rsid w:val="000A005B"/>
    <w:rsid w:val="000A02B7"/>
    <w:rsid w:val="000A02ED"/>
    <w:rsid w:val="000A03A6"/>
    <w:rsid w:val="000A0483"/>
    <w:rsid w:val="000A06EF"/>
    <w:rsid w:val="000A07A0"/>
    <w:rsid w:val="000A08B4"/>
    <w:rsid w:val="000A0E2E"/>
    <w:rsid w:val="000A0EE2"/>
    <w:rsid w:val="000A0EEC"/>
    <w:rsid w:val="000A0F5C"/>
    <w:rsid w:val="000A104E"/>
    <w:rsid w:val="000A107B"/>
    <w:rsid w:val="000A10C8"/>
    <w:rsid w:val="000A1171"/>
    <w:rsid w:val="000A1232"/>
    <w:rsid w:val="000A1564"/>
    <w:rsid w:val="000A158D"/>
    <w:rsid w:val="000A172F"/>
    <w:rsid w:val="000A19A6"/>
    <w:rsid w:val="000A1A06"/>
    <w:rsid w:val="000A1A13"/>
    <w:rsid w:val="000A1B2D"/>
    <w:rsid w:val="000A1B61"/>
    <w:rsid w:val="000A1C54"/>
    <w:rsid w:val="000A1C81"/>
    <w:rsid w:val="000A1D10"/>
    <w:rsid w:val="000A1D14"/>
    <w:rsid w:val="000A1E03"/>
    <w:rsid w:val="000A1E5A"/>
    <w:rsid w:val="000A1E68"/>
    <w:rsid w:val="000A2072"/>
    <w:rsid w:val="000A21AF"/>
    <w:rsid w:val="000A2267"/>
    <w:rsid w:val="000A2299"/>
    <w:rsid w:val="000A229D"/>
    <w:rsid w:val="000A248C"/>
    <w:rsid w:val="000A2518"/>
    <w:rsid w:val="000A2596"/>
    <w:rsid w:val="000A276E"/>
    <w:rsid w:val="000A287E"/>
    <w:rsid w:val="000A2994"/>
    <w:rsid w:val="000A2A94"/>
    <w:rsid w:val="000A2AA7"/>
    <w:rsid w:val="000A2C17"/>
    <w:rsid w:val="000A2C55"/>
    <w:rsid w:val="000A2CB6"/>
    <w:rsid w:val="000A2D91"/>
    <w:rsid w:val="000A2E49"/>
    <w:rsid w:val="000A2F1A"/>
    <w:rsid w:val="000A2FA5"/>
    <w:rsid w:val="000A2FD6"/>
    <w:rsid w:val="000A334A"/>
    <w:rsid w:val="000A33DD"/>
    <w:rsid w:val="000A363D"/>
    <w:rsid w:val="000A3675"/>
    <w:rsid w:val="000A36C9"/>
    <w:rsid w:val="000A36E3"/>
    <w:rsid w:val="000A36FF"/>
    <w:rsid w:val="000A38BC"/>
    <w:rsid w:val="000A39A6"/>
    <w:rsid w:val="000A3AA0"/>
    <w:rsid w:val="000A3ACC"/>
    <w:rsid w:val="000A3AE2"/>
    <w:rsid w:val="000A3B32"/>
    <w:rsid w:val="000A3C2B"/>
    <w:rsid w:val="000A3CF8"/>
    <w:rsid w:val="000A3D06"/>
    <w:rsid w:val="000A3D8B"/>
    <w:rsid w:val="000A3DAE"/>
    <w:rsid w:val="000A3E73"/>
    <w:rsid w:val="000A3F5D"/>
    <w:rsid w:val="000A3FD7"/>
    <w:rsid w:val="000A4206"/>
    <w:rsid w:val="000A441D"/>
    <w:rsid w:val="000A443A"/>
    <w:rsid w:val="000A45C0"/>
    <w:rsid w:val="000A45D5"/>
    <w:rsid w:val="000A471C"/>
    <w:rsid w:val="000A489D"/>
    <w:rsid w:val="000A4933"/>
    <w:rsid w:val="000A4988"/>
    <w:rsid w:val="000A4BA0"/>
    <w:rsid w:val="000A4C1C"/>
    <w:rsid w:val="000A4CA3"/>
    <w:rsid w:val="000A4CEA"/>
    <w:rsid w:val="000A4D73"/>
    <w:rsid w:val="000A4DAB"/>
    <w:rsid w:val="000A4DFB"/>
    <w:rsid w:val="000A4EFE"/>
    <w:rsid w:val="000A4F1C"/>
    <w:rsid w:val="000A4F92"/>
    <w:rsid w:val="000A4FAB"/>
    <w:rsid w:val="000A50C3"/>
    <w:rsid w:val="000A514B"/>
    <w:rsid w:val="000A515E"/>
    <w:rsid w:val="000A5282"/>
    <w:rsid w:val="000A53A7"/>
    <w:rsid w:val="000A53F6"/>
    <w:rsid w:val="000A540A"/>
    <w:rsid w:val="000A544F"/>
    <w:rsid w:val="000A5681"/>
    <w:rsid w:val="000A56FA"/>
    <w:rsid w:val="000A57D4"/>
    <w:rsid w:val="000A5B9C"/>
    <w:rsid w:val="000A5CDE"/>
    <w:rsid w:val="000A5D0B"/>
    <w:rsid w:val="000A5DAD"/>
    <w:rsid w:val="000A5FD6"/>
    <w:rsid w:val="000A5FF9"/>
    <w:rsid w:val="000A6219"/>
    <w:rsid w:val="000A6319"/>
    <w:rsid w:val="000A6437"/>
    <w:rsid w:val="000A649A"/>
    <w:rsid w:val="000A65C6"/>
    <w:rsid w:val="000A65D0"/>
    <w:rsid w:val="000A67D4"/>
    <w:rsid w:val="000A6910"/>
    <w:rsid w:val="000A69C2"/>
    <w:rsid w:val="000A6A0F"/>
    <w:rsid w:val="000A6A11"/>
    <w:rsid w:val="000A6A70"/>
    <w:rsid w:val="000A6A73"/>
    <w:rsid w:val="000A6A7B"/>
    <w:rsid w:val="000A6EA4"/>
    <w:rsid w:val="000A6F08"/>
    <w:rsid w:val="000A6FC1"/>
    <w:rsid w:val="000A70EB"/>
    <w:rsid w:val="000A715D"/>
    <w:rsid w:val="000A7174"/>
    <w:rsid w:val="000A732A"/>
    <w:rsid w:val="000A73EB"/>
    <w:rsid w:val="000A74B4"/>
    <w:rsid w:val="000A74EF"/>
    <w:rsid w:val="000A7530"/>
    <w:rsid w:val="000A7572"/>
    <w:rsid w:val="000A7721"/>
    <w:rsid w:val="000A7769"/>
    <w:rsid w:val="000A78C6"/>
    <w:rsid w:val="000A7909"/>
    <w:rsid w:val="000A7A96"/>
    <w:rsid w:val="000A7AB9"/>
    <w:rsid w:val="000A7C68"/>
    <w:rsid w:val="000A7D7D"/>
    <w:rsid w:val="000A7DF3"/>
    <w:rsid w:val="000A7E20"/>
    <w:rsid w:val="000A7F61"/>
    <w:rsid w:val="000A7FC0"/>
    <w:rsid w:val="000A7FC3"/>
    <w:rsid w:val="000B0033"/>
    <w:rsid w:val="000B005B"/>
    <w:rsid w:val="000B0109"/>
    <w:rsid w:val="000B01EB"/>
    <w:rsid w:val="000B02BA"/>
    <w:rsid w:val="000B04F3"/>
    <w:rsid w:val="000B068C"/>
    <w:rsid w:val="000B07BD"/>
    <w:rsid w:val="000B0833"/>
    <w:rsid w:val="000B08DE"/>
    <w:rsid w:val="000B093F"/>
    <w:rsid w:val="000B0A50"/>
    <w:rsid w:val="000B0A5F"/>
    <w:rsid w:val="000B0B14"/>
    <w:rsid w:val="000B0B72"/>
    <w:rsid w:val="000B0D0A"/>
    <w:rsid w:val="000B0D1B"/>
    <w:rsid w:val="000B0D34"/>
    <w:rsid w:val="000B0EFE"/>
    <w:rsid w:val="000B103E"/>
    <w:rsid w:val="000B1051"/>
    <w:rsid w:val="000B10B2"/>
    <w:rsid w:val="000B1222"/>
    <w:rsid w:val="000B1316"/>
    <w:rsid w:val="000B1317"/>
    <w:rsid w:val="000B1344"/>
    <w:rsid w:val="000B1528"/>
    <w:rsid w:val="000B16B3"/>
    <w:rsid w:val="000B16C1"/>
    <w:rsid w:val="000B19F0"/>
    <w:rsid w:val="000B1A8B"/>
    <w:rsid w:val="000B1B22"/>
    <w:rsid w:val="000B1B47"/>
    <w:rsid w:val="000B1CB3"/>
    <w:rsid w:val="000B1D44"/>
    <w:rsid w:val="000B1EC1"/>
    <w:rsid w:val="000B1F55"/>
    <w:rsid w:val="000B1F76"/>
    <w:rsid w:val="000B205D"/>
    <w:rsid w:val="000B239C"/>
    <w:rsid w:val="000B23B6"/>
    <w:rsid w:val="000B252D"/>
    <w:rsid w:val="000B2553"/>
    <w:rsid w:val="000B266F"/>
    <w:rsid w:val="000B2674"/>
    <w:rsid w:val="000B2810"/>
    <w:rsid w:val="000B2945"/>
    <w:rsid w:val="000B294F"/>
    <w:rsid w:val="000B2AAD"/>
    <w:rsid w:val="000B2D82"/>
    <w:rsid w:val="000B2E46"/>
    <w:rsid w:val="000B2EC7"/>
    <w:rsid w:val="000B2EDD"/>
    <w:rsid w:val="000B2F0E"/>
    <w:rsid w:val="000B2F28"/>
    <w:rsid w:val="000B302A"/>
    <w:rsid w:val="000B302B"/>
    <w:rsid w:val="000B307B"/>
    <w:rsid w:val="000B30A2"/>
    <w:rsid w:val="000B330E"/>
    <w:rsid w:val="000B3417"/>
    <w:rsid w:val="000B3511"/>
    <w:rsid w:val="000B3594"/>
    <w:rsid w:val="000B35C9"/>
    <w:rsid w:val="000B36F9"/>
    <w:rsid w:val="000B3952"/>
    <w:rsid w:val="000B3A88"/>
    <w:rsid w:val="000B3AF5"/>
    <w:rsid w:val="000B3B41"/>
    <w:rsid w:val="000B3C0F"/>
    <w:rsid w:val="000B3C17"/>
    <w:rsid w:val="000B3D79"/>
    <w:rsid w:val="000B3FB5"/>
    <w:rsid w:val="000B3FBF"/>
    <w:rsid w:val="000B4150"/>
    <w:rsid w:val="000B419B"/>
    <w:rsid w:val="000B44B7"/>
    <w:rsid w:val="000B4608"/>
    <w:rsid w:val="000B47E4"/>
    <w:rsid w:val="000B485A"/>
    <w:rsid w:val="000B4A38"/>
    <w:rsid w:val="000B4B2D"/>
    <w:rsid w:val="000B4BA1"/>
    <w:rsid w:val="000B4C9B"/>
    <w:rsid w:val="000B4D62"/>
    <w:rsid w:val="000B4F3E"/>
    <w:rsid w:val="000B4F6D"/>
    <w:rsid w:val="000B50EE"/>
    <w:rsid w:val="000B525A"/>
    <w:rsid w:val="000B5502"/>
    <w:rsid w:val="000B5816"/>
    <w:rsid w:val="000B5922"/>
    <w:rsid w:val="000B59FC"/>
    <w:rsid w:val="000B5B82"/>
    <w:rsid w:val="000B5C9F"/>
    <w:rsid w:val="000B5CC7"/>
    <w:rsid w:val="000B5D21"/>
    <w:rsid w:val="000B5DBE"/>
    <w:rsid w:val="000B5E6B"/>
    <w:rsid w:val="000B610D"/>
    <w:rsid w:val="000B62E2"/>
    <w:rsid w:val="000B64AD"/>
    <w:rsid w:val="000B64D9"/>
    <w:rsid w:val="000B658C"/>
    <w:rsid w:val="000B65F3"/>
    <w:rsid w:val="000B65F6"/>
    <w:rsid w:val="000B6669"/>
    <w:rsid w:val="000B6744"/>
    <w:rsid w:val="000B68A6"/>
    <w:rsid w:val="000B6BA9"/>
    <w:rsid w:val="000B6BC6"/>
    <w:rsid w:val="000B6C6F"/>
    <w:rsid w:val="000B6CE2"/>
    <w:rsid w:val="000B6CE3"/>
    <w:rsid w:val="000B6D1D"/>
    <w:rsid w:val="000B6E5D"/>
    <w:rsid w:val="000B6E64"/>
    <w:rsid w:val="000B6EA3"/>
    <w:rsid w:val="000B6F34"/>
    <w:rsid w:val="000B6F3D"/>
    <w:rsid w:val="000B716B"/>
    <w:rsid w:val="000B7649"/>
    <w:rsid w:val="000B7756"/>
    <w:rsid w:val="000B7A79"/>
    <w:rsid w:val="000B7B7B"/>
    <w:rsid w:val="000B7BF7"/>
    <w:rsid w:val="000B7D44"/>
    <w:rsid w:val="000B7DA2"/>
    <w:rsid w:val="000B7F9F"/>
    <w:rsid w:val="000B7FEE"/>
    <w:rsid w:val="000C00B0"/>
    <w:rsid w:val="000C02A5"/>
    <w:rsid w:val="000C02CD"/>
    <w:rsid w:val="000C0324"/>
    <w:rsid w:val="000C03BC"/>
    <w:rsid w:val="000C060F"/>
    <w:rsid w:val="000C067E"/>
    <w:rsid w:val="000C06EC"/>
    <w:rsid w:val="000C0875"/>
    <w:rsid w:val="000C0897"/>
    <w:rsid w:val="000C08AE"/>
    <w:rsid w:val="000C08CE"/>
    <w:rsid w:val="000C08E7"/>
    <w:rsid w:val="000C0B51"/>
    <w:rsid w:val="000C0C3E"/>
    <w:rsid w:val="000C0E17"/>
    <w:rsid w:val="000C1203"/>
    <w:rsid w:val="000C1208"/>
    <w:rsid w:val="000C120B"/>
    <w:rsid w:val="000C1236"/>
    <w:rsid w:val="000C16E1"/>
    <w:rsid w:val="000C18A5"/>
    <w:rsid w:val="000C1A93"/>
    <w:rsid w:val="000C1B08"/>
    <w:rsid w:val="000C1B2F"/>
    <w:rsid w:val="000C1C94"/>
    <w:rsid w:val="000C1F54"/>
    <w:rsid w:val="000C2039"/>
    <w:rsid w:val="000C205F"/>
    <w:rsid w:val="000C20A5"/>
    <w:rsid w:val="000C21E1"/>
    <w:rsid w:val="000C21F1"/>
    <w:rsid w:val="000C2222"/>
    <w:rsid w:val="000C2412"/>
    <w:rsid w:val="000C2493"/>
    <w:rsid w:val="000C26DE"/>
    <w:rsid w:val="000C27BE"/>
    <w:rsid w:val="000C2809"/>
    <w:rsid w:val="000C2812"/>
    <w:rsid w:val="000C28AD"/>
    <w:rsid w:val="000C28AE"/>
    <w:rsid w:val="000C290E"/>
    <w:rsid w:val="000C2953"/>
    <w:rsid w:val="000C2A4A"/>
    <w:rsid w:val="000C2A66"/>
    <w:rsid w:val="000C2B11"/>
    <w:rsid w:val="000C2B90"/>
    <w:rsid w:val="000C2CFA"/>
    <w:rsid w:val="000C2D59"/>
    <w:rsid w:val="000C2DEB"/>
    <w:rsid w:val="000C3246"/>
    <w:rsid w:val="000C33D4"/>
    <w:rsid w:val="000C34DD"/>
    <w:rsid w:val="000C35FE"/>
    <w:rsid w:val="000C3641"/>
    <w:rsid w:val="000C3B97"/>
    <w:rsid w:val="000C3C06"/>
    <w:rsid w:val="000C3D36"/>
    <w:rsid w:val="000C3DCB"/>
    <w:rsid w:val="000C3FA9"/>
    <w:rsid w:val="000C3FAA"/>
    <w:rsid w:val="000C425B"/>
    <w:rsid w:val="000C4399"/>
    <w:rsid w:val="000C44E5"/>
    <w:rsid w:val="000C4693"/>
    <w:rsid w:val="000C46E9"/>
    <w:rsid w:val="000C46FC"/>
    <w:rsid w:val="000C4752"/>
    <w:rsid w:val="000C4958"/>
    <w:rsid w:val="000C49E5"/>
    <w:rsid w:val="000C4B42"/>
    <w:rsid w:val="000C4BCB"/>
    <w:rsid w:val="000C4BDF"/>
    <w:rsid w:val="000C4D4D"/>
    <w:rsid w:val="000C4E10"/>
    <w:rsid w:val="000C4E44"/>
    <w:rsid w:val="000C4E80"/>
    <w:rsid w:val="000C4EA1"/>
    <w:rsid w:val="000C4F1D"/>
    <w:rsid w:val="000C5025"/>
    <w:rsid w:val="000C51D4"/>
    <w:rsid w:val="000C549B"/>
    <w:rsid w:val="000C5587"/>
    <w:rsid w:val="000C565F"/>
    <w:rsid w:val="000C5704"/>
    <w:rsid w:val="000C571D"/>
    <w:rsid w:val="000C57CC"/>
    <w:rsid w:val="000C584F"/>
    <w:rsid w:val="000C5858"/>
    <w:rsid w:val="000C587D"/>
    <w:rsid w:val="000C5ABB"/>
    <w:rsid w:val="000C5AC9"/>
    <w:rsid w:val="000C5BED"/>
    <w:rsid w:val="000C5CCA"/>
    <w:rsid w:val="000C5CDF"/>
    <w:rsid w:val="000C5D8F"/>
    <w:rsid w:val="000C5F40"/>
    <w:rsid w:val="000C5F79"/>
    <w:rsid w:val="000C62F0"/>
    <w:rsid w:val="000C63DA"/>
    <w:rsid w:val="000C647A"/>
    <w:rsid w:val="000C6684"/>
    <w:rsid w:val="000C677B"/>
    <w:rsid w:val="000C67FE"/>
    <w:rsid w:val="000C6988"/>
    <w:rsid w:val="000C69DD"/>
    <w:rsid w:val="000C69EA"/>
    <w:rsid w:val="000C6CF5"/>
    <w:rsid w:val="000C6E4F"/>
    <w:rsid w:val="000C6F2F"/>
    <w:rsid w:val="000C7006"/>
    <w:rsid w:val="000C701D"/>
    <w:rsid w:val="000C70A8"/>
    <w:rsid w:val="000C71F1"/>
    <w:rsid w:val="000C723C"/>
    <w:rsid w:val="000C72CA"/>
    <w:rsid w:val="000C7301"/>
    <w:rsid w:val="000C733B"/>
    <w:rsid w:val="000C76E8"/>
    <w:rsid w:val="000C77F0"/>
    <w:rsid w:val="000C78EF"/>
    <w:rsid w:val="000C790C"/>
    <w:rsid w:val="000C795C"/>
    <w:rsid w:val="000C7AF7"/>
    <w:rsid w:val="000C7B76"/>
    <w:rsid w:val="000C7DB5"/>
    <w:rsid w:val="000C7E0C"/>
    <w:rsid w:val="000C7E1C"/>
    <w:rsid w:val="000C7F77"/>
    <w:rsid w:val="000C7FA8"/>
    <w:rsid w:val="000D0056"/>
    <w:rsid w:val="000D0112"/>
    <w:rsid w:val="000D022F"/>
    <w:rsid w:val="000D02F1"/>
    <w:rsid w:val="000D037C"/>
    <w:rsid w:val="000D0612"/>
    <w:rsid w:val="000D07A0"/>
    <w:rsid w:val="000D080E"/>
    <w:rsid w:val="000D0A5D"/>
    <w:rsid w:val="000D0B10"/>
    <w:rsid w:val="000D0DE0"/>
    <w:rsid w:val="000D0F45"/>
    <w:rsid w:val="000D0F63"/>
    <w:rsid w:val="000D0F78"/>
    <w:rsid w:val="000D0FFF"/>
    <w:rsid w:val="000D1009"/>
    <w:rsid w:val="000D1042"/>
    <w:rsid w:val="000D1101"/>
    <w:rsid w:val="000D1419"/>
    <w:rsid w:val="000D164A"/>
    <w:rsid w:val="000D16C0"/>
    <w:rsid w:val="000D16D5"/>
    <w:rsid w:val="000D16DF"/>
    <w:rsid w:val="000D1768"/>
    <w:rsid w:val="000D1837"/>
    <w:rsid w:val="000D18E6"/>
    <w:rsid w:val="000D1961"/>
    <w:rsid w:val="000D1A56"/>
    <w:rsid w:val="000D1A98"/>
    <w:rsid w:val="000D1AF4"/>
    <w:rsid w:val="000D1C62"/>
    <w:rsid w:val="000D1E4E"/>
    <w:rsid w:val="000D1E5A"/>
    <w:rsid w:val="000D1ED1"/>
    <w:rsid w:val="000D1F0D"/>
    <w:rsid w:val="000D1F21"/>
    <w:rsid w:val="000D1F73"/>
    <w:rsid w:val="000D2061"/>
    <w:rsid w:val="000D2128"/>
    <w:rsid w:val="000D2163"/>
    <w:rsid w:val="000D21EE"/>
    <w:rsid w:val="000D227C"/>
    <w:rsid w:val="000D232F"/>
    <w:rsid w:val="000D2449"/>
    <w:rsid w:val="000D2531"/>
    <w:rsid w:val="000D2742"/>
    <w:rsid w:val="000D275A"/>
    <w:rsid w:val="000D2780"/>
    <w:rsid w:val="000D28E2"/>
    <w:rsid w:val="000D2A8D"/>
    <w:rsid w:val="000D2BF9"/>
    <w:rsid w:val="000D2C2D"/>
    <w:rsid w:val="000D2D71"/>
    <w:rsid w:val="000D2F51"/>
    <w:rsid w:val="000D3205"/>
    <w:rsid w:val="000D3286"/>
    <w:rsid w:val="000D3384"/>
    <w:rsid w:val="000D3395"/>
    <w:rsid w:val="000D33CD"/>
    <w:rsid w:val="000D3582"/>
    <w:rsid w:val="000D3604"/>
    <w:rsid w:val="000D3A8B"/>
    <w:rsid w:val="000D3B0D"/>
    <w:rsid w:val="000D3BD7"/>
    <w:rsid w:val="000D3CC8"/>
    <w:rsid w:val="000D3D23"/>
    <w:rsid w:val="000D3D2E"/>
    <w:rsid w:val="000D3D65"/>
    <w:rsid w:val="000D3E60"/>
    <w:rsid w:val="000D3F8B"/>
    <w:rsid w:val="000D4123"/>
    <w:rsid w:val="000D418A"/>
    <w:rsid w:val="000D41AA"/>
    <w:rsid w:val="000D42DF"/>
    <w:rsid w:val="000D439D"/>
    <w:rsid w:val="000D442D"/>
    <w:rsid w:val="000D447F"/>
    <w:rsid w:val="000D4484"/>
    <w:rsid w:val="000D448B"/>
    <w:rsid w:val="000D4620"/>
    <w:rsid w:val="000D467E"/>
    <w:rsid w:val="000D468C"/>
    <w:rsid w:val="000D46B4"/>
    <w:rsid w:val="000D471D"/>
    <w:rsid w:val="000D4791"/>
    <w:rsid w:val="000D48A2"/>
    <w:rsid w:val="000D4B6C"/>
    <w:rsid w:val="000D4BA3"/>
    <w:rsid w:val="000D4D00"/>
    <w:rsid w:val="000D4E26"/>
    <w:rsid w:val="000D4EFB"/>
    <w:rsid w:val="000D4FD5"/>
    <w:rsid w:val="000D517A"/>
    <w:rsid w:val="000D52C0"/>
    <w:rsid w:val="000D537B"/>
    <w:rsid w:val="000D5423"/>
    <w:rsid w:val="000D5483"/>
    <w:rsid w:val="000D57FA"/>
    <w:rsid w:val="000D5804"/>
    <w:rsid w:val="000D5814"/>
    <w:rsid w:val="000D585A"/>
    <w:rsid w:val="000D5910"/>
    <w:rsid w:val="000D5B1D"/>
    <w:rsid w:val="000D5CEF"/>
    <w:rsid w:val="000D5D0D"/>
    <w:rsid w:val="000D5DCC"/>
    <w:rsid w:val="000D5E04"/>
    <w:rsid w:val="000D5E13"/>
    <w:rsid w:val="000D6018"/>
    <w:rsid w:val="000D601E"/>
    <w:rsid w:val="000D608B"/>
    <w:rsid w:val="000D61E0"/>
    <w:rsid w:val="000D6202"/>
    <w:rsid w:val="000D6290"/>
    <w:rsid w:val="000D6340"/>
    <w:rsid w:val="000D6343"/>
    <w:rsid w:val="000D6444"/>
    <w:rsid w:val="000D6489"/>
    <w:rsid w:val="000D6491"/>
    <w:rsid w:val="000D656F"/>
    <w:rsid w:val="000D65A9"/>
    <w:rsid w:val="000D65D3"/>
    <w:rsid w:val="000D65FF"/>
    <w:rsid w:val="000D661E"/>
    <w:rsid w:val="000D664C"/>
    <w:rsid w:val="000D684D"/>
    <w:rsid w:val="000D6A8C"/>
    <w:rsid w:val="000D6B99"/>
    <w:rsid w:val="000D6BE9"/>
    <w:rsid w:val="000D6BF8"/>
    <w:rsid w:val="000D6CF8"/>
    <w:rsid w:val="000D6D5D"/>
    <w:rsid w:val="000D6FCF"/>
    <w:rsid w:val="000D700C"/>
    <w:rsid w:val="000D7083"/>
    <w:rsid w:val="000D70B8"/>
    <w:rsid w:val="000D7117"/>
    <w:rsid w:val="000D71E1"/>
    <w:rsid w:val="000D720C"/>
    <w:rsid w:val="000D73CD"/>
    <w:rsid w:val="000D73CE"/>
    <w:rsid w:val="000D743D"/>
    <w:rsid w:val="000D75CB"/>
    <w:rsid w:val="000D770E"/>
    <w:rsid w:val="000D77C8"/>
    <w:rsid w:val="000D78FD"/>
    <w:rsid w:val="000D7977"/>
    <w:rsid w:val="000D7A9F"/>
    <w:rsid w:val="000D7B40"/>
    <w:rsid w:val="000D7B55"/>
    <w:rsid w:val="000D7C3E"/>
    <w:rsid w:val="000D7E8F"/>
    <w:rsid w:val="000D7EE1"/>
    <w:rsid w:val="000D7F3B"/>
    <w:rsid w:val="000D7FD4"/>
    <w:rsid w:val="000D7FD9"/>
    <w:rsid w:val="000D7FDB"/>
    <w:rsid w:val="000E00F5"/>
    <w:rsid w:val="000E0139"/>
    <w:rsid w:val="000E03B0"/>
    <w:rsid w:val="000E03C9"/>
    <w:rsid w:val="000E0424"/>
    <w:rsid w:val="000E0451"/>
    <w:rsid w:val="000E04C6"/>
    <w:rsid w:val="000E054A"/>
    <w:rsid w:val="000E05B8"/>
    <w:rsid w:val="000E06C8"/>
    <w:rsid w:val="000E0787"/>
    <w:rsid w:val="000E08AF"/>
    <w:rsid w:val="000E09E4"/>
    <w:rsid w:val="000E0A6F"/>
    <w:rsid w:val="000E0B74"/>
    <w:rsid w:val="000E0C2E"/>
    <w:rsid w:val="000E0D92"/>
    <w:rsid w:val="000E0ED6"/>
    <w:rsid w:val="000E115E"/>
    <w:rsid w:val="000E1212"/>
    <w:rsid w:val="000E121B"/>
    <w:rsid w:val="000E1222"/>
    <w:rsid w:val="000E1294"/>
    <w:rsid w:val="000E169A"/>
    <w:rsid w:val="000E16BA"/>
    <w:rsid w:val="000E16CF"/>
    <w:rsid w:val="000E1801"/>
    <w:rsid w:val="000E1894"/>
    <w:rsid w:val="000E189F"/>
    <w:rsid w:val="000E1B34"/>
    <w:rsid w:val="000E1B35"/>
    <w:rsid w:val="000E1B79"/>
    <w:rsid w:val="000E1BCB"/>
    <w:rsid w:val="000E1C50"/>
    <w:rsid w:val="000E1CD9"/>
    <w:rsid w:val="000E1DF9"/>
    <w:rsid w:val="000E1F85"/>
    <w:rsid w:val="000E1F93"/>
    <w:rsid w:val="000E1FC9"/>
    <w:rsid w:val="000E2209"/>
    <w:rsid w:val="000E2219"/>
    <w:rsid w:val="000E229E"/>
    <w:rsid w:val="000E2443"/>
    <w:rsid w:val="000E26D4"/>
    <w:rsid w:val="000E26FF"/>
    <w:rsid w:val="000E27C7"/>
    <w:rsid w:val="000E2A1B"/>
    <w:rsid w:val="000E2B01"/>
    <w:rsid w:val="000E2B03"/>
    <w:rsid w:val="000E2DEA"/>
    <w:rsid w:val="000E2F92"/>
    <w:rsid w:val="000E2F9E"/>
    <w:rsid w:val="000E32BD"/>
    <w:rsid w:val="000E3482"/>
    <w:rsid w:val="000E3490"/>
    <w:rsid w:val="000E34BF"/>
    <w:rsid w:val="000E3625"/>
    <w:rsid w:val="000E37A3"/>
    <w:rsid w:val="000E37B0"/>
    <w:rsid w:val="000E38A8"/>
    <w:rsid w:val="000E3916"/>
    <w:rsid w:val="000E3CF6"/>
    <w:rsid w:val="000E3D96"/>
    <w:rsid w:val="000E3DD7"/>
    <w:rsid w:val="000E3E83"/>
    <w:rsid w:val="000E3ECD"/>
    <w:rsid w:val="000E4105"/>
    <w:rsid w:val="000E4167"/>
    <w:rsid w:val="000E42D9"/>
    <w:rsid w:val="000E431B"/>
    <w:rsid w:val="000E439F"/>
    <w:rsid w:val="000E440E"/>
    <w:rsid w:val="000E445B"/>
    <w:rsid w:val="000E4489"/>
    <w:rsid w:val="000E44CE"/>
    <w:rsid w:val="000E44F2"/>
    <w:rsid w:val="000E45E8"/>
    <w:rsid w:val="000E4656"/>
    <w:rsid w:val="000E4689"/>
    <w:rsid w:val="000E472A"/>
    <w:rsid w:val="000E491E"/>
    <w:rsid w:val="000E4C9E"/>
    <w:rsid w:val="000E4D4C"/>
    <w:rsid w:val="000E4DBB"/>
    <w:rsid w:val="000E4E35"/>
    <w:rsid w:val="000E4E75"/>
    <w:rsid w:val="000E4FAA"/>
    <w:rsid w:val="000E5227"/>
    <w:rsid w:val="000E5315"/>
    <w:rsid w:val="000E5541"/>
    <w:rsid w:val="000E5676"/>
    <w:rsid w:val="000E57D8"/>
    <w:rsid w:val="000E5871"/>
    <w:rsid w:val="000E5BA3"/>
    <w:rsid w:val="000E5E16"/>
    <w:rsid w:val="000E5ED8"/>
    <w:rsid w:val="000E5EE9"/>
    <w:rsid w:val="000E5FE4"/>
    <w:rsid w:val="000E60CC"/>
    <w:rsid w:val="000E632D"/>
    <w:rsid w:val="000E6483"/>
    <w:rsid w:val="000E6494"/>
    <w:rsid w:val="000E663E"/>
    <w:rsid w:val="000E6779"/>
    <w:rsid w:val="000E67E0"/>
    <w:rsid w:val="000E693A"/>
    <w:rsid w:val="000E6A9F"/>
    <w:rsid w:val="000E6BA8"/>
    <w:rsid w:val="000E6BAC"/>
    <w:rsid w:val="000E6DD3"/>
    <w:rsid w:val="000E6DE4"/>
    <w:rsid w:val="000E6E56"/>
    <w:rsid w:val="000E6EB5"/>
    <w:rsid w:val="000E6F06"/>
    <w:rsid w:val="000E7260"/>
    <w:rsid w:val="000E727D"/>
    <w:rsid w:val="000E72D0"/>
    <w:rsid w:val="000E734D"/>
    <w:rsid w:val="000E73A9"/>
    <w:rsid w:val="000E7464"/>
    <w:rsid w:val="000E7564"/>
    <w:rsid w:val="000E78C0"/>
    <w:rsid w:val="000E78E8"/>
    <w:rsid w:val="000E7901"/>
    <w:rsid w:val="000E79C6"/>
    <w:rsid w:val="000E7BE6"/>
    <w:rsid w:val="000E7C6F"/>
    <w:rsid w:val="000E7E2D"/>
    <w:rsid w:val="000E7E5E"/>
    <w:rsid w:val="000E7EFA"/>
    <w:rsid w:val="000E7F74"/>
    <w:rsid w:val="000E7FF9"/>
    <w:rsid w:val="000F00F6"/>
    <w:rsid w:val="000F0346"/>
    <w:rsid w:val="000F0391"/>
    <w:rsid w:val="000F0612"/>
    <w:rsid w:val="000F066D"/>
    <w:rsid w:val="000F06E6"/>
    <w:rsid w:val="000F0BA8"/>
    <w:rsid w:val="000F0F98"/>
    <w:rsid w:val="000F0FE2"/>
    <w:rsid w:val="000F1457"/>
    <w:rsid w:val="000F14CD"/>
    <w:rsid w:val="000F1623"/>
    <w:rsid w:val="000F166E"/>
    <w:rsid w:val="000F1834"/>
    <w:rsid w:val="000F18EE"/>
    <w:rsid w:val="000F19AB"/>
    <w:rsid w:val="000F1A52"/>
    <w:rsid w:val="000F1BC8"/>
    <w:rsid w:val="000F1C54"/>
    <w:rsid w:val="000F1D84"/>
    <w:rsid w:val="000F1DD9"/>
    <w:rsid w:val="000F1E2C"/>
    <w:rsid w:val="000F1E57"/>
    <w:rsid w:val="000F1FAF"/>
    <w:rsid w:val="000F1FE3"/>
    <w:rsid w:val="000F20BD"/>
    <w:rsid w:val="000F218D"/>
    <w:rsid w:val="000F2392"/>
    <w:rsid w:val="000F23A1"/>
    <w:rsid w:val="000F2408"/>
    <w:rsid w:val="000F2479"/>
    <w:rsid w:val="000F2507"/>
    <w:rsid w:val="000F2787"/>
    <w:rsid w:val="000F279C"/>
    <w:rsid w:val="000F27FD"/>
    <w:rsid w:val="000F281E"/>
    <w:rsid w:val="000F28C2"/>
    <w:rsid w:val="000F2B54"/>
    <w:rsid w:val="000F2BF9"/>
    <w:rsid w:val="000F2CBE"/>
    <w:rsid w:val="000F2E67"/>
    <w:rsid w:val="000F2E9B"/>
    <w:rsid w:val="000F2EDC"/>
    <w:rsid w:val="000F2F24"/>
    <w:rsid w:val="000F3028"/>
    <w:rsid w:val="000F30E7"/>
    <w:rsid w:val="000F320C"/>
    <w:rsid w:val="000F32DF"/>
    <w:rsid w:val="000F32F5"/>
    <w:rsid w:val="000F3306"/>
    <w:rsid w:val="000F332D"/>
    <w:rsid w:val="000F3378"/>
    <w:rsid w:val="000F341C"/>
    <w:rsid w:val="000F3945"/>
    <w:rsid w:val="000F3A4F"/>
    <w:rsid w:val="000F3A79"/>
    <w:rsid w:val="000F3A7B"/>
    <w:rsid w:val="000F3A89"/>
    <w:rsid w:val="000F3AB4"/>
    <w:rsid w:val="000F3BC1"/>
    <w:rsid w:val="000F3C06"/>
    <w:rsid w:val="000F3C88"/>
    <w:rsid w:val="000F3D55"/>
    <w:rsid w:val="000F3ED0"/>
    <w:rsid w:val="000F3EE4"/>
    <w:rsid w:val="000F4057"/>
    <w:rsid w:val="000F409B"/>
    <w:rsid w:val="000F42B1"/>
    <w:rsid w:val="000F455B"/>
    <w:rsid w:val="000F4616"/>
    <w:rsid w:val="000F46F1"/>
    <w:rsid w:val="000F479B"/>
    <w:rsid w:val="000F47D0"/>
    <w:rsid w:val="000F49FF"/>
    <w:rsid w:val="000F4A20"/>
    <w:rsid w:val="000F4A38"/>
    <w:rsid w:val="000F4A4B"/>
    <w:rsid w:val="000F4A53"/>
    <w:rsid w:val="000F4C57"/>
    <w:rsid w:val="000F4C9D"/>
    <w:rsid w:val="000F4D46"/>
    <w:rsid w:val="000F4DDB"/>
    <w:rsid w:val="000F513B"/>
    <w:rsid w:val="000F518A"/>
    <w:rsid w:val="000F5285"/>
    <w:rsid w:val="000F5545"/>
    <w:rsid w:val="000F5833"/>
    <w:rsid w:val="000F5AD2"/>
    <w:rsid w:val="000F5B60"/>
    <w:rsid w:val="000F5D20"/>
    <w:rsid w:val="000F5D2C"/>
    <w:rsid w:val="000F5D8F"/>
    <w:rsid w:val="000F5E36"/>
    <w:rsid w:val="000F5E53"/>
    <w:rsid w:val="000F61DE"/>
    <w:rsid w:val="000F6233"/>
    <w:rsid w:val="000F623A"/>
    <w:rsid w:val="000F658E"/>
    <w:rsid w:val="000F6652"/>
    <w:rsid w:val="000F668E"/>
    <w:rsid w:val="000F6798"/>
    <w:rsid w:val="000F6799"/>
    <w:rsid w:val="000F6804"/>
    <w:rsid w:val="000F6961"/>
    <w:rsid w:val="000F69CC"/>
    <w:rsid w:val="000F6B41"/>
    <w:rsid w:val="000F6B6B"/>
    <w:rsid w:val="000F6B98"/>
    <w:rsid w:val="000F6CC0"/>
    <w:rsid w:val="000F6D7D"/>
    <w:rsid w:val="000F6E03"/>
    <w:rsid w:val="000F6E22"/>
    <w:rsid w:val="000F6F90"/>
    <w:rsid w:val="000F7019"/>
    <w:rsid w:val="000F7073"/>
    <w:rsid w:val="000F70D6"/>
    <w:rsid w:val="000F715C"/>
    <w:rsid w:val="000F72B5"/>
    <w:rsid w:val="000F755D"/>
    <w:rsid w:val="000F7A57"/>
    <w:rsid w:val="000F7B51"/>
    <w:rsid w:val="000F7D22"/>
    <w:rsid w:val="000F7DAE"/>
    <w:rsid w:val="000F7E3B"/>
    <w:rsid w:val="000F7F04"/>
    <w:rsid w:val="000F7F68"/>
    <w:rsid w:val="0010011C"/>
    <w:rsid w:val="00100156"/>
    <w:rsid w:val="00100176"/>
    <w:rsid w:val="00100237"/>
    <w:rsid w:val="0010041F"/>
    <w:rsid w:val="00100430"/>
    <w:rsid w:val="001004E1"/>
    <w:rsid w:val="00100516"/>
    <w:rsid w:val="0010058D"/>
    <w:rsid w:val="001005D7"/>
    <w:rsid w:val="001006CB"/>
    <w:rsid w:val="001006F5"/>
    <w:rsid w:val="00100707"/>
    <w:rsid w:val="0010070E"/>
    <w:rsid w:val="0010075E"/>
    <w:rsid w:val="001007CE"/>
    <w:rsid w:val="00100821"/>
    <w:rsid w:val="00100900"/>
    <w:rsid w:val="00100B3F"/>
    <w:rsid w:val="00100D25"/>
    <w:rsid w:val="00100DBF"/>
    <w:rsid w:val="00100DFA"/>
    <w:rsid w:val="001010D3"/>
    <w:rsid w:val="00101123"/>
    <w:rsid w:val="00101128"/>
    <w:rsid w:val="001011A9"/>
    <w:rsid w:val="00101256"/>
    <w:rsid w:val="001012C0"/>
    <w:rsid w:val="001014F2"/>
    <w:rsid w:val="0010175E"/>
    <w:rsid w:val="00101774"/>
    <w:rsid w:val="0010195E"/>
    <w:rsid w:val="00101A1D"/>
    <w:rsid w:val="00101B49"/>
    <w:rsid w:val="00101C3B"/>
    <w:rsid w:val="00101C4C"/>
    <w:rsid w:val="00101D2D"/>
    <w:rsid w:val="00101DAB"/>
    <w:rsid w:val="00101DCC"/>
    <w:rsid w:val="00101E96"/>
    <w:rsid w:val="00101EC3"/>
    <w:rsid w:val="00102016"/>
    <w:rsid w:val="0010202C"/>
    <w:rsid w:val="00102097"/>
    <w:rsid w:val="00102274"/>
    <w:rsid w:val="001023BB"/>
    <w:rsid w:val="001023C0"/>
    <w:rsid w:val="001026FE"/>
    <w:rsid w:val="001027DA"/>
    <w:rsid w:val="001027F2"/>
    <w:rsid w:val="0010289E"/>
    <w:rsid w:val="0010294E"/>
    <w:rsid w:val="0010298B"/>
    <w:rsid w:val="00102ABC"/>
    <w:rsid w:val="00102ACC"/>
    <w:rsid w:val="00102B4E"/>
    <w:rsid w:val="00102BCD"/>
    <w:rsid w:val="00102CCC"/>
    <w:rsid w:val="0010344C"/>
    <w:rsid w:val="00103608"/>
    <w:rsid w:val="00103747"/>
    <w:rsid w:val="0010378F"/>
    <w:rsid w:val="00103925"/>
    <w:rsid w:val="00103AB7"/>
    <w:rsid w:val="00103CC4"/>
    <w:rsid w:val="00103DA6"/>
    <w:rsid w:val="00103DA7"/>
    <w:rsid w:val="00103F19"/>
    <w:rsid w:val="00103F3B"/>
    <w:rsid w:val="00103F3C"/>
    <w:rsid w:val="00104025"/>
    <w:rsid w:val="001040AD"/>
    <w:rsid w:val="001040D2"/>
    <w:rsid w:val="00104120"/>
    <w:rsid w:val="0010420C"/>
    <w:rsid w:val="00104274"/>
    <w:rsid w:val="0010471A"/>
    <w:rsid w:val="00104737"/>
    <w:rsid w:val="00104763"/>
    <w:rsid w:val="001048BB"/>
    <w:rsid w:val="00104C07"/>
    <w:rsid w:val="00105022"/>
    <w:rsid w:val="001050B4"/>
    <w:rsid w:val="001050EE"/>
    <w:rsid w:val="00105129"/>
    <w:rsid w:val="0010526B"/>
    <w:rsid w:val="001052D7"/>
    <w:rsid w:val="00105442"/>
    <w:rsid w:val="001054F6"/>
    <w:rsid w:val="00105598"/>
    <w:rsid w:val="001055F4"/>
    <w:rsid w:val="00105602"/>
    <w:rsid w:val="00105617"/>
    <w:rsid w:val="0010561E"/>
    <w:rsid w:val="00105782"/>
    <w:rsid w:val="00105A34"/>
    <w:rsid w:val="00105B75"/>
    <w:rsid w:val="00105C11"/>
    <w:rsid w:val="00105E06"/>
    <w:rsid w:val="001060E9"/>
    <w:rsid w:val="00106212"/>
    <w:rsid w:val="00106230"/>
    <w:rsid w:val="00106491"/>
    <w:rsid w:val="001064C5"/>
    <w:rsid w:val="00106586"/>
    <w:rsid w:val="0010674A"/>
    <w:rsid w:val="00106758"/>
    <w:rsid w:val="00106899"/>
    <w:rsid w:val="0010699D"/>
    <w:rsid w:val="00106B3F"/>
    <w:rsid w:val="00106D90"/>
    <w:rsid w:val="00106F5C"/>
    <w:rsid w:val="00107133"/>
    <w:rsid w:val="001072FA"/>
    <w:rsid w:val="00107325"/>
    <w:rsid w:val="0010734E"/>
    <w:rsid w:val="0010738D"/>
    <w:rsid w:val="001073C9"/>
    <w:rsid w:val="001074E1"/>
    <w:rsid w:val="0010779E"/>
    <w:rsid w:val="0010788C"/>
    <w:rsid w:val="00107B9C"/>
    <w:rsid w:val="00107D56"/>
    <w:rsid w:val="00107DEA"/>
    <w:rsid w:val="00107FCA"/>
    <w:rsid w:val="00107FDF"/>
    <w:rsid w:val="00110073"/>
    <w:rsid w:val="001104E5"/>
    <w:rsid w:val="00110689"/>
    <w:rsid w:val="00110706"/>
    <w:rsid w:val="0011072B"/>
    <w:rsid w:val="00110771"/>
    <w:rsid w:val="00110790"/>
    <w:rsid w:val="00110816"/>
    <w:rsid w:val="0011085F"/>
    <w:rsid w:val="00110A1D"/>
    <w:rsid w:val="00110B23"/>
    <w:rsid w:val="00110C00"/>
    <w:rsid w:val="00110D3D"/>
    <w:rsid w:val="00110DA6"/>
    <w:rsid w:val="00110F74"/>
    <w:rsid w:val="00110FA8"/>
    <w:rsid w:val="00110FEF"/>
    <w:rsid w:val="0011102B"/>
    <w:rsid w:val="00111066"/>
    <w:rsid w:val="00111274"/>
    <w:rsid w:val="0011131F"/>
    <w:rsid w:val="0011133D"/>
    <w:rsid w:val="00111343"/>
    <w:rsid w:val="00111345"/>
    <w:rsid w:val="00111498"/>
    <w:rsid w:val="001114BC"/>
    <w:rsid w:val="00111570"/>
    <w:rsid w:val="0011165D"/>
    <w:rsid w:val="001117F4"/>
    <w:rsid w:val="00111857"/>
    <w:rsid w:val="001118AA"/>
    <w:rsid w:val="0011193F"/>
    <w:rsid w:val="00111A0D"/>
    <w:rsid w:val="00111A55"/>
    <w:rsid w:val="00111B74"/>
    <w:rsid w:val="00111B9A"/>
    <w:rsid w:val="00111DE9"/>
    <w:rsid w:val="00111F5B"/>
    <w:rsid w:val="00111F93"/>
    <w:rsid w:val="00111F99"/>
    <w:rsid w:val="00112150"/>
    <w:rsid w:val="001121AC"/>
    <w:rsid w:val="001124B6"/>
    <w:rsid w:val="001124E0"/>
    <w:rsid w:val="001125D4"/>
    <w:rsid w:val="001126D4"/>
    <w:rsid w:val="00112899"/>
    <w:rsid w:val="001128F4"/>
    <w:rsid w:val="00112932"/>
    <w:rsid w:val="00112AF9"/>
    <w:rsid w:val="00112B0B"/>
    <w:rsid w:val="00112B34"/>
    <w:rsid w:val="00112C24"/>
    <w:rsid w:val="00112C75"/>
    <w:rsid w:val="00112CF7"/>
    <w:rsid w:val="00112E69"/>
    <w:rsid w:val="00112F34"/>
    <w:rsid w:val="00112FB6"/>
    <w:rsid w:val="00113072"/>
    <w:rsid w:val="001132E0"/>
    <w:rsid w:val="00113328"/>
    <w:rsid w:val="0011348F"/>
    <w:rsid w:val="00113532"/>
    <w:rsid w:val="00113550"/>
    <w:rsid w:val="001137DB"/>
    <w:rsid w:val="001137E4"/>
    <w:rsid w:val="00113B02"/>
    <w:rsid w:val="00113BE0"/>
    <w:rsid w:val="00113D1F"/>
    <w:rsid w:val="00113D84"/>
    <w:rsid w:val="00113DA1"/>
    <w:rsid w:val="00113EA2"/>
    <w:rsid w:val="00113EF8"/>
    <w:rsid w:val="00114040"/>
    <w:rsid w:val="0011410F"/>
    <w:rsid w:val="00114128"/>
    <w:rsid w:val="001142F4"/>
    <w:rsid w:val="00114496"/>
    <w:rsid w:val="001144E3"/>
    <w:rsid w:val="001144FF"/>
    <w:rsid w:val="00114552"/>
    <w:rsid w:val="00114A47"/>
    <w:rsid w:val="00114ADC"/>
    <w:rsid w:val="00114D6F"/>
    <w:rsid w:val="00114DA8"/>
    <w:rsid w:val="00114E57"/>
    <w:rsid w:val="00114E60"/>
    <w:rsid w:val="00114F1C"/>
    <w:rsid w:val="00115137"/>
    <w:rsid w:val="00115152"/>
    <w:rsid w:val="00115209"/>
    <w:rsid w:val="001152A2"/>
    <w:rsid w:val="001152D3"/>
    <w:rsid w:val="00115453"/>
    <w:rsid w:val="00115525"/>
    <w:rsid w:val="001155DE"/>
    <w:rsid w:val="00115A1B"/>
    <w:rsid w:val="00115A59"/>
    <w:rsid w:val="00115B31"/>
    <w:rsid w:val="00115B8C"/>
    <w:rsid w:val="00115BC4"/>
    <w:rsid w:val="00115C75"/>
    <w:rsid w:val="00115CE6"/>
    <w:rsid w:val="00115EC7"/>
    <w:rsid w:val="00115F94"/>
    <w:rsid w:val="00115FD7"/>
    <w:rsid w:val="001160AC"/>
    <w:rsid w:val="0011610C"/>
    <w:rsid w:val="001161BC"/>
    <w:rsid w:val="00116265"/>
    <w:rsid w:val="001162C0"/>
    <w:rsid w:val="001163AF"/>
    <w:rsid w:val="00116452"/>
    <w:rsid w:val="001165F2"/>
    <w:rsid w:val="00116662"/>
    <w:rsid w:val="0011676F"/>
    <w:rsid w:val="0011682A"/>
    <w:rsid w:val="00116873"/>
    <w:rsid w:val="001168DC"/>
    <w:rsid w:val="00116A3F"/>
    <w:rsid w:val="00116B65"/>
    <w:rsid w:val="00116BB4"/>
    <w:rsid w:val="00116DAE"/>
    <w:rsid w:val="00116FE7"/>
    <w:rsid w:val="00117066"/>
    <w:rsid w:val="00117069"/>
    <w:rsid w:val="00117095"/>
    <w:rsid w:val="00117154"/>
    <w:rsid w:val="001171B2"/>
    <w:rsid w:val="00117303"/>
    <w:rsid w:val="0011748B"/>
    <w:rsid w:val="001175FB"/>
    <w:rsid w:val="001176EF"/>
    <w:rsid w:val="001178BE"/>
    <w:rsid w:val="0011794B"/>
    <w:rsid w:val="00117A27"/>
    <w:rsid w:val="00117B12"/>
    <w:rsid w:val="00117BB3"/>
    <w:rsid w:val="00117C8C"/>
    <w:rsid w:val="00117D24"/>
    <w:rsid w:val="00117F35"/>
    <w:rsid w:val="001200E0"/>
    <w:rsid w:val="001201B1"/>
    <w:rsid w:val="001201E9"/>
    <w:rsid w:val="00120332"/>
    <w:rsid w:val="0012046A"/>
    <w:rsid w:val="001204CF"/>
    <w:rsid w:val="0012074A"/>
    <w:rsid w:val="00120851"/>
    <w:rsid w:val="001208BD"/>
    <w:rsid w:val="001208C2"/>
    <w:rsid w:val="00120A4F"/>
    <w:rsid w:val="00120ABB"/>
    <w:rsid w:val="00120C80"/>
    <w:rsid w:val="00120C88"/>
    <w:rsid w:val="00120CAC"/>
    <w:rsid w:val="00120D56"/>
    <w:rsid w:val="00120DF2"/>
    <w:rsid w:val="00120E69"/>
    <w:rsid w:val="00121080"/>
    <w:rsid w:val="001210AA"/>
    <w:rsid w:val="00121309"/>
    <w:rsid w:val="0012138C"/>
    <w:rsid w:val="001214B4"/>
    <w:rsid w:val="00121701"/>
    <w:rsid w:val="00121879"/>
    <w:rsid w:val="0012187E"/>
    <w:rsid w:val="00121941"/>
    <w:rsid w:val="00121D4C"/>
    <w:rsid w:val="00121EB0"/>
    <w:rsid w:val="00121EE5"/>
    <w:rsid w:val="00121F86"/>
    <w:rsid w:val="0012209D"/>
    <w:rsid w:val="0012211E"/>
    <w:rsid w:val="0012218E"/>
    <w:rsid w:val="001222D1"/>
    <w:rsid w:val="001224A4"/>
    <w:rsid w:val="0012263A"/>
    <w:rsid w:val="001227B7"/>
    <w:rsid w:val="0012288F"/>
    <w:rsid w:val="001228F2"/>
    <w:rsid w:val="001229E5"/>
    <w:rsid w:val="00122A0F"/>
    <w:rsid w:val="00122A9D"/>
    <w:rsid w:val="00122B37"/>
    <w:rsid w:val="00122B6B"/>
    <w:rsid w:val="00122BB7"/>
    <w:rsid w:val="00122DB4"/>
    <w:rsid w:val="00122DBA"/>
    <w:rsid w:val="00122F07"/>
    <w:rsid w:val="00122F7F"/>
    <w:rsid w:val="001230AD"/>
    <w:rsid w:val="00123228"/>
    <w:rsid w:val="001234AD"/>
    <w:rsid w:val="001234CA"/>
    <w:rsid w:val="00123530"/>
    <w:rsid w:val="00123562"/>
    <w:rsid w:val="00123592"/>
    <w:rsid w:val="00123677"/>
    <w:rsid w:val="001236AD"/>
    <w:rsid w:val="00123814"/>
    <w:rsid w:val="00123A2B"/>
    <w:rsid w:val="00123A9D"/>
    <w:rsid w:val="00123AF5"/>
    <w:rsid w:val="00123C9F"/>
    <w:rsid w:val="00123CF1"/>
    <w:rsid w:val="00123D0D"/>
    <w:rsid w:val="00123F4F"/>
    <w:rsid w:val="00124024"/>
    <w:rsid w:val="001242A0"/>
    <w:rsid w:val="001242B3"/>
    <w:rsid w:val="001242B6"/>
    <w:rsid w:val="00124310"/>
    <w:rsid w:val="001243CC"/>
    <w:rsid w:val="00124413"/>
    <w:rsid w:val="001246BB"/>
    <w:rsid w:val="001246DE"/>
    <w:rsid w:val="001248AB"/>
    <w:rsid w:val="00124941"/>
    <w:rsid w:val="00124979"/>
    <w:rsid w:val="001249DD"/>
    <w:rsid w:val="001249F2"/>
    <w:rsid w:val="00124B45"/>
    <w:rsid w:val="00124C6F"/>
    <w:rsid w:val="00124D4E"/>
    <w:rsid w:val="00124E3C"/>
    <w:rsid w:val="00124E5D"/>
    <w:rsid w:val="00124FBA"/>
    <w:rsid w:val="00125096"/>
    <w:rsid w:val="001250BE"/>
    <w:rsid w:val="00125221"/>
    <w:rsid w:val="0012552D"/>
    <w:rsid w:val="001256A7"/>
    <w:rsid w:val="0012579A"/>
    <w:rsid w:val="001257F9"/>
    <w:rsid w:val="0012589D"/>
    <w:rsid w:val="001258D3"/>
    <w:rsid w:val="00125D24"/>
    <w:rsid w:val="00125E28"/>
    <w:rsid w:val="00125FBB"/>
    <w:rsid w:val="00126199"/>
    <w:rsid w:val="0012619F"/>
    <w:rsid w:val="00126265"/>
    <w:rsid w:val="00126398"/>
    <w:rsid w:val="001264BA"/>
    <w:rsid w:val="00126A09"/>
    <w:rsid w:val="00126A2A"/>
    <w:rsid w:val="00126A36"/>
    <w:rsid w:val="00126B79"/>
    <w:rsid w:val="00126C04"/>
    <w:rsid w:val="00126D6E"/>
    <w:rsid w:val="00126E52"/>
    <w:rsid w:val="00126EF2"/>
    <w:rsid w:val="00127065"/>
    <w:rsid w:val="0012707C"/>
    <w:rsid w:val="001271DE"/>
    <w:rsid w:val="001273ED"/>
    <w:rsid w:val="00127664"/>
    <w:rsid w:val="0012778D"/>
    <w:rsid w:val="00127797"/>
    <w:rsid w:val="001279A0"/>
    <w:rsid w:val="001279F1"/>
    <w:rsid w:val="00127A2B"/>
    <w:rsid w:val="00127A30"/>
    <w:rsid w:val="00127B94"/>
    <w:rsid w:val="00127E04"/>
    <w:rsid w:val="00127EC6"/>
    <w:rsid w:val="00130016"/>
    <w:rsid w:val="001300E5"/>
    <w:rsid w:val="001300EC"/>
    <w:rsid w:val="00130150"/>
    <w:rsid w:val="0013019A"/>
    <w:rsid w:val="00130272"/>
    <w:rsid w:val="001302C7"/>
    <w:rsid w:val="00130315"/>
    <w:rsid w:val="00130369"/>
    <w:rsid w:val="001303D8"/>
    <w:rsid w:val="00130444"/>
    <w:rsid w:val="0013046B"/>
    <w:rsid w:val="00130478"/>
    <w:rsid w:val="00130579"/>
    <w:rsid w:val="001306A3"/>
    <w:rsid w:val="001306EC"/>
    <w:rsid w:val="00130970"/>
    <w:rsid w:val="001309A4"/>
    <w:rsid w:val="00130AA9"/>
    <w:rsid w:val="00130D51"/>
    <w:rsid w:val="00130E4D"/>
    <w:rsid w:val="00130F0D"/>
    <w:rsid w:val="00130F8A"/>
    <w:rsid w:val="001312DC"/>
    <w:rsid w:val="001316A2"/>
    <w:rsid w:val="00131758"/>
    <w:rsid w:val="001318B7"/>
    <w:rsid w:val="0013194D"/>
    <w:rsid w:val="00131A37"/>
    <w:rsid w:val="00131A92"/>
    <w:rsid w:val="00131ACA"/>
    <w:rsid w:val="00131DC3"/>
    <w:rsid w:val="00132140"/>
    <w:rsid w:val="00132510"/>
    <w:rsid w:val="00132647"/>
    <w:rsid w:val="00132826"/>
    <w:rsid w:val="00132887"/>
    <w:rsid w:val="00132A02"/>
    <w:rsid w:val="00132B53"/>
    <w:rsid w:val="00132B5A"/>
    <w:rsid w:val="00132B71"/>
    <w:rsid w:val="00132D92"/>
    <w:rsid w:val="00132E82"/>
    <w:rsid w:val="00132EFB"/>
    <w:rsid w:val="001333BE"/>
    <w:rsid w:val="00133511"/>
    <w:rsid w:val="001335F4"/>
    <w:rsid w:val="00133613"/>
    <w:rsid w:val="0013365E"/>
    <w:rsid w:val="00133724"/>
    <w:rsid w:val="001337B2"/>
    <w:rsid w:val="001337DD"/>
    <w:rsid w:val="00133B74"/>
    <w:rsid w:val="00133C48"/>
    <w:rsid w:val="00133D1E"/>
    <w:rsid w:val="00133E7E"/>
    <w:rsid w:val="00134033"/>
    <w:rsid w:val="0013407B"/>
    <w:rsid w:val="00134127"/>
    <w:rsid w:val="00134187"/>
    <w:rsid w:val="0013437B"/>
    <w:rsid w:val="00134403"/>
    <w:rsid w:val="001344C4"/>
    <w:rsid w:val="00134550"/>
    <w:rsid w:val="0013464F"/>
    <w:rsid w:val="00134712"/>
    <w:rsid w:val="0013475E"/>
    <w:rsid w:val="00134A84"/>
    <w:rsid w:val="00134ABE"/>
    <w:rsid w:val="00134B00"/>
    <w:rsid w:val="00134BE6"/>
    <w:rsid w:val="00134BED"/>
    <w:rsid w:val="00134C34"/>
    <w:rsid w:val="00134C5B"/>
    <w:rsid w:val="00134E22"/>
    <w:rsid w:val="00134EDD"/>
    <w:rsid w:val="001351B3"/>
    <w:rsid w:val="001353BA"/>
    <w:rsid w:val="00135436"/>
    <w:rsid w:val="00135606"/>
    <w:rsid w:val="00135715"/>
    <w:rsid w:val="001357A1"/>
    <w:rsid w:val="001357A7"/>
    <w:rsid w:val="00135878"/>
    <w:rsid w:val="00135977"/>
    <w:rsid w:val="00135989"/>
    <w:rsid w:val="00135A8B"/>
    <w:rsid w:val="00135A8E"/>
    <w:rsid w:val="00135C72"/>
    <w:rsid w:val="00135D49"/>
    <w:rsid w:val="00135E15"/>
    <w:rsid w:val="00135E29"/>
    <w:rsid w:val="00135E4C"/>
    <w:rsid w:val="00136196"/>
    <w:rsid w:val="0013633B"/>
    <w:rsid w:val="001365C6"/>
    <w:rsid w:val="00136779"/>
    <w:rsid w:val="00136A00"/>
    <w:rsid w:val="00136ABB"/>
    <w:rsid w:val="00136C0A"/>
    <w:rsid w:val="00136CBF"/>
    <w:rsid w:val="00136F18"/>
    <w:rsid w:val="00137092"/>
    <w:rsid w:val="001370C7"/>
    <w:rsid w:val="001370DA"/>
    <w:rsid w:val="0013718D"/>
    <w:rsid w:val="001371A3"/>
    <w:rsid w:val="0013728D"/>
    <w:rsid w:val="001373E0"/>
    <w:rsid w:val="001373F5"/>
    <w:rsid w:val="00137529"/>
    <w:rsid w:val="00137682"/>
    <w:rsid w:val="00137925"/>
    <w:rsid w:val="00137A5A"/>
    <w:rsid w:val="00137BE0"/>
    <w:rsid w:val="00137C4E"/>
    <w:rsid w:val="00137CD0"/>
    <w:rsid w:val="00137DC4"/>
    <w:rsid w:val="00137F9C"/>
    <w:rsid w:val="00140153"/>
    <w:rsid w:val="001402EE"/>
    <w:rsid w:val="0014039D"/>
    <w:rsid w:val="001403DD"/>
    <w:rsid w:val="0014045B"/>
    <w:rsid w:val="0014049F"/>
    <w:rsid w:val="001404C0"/>
    <w:rsid w:val="00140724"/>
    <w:rsid w:val="00140755"/>
    <w:rsid w:val="0014079E"/>
    <w:rsid w:val="001407E5"/>
    <w:rsid w:val="00140C48"/>
    <w:rsid w:val="00140CF6"/>
    <w:rsid w:val="00140CFF"/>
    <w:rsid w:val="00140D34"/>
    <w:rsid w:val="00140E6E"/>
    <w:rsid w:val="00140E88"/>
    <w:rsid w:val="00140FB3"/>
    <w:rsid w:val="00140FBA"/>
    <w:rsid w:val="00140FD5"/>
    <w:rsid w:val="00141027"/>
    <w:rsid w:val="001411A0"/>
    <w:rsid w:val="00141232"/>
    <w:rsid w:val="00141304"/>
    <w:rsid w:val="001414D3"/>
    <w:rsid w:val="001414EA"/>
    <w:rsid w:val="001415A0"/>
    <w:rsid w:val="00141685"/>
    <w:rsid w:val="0014172D"/>
    <w:rsid w:val="0014179E"/>
    <w:rsid w:val="001417ED"/>
    <w:rsid w:val="001418FE"/>
    <w:rsid w:val="001419B1"/>
    <w:rsid w:val="00141B11"/>
    <w:rsid w:val="00141CC6"/>
    <w:rsid w:val="00141D90"/>
    <w:rsid w:val="00141F10"/>
    <w:rsid w:val="00141FC0"/>
    <w:rsid w:val="00142141"/>
    <w:rsid w:val="001421B1"/>
    <w:rsid w:val="0014233A"/>
    <w:rsid w:val="0014236D"/>
    <w:rsid w:val="001423D3"/>
    <w:rsid w:val="00142849"/>
    <w:rsid w:val="00142876"/>
    <w:rsid w:val="00142896"/>
    <w:rsid w:val="001429CD"/>
    <w:rsid w:val="00142AEE"/>
    <w:rsid w:val="00142D14"/>
    <w:rsid w:val="0014340E"/>
    <w:rsid w:val="00143413"/>
    <w:rsid w:val="0014343C"/>
    <w:rsid w:val="0014346D"/>
    <w:rsid w:val="0014361C"/>
    <w:rsid w:val="0014368D"/>
    <w:rsid w:val="001436E8"/>
    <w:rsid w:val="001437A0"/>
    <w:rsid w:val="001437BC"/>
    <w:rsid w:val="001438A3"/>
    <w:rsid w:val="00143A5E"/>
    <w:rsid w:val="00143AF8"/>
    <w:rsid w:val="00143DDA"/>
    <w:rsid w:val="00143E3C"/>
    <w:rsid w:val="00143E54"/>
    <w:rsid w:val="001440DD"/>
    <w:rsid w:val="001440FD"/>
    <w:rsid w:val="00144373"/>
    <w:rsid w:val="001444D0"/>
    <w:rsid w:val="00144811"/>
    <w:rsid w:val="001449B0"/>
    <w:rsid w:val="00144B1B"/>
    <w:rsid w:val="00144C4F"/>
    <w:rsid w:val="00144C92"/>
    <w:rsid w:val="00144CA3"/>
    <w:rsid w:val="00144D06"/>
    <w:rsid w:val="00144DA0"/>
    <w:rsid w:val="00144DE9"/>
    <w:rsid w:val="00144E10"/>
    <w:rsid w:val="00144E9B"/>
    <w:rsid w:val="00144EFB"/>
    <w:rsid w:val="00144F0B"/>
    <w:rsid w:val="00144F62"/>
    <w:rsid w:val="00144FDB"/>
    <w:rsid w:val="0014503F"/>
    <w:rsid w:val="00145211"/>
    <w:rsid w:val="0014527E"/>
    <w:rsid w:val="0014534F"/>
    <w:rsid w:val="001454B5"/>
    <w:rsid w:val="001454C5"/>
    <w:rsid w:val="001455AE"/>
    <w:rsid w:val="00145650"/>
    <w:rsid w:val="00145702"/>
    <w:rsid w:val="00145959"/>
    <w:rsid w:val="00145A67"/>
    <w:rsid w:val="00145BBF"/>
    <w:rsid w:val="00145D08"/>
    <w:rsid w:val="00145D6A"/>
    <w:rsid w:val="00146062"/>
    <w:rsid w:val="00146272"/>
    <w:rsid w:val="00146369"/>
    <w:rsid w:val="001463A0"/>
    <w:rsid w:val="00146459"/>
    <w:rsid w:val="0014645B"/>
    <w:rsid w:val="001464CF"/>
    <w:rsid w:val="0014658A"/>
    <w:rsid w:val="001466CA"/>
    <w:rsid w:val="001468DA"/>
    <w:rsid w:val="00146999"/>
    <w:rsid w:val="001469DF"/>
    <w:rsid w:val="00146AFD"/>
    <w:rsid w:val="00146B17"/>
    <w:rsid w:val="00146B43"/>
    <w:rsid w:val="00146BD7"/>
    <w:rsid w:val="00146C5B"/>
    <w:rsid w:val="00146D33"/>
    <w:rsid w:val="00146DE0"/>
    <w:rsid w:val="0014719D"/>
    <w:rsid w:val="00147290"/>
    <w:rsid w:val="0014736F"/>
    <w:rsid w:val="00147565"/>
    <w:rsid w:val="0014771C"/>
    <w:rsid w:val="00147892"/>
    <w:rsid w:val="001478B8"/>
    <w:rsid w:val="00147AE7"/>
    <w:rsid w:val="00147B7B"/>
    <w:rsid w:val="00147D72"/>
    <w:rsid w:val="00147DB7"/>
    <w:rsid w:val="00147F6E"/>
    <w:rsid w:val="00147FB7"/>
    <w:rsid w:val="00147FDF"/>
    <w:rsid w:val="0015021D"/>
    <w:rsid w:val="001502A0"/>
    <w:rsid w:val="001507C3"/>
    <w:rsid w:val="0015084F"/>
    <w:rsid w:val="00150A24"/>
    <w:rsid w:val="00150C85"/>
    <w:rsid w:val="00150E1F"/>
    <w:rsid w:val="00150E63"/>
    <w:rsid w:val="00150FE5"/>
    <w:rsid w:val="001510FB"/>
    <w:rsid w:val="00151144"/>
    <w:rsid w:val="00151156"/>
    <w:rsid w:val="001511A0"/>
    <w:rsid w:val="0015130B"/>
    <w:rsid w:val="00151364"/>
    <w:rsid w:val="00151429"/>
    <w:rsid w:val="0015144E"/>
    <w:rsid w:val="00151499"/>
    <w:rsid w:val="00151570"/>
    <w:rsid w:val="001515FD"/>
    <w:rsid w:val="001516D7"/>
    <w:rsid w:val="001519D3"/>
    <w:rsid w:val="00151E40"/>
    <w:rsid w:val="00151F9F"/>
    <w:rsid w:val="00151FFB"/>
    <w:rsid w:val="00152094"/>
    <w:rsid w:val="00152127"/>
    <w:rsid w:val="001521EC"/>
    <w:rsid w:val="001521F4"/>
    <w:rsid w:val="0015225F"/>
    <w:rsid w:val="001522AF"/>
    <w:rsid w:val="00152374"/>
    <w:rsid w:val="00152489"/>
    <w:rsid w:val="001524CE"/>
    <w:rsid w:val="00152757"/>
    <w:rsid w:val="00152869"/>
    <w:rsid w:val="001529AE"/>
    <w:rsid w:val="00152AA2"/>
    <w:rsid w:val="00152D61"/>
    <w:rsid w:val="00152E25"/>
    <w:rsid w:val="00152E59"/>
    <w:rsid w:val="0015303D"/>
    <w:rsid w:val="00153143"/>
    <w:rsid w:val="001532F2"/>
    <w:rsid w:val="0015354D"/>
    <w:rsid w:val="001535AE"/>
    <w:rsid w:val="00153628"/>
    <w:rsid w:val="00153688"/>
    <w:rsid w:val="0015368A"/>
    <w:rsid w:val="001537C6"/>
    <w:rsid w:val="0015399A"/>
    <w:rsid w:val="001539BF"/>
    <w:rsid w:val="001539D7"/>
    <w:rsid w:val="00153A67"/>
    <w:rsid w:val="00153BC3"/>
    <w:rsid w:val="00153C93"/>
    <w:rsid w:val="00153D5B"/>
    <w:rsid w:val="00153E68"/>
    <w:rsid w:val="0015425A"/>
    <w:rsid w:val="0015427A"/>
    <w:rsid w:val="00154319"/>
    <w:rsid w:val="001544F8"/>
    <w:rsid w:val="00154734"/>
    <w:rsid w:val="00154802"/>
    <w:rsid w:val="0015484A"/>
    <w:rsid w:val="001548D3"/>
    <w:rsid w:val="001549B8"/>
    <w:rsid w:val="00154A16"/>
    <w:rsid w:val="00154DE8"/>
    <w:rsid w:val="00154E73"/>
    <w:rsid w:val="00154FE5"/>
    <w:rsid w:val="00155006"/>
    <w:rsid w:val="00155066"/>
    <w:rsid w:val="001550E8"/>
    <w:rsid w:val="00155160"/>
    <w:rsid w:val="0015531E"/>
    <w:rsid w:val="00155334"/>
    <w:rsid w:val="00155337"/>
    <w:rsid w:val="0015552F"/>
    <w:rsid w:val="0015553B"/>
    <w:rsid w:val="00155542"/>
    <w:rsid w:val="001555B3"/>
    <w:rsid w:val="001558FB"/>
    <w:rsid w:val="00155A24"/>
    <w:rsid w:val="00155ACD"/>
    <w:rsid w:val="00155DBD"/>
    <w:rsid w:val="0015601D"/>
    <w:rsid w:val="001560E3"/>
    <w:rsid w:val="00156137"/>
    <w:rsid w:val="001562FC"/>
    <w:rsid w:val="0015648D"/>
    <w:rsid w:val="001568F7"/>
    <w:rsid w:val="00156A18"/>
    <w:rsid w:val="00156B73"/>
    <w:rsid w:val="00156B86"/>
    <w:rsid w:val="00156B88"/>
    <w:rsid w:val="00156C31"/>
    <w:rsid w:val="00156DB3"/>
    <w:rsid w:val="00156DD6"/>
    <w:rsid w:val="00156F67"/>
    <w:rsid w:val="00156FFD"/>
    <w:rsid w:val="00157143"/>
    <w:rsid w:val="00157166"/>
    <w:rsid w:val="001572D2"/>
    <w:rsid w:val="001572E9"/>
    <w:rsid w:val="001572F5"/>
    <w:rsid w:val="001574C0"/>
    <w:rsid w:val="00157849"/>
    <w:rsid w:val="001578E5"/>
    <w:rsid w:val="00157912"/>
    <w:rsid w:val="001579C1"/>
    <w:rsid w:val="00157A5E"/>
    <w:rsid w:val="00157AE2"/>
    <w:rsid w:val="00157B49"/>
    <w:rsid w:val="00157E22"/>
    <w:rsid w:val="00157EAF"/>
    <w:rsid w:val="00157EEE"/>
    <w:rsid w:val="00157F24"/>
    <w:rsid w:val="00157F46"/>
    <w:rsid w:val="0016014B"/>
    <w:rsid w:val="00160189"/>
    <w:rsid w:val="0016036F"/>
    <w:rsid w:val="0016039B"/>
    <w:rsid w:val="00160491"/>
    <w:rsid w:val="001604DC"/>
    <w:rsid w:val="0016050B"/>
    <w:rsid w:val="001605A5"/>
    <w:rsid w:val="00160648"/>
    <w:rsid w:val="00160680"/>
    <w:rsid w:val="001606CF"/>
    <w:rsid w:val="001607A3"/>
    <w:rsid w:val="00160944"/>
    <w:rsid w:val="00160CD7"/>
    <w:rsid w:val="00160DBB"/>
    <w:rsid w:val="00160DC4"/>
    <w:rsid w:val="00160DE3"/>
    <w:rsid w:val="00160E2D"/>
    <w:rsid w:val="00160EFD"/>
    <w:rsid w:val="001610BE"/>
    <w:rsid w:val="00161212"/>
    <w:rsid w:val="0016128D"/>
    <w:rsid w:val="001612B7"/>
    <w:rsid w:val="0016130B"/>
    <w:rsid w:val="001615B8"/>
    <w:rsid w:val="001616F8"/>
    <w:rsid w:val="001618E0"/>
    <w:rsid w:val="0016190D"/>
    <w:rsid w:val="00161DA1"/>
    <w:rsid w:val="00162035"/>
    <w:rsid w:val="0016206C"/>
    <w:rsid w:val="0016215C"/>
    <w:rsid w:val="0016251F"/>
    <w:rsid w:val="001625D9"/>
    <w:rsid w:val="001626A8"/>
    <w:rsid w:val="00162BF8"/>
    <w:rsid w:val="00162CAE"/>
    <w:rsid w:val="00162E5F"/>
    <w:rsid w:val="00162E86"/>
    <w:rsid w:val="00162FCB"/>
    <w:rsid w:val="00162FD2"/>
    <w:rsid w:val="00163109"/>
    <w:rsid w:val="0016310D"/>
    <w:rsid w:val="001631BA"/>
    <w:rsid w:val="0016322E"/>
    <w:rsid w:val="0016341E"/>
    <w:rsid w:val="0016362B"/>
    <w:rsid w:val="001636F8"/>
    <w:rsid w:val="00163754"/>
    <w:rsid w:val="001637C1"/>
    <w:rsid w:val="00163A35"/>
    <w:rsid w:val="00163B6A"/>
    <w:rsid w:val="00163B7B"/>
    <w:rsid w:val="00163C30"/>
    <w:rsid w:val="00163C3B"/>
    <w:rsid w:val="00163C43"/>
    <w:rsid w:val="00163F1E"/>
    <w:rsid w:val="00163FCD"/>
    <w:rsid w:val="00164058"/>
    <w:rsid w:val="001640AB"/>
    <w:rsid w:val="001641F0"/>
    <w:rsid w:val="0016424F"/>
    <w:rsid w:val="001642C9"/>
    <w:rsid w:val="00164425"/>
    <w:rsid w:val="0016448D"/>
    <w:rsid w:val="001644AB"/>
    <w:rsid w:val="00164560"/>
    <w:rsid w:val="00164599"/>
    <w:rsid w:val="001646AD"/>
    <w:rsid w:val="00164700"/>
    <w:rsid w:val="001647A1"/>
    <w:rsid w:val="0016487C"/>
    <w:rsid w:val="001648BA"/>
    <w:rsid w:val="0016493C"/>
    <w:rsid w:val="0016499A"/>
    <w:rsid w:val="001649D6"/>
    <w:rsid w:val="00164A0F"/>
    <w:rsid w:val="00164B37"/>
    <w:rsid w:val="00164C4C"/>
    <w:rsid w:val="00164CC6"/>
    <w:rsid w:val="00164D02"/>
    <w:rsid w:val="00164DAE"/>
    <w:rsid w:val="00164F8F"/>
    <w:rsid w:val="00164FA3"/>
    <w:rsid w:val="00165165"/>
    <w:rsid w:val="001656BF"/>
    <w:rsid w:val="00165B0E"/>
    <w:rsid w:val="00165B4A"/>
    <w:rsid w:val="00165B6F"/>
    <w:rsid w:val="00165C1A"/>
    <w:rsid w:val="00165C2A"/>
    <w:rsid w:val="00165C37"/>
    <w:rsid w:val="00165D2F"/>
    <w:rsid w:val="00165DCE"/>
    <w:rsid w:val="00165E6A"/>
    <w:rsid w:val="00165F56"/>
    <w:rsid w:val="00165F5F"/>
    <w:rsid w:val="0016628A"/>
    <w:rsid w:val="001662A4"/>
    <w:rsid w:val="0016630C"/>
    <w:rsid w:val="0016637A"/>
    <w:rsid w:val="0016648A"/>
    <w:rsid w:val="0016648C"/>
    <w:rsid w:val="0016656B"/>
    <w:rsid w:val="0016665E"/>
    <w:rsid w:val="0016686B"/>
    <w:rsid w:val="001669A0"/>
    <w:rsid w:val="00166ABB"/>
    <w:rsid w:val="00166B13"/>
    <w:rsid w:val="00166C8C"/>
    <w:rsid w:val="00166CEF"/>
    <w:rsid w:val="00166E30"/>
    <w:rsid w:val="00167038"/>
    <w:rsid w:val="0016705A"/>
    <w:rsid w:val="00167119"/>
    <w:rsid w:val="0016719E"/>
    <w:rsid w:val="0016725A"/>
    <w:rsid w:val="0016732E"/>
    <w:rsid w:val="0016740E"/>
    <w:rsid w:val="001674EE"/>
    <w:rsid w:val="001675A3"/>
    <w:rsid w:val="00167726"/>
    <w:rsid w:val="00167754"/>
    <w:rsid w:val="00167873"/>
    <w:rsid w:val="001678C7"/>
    <w:rsid w:val="0016790F"/>
    <w:rsid w:val="0016791C"/>
    <w:rsid w:val="00167A22"/>
    <w:rsid w:val="00167B20"/>
    <w:rsid w:val="00167BE4"/>
    <w:rsid w:val="00167C33"/>
    <w:rsid w:val="00167C99"/>
    <w:rsid w:val="00167D32"/>
    <w:rsid w:val="0017004F"/>
    <w:rsid w:val="00170062"/>
    <w:rsid w:val="0017011B"/>
    <w:rsid w:val="00170192"/>
    <w:rsid w:val="00170256"/>
    <w:rsid w:val="0017051A"/>
    <w:rsid w:val="00170683"/>
    <w:rsid w:val="00170690"/>
    <w:rsid w:val="001706BA"/>
    <w:rsid w:val="0017089D"/>
    <w:rsid w:val="001709D9"/>
    <w:rsid w:val="00170A6E"/>
    <w:rsid w:val="00170BF9"/>
    <w:rsid w:val="00170E57"/>
    <w:rsid w:val="00170E82"/>
    <w:rsid w:val="00170F90"/>
    <w:rsid w:val="00170FBC"/>
    <w:rsid w:val="00171048"/>
    <w:rsid w:val="001711CA"/>
    <w:rsid w:val="0017130B"/>
    <w:rsid w:val="001713F4"/>
    <w:rsid w:val="001714BA"/>
    <w:rsid w:val="00171530"/>
    <w:rsid w:val="001716FE"/>
    <w:rsid w:val="00171B39"/>
    <w:rsid w:val="00171B6E"/>
    <w:rsid w:val="00171C24"/>
    <w:rsid w:val="00171C35"/>
    <w:rsid w:val="00171D61"/>
    <w:rsid w:val="00171E56"/>
    <w:rsid w:val="0017207E"/>
    <w:rsid w:val="001720C8"/>
    <w:rsid w:val="001721AB"/>
    <w:rsid w:val="00172257"/>
    <w:rsid w:val="00172301"/>
    <w:rsid w:val="001723A8"/>
    <w:rsid w:val="001725B8"/>
    <w:rsid w:val="001725F1"/>
    <w:rsid w:val="00172617"/>
    <w:rsid w:val="00172705"/>
    <w:rsid w:val="00172739"/>
    <w:rsid w:val="00172B3D"/>
    <w:rsid w:val="00172B6D"/>
    <w:rsid w:val="00172B9F"/>
    <w:rsid w:val="00173024"/>
    <w:rsid w:val="0017308F"/>
    <w:rsid w:val="00173249"/>
    <w:rsid w:val="00173437"/>
    <w:rsid w:val="00173499"/>
    <w:rsid w:val="0017355A"/>
    <w:rsid w:val="00173814"/>
    <w:rsid w:val="00173996"/>
    <w:rsid w:val="00173A26"/>
    <w:rsid w:val="00173B18"/>
    <w:rsid w:val="00173B2A"/>
    <w:rsid w:val="00173BFC"/>
    <w:rsid w:val="00173C51"/>
    <w:rsid w:val="00173CEC"/>
    <w:rsid w:val="00173F1A"/>
    <w:rsid w:val="00173F5A"/>
    <w:rsid w:val="001740E3"/>
    <w:rsid w:val="00174189"/>
    <w:rsid w:val="001741CB"/>
    <w:rsid w:val="00174391"/>
    <w:rsid w:val="00174459"/>
    <w:rsid w:val="0017454F"/>
    <w:rsid w:val="00174569"/>
    <w:rsid w:val="00174573"/>
    <w:rsid w:val="001746F7"/>
    <w:rsid w:val="0017470A"/>
    <w:rsid w:val="00174914"/>
    <w:rsid w:val="001749C2"/>
    <w:rsid w:val="00174BCA"/>
    <w:rsid w:val="00174BDB"/>
    <w:rsid w:val="00174E9A"/>
    <w:rsid w:val="00174FA4"/>
    <w:rsid w:val="00175011"/>
    <w:rsid w:val="001751C7"/>
    <w:rsid w:val="0017560E"/>
    <w:rsid w:val="001757E7"/>
    <w:rsid w:val="00175866"/>
    <w:rsid w:val="00175870"/>
    <w:rsid w:val="001758B0"/>
    <w:rsid w:val="00175937"/>
    <w:rsid w:val="00175B8F"/>
    <w:rsid w:val="00175F11"/>
    <w:rsid w:val="00175F29"/>
    <w:rsid w:val="00176024"/>
    <w:rsid w:val="00176091"/>
    <w:rsid w:val="00176162"/>
    <w:rsid w:val="00176166"/>
    <w:rsid w:val="001761E8"/>
    <w:rsid w:val="00176248"/>
    <w:rsid w:val="0017660E"/>
    <w:rsid w:val="0017661E"/>
    <w:rsid w:val="001766F4"/>
    <w:rsid w:val="001768BC"/>
    <w:rsid w:val="001769D9"/>
    <w:rsid w:val="00176AE3"/>
    <w:rsid w:val="00176AF2"/>
    <w:rsid w:val="00176BCF"/>
    <w:rsid w:val="00176C9D"/>
    <w:rsid w:val="00176E32"/>
    <w:rsid w:val="00176EB2"/>
    <w:rsid w:val="001771B2"/>
    <w:rsid w:val="00177407"/>
    <w:rsid w:val="0017741A"/>
    <w:rsid w:val="0017749F"/>
    <w:rsid w:val="0017759F"/>
    <w:rsid w:val="0017770B"/>
    <w:rsid w:val="00177803"/>
    <w:rsid w:val="001778D5"/>
    <w:rsid w:val="00177BE9"/>
    <w:rsid w:val="00177DBE"/>
    <w:rsid w:val="00177E73"/>
    <w:rsid w:val="00177EEA"/>
    <w:rsid w:val="0018000F"/>
    <w:rsid w:val="001800A1"/>
    <w:rsid w:val="001800D8"/>
    <w:rsid w:val="001800E5"/>
    <w:rsid w:val="00180555"/>
    <w:rsid w:val="001805A8"/>
    <w:rsid w:val="001805C1"/>
    <w:rsid w:val="001805D5"/>
    <w:rsid w:val="001807D0"/>
    <w:rsid w:val="00180864"/>
    <w:rsid w:val="00180BBA"/>
    <w:rsid w:val="00180CE9"/>
    <w:rsid w:val="00180F12"/>
    <w:rsid w:val="00180FE3"/>
    <w:rsid w:val="00181081"/>
    <w:rsid w:val="001810A7"/>
    <w:rsid w:val="001810AB"/>
    <w:rsid w:val="00181693"/>
    <w:rsid w:val="001816D9"/>
    <w:rsid w:val="00181714"/>
    <w:rsid w:val="0018171E"/>
    <w:rsid w:val="0018192B"/>
    <w:rsid w:val="001819B5"/>
    <w:rsid w:val="00181A01"/>
    <w:rsid w:val="00181A96"/>
    <w:rsid w:val="00181B35"/>
    <w:rsid w:val="00181BF3"/>
    <w:rsid w:val="00181D22"/>
    <w:rsid w:val="00181D85"/>
    <w:rsid w:val="00181F66"/>
    <w:rsid w:val="00181F85"/>
    <w:rsid w:val="00181F96"/>
    <w:rsid w:val="00181FC1"/>
    <w:rsid w:val="00181FD7"/>
    <w:rsid w:val="00181FFF"/>
    <w:rsid w:val="0018203B"/>
    <w:rsid w:val="0018204D"/>
    <w:rsid w:val="0018208C"/>
    <w:rsid w:val="00182093"/>
    <w:rsid w:val="001820B3"/>
    <w:rsid w:val="001820DD"/>
    <w:rsid w:val="001821D1"/>
    <w:rsid w:val="0018222D"/>
    <w:rsid w:val="0018240C"/>
    <w:rsid w:val="00182516"/>
    <w:rsid w:val="001826BE"/>
    <w:rsid w:val="00182767"/>
    <w:rsid w:val="001827F4"/>
    <w:rsid w:val="001827F7"/>
    <w:rsid w:val="0018295D"/>
    <w:rsid w:val="001829D0"/>
    <w:rsid w:val="00182BD5"/>
    <w:rsid w:val="00182C5F"/>
    <w:rsid w:val="00182CE6"/>
    <w:rsid w:val="00182ED1"/>
    <w:rsid w:val="0018320E"/>
    <w:rsid w:val="00183282"/>
    <w:rsid w:val="00183357"/>
    <w:rsid w:val="001833FA"/>
    <w:rsid w:val="001834A5"/>
    <w:rsid w:val="001834D2"/>
    <w:rsid w:val="001835D3"/>
    <w:rsid w:val="00183724"/>
    <w:rsid w:val="0018373A"/>
    <w:rsid w:val="00183923"/>
    <w:rsid w:val="00183962"/>
    <w:rsid w:val="001839AB"/>
    <w:rsid w:val="00183D1E"/>
    <w:rsid w:val="00183D62"/>
    <w:rsid w:val="00183E77"/>
    <w:rsid w:val="0018406B"/>
    <w:rsid w:val="0018431F"/>
    <w:rsid w:val="00184467"/>
    <w:rsid w:val="001845BC"/>
    <w:rsid w:val="00184641"/>
    <w:rsid w:val="001846F5"/>
    <w:rsid w:val="00184775"/>
    <w:rsid w:val="001847C7"/>
    <w:rsid w:val="0018484D"/>
    <w:rsid w:val="00184B6D"/>
    <w:rsid w:val="00184C37"/>
    <w:rsid w:val="00184CF3"/>
    <w:rsid w:val="00184D64"/>
    <w:rsid w:val="00184DD0"/>
    <w:rsid w:val="00184EB5"/>
    <w:rsid w:val="00184FC1"/>
    <w:rsid w:val="001850C4"/>
    <w:rsid w:val="00185131"/>
    <w:rsid w:val="00185165"/>
    <w:rsid w:val="001851F7"/>
    <w:rsid w:val="00185211"/>
    <w:rsid w:val="001852DB"/>
    <w:rsid w:val="0018543E"/>
    <w:rsid w:val="0018556D"/>
    <w:rsid w:val="00185676"/>
    <w:rsid w:val="00185814"/>
    <w:rsid w:val="0018586F"/>
    <w:rsid w:val="0018593C"/>
    <w:rsid w:val="00185B55"/>
    <w:rsid w:val="00185E3B"/>
    <w:rsid w:val="00185EEF"/>
    <w:rsid w:val="00185F71"/>
    <w:rsid w:val="00185F86"/>
    <w:rsid w:val="0018607C"/>
    <w:rsid w:val="00186090"/>
    <w:rsid w:val="00186226"/>
    <w:rsid w:val="0018625B"/>
    <w:rsid w:val="001862FE"/>
    <w:rsid w:val="00186500"/>
    <w:rsid w:val="00186520"/>
    <w:rsid w:val="0018668B"/>
    <w:rsid w:val="001868CE"/>
    <w:rsid w:val="00186907"/>
    <w:rsid w:val="00186AD5"/>
    <w:rsid w:val="00186AE0"/>
    <w:rsid w:val="00186BAB"/>
    <w:rsid w:val="00186C85"/>
    <w:rsid w:val="00186CFA"/>
    <w:rsid w:val="00186EB7"/>
    <w:rsid w:val="00186F71"/>
    <w:rsid w:val="00187023"/>
    <w:rsid w:val="00187191"/>
    <w:rsid w:val="0018725A"/>
    <w:rsid w:val="001872FD"/>
    <w:rsid w:val="0018738E"/>
    <w:rsid w:val="001873E3"/>
    <w:rsid w:val="00187408"/>
    <w:rsid w:val="00187578"/>
    <w:rsid w:val="001875B6"/>
    <w:rsid w:val="0018768F"/>
    <w:rsid w:val="001876AC"/>
    <w:rsid w:val="001876D7"/>
    <w:rsid w:val="00187710"/>
    <w:rsid w:val="0018775C"/>
    <w:rsid w:val="0018790D"/>
    <w:rsid w:val="00187963"/>
    <w:rsid w:val="00187AFC"/>
    <w:rsid w:val="00187CA0"/>
    <w:rsid w:val="00187D98"/>
    <w:rsid w:val="00187DDC"/>
    <w:rsid w:val="00187E02"/>
    <w:rsid w:val="00187EAC"/>
    <w:rsid w:val="00187EEE"/>
    <w:rsid w:val="00187F29"/>
    <w:rsid w:val="00187FA1"/>
    <w:rsid w:val="0019004F"/>
    <w:rsid w:val="0019010B"/>
    <w:rsid w:val="001901F2"/>
    <w:rsid w:val="00190262"/>
    <w:rsid w:val="00190284"/>
    <w:rsid w:val="00190303"/>
    <w:rsid w:val="00190320"/>
    <w:rsid w:val="0019042E"/>
    <w:rsid w:val="00190634"/>
    <w:rsid w:val="00190784"/>
    <w:rsid w:val="001907A8"/>
    <w:rsid w:val="00190B8F"/>
    <w:rsid w:val="00190F04"/>
    <w:rsid w:val="00190F84"/>
    <w:rsid w:val="0019101A"/>
    <w:rsid w:val="00191035"/>
    <w:rsid w:val="00191097"/>
    <w:rsid w:val="0019111E"/>
    <w:rsid w:val="001912A6"/>
    <w:rsid w:val="001913CE"/>
    <w:rsid w:val="00191408"/>
    <w:rsid w:val="00191539"/>
    <w:rsid w:val="00191652"/>
    <w:rsid w:val="001916D6"/>
    <w:rsid w:val="0019177A"/>
    <w:rsid w:val="001918C2"/>
    <w:rsid w:val="001919C3"/>
    <w:rsid w:val="00191A77"/>
    <w:rsid w:val="00191A92"/>
    <w:rsid w:val="00191ADB"/>
    <w:rsid w:val="00191B1A"/>
    <w:rsid w:val="00191CFE"/>
    <w:rsid w:val="00191D2F"/>
    <w:rsid w:val="00191DF2"/>
    <w:rsid w:val="00191F00"/>
    <w:rsid w:val="001920DB"/>
    <w:rsid w:val="0019214F"/>
    <w:rsid w:val="001921D7"/>
    <w:rsid w:val="001924C1"/>
    <w:rsid w:val="00192565"/>
    <w:rsid w:val="0019266F"/>
    <w:rsid w:val="001928DE"/>
    <w:rsid w:val="00192908"/>
    <w:rsid w:val="00192923"/>
    <w:rsid w:val="00192982"/>
    <w:rsid w:val="00192A26"/>
    <w:rsid w:val="00192B82"/>
    <w:rsid w:val="00192BAE"/>
    <w:rsid w:val="00192CD1"/>
    <w:rsid w:val="00192ED9"/>
    <w:rsid w:val="00192FC3"/>
    <w:rsid w:val="00193040"/>
    <w:rsid w:val="0019315A"/>
    <w:rsid w:val="00193223"/>
    <w:rsid w:val="0019328F"/>
    <w:rsid w:val="001932F4"/>
    <w:rsid w:val="001933FB"/>
    <w:rsid w:val="001934D1"/>
    <w:rsid w:val="00193541"/>
    <w:rsid w:val="0019361B"/>
    <w:rsid w:val="001937F3"/>
    <w:rsid w:val="00193831"/>
    <w:rsid w:val="0019389E"/>
    <w:rsid w:val="00193968"/>
    <w:rsid w:val="00193975"/>
    <w:rsid w:val="00193A68"/>
    <w:rsid w:val="00193C6D"/>
    <w:rsid w:val="00193F88"/>
    <w:rsid w:val="00193FDC"/>
    <w:rsid w:val="00194082"/>
    <w:rsid w:val="00194171"/>
    <w:rsid w:val="001941B2"/>
    <w:rsid w:val="0019434B"/>
    <w:rsid w:val="00194360"/>
    <w:rsid w:val="0019448F"/>
    <w:rsid w:val="001945D0"/>
    <w:rsid w:val="001945E1"/>
    <w:rsid w:val="00194687"/>
    <w:rsid w:val="001947F6"/>
    <w:rsid w:val="00194835"/>
    <w:rsid w:val="0019487A"/>
    <w:rsid w:val="00194906"/>
    <w:rsid w:val="00194B22"/>
    <w:rsid w:val="00194E53"/>
    <w:rsid w:val="00194FA1"/>
    <w:rsid w:val="0019500D"/>
    <w:rsid w:val="00195259"/>
    <w:rsid w:val="00195323"/>
    <w:rsid w:val="0019538C"/>
    <w:rsid w:val="001954D9"/>
    <w:rsid w:val="00195642"/>
    <w:rsid w:val="00195735"/>
    <w:rsid w:val="001957C2"/>
    <w:rsid w:val="001958D8"/>
    <w:rsid w:val="00195974"/>
    <w:rsid w:val="001959B4"/>
    <w:rsid w:val="00195BCF"/>
    <w:rsid w:val="00195C20"/>
    <w:rsid w:val="00195C8E"/>
    <w:rsid w:val="00195CBF"/>
    <w:rsid w:val="00195D99"/>
    <w:rsid w:val="00195E12"/>
    <w:rsid w:val="00195F11"/>
    <w:rsid w:val="001961B6"/>
    <w:rsid w:val="00196313"/>
    <w:rsid w:val="00196383"/>
    <w:rsid w:val="00196479"/>
    <w:rsid w:val="00196606"/>
    <w:rsid w:val="001966FB"/>
    <w:rsid w:val="0019675F"/>
    <w:rsid w:val="001967DA"/>
    <w:rsid w:val="001968C0"/>
    <w:rsid w:val="0019693C"/>
    <w:rsid w:val="001969E5"/>
    <w:rsid w:val="00196ADE"/>
    <w:rsid w:val="00196BF7"/>
    <w:rsid w:val="00196C8D"/>
    <w:rsid w:val="00196ECB"/>
    <w:rsid w:val="00196F78"/>
    <w:rsid w:val="001970D2"/>
    <w:rsid w:val="00197136"/>
    <w:rsid w:val="0019718A"/>
    <w:rsid w:val="001971F9"/>
    <w:rsid w:val="001972D2"/>
    <w:rsid w:val="0019730D"/>
    <w:rsid w:val="0019741F"/>
    <w:rsid w:val="001975C7"/>
    <w:rsid w:val="00197798"/>
    <w:rsid w:val="0019787F"/>
    <w:rsid w:val="0019793F"/>
    <w:rsid w:val="001979EF"/>
    <w:rsid w:val="00197A04"/>
    <w:rsid w:val="00197A0A"/>
    <w:rsid w:val="00197A1B"/>
    <w:rsid w:val="00197AF9"/>
    <w:rsid w:val="00197B31"/>
    <w:rsid w:val="00197B93"/>
    <w:rsid w:val="00197CAE"/>
    <w:rsid w:val="00197CBE"/>
    <w:rsid w:val="00197FEA"/>
    <w:rsid w:val="001A028F"/>
    <w:rsid w:val="001A02E0"/>
    <w:rsid w:val="001A03D8"/>
    <w:rsid w:val="001A0476"/>
    <w:rsid w:val="001A04D3"/>
    <w:rsid w:val="001A077E"/>
    <w:rsid w:val="001A08A6"/>
    <w:rsid w:val="001A0BF0"/>
    <w:rsid w:val="001A0C53"/>
    <w:rsid w:val="001A0C5C"/>
    <w:rsid w:val="001A0CDD"/>
    <w:rsid w:val="001A0F5F"/>
    <w:rsid w:val="001A1040"/>
    <w:rsid w:val="001A1254"/>
    <w:rsid w:val="001A12DD"/>
    <w:rsid w:val="001A1328"/>
    <w:rsid w:val="001A13EA"/>
    <w:rsid w:val="001A1420"/>
    <w:rsid w:val="001A1681"/>
    <w:rsid w:val="001A1688"/>
    <w:rsid w:val="001A1790"/>
    <w:rsid w:val="001A17A5"/>
    <w:rsid w:val="001A1A0B"/>
    <w:rsid w:val="001A1A41"/>
    <w:rsid w:val="001A1A97"/>
    <w:rsid w:val="001A1B2E"/>
    <w:rsid w:val="001A1B51"/>
    <w:rsid w:val="001A1EE2"/>
    <w:rsid w:val="001A1FFA"/>
    <w:rsid w:val="001A204B"/>
    <w:rsid w:val="001A2077"/>
    <w:rsid w:val="001A20FA"/>
    <w:rsid w:val="001A217D"/>
    <w:rsid w:val="001A2385"/>
    <w:rsid w:val="001A23CE"/>
    <w:rsid w:val="001A240E"/>
    <w:rsid w:val="001A24A3"/>
    <w:rsid w:val="001A2597"/>
    <w:rsid w:val="001A25C6"/>
    <w:rsid w:val="001A25E5"/>
    <w:rsid w:val="001A2642"/>
    <w:rsid w:val="001A27E2"/>
    <w:rsid w:val="001A291E"/>
    <w:rsid w:val="001A2AA9"/>
    <w:rsid w:val="001A2C05"/>
    <w:rsid w:val="001A2FF1"/>
    <w:rsid w:val="001A30A2"/>
    <w:rsid w:val="001A3483"/>
    <w:rsid w:val="001A35E9"/>
    <w:rsid w:val="001A3628"/>
    <w:rsid w:val="001A36C7"/>
    <w:rsid w:val="001A3783"/>
    <w:rsid w:val="001A37CE"/>
    <w:rsid w:val="001A3CC0"/>
    <w:rsid w:val="001A3EF4"/>
    <w:rsid w:val="001A3F52"/>
    <w:rsid w:val="001A3FAC"/>
    <w:rsid w:val="001A419F"/>
    <w:rsid w:val="001A42A7"/>
    <w:rsid w:val="001A4574"/>
    <w:rsid w:val="001A45C9"/>
    <w:rsid w:val="001A45FF"/>
    <w:rsid w:val="001A469D"/>
    <w:rsid w:val="001A4738"/>
    <w:rsid w:val="001A4ACD"/>
    <w:rsid w:val="001A4B5F"/>
    <w:rsid w:val="001A4BC6"/>
    <w:rsid w:val="001A4CB7"/>
    <w:rsid w:val="001A4D0C"/>
    <w:rsid w:val="001A4F73"/>
    <w:rsid w:val="001A5103"/>
    <w:rsid w:val="001A5261"/>
    <w:rsid w:val="001A528E"/>
    <w:rsid w:val="001A52F1"/>
    <w:rsid w:val="001A54A7"/>
    <w:rsid w:val="001A54C2"/>
    <w:rsid w:val="001A57C0"/>
    <w:rsid w:val="001A58C6"/>
    <w:rsid w:val="001A59AC"/>
    <w:rsid w:val="001A5BFA"/>
    <w:rsid w:val="001A5CCF"/>
    <w:rsid w:val="001A5D7B"/>
    <w:rsid w:val="001A5D84"/>
    <w:rsid w:val="001A5DFB"/>
    <w:rsid w:val="001A5EBA"/>
    <w:rsid w:val="001A5FE3"/>
    <w:rsid w:val="001A6022"/>
    <w:rsid w:val="001A61E9"/>
    <w:rsid w:val="001A62C8"/>
    <w:rsid w:val="001A62F1"/>
    <w:rsid w:val="001A63C9"/>
    <w:rsid w:val="001A647F"/>
    <w:rsid w:val="001A6534"/>
    <w:rsid w:val="001A6628"/>
    <w:rsid w:val="001A6634"/>
    <w:rsid w:val="001A692A"/>
    <w:rsid w:val="001A69BF"/>
    <w:rsid w:val="001A69C2"/>
    <w:rsid w:val="001A69CF"/>
    <w:rsid w:val="001A6AFD"/>
    <w:rsid w:val="001A6B72"/>
    <w:rsid w:val="001A6D79"/>
    <w:rsid w:val="001A6D7D"/>
    <w:rsid w:val="001A6EC6"/>
    <w:rsid w:val="001A6F93"/>
    <w:rsid w:val="001A6FD4"/>
    <w:rsid w:val="001A7043"/>
    <w:rsid w:val="001A7186"/>
    <w:rsid w:val="001A7574"/>
    <w:rsid w:val="001A75C3"/>
    <w:rsid w:val="001A75FD"/>
    <w:rsid w:val="001A7663"/>
    <w:rsid w:val="001A7674"/>
    <w:rsid w:val="001A7A23"/>
    <w:rsid w:val="001A7AB9"/>
    <w:rsid w:val="001A7B12"/>
    <w:rsid w:val="001A7B7E"/>
    <w:rsid w:val="001A7E71"/>
    <w:rsid w:val="001A7EAF"/>
    <w:rsid w:val="001A7F24"/>
    <w:rsid w:val="001A7F62"/>
    <w:rsid w:val="001A7F77"/>
    <w:rsid w:val="001B02C2"/>
    <w:rsid w:val="001B02E3"/>
    <w:rsid w:val="001B0370"/>
    <w:rsid w:val="001B04E6"/>
    <w:rsid w:val="001B057D"/>
    <w:rsid w:val="001B0728"/>
    <w:rsid w:val="001B07E0"/>
    <w:rsid w:val="001B0876"/>
    <w:rsid w:val="001B08AA"/>
    <w:rsid w:val="001B09A9"/>
    <w:rsid w:val="001B09F5"/>
    <w:rsid w:val="001B0A1E"/>
    <w:rsid w:val="001B0A97"/>
    <w:rsid w:val="001B0AB0"/>
    <w:rsid w:val="001B0BE4"/>
    <w:rsid w:val="001B0EB3"/>
    <w:rsid w:val="001B10E6"/>
    <w:rsid w:val="001B119D"/>
    <w:rsid w:val="001B124C"/>
    <w:rsid w:val="001B126A"/>
    <w:rsid w:val="001B1287"/>
    <w:rsid w:val="001B134D"/>
    <w:rsid w:val="001B1389"/>
    <w:rsid w:val="001B146F"/>
    <w:rsid w:val="001B1484"/>
    <w:rsid w:val="001B1512"/>
    <w:rsid w:val="001B1643"/>
    <w:rsid w:val="001B183E"/>
    <w:rsid w:val="001B1B7E"/>
    <w:rsid w:val="001B1BA7"/>
    <w:rsid w:val="001B1C6F"/>
    <w:rsid w:val="001B1CC6"/>
    <w:rsid w:val="001B1F68"/>
    <w:rsid w:val="001B20D1"/>
    <w:rsid w:val="001B2178"/>
    <w:rsid w:val="001B220D"/>
    <w:rsid w:val="001B22C5"/>
    <w:rsid w:val="001B24EF"/>
    <w:rsid w:val="001B252C"/>
    <w:rsid w:val="001B25FC"/>
    <w:rsid w:val="001B262E"/>
    <w:rsid w:val="001B2742"/>
    <w:rsid w:val="001B275F"/>
    <w:rsid w:val="001B27BD"/>
    <w:rsid w:val="001B281A"/>
    <w:rsid w:val="001B2A18"/>
    <w:rsid w:val="001B2ABD"/>
    <w:rsid w:val="001B2B3B"/>
    <w:rsid w:val="001B2B7C"/>
    <w:rsid w:val="001B2BB1"/>
    <w:rsid w:val="001B2C50"/>
    <w:rsid w:val="001B2D33"/>
    <w:rsid w:val="001B2D3A"/>
    <w:rsid w:val="001B2E39"/>
    <w:rsid w:val="001B2F1A"/>
    <w:rsid w:val="001B2F37"/>
    <w:rsid w:val="001B2F79"/>
    <w:rsid w:val="001B3007"/>
    <w:rsid w:val="001B305E"/>
    <w:rsid w:val="001B3164"/>
    <w:rsid w:val="001B3203"/>
    <w:rsid w:val="001B3376"/>
    <w:rsid w:val="001B341A"/>
    <w:rsid w:val="001B34CA"/>
    <w:rsid w:val="001B3614"/>
    <w:rsid w:val="001B386F"/>
    <w:rsid w:val="001B387E"/>
    <w:rsid w:val="001B38CE"/>
    <w:rsid w:val="001B39B3"/>
    <w:rsid w:val="001B39B6"/>
    <w:rsid w:val="001B3A02"/>
    <w:rsid w:val="001B3A71"/>
    <w:rsid w:val="001B3A88"/>
    <w:rsid w:val="001B3CFE"/>
    <w:rsid w:val="001B3D40"/>
    <w:rsid w:val="001B3EB6"/>
    <w:rsid w:val="001B3F55"/>
    <w:rsid w:val="001B3F62"/>
    <w:rsid w:val="001B4066"/>
    <w:rsid w:val="001B43E4"/>
    <w:rsid w:val="001B4423"/>
    <w:rsid w:val="001B44E7"/>
    <w:rsid w:val="001B463F"/>
    <w:rsid w:val="001B46D0"/>
    <w:rsid w:val="001B4770"/>
    <w:rsid w:val="001B4A19"/>
    <w:rsid w:val="001B4A83"/>
    <w:rsid w:val="001B4AF5"/>
    <w:rsid w:val="001B4C03"/>
    <w:rsid w:val="001B4CB0"/>
    <w:rsid w:val="001B4CEB"/>
    <w:rsid w:val="001B4EAF"/>
    <w:rsid w:val="001B4FB0"/>
    <w:rsid w:val="001B5065"/>
    <w:rsid w:val="001B5096"/>
    <w:rsid w:val="001B5334"/>
    <w:rsid w:val="001B5361"/>
    <w:rsid w:val="001B5569"/>
    <w:rsid w:val="001B55E4"/>
    <w:rsid w:val="001B5662"/>
    <w:rsid w:val="001B5670"/>
    <w:rsid w:val="001B58F4"/>
    <w:rsid w:val="001B59C4"/>
    <w:rsid w:val="001B5A00"/>
    <w:rsid w:val="001B5A0A"/>
    <w:rsid w:val="001B5A0B"/>
    <w:rsid w:val="001B5A1E"/>
    <w:rsid w:val="001B5B6D"/>
    <w:rsid w:val="001B5C38"/>
    <w:rsid w:val="001B5C66"/>
    <w:rsid w:val="001B5CD2"/>
    <w:rsid w:val="001B5DA7"/>
    <w:rsid w:val="001B5E1A"/>
    <w:rsid w:val="001B5E3D"/>
    <w:rsid w:val="001B5E80"/>
    <w:rsid w:val="001B5EB3"/>
    <w:rsid w:val="001B60B7"/>
    <w:rsid w:val="001B60E1"/>
    <w:rsid w:val="001B61BF"/>
    <w:rsid w:val="001B621D"/>
    <w:rsid w:val="001B6259"/>
    <w:rsid w:val="001B63C3"/>
    <w:rsid w:val="001B6466"/>
    <w:rsid w:val="001B64B7"/>
    <w:rsid w:val="001B6901"/>
    <w:rsid w:val="001B69D4"/>
    <w:rsid w:val="001B6A49"/>
    <w:rsid w:val="001B6AC6"/>
    <w:rsid w:val="001B6D12"/>
    <w:rsid w:val="001B6D1F"/>
    <w:rsid w:val="001B6DC5"/>
    <w:rsid w:val="001B6ECF"/>
    <w:rsid w:val="001B6ED6"/>
    <w:rsid w:val="001B7091"/>
    <w:rsid w:val="001B70C1"/>
    <w:rsid w:val="001B711C"/>
    <w:rsid w:val="001B7237"/>
    <w:rsid w:val="001B74A2"/>
    <w:rsid w:val="001B76C0"/>
    <w:rsid w:val="001B7854"/>
    <w:rsid w:val="001B7906"/>
    <w:rsid w:val="001B7AF0"/>
    <w:rsid w:val="001B7B17"/>
    <w:rsid w:val="001B7C5B"/>
    <w:rsid w:val="001B7CB9"/>
    <w:rsid w:val="001B7EA3"/>
    <w:rsid w:val="001C0109"/>
    <w:rsid w:val="001C015B"/>
    <w:rsid w:val="001C0257"/>
    <w:rsid w:val="001C027D"/>
    <w:rsid w:val="001C0867"/>
    <w:rsid w:val="001C090D"/>
    <w:rsid w:val="001C0947"/>
    <w:rsid w:val="001C09A3"/>
    <w:rsid w:val="001C0B05"/>
    <w:rsid w:val="001C0B6B"/>
    <w:rsid w:val="001C0B94"/>
    <w:rsid w:val="001C0D0E"/>
    <w:rsid w:val="001C0D15"/>
    <w:rsid w:val="001C0DCB"/>
    <w:rsid w:val="001C0FC1"/>
    <w:rsid w:val="001C0FDE"/>
    <w:rsid w:val="001C1667"/>
    <w:rsid w:val="001C16C9"/>
    <w:rsid w:val="001C16E4"/>
    <w:rsid w:val="001C1887"/>
    <w:rsid w:val="001C18DF"/>
    <w:rsid w:val="001C199C"/>
    <w:rsid w:val="001C1A85"/>
    <w:rsid w:val="001C1CE5"/>
    <w:rsid w:val="001C1D00"/>
    <w:rsid w:val="001C1D69"/>
    <w:rsid w:val="001C1EDF"/>
    <w:rsid w:val="001C1F3E"/>
    <w:rsid w:val="001C1FF7"/>
    <w:rsid w:val="001C218F"/>
    <w:rsid w:val="001C2282"/>
    <w:rsid w:val="001C22AF"/>
    <w:rsid w:val="001C23BF"/>
    <w:rsid w:val="001C23C1"/>
    <w:rsid w:val="001C2596"/>
    <w:rsid w:val="001C279A"/>
    <w:rsid w:val="001C280A"/>
    <w:rsid w:val="001C29E5"/>
    <w:rsid w:val="001C2AE6"/>
    <w:rsid w:val="001C2B88"/>
    <w:rsid w:val="001C2B92"/>
    <w:rsid w:val="001C2CF6"/>
    <w:rsid w:val="001C2E40"/>
    <w:rsid w:val="001C2E82"/>
    <w:rsid w:val="001C2FD9"/>
    <w:rsid w:val="001C3212"/>
    <w:rsid w:val="001C3318"/>
    <w:rsid w:val="001C3385"/>
    <w:rsid w:val="001C3457"/>
    <w:rsid w:val="001C358D"/>
    <w:rsid w:val="001C399E"/>
    <w:rsid w:val="001C3A4B"/>
    <w:rsid w:val="001C3BCF"/>
    <w:rsid w:val="001C3BD0"/>
    <w:rsid w:val="001C3C5A"/>
    <w:rsid w:val="001C3DE2"/>
    <w:rsid w:val="001C3E71"/>
    <w:rsid w:val="001C40A0"/>
    <w:rsid w:val="001C4327"/>
    <w:rsid w:val="001C4383"/>
    <w:rsid w:val="001C452C"/>
    <w:rsid w:val="001C45BB"/>
    <w:rsid w:val="001C46CE"/>
    <w:rsid w:val="001C47E0"/>
    <w:rsid w:val="001C4860"/>
    <w:rsid w:val="001C4A5D"/>
    <w:rsid w:val="001C4AF8"/>
    <w:rsid w:val="001C4B5A"/>
    <w:rsid w:val="001C4CF9"/>
    <w:rsid w:val="001C4CFF"/>
    <w:rsid w:val="001C4D35"/>
    <w:rsid w:val="001C4EA9"/>
    <w:rsid w:val="001C4F2D"/>
    <w:rsid w:val="001C4F73"/>
    <w:rsid w:val="001C4FEE"/>
    <w:rsid w:val="001C4FF9"/>
    <w:rsid w:val="001C51C9"/>
    <w:rsid w:val="001C5485"/>
    <w:rsid w:val="001C558B"/>
    <w:rsid w:val="001C57F2"/>
    <w:rsid w:val="001C59F9"/>
    <w:rsid w:val="001C5A1A"/>
    <w:rsid w:val="001C5A6E"/>
    <w:rsid w:val="001C5AFE"/>
    <w:rsid w:val="001C5B7C"/>
    <w:rsid w:val="001C5C5A"/>
    <w:rsid w:val="001C5C79"/>
    <w:rsid w:val="001C6150"/>
    <w:rsid w:val="001C61B0"/>
    <w:rsid w:val="001C61FB"/>
    <w:rsid w:val="001C6495"/>
    <w:rsid w:val="001C64D9"/>
    <w:rsid w:val="001C6602"/>
    <w:rsid w:val="001C6644"/>
    <w:rsid w:val="001C67ED"/>
    <w:rsid w:val="001C68C5"/>
    <w:rsid w:val="001C68FA"/>
    <w:rsid w:val="001C69EB"/>
    <w:rsid w:val="001C6BF9"/>
    <w:rsid w:val="001C6E5D"/>
    <w:rsid w:val="001C6F95"/>
    <w:rsid w:val="001C6FAB"/>
    <w:rsid w:val="001C7238"/>
    <w:rsid w:val="001C7328"/>
    <w:rsid w:val="001C737E"/>
    <w:rsid w:val="001C73C8"/>
    <w:rsid w:val="001C74EF"/>
    <w:rsid w:val="001C7635"/>
    <w:rsid w:val="001C76A9"/>
    <w:rsid w:val="001C76AE"/>
    <w:rsid w:val="001C7799"/>
    <w:rsid w:val="001C797C"/>
    <w:rsid w:val="001C79FA"/>
    <w:rsid w:val="001C79FF"/>
    <w:rsid w:val="001C7C6F"/>
    <w:rsid w:val="001C7C89"/>
    <w:rsid w:val="001C7E19"/>
    <w:rsid w:val="001C7F4D"/>
    <w:rsid w:val="001D0188"/>
    <w:rsid w:val="001D01DB"/>
    <w:rsid w:val="001D027A"/>
    <w:rsid w:val="001D0296"/>
    <w:rsid w:val="001D0447"/>
    <w:rsid w:val="001D0459"/>
    <w:rsid w:val="001D0617"/>
    <w:rsid w:val="001D063F"/>
    <w:rsid w:val="001D08AC"/>
    <w:rsid w:val="001D08C1"/>
    <w:rsid w:val="001D0C66"/>
    <w:rsid w:val="001D0CA7"/>
    <w:rsid w:val="001D0EEE"/>
    <w:rsid w:val="001D1008"/>
    <w:rsid w:val="001D1244"/>
    <w:rsid w:val="001D1363"/>
    <w:rsid w:val="001D139B"/>
    <w:rsid w:val="001D14DB"/>
    <w:rsid w:val="001D152A"/>
    <w:rsid w:val="001D1705"/>
    <w:rsid w:val="001D1892"/>
    <w:rsid w:val="001D18A8"/>
    <w:rsid w:val="001D18CA"/>
    <w:rsid w:val="001D1977"/>
    <w:rsid w:val="001D19FE"/>
    <w:rsid w:val="001D1AD9"/>
    <w:rsid w:val="001D1C18"/>
    <w:rsid w:val="001D1C58"/>
    <w:rsid w:val="001D1D58"/>
    <w:rsid w:val="001D1EE1"/>
    <w:rsid w:val="001D1EFB"/>
    <w:rsid w:val="001D1FEB"/>
    <w:rsid w:val="001D2204"/>
    <w:rsid w:val="001D2207"/>
    <w:rsid w:val="001D2490"/>
    <w:rsid w:val="001D24C0"/>
    <w:rsid w:val="001D2586"/>
    <w:rsid w:val="001D25B7"/>
    <w:rsid w:val="001D25E2"/>
    <w:rsid w:val="001D2958"/>
    <w:rsid w:val="001D29A9"/>
    <w:rsid w:val="001D29B4"/>
    <w:rsid w:val="001D2A5D"/>
    <w:rsid w:val="001D2BAB"/>
    <w:rsid w:val="001D2BD9"/>
    <w:rsid w:val="001D2C5D"/>
    <w:rsid w:val="001D2E43"/>
    <w:rsid w:val="001D2E4B"/>
    <w:rsid w:val="001D2FE4"/>
    <w:rsid w:val="001D3002"/>
    <w:rsid w:val="001D3060"/>
    <w:rsid w:val="001D313C"/>
    <w:rsid w:val="001D326D"/>
    <w:rsid w:val="001D3368"/>
    <w:rsid w:val="001D349D"/>
    <w:rsid w:val="001D351D"/>
    <w:rsid w:val="001D3776"/>
    <w:rsid w:val="001D379C"/>
    <w:rsid w:val="001D383F"/>
    <w:rsid w:val="001D3854"/>
    <w:rsid w:val="001D3AC3"/>
    <w:rsid w:val="001D3BC0"/>
    <w:rsid w:val="001D3E09"/>
    <w:rsid w:val="001D3E56"/>
    <w:rsid w:val="001D3F43"/>
    <w:rsid w:val="001D4040"/>
    <w:rsid w:val="001D445B"/>
    <w:rsid w:val="001D4477"/>
    <w:rsid w:val="001D447B"/>
    <w:rsid w:val="001D455D"/>
    <w:rsid w:val="001D46CA"/>
    <w:rsid w:val="001D4AD7"/>
    <w:rsid w:val="001D4D79"/>
    <w:rsid w:val="001D4E25"/>
    <w:rsid w:val="001D4E52"/>
    <w:rsid w:val="001D4E57"/>
    <w:rsid w:val="001D4ED4"/>
    <w:rsid w:val="001D4FBA"/>
    <w:rsid w:val="001D507D"/>
    <w:rsid w:val="001D5215"/>
    <w:rsid w:val="001D5341"/>
    <w:rsid w:val="001D5397"/>
    <w:rsid w:val="001D53EE"/>
    <w:rsid w:val="001D54A6"/>
    <w:rsid w:val="001D5627"/>
    <w:rsid w:val="001D575B"/>
    <w:rsid w:val="001D5814"/>
    <w:rsid w:val="001D5848"/>
    <w:rsid w:val="001D58EB"/>
    <w:rsid w:val="001D5B9E"/>
    <w:rsid w:val="001D5C00"/>
    <w:rsid w:val="001D5CF5"/>
    <w:rsid w:val="001D5CFF"/>
    <w:rsid w:val="001D5D17"/>
    <w:rsid w:val="001D5E81"/>
    <w:rsid w:val="001D5F41"/>
    <w:rsid w:val="001D5F87"/>
    <w:rsid w:val="001D5FC2"/>
    <w:rsid w:val="001D6041"/>
    <w:rsid w:val="001D6079"/>
    <w:rsid w:val="001D60AD"/>
    <w:rsid w:val="001D6163"/>
    <w:rsid w:val="001D6316"/>
    <w:rsid w:val="001D643B"/>
    <w:rsid w:val="001D64B2"/>
    <w:rsid w:val="001D64CF"/>
    <w:rsid w:val="001D65A6"/>
    <w:rsid w:val="001D66B1"/>
    <w:rsid w:val="001D67CC"/>
    <w:rsid w:val="001D6816"/>
    <w:rsid w:val="001D68F5"/>
    <w:rsid w:val="001D69A1"/>
    <w:rsid w:val="001D6A50"/>
    <w:rsid w:val="001D6ADF"/>
    <w:rsid w:val="001D6D6B"/>
    <w:rsid w:val="001D6E98"/>
    <w:rsid w:val="001D6F06"/>
    <w:rsid w:val="001D6F1A"/>
    <w:rsid w:val="001D711B"/>
    <w:rsid w:val="001D7354"/>
    <w:rsid w:val="001D744C"/>
    <w:rsid w:val="001D746A"/>
    <w:rsid w:val="001D7483"/>
    <w:rsid w:val="001D76B1"/>
    <w:rsid w:val="001D7726"/>
    <w:rsid w:val="001D78DB"/>
    <w:rsid w:val="001D7A2F"/>
    <w:rsid w:val="001D7AD0"/>
    <w:rsid w:val="001D7BDF"/>
    <w:rsid w:val="001D7C57"/>
    <w:rsid w:val="001D7C58"/>
    <w:rsid w:val="001D7C96"/>
    <w:rsid w:val="001D7CF1"/>
    <w:rsid w:val="001D7D25"/>
    <w:rsid w:val="001D7D42"/>
    <w:rsid w:val="001D7E1F"/>
    <w:rsid w:val="001D7E6F"/>
    <w:rsid w:val="001E014C"/>
    <w:rsid w:val="001E01FA"/>
    <w:rsid w:val="001E02F2"/>
    <w:rsid w:val="001E03F6"/>
    <w:rsid w:val="001E04B0"/>
    <w:rsid w:val="001E04E0"/>
    <w:rsid w:val="001E0502"/>
    <w:rsid w:val="001E06EA"/>
    <w:rsid w:val="001E077F"/>
    <w:rsid w:val="001E0825"/>
    <w:rsid w:val="001E0899"/>
    <w:rsid w:val="001E0AE5"/>
    <w:rsid w:val="001E0B07"/>
    <w:rsid w:val="001E0D6F"/>
    <w:rsid w:val="001E0EEB"/>
    <w:rsid w:val="001E116E"/>
    <w:rsid w:val="001E12A7"/>
    <w:rsid w:val="001E12D4"/>
    <w:rsid w:val="001E13CA"/>
    <w:rsid w:val="001E154A"/>
    <w:rsid w:val="001E16EF"/>
    <w:rsid w:val="001E1717"/>
    <w:rsid w:val="001E1795"/>
    <w:rsid w:val="001E181B"/>
    <w:rsid w:val="001E18FC"/>
    <w:rsid w:val="001E195B"/>
    <w:rsid w:val="001E1960"/>
    <w:rsid w:val="001E1AA6"/>
    <w:rsid w:val="001E1B11"/>
    <w:rsid w:val="001E1BB5"/>
    <w:rsid w:val="001E1DD0"/>
    <w:rsid w:val="001E1E3F"/>
    <w:rsid w:val="001E21F6"/>
    <w:rsid w:val="001E23CB"/>
    <w:rsid w:val="001E241D"/>
    <w:rsid w:val="001E245C"/>
    <w:rsid w:val="001E257B"/>
    <w:rsid w:val="001E29B9"/>
    <w:rsid w:val="001E29DE"/>
    <w:rsid w:val="001E2B66"/>
    <w:rsid w:val="001E2B94"/>
    <w:rsid w:val="001E2BAD"/>
    <w:rsid w:val="001E2CD9"/>
    <w:rsid w:val="001E2CDB"/>
    <w:rsid w:val="001E2D41"/>
    <w:rsid w:val="001E2D73"/>
    <w:rsid w:val="001E2DFB"/>
    <w:rsid w:val="001E3005"/>
    <w:rsid w:val="001E31D2"/>
    <w:rsid w:val="001E324B"/>
    <w:rsid w:val="001E3330"/>
    <w:rsid w:val="001E3520"/>
    <w:rsid w:val="001E353D"/>
    <w:rsid w:val="001E3674"/>
    <w:rsid w:val="001E367E"/>
    <w:rsid w:val="001E3792"/>
    <w:rsid w:val="001E37D8"/>
    <w:rsid w:val="001E3828"/>
    <w:rsid w:val="001E3A39"/>
    <w:rsid w:val="001E3D76"/>
    <w:rsid w:val="001E3DB5"/>
    <w:rsid w:val="001E3E6D"/>
    <w:rsid w:val="001E3F1F"/>
    <w:rsid w:val="001E4018"/>
    <w:rsid w:val="001E415A"/>
    <w:rsid w:val="001E4174"/>
    <w:rsid w:val="001E42E9"/>
    <w:rsid w:val="001E438F"/>
    <w:rsid w:val="001E4566"/>
    <w:rsid w:val="001E45FA"/>
    <w:rsid w:val="001E4667"/>
    <w:rsid w:val="001E47CB"/>
    <w:rsid w:val="001E4939"/>
    <w:rsid w:val="001E49E2"/>
    <w:rsid w:val="001E4A12"/>
    <w:rsid w:val="001E4BDB"/>
    <w:rsid w:val="001E4C62"/>
    <w:rsid w:val="001E4DA6"/>
    <w:rsid w:val="001E4E2C"/>
    <w:rsid w:val="001E4E3E"/>
    <w:rsid w:val="001E528D"/>
    <w:rsid w:val="001E52A3"/>
    <w:rsid w:val="001E52CF"/>
    <w:rsid w:val="001E532B"/>
    <w:rsid w:val="001E53D6"/>
    <w:rsid w:val="001E54CF"/>
    <w:rsid w:val="001E5588"/>
    <w:rsid w:val="001E5625"/>
    <w:rsid w:val="001E564F"/>
    <w:rsid w:val="001E56F5"/>
    <w:rsid w:val="001E571B"/>
    <w:rsid w:val="001E578B"/>
    <w:rsid w:val="001E5A67"/>
    <w:rsid w:val="001E5A72"/>
    <w:rsid w:val="001E5ABF"/>
    <w:rsid w:val="001E5B27"/>
    <w:rsid w:val="001E5BD9"/>
    <w:rsid w:val="001E5CB2"/>
    <w:rsid w:val="001E5DC2"/>
    <w:rsid w:val="001E5DF9"/>
    <w:rsid w:val="001E5E0B"/>
    <w:rsid w:val="001E5F19"/>
    <w:rsid w:val="001E5F55"/>
    <w:rsid w:val="001E611F"/>
    <w:rsid w:val="001E61A6"/>
    <w:rsid w:val="001E61CE"/>
    <w:rsid w:val="001E6293"/>
    <w:rsid w:val="001E62AB"/>
    <w:rsid w:val="001E63D6"/>
    <w:rsid w:val="001E65AD"/>
    <w:rsid w:val="001E66C4"/>
    <w:rsid w:val="001E66D1"/>
    <w:rsid w:val="001E66E8"/>
    <w:rsid w:val="001E67A1"/>
    <w:rsid w:val="001E68CF"/>
    <w:rsid w:val="001E68EB"/>
    <w:rsid w:val="001E6903"/>
    <w:rsid w:val="001E69AB"/>
    <w:rsid w:val="001E69F4"/>
    <w:rsid w:val="001E6A16"/>
    <w:rsid w:val="001E6ACE"/>
    <w:rsid w:val="001E6B32"/>
    <w:rsid w:val="001E6CB2"/>
    <w:rsid w:val="001E6D60"/>
    <w:rsid w:val="001E6E02"/>
    <w:rsid w:val="001E6E22"/>
    <w:rsid w:val="001E6F7A"/>
    <w:rsid w:val="001E7008"/>
    <w:rsid w:val="001E7026"/>
    <w:rsid w:val="001E710F"/>
    <w:rsid w:val="001E71AA"/>
    <w:rsid w:val="001E7415"/>
    <w:rsid w:val="001E744D"/>
    <w:rsid w:val="001E753C"/>
    <w:rsid w:val="001E773C"/>
    <w:rsid w:val="001E7771"/>
    <w:rsid w:val="001E77AA"/>
    <w:rsid w:val="001E77B4"/>
    <w:rsid w:val="001E79CC"/>
    <w:rsid w:val="001E7B35"/>
    <w:rsid w:val="001E7C10"/>
    <w:rsid w:val="001E7CA8"/>
    <w:rsid w:val="001E7D92"/>
    <w:rsid w:val="001E7DB0"/>
    <w:rsid w:val="001E7DBF"/>
    <w:rsid w:val="001E7ECA"/>
    <w:rsid w:val="001E7EF4"/>
    <w:rsid w:val="001E7F28"/>
    <w:rsid w:val="001F0002"/>
    <w:rsid w:val="001F00B5"/>
    <w:rsid w:val="001F010C"/>
    <w:rsid w:val="001F010D"/>
    <w:rsid w:val="001F01B9"/>
    <w:rsid w:val="001F02A7"/>
    <w:rsid w:val="001F02AC"/>
    <w:rsid w:val="001F02D6"/>
    <w:rsid w:val="001F03B8"/>
    <w:rsid w:val="001F03CC"/>
    <w:rsid w:val="001F05A6"/>
    <w:rsid w:val="001F05D6"/>
    <w:rsid w:val="001F0664"/>
    <w:rsid w:val="001F0737"/>
    <w:rsid w:val="001F09A4"/>
    <w:rsid w:val="001F0B9D"/>
    <w:rsid w:val="001F0BCB"/>
    <w:rsid w:val="001F0C6A"/>
    <w:rsid w:val="001F0DC0"/>
    <w:rsid w:val="001F0DC7"/>
    <w:rsid w:val="001F0E80"/>
    <w:rsid w:val="001F0EEF"/>
    <w:rsid w:val="001F0F66"/>
    <w:rsid w:val="001F121F"/>
    <w:rsid w:val="001F1272"/>
    <w:rsid w:val="001F127B"/>
    <w:rsid w:val="001F163C"/>
    <w:rsid w:val="001F18E9"/>
    <w:rsid w:val="001F1960"/>
    <w:rsid w:val="001F1B27"/>
    <w:rsid w:val="001F1DB0"/>
    <w:rsid w:val="001F1E2D"/>
    <w:rsid w:val="001F1E82"/>
    <w:rsid w:val="001F2103"/>
    <w:rsid w:val="001F2178"/>
    <w:rsid w:val="001F22AF"/>
    <w:rsid w:val="001F23DD"/>
    <w:rsid w:val="001F2451"/>
    <w:rsid w:val="001F24D5"/>
    <w:rsid w:val="001F2520"/>
    <w:rsid w:val="001F2785"/>
    <w:rsid w:val="001F27E4"/>
    <w:rsid w:val="001F2E02"/>
    <w:rsid w:val="001F2F84"/>
    <w:rsid w:val="001F2F88"/>
    <w:rsid w:val="001F2FFB"/>
    <w:rsid w:val="001F30F0"/>
    <w:rsid w:val="001F323B"/>
    <w:rsid w:val="001F339D"/>
    <w:rsid w:val="001F33CF"/>
    <w:rsid w:val="001F36EA"/>
    <w:rsid w:val="001F374A"/>
    <w:rsid w:val="001F388E"/>
    <w:rsid w:val="001F38F3"/>
    <w:rsid w:val="001F3A07"/>
    <w:rsid w:val="001F3B15"/>
    <w:rsid w:val="001F3BA8"/>
    <w:rsid w:val="001F3CA5"/>
    <w:rsid w:val="001F3F65"/>
    <w:rsid w:val="001F412A"/>
    <w:rsid w:val="001F4149"/>
    <w:rsid w:val="001F41DC"/>
    <w:rsid w:val="001F433F"/>
    <w:rsid w:val="001F43E1"/>
    <w:rsid w:val="001F43F8"/>
    <w:rsid w:val="001F442A"/>
    <w:rsid w:val="001F4452"/>
    <w:rsid w:val="001F4483"/>
    <w:rsid w:val="001F464E"/>
    <w:rsid w:val="001F4662"/>
    <w:rsid w:val="001F4683"/>
    <w:rsid w:val="001F46C5"/>
    <w:rsid w:val="001F46EF"/>
    <w:rsid w:val="001F471F"/>
    <w:rsid w:val="001F4725"/>
    <w:rsid w:val="001F4954"/>
    <w:rsid w:val="001F4956"/>
    <w:rsid w:val="001F4960"/>
    <w:rsid w:val="001F4AD0"/>
    <w:rsid w:val="001F4BEC"/>
    <w:rsid w:val="001F4BF3"/>
    <w:rsid w:val="001F4C65"/>
    <w:rsid w:val="001F4C99"/>
    <w:rsid w:val="001F4D38"/>
    <w:rsid w:val="001F4D57"/>
    <w:rsid w:val="001F4DB5"/>
    <w:rsid w:val="001F4F08"/>
    <w:rsid w:val="001F5006"/>
    <w:rsid w:val="001F5146"/>
    <w:rsid w:val="001F5181"/>
    <w:rsid w:val="001F52BA"/>
    <w:rsid w:val="001F52D1"/>
    <w:rsid w:val="001F52DF"/>
    <w:rsid w:val="001F535E"/>
    <w:rsid w:val="001F5458"/>
    <w:rsid w:val="001F5467"/>
    <w:rsid w:val="001F5733"/>
    <w:rsid w:val="001F57D1"/>
    <w:rsid w:val="001F5852"/>
    <w:rsid w:val="001F5866"/>
    <w:rsid w:val="001F5894"/>
    <w:rsid w:val="001F5AE2"/>
    <w:rsid w:val="001F5C35"/>
    <w:rsid w:val="001F5C90"/>
    <w:rsid w:val="001F5CA8"/>
    <w:rsid w:val="001F5CE4"/>
    <w:rsid w:val="001F5D7E"/>
    <w:rsid w:val="001F5E17"/>
    <w:rsid w:val="001F5F70"/>
    <w:rsid w:val="001F6171"/>
    <w:rsid w:val="001F6213"/>
    <w:rsid w:val="001F64A0"/>
    <w:rsid w:val="001F6587"/>
    <w:rsid w:val="001F670F"/>
    <w:rsid w:val="001F6850"/>
    <w:rsid w:val="001F6868"/>
    <w:rsid w:val="001F68E0"/>
    <w:rsid w:val="001F694F"/>
    <w:rsid w:val="001F6AC0"/>
    <w:rsid w:val="001F6B33"/>
    <w:rsid w:val="001F6B60"/>
    <w:rsid w:val="001F6D08"/>
    <w:rsid w:val="001F6F49"/>
    <w:rsid w:val="001F7067"/>
    <w:rsid w:val="001F7081"/>
    <w:rsid w:val="001F70A3"/>
    <w:rsid w:val="001F70E2"/>
    <w:rsid w:val="001F721D"/>
    <w:rsid w:val="001F7346"/>
    <w:rsid w:val="001F73E1"/>
    <w:rsid w:val="001F747E"/>
    <w:rsid w:val="001F7531"/>
    <w:rsid w:val="001F7551"/>
    <w:rsid w:val="001F7623"/>
    <w:rsid w:val="001F77F7"/>
    <w:rsid w:val="001F78B6"/>
    <w:rsid w:val="001F7966"/>
    <w:rsid w:val="001F7DFE"/>
    <w:rsid w:val="001F7E02"/>
    <w:rsid w:val="001F7F9A"/>
    <w:rsid w:val="001F7FB3"/>
    <w:rsid w:val="00200185"/>
    <w:rsid w:val="002001ED"/>
    <w:rsid w:val="0020025B"/>
    <w:rsid w:val="0020026B"/>
    <w:rsid w:val="002003AB"/>
    <w:rsid w:val="00200405"/>
    <w:rsid w:val="00200441"/>
    <w:rsid w:val="00200593"/>
    <w:rsid w:val="0020069E"/>
    <w:rsid w:val="0020077B"/>
    <w:rsid w:val="00200B0D"/>
    <w:rsid w:val="00200D58"/>
    <w:rsid w:val="00200E46"/>
    <w:rsid w:val="00200E9B"/>
    <w:rsid w:val="00200FFD"/>
    <w:rsid w:val="0020129A"/>
    <w:rsid w:val="0020136F"/>
    <w:rsid w:val="0020140A"/>
    <w:rsid w:val="002014BF"/>
    <w:rsid w:val="00201595"/>
    <w:rsid w:val="002015EE"/>
    <w:rsid w:val="00201666"/>
    <w:rsid w:val="002017EF"/>
    <w:rsid w:val="0020189D"/>
    <w:rsid w:val="002018AD"/>
    <w:rsid w:val="002018BF"/>
    <w:rsid w:val="0020193F"/>
    <w:rsid w:val="00201A12"/>
    <w:rsid w:val="00201D28"/>
    <w:rsid w:val="00201D3A"/>
    <w:rsid w:val="00201E8B"/>
    <w:rsid w:val="00201E9C"/>
    <w:rsid w:val="0020200E"/>
    <w:rsid w:val="00202079"/>
    <w:rsid w:val="00202542"/>
    <w:rsid w:val="0020257D"/>
    <w:rsid w:val="00202581"/>
    <w:rsid w:val="0020258F"/>
    <w:rsid w:val="00202617"/>
    <w:rsid w:val="0020273B"/>
    <w:rsid w:val="0020282B"/>
    <w:rsid w:val="0020284F"/>
    <w:rsid w:val="0020285A"/>
    <w:rsid w:val="002029E9"/>
    <w:rsid w:val="00202B8D"/>
    <w:rsid w:val="00202D1D"/>
    <w:rsid w:val="00202D96"/>
    <w:rsid w:val="00202DAC"/>
    <w:rsid w:val="00202E47"/>
    <w:rsid w:val="00202EBB"/>
    <w:rsid w:val="00202EFC"/>
    <w:rsid w:val="00202F63"/>
    <w:rsid w:val="00202FB0"/>
    <w:rsid w:val="00202FEE"/>
    <w:rsid w:val="0020304F"/>
    <w:rsid w:val="0020308F"/>
    <w:rsid w:val="0020324A"/>
    <w:rsid w:val="002032FB"/>
    <w:rsid w:val="0020330A"/>
    <w:rsid w:val="002035E7"/>
    <w:rsid w:val="00203647"/>
    <w:rsid w:val="002036E9"/>
    <w:rsid w:val="00203797"/>
    <w:rsid w:val="0020397B"/>
    <w:rsid w:val="00203CA1"/>
    <w:rsid w:val="00203D44"/>
    <w:rsid w:val="00203F78"/>
    <w:rsid w:val="0020406C"/>
    <w:rsid w:val="002040BA"/>
    <w:rsid w:val="002041AC"/>
    <w:rsid w:val="002041F9"/>
    <w:rsid w:val="00204338"/>
    <w:rsid w:val="0020437C"/>
    <w:rsid w:val="002043AF"/>
    <w:rsid w:val="002043CC"/>
    <w:rsid w:val="00204527"/>
    <w:rsid w:val="00204922"/>
    <w:rsid w:val="0020499D"/>
    <w:rsid w:val="00204A0A"/>
    <w:rsid w:val="00204B78"/>
    <w:rsid w:val="00204ED8"/>
    <w:rsid w:val="00204F60"/>
    <w:rsid w:val="002051AC"/>
    <w:rsid w:val="002052A3"/>
    <w:rsid w:val="002053A4"/>
    <w:rsid w:val="002055A1"/>
    <w:rsid w:val="002056A1"/>
    <w:rsid w:val="00205709"/>
    <w:rsid w:val="00205A05"/>
    <w:rsid w:val="00205BAF"/>
    <w:rsid w:val="00205C50"/>
    <w:rsid w:val="00205C8C"/>
    <w:rsid w:val="00205F8C"/>
    <w:rsid w:val="0020608D"/>
    <w:rsid w:val="002061EE"/>
    <w:rsid w:val="00206283"/>
    <w:rsid w:val="0020636C"/>
    <w:rsid w:val="0020644A"/>
    <w:rsid w:val="002064E1"/>
    <w:rsid w:val="00206532"/>
    <w:rsid w:val="002065B4"/>
    <w:rsid w:val="0020668D"/>
    <w:rsid w:val="002067EF"/>
    <w:rsid w:val="0020685F"/>
    <w:rsid w:val="002068FF"/>
    <w:rsid w:val="00206A7F"/>
    <w:rsid w:val="00206AC6"/>
    <w:rsid w:val="00206C54"/>
    <w:rsid w:val="00206D19"/>
    <w:rsid w:val="00206F81"/>
    <w:rsid w:val="0020708A"/>
    <w:rsid w:val="002070BD"/>
    <w:rsid w:val="00207AFD"/>
    <w:rsid w:val="00207CCE"/>
    <w:rsid w:val="00207E33"/>
    <w:rsid w:val="00207E80"/>
    <w:rsid w:val="0021005A"/>
    <w:rsid w:val="00210079"/>
    <w:rsid w:val="002101A2"/>
    <w:rsid w:val="0021020B"/>
    <w:rsid w:val="00210250"/>
    <w:rsid w:val="0021040E"/>
    <w:rsid w:val="00210504"/>
    <w:rsid w:val="00210556"/>
    <w:rsid w:val="00210661"/>
    <w:rsid w:val="002107EA"/>
    <w:rsid w:val="00210849"/>
    <w:rsid w:val="00210907"/>
    <w:rsid w:val="002109E8"/>
    <w:rsid w:val="00210AAD"/>
    <w:rsid w:val="00210BD2"/>
    <w:rsid w:val="00210D3C"/>
    <w:rsid w:val="00210D92"/>
    <w:rsid w:val="00210E9C"/>
    <w:rsid w:val="00210F05"/>
    <w:rsid w:val="00210F83"/>
    <w:rsid w:val="00210FBC"/>
    <w:rsid w:val="00211204"/>
    <w:rsid w:val="002112D2"/>
    <w:rsid w:val="00211351"/>
    <w:rsid w:val="0021140A"/>
    <w:rsid w:val="00211446"/>
    <w:rsid w:val="0021146F"/>
    <w:rsid w:val="00211539"/>
    <w:rsid w:val="00211592"/>
    <w:rsid w:val="002115F6"/>
    <w:rsid w:val="00211787"/>
    <w:rsid w:val="0021193D"/>
    <w:rsid w:val="00211C18"/>
    <w:rsid w:val="00211CE4"/>
    <w:rsid w:val="00211DA6"/>
    <w:rsid w:val="00211E31"/>
    <w:rsid w:val="00211E41"/>
    <w:rsid w:val="00211F0A"/>
    <w:rsid w:val="00211F64"/>
    <w:rsid w:val="00211FC1"/>
    <w:rsid w:val="00212109"/>
    <w:rsid w:val="00212398"/>
    <w:rsid w:val="002123D0"/>
    <w:rsid w:val="0021243D"/>
    <w:rsid w:val="0021259A"/>
    <w:rsid w:val="002125DE"/>
    <w:rsid w:val="00212724"/>
    <w:rsid w:val="00212806"/>
    <w:rsid w:val="002128B5"/>
    <w:rsid w:val="00212A06"/>
    <w:rsid w:val="00212A80"/>
    <w:rsid w:val="00212C21"/>
    <w:rsid w:val="00212C95"/>
    <w:rsid w:val="00212DE9"/>
    <w:rsid w:val="00212E03"/>
    <w:rsid w:val="00212F88"/>
    <w:rsid w:val="0021305E"/>
    <w:rsid w:val="002130EF"/>
    <w:rsid w:val="002131E6"/>
    <w:rsid w:val="00213286"/>
    <w:rsid w:val="00213376"/>
    <w:rsid w:val="002138B9"/>
    <w:rsid w:val="0021390A"/>
    <w:rsid w:val="002139F3"/>
    <w:rsid w:val="002139FC"/>
    <w:rsid w:val="00213B2A"/>
    <w:rsid w:val="00213C0B"/>
    <w:rsid w:val="00213C11"/>
    <w:rsid w:val="00213D3C"/>
    <w:rsid w:val="00213E0A"/>
    <w:rsid w:val="00213E63"/>
    <w:rsid w:val="00213ECC"/>
    <w:rsid w:val="00213FDA"/>
    <w:rsid w:val="002140BA"/>
    <w:rsid w:val="002140DA"/>
    <w:rsid w:val="0021464B"/>
    <w:rsid w:val="002147AF"/>
    <w:rsid w:val="00214B0F"/>
    <w:rsid w:val="00214DD3"/>
    <w:rsid w:val="00214F7E"/>
    <w:rsid w:val="00215125"/>
    <w:rsid w:val="002152ED"/>
    <w:rsid w:val="002153B5"/>
    <w:rsid w:val="002153FB"/>
    <w:rsid w:val="00215497"/>
    <w:rsid w:val="00215710"/>
    <w:rsid w:val="0021577C"/>
    <w:rsid w:val="0021581B"/>
    <w:rsid w:val="00215979"/>
    <w:rsid w:val="002159D7"/>
    <w:rsid w:val="002159F4"/>
    <w:rsid w:val="00215C2D"/>
    <w:rsid w:val="00215F3F"/>
    <w:rsid w:val="00215F99"/>
    <w:rsid w:val="0021627E"/>
    <w:rsid w:val="002162FD"/>
    <w:rsid w:val="00216328"/>
    <w:rsid w:val="00216340"/>
    <w:rsid w:val="00216420"/>
    <w:rsid w:val="00216494"/>
    <w:rsid w:val="002164B5"/>
    <w:rsid w:val="00216744"/>
    <w:rsid w:val="00216B87"/>
    <w:rsid w:val="00216C5F"/>
    <w:rsid w:val="00216D5F"/>
    <w:rsid w:val="00216D66"/>
    <w:rsid w:val="00216DC8"/>
    <w:rsid w:val="00216DD3"/>
    <w:rsid w:val="00216EA1"/>
    <w:rsid w:val="00216F7C"/>
    <w:rsid w:val="00217083"/>
    <w:rsid w:val="002170DC"/>
    <w:rsid w:val="00217119"/>
    <w:rsid w:val="00217383"/>
    <w:rsid w:val="002173E4"/>
    <w:rsid w:val="002173F3"/>
    <w:rsid w:val="00217419"/>
    <w:rsid w:val="0021742A"/>
    <w:rsid w:val="00217431"/>
    <w:rsid w:val="00217500"/>
    <w:rsid w:val="00217639"/>
    <w:rsid w:val="002176E8"/>
    <w:rsid w:val="002177F4"/>
    <w:rsid w:val="0021785D"/>
    <w:rsid w:val="0021797E"/>
    <w:rsid w:val="002179FA"/>
    <w:rsid w:val="00217B86"/>
    <w:rsid w:val="00217C04"/>
    <w:rsid w:val="00217E88"/>
    <w:rsid w:val="00217EEB"/>
    <w:rsid w:val="00217EEF"/>
    <w:rsid w:val="00217F31"/>
    <w:rsid w:val="00217F3E"/>
    <w:rsid w:val="00220091"/>
    <w:rsid w:val="002200B9"/>
    <w:rsid w:val="0022011D"/>
    <w:rsid w:val="0022021D"/>
    <w:rsid w:val="00220403"/>
    <w:rsid w:val="00220409"/>
    <w:rsid w:val="00220615"/>
    <w:rsid w:val="00220616"/>
    <w:rsid w:val="00220640"/>
    <w:rsid w:val="002206D9"/>
    <w:rsid w:val="0022088B"/>
    <w:rsid w:val="0022091E"/>
    <w:rsid w:val="00220962"/>
    <w:rsid w:val="00220A8C"/>
    <w:rsid w:val="00220B5A"/>
    <w:rsid w:val="00220B8F"/>
    <w:rsid w:val="00220D31"/>
    <w:rsid w:val="00220E69"/>
    <w:rsid w:val="00220FC5"/>
    <w:rsid w:val="00221066"/>
    <w:rsid w:val="002215B6"/>
    <w:rsid w:val="00221688"/>
    <w:rsid w:val="0022175A"/>
    <w:rsid w:val="0022182A"/>
    <w:rsid w:val="002219BD"/>
    <w:rsid w:val="00221EAA"/>
    <w:rsid w:val="00221EC0"/>
    <w:rsid w:val="00221FC8"/>
    <w:rsid w:val="00222097"/>
    <w:rsid w:val="002220C3"/>
    <w:rsid w:val="00222212"/>
    <w:rsid w:val="00222391"/>
    <w:rsid w:val="002224CD"/>
    <w:rsid w:val="002225E0"/>
    <w:rsid w:val="002226BB"/>
    <w:rsid w:val="002226DA"/>
    <w:rsid w:val="002227C0"/>
    <w:rsid w:val="00222867"/>
    <w:rsid w:val="002228E6"/>
    <w:rsid w:val="0022292A"/>
    <w:rsid w:val="002229B3"/>
    <w:rsid w:val="002229BA"/>
    <w:rsid w:val="00222A0F"/>
    <w:rsid w:val="00222B01"/>
    <w:rsid w:val="00222FD7"/>
    <w:rsid w:val="00223006"/>
    <w:rsid w:val="00223134"/>
    <w:rsid w:val="00223189"/>
    <w:rsid w:val="002231CF"/>
    <w:rsid w:val="00223363"/>
    <w:rsid w:val="0022339F"/>
    <w:rsid w:val="0022354C"/>
    <w:rsid w:val="002236B3"/>
    <w:rsid w:val="00223792"/>
    <w:rsid w:val="002237DD"/>
    <w:rsid w:val="002237E6"/>
    <w:rsid w:val="00223A33"/>
    <w:rsid w:val="00223A8B"/>
    <w:rsid w:val="00223B49"/>
    <w:rsid w:val="00223E01"/>
    <w:rsid w:val="00223E19"/>
    <w:rsid w:val="00224055"/>
    <w:rsid w:val="00224200"/>
    <w:rsid w:val="00224202"/>
    <w:rsid w:val="00224296"/>
    <w:rsid w:val="0022438B"/>
    <w:rsid w:val="002243F1"/>
    <w:rsid w:val="00224458"/>
    <w:rsid w:val="00224504"/>
    <w:rsid w:val="00224717"/>
    <w:rsid w:val="002247DF"/>
    <w:rsid w:val="002249F5"/>
    <w:rsid w:val="00224A80"/>
    <w:rsid w:val="00224D32"/>
    <w:rsid w:val="00224E05"/>
    <w:rsid w:val="00224E4D"/>
    <w:rsid w:val="00224E84"/>
    <w:rsid w:val="00224F0F"/>
    <w:rsid w:val="0022547A"/>
    <w:rsid w:val="00225519"/>
    <w:rsid w:val="0022555F"/>
    <w:rsid w:val="00225602"/>
    <w:rsid w:val="0022593A"/>
    <w:rsid w:val="002259BB"/>
    <w:rsid w:val="00225D14"/>
    <w:rsid w:val="00225E86"/>
    <w:rsid w:val="00225FE6"/>
    <w:rsid w:val="002261B6"/>
    <w:rsid w:val="002261FE"/>
    <w:rsid w:val="0022635C"/>
    <w:rsid w:val="0022636E"/>
    <w:rsid w:val="0022668B"/>
    <w:rsid w:val="002269C9"/>
    <w:rsid w:val="00226A38"/>
    <w:rsid w:val="00226C89"/>
    <w:rsid w:val="00226D43"/>
    <w:rsid w:val="00226E49"/>
    <w:rsid w:val="00226FF6"/>
    <w:rsid w:val="002271BE"/>
    <w:rsid w:val="002271CC"/>
    <w:rsid w:val="00227233"/>
    <w:rsid w:val="00227237"/>
    <w:rsid w:val="002272C8"/>
    <w:rsid w:val="00227384"/>
    <w:rsid w:val="002273DF"/>
    <w:rsid w:val="002275C8"/>
    <w:rsid w:val="00227719"/>
    <w:rsid w:val="0022777F"/>
    <w:rsid w:val="00227913"/>
    <w:rsid w:val="00227CAE"/>
    <w:rsid w:val="00227DC2"/>
    <w:rsid w:val="00227E02"/>
    <w:rsid w:val="002300AE"/>
    <w:rsid w:val="00230191"/>
    <w:rsid w:val="0023019A"/>
    <w:rsid w:val="002301C6"/>
    <w:rsid w:val="00230212"/>
    <w:rsid w:val="00230265"/>
    <w:rsid w:val="002302BF"/>
    <w:rsid w:val="002302FD"/>
    <w:rsid w:val="00230700"/>
    <w:rsid w:val="00230912"/>
    <w:rsid w:val="002309CE"/>
    <w:rsid w:val="00230A74"/>
    <w:rsid w:val="00230A7B"/>
    <w:rsid w:val="00230ADB"/>
    <w:rsid w:val="00230B47"/>
    <w:rsid w:val="00230CA0"/>
    <w:rsid w:val="00230CAA"/>
    <w:rsid w:val="00230DAB"/>
    <w:rsid w:val="00230DF9"/>
    <w:rsid w:val="00230E0C"/>
    <w:rsid w:val="00230E58"/>
    <w:rsid w:val="00230EBE"/>
    <w:rsid w:val="00231049"/>
    <w:rsid w:val="00231118"/>
    <w:rsid w:val="002311B3"/>
    <w:rsid w:val="00231420"/>
    <w:rsid w:val="002314AF"/>
    <w:rsid w:val="002314C0"/>
    <w:rsid w:val="002314D2"/>
    <w:rsid w:val="0023172E"/>
    <w:rsid w:val="002318CA"/>
    <w:rsid w:val="00231970"/>
    <w:rsid w:val="00231AF9"/>
    <w:rsid w:val="00231B64"/>
    <w:rsid w:val="00231E5C"/>
    <w:rsid w:val="00231E78"/>
    <w:rsid w:val="00231E7B"/>
    <w:rsid w:val="00231F4B"/>
    <w:rsid w:val="00231FFD"/>
    <w:rsid w:val="00232081"/>
    <w:rsid w:val="002321B3"/>
    <w:rsid w:val="0023225E"/>
    <w:rsid w:val="00232385"/>
    <w:rsid w:val="00232389"/>
    <w:rsid w:val="0023262C"/>
    <w:rsid w:val="00232673"/>
    <w:rsid w:val="00232735"/>
    <w:rsid w:val="00232869"/>
    <w:rsid w:val="0023295A"/>
    <w:rsid w:val="00232A87"/>
    <w:rsid w:val="00232AD8"/>
    <w:rsid w:val="00232BBD"/>
    <w:rsid w:val="00232C55"/>
    <w:rsid w:val="00232CE3"/>
    <w:rsid w:val="00232DCC"/>
    <w:rsid w:val="00232E1D"/>
    <w:rsid w:val="00232EE2"/>
    <w:rsid w:val="0023305C"/>
    <w:rsid w:val="00233082"/>
    <w:rsid w:val="00233257"/>
    <w:rsid w:val="00233331"/>
    <w:rsid w:val="0023353E"/>
    <w:rsid w:val="0023373D"/>
    <w:rsid w:val="002337E1"/>
    <w:rsid w:val="0023397D"/>
    <w:rsid w:val="00233A5F"/>
    <w:rsid w:val="00233AEC"/>
    <w:rsid w:val="00233B47"/>
    <w:rsid w:val="00233FFC"/>
    <w:rsid w:val="002341FE"/>
    <w:rsid w:val="002343A1"/>
    <w:rsid w:val="00234562"/>
    <w:rsid w:val="002346C7"/>
    <w:rsid w:val="0023488B"/>
    <w:rsid w:val="00234A53"/>
    <w:rsid w:val="00234AC1"/>
    <w:rsid w:val="00234E8C"/>
    <w:rsid w:val="00234F4C"/>
    <w:rsid w:val="00234FF4"/>
    <w:rsid w:val="002350AC"/>
    <w:rsid w:val="00235240"/>
    <w:rsid w:val="00235267"/>
    <w:rsid w:val="002353F6"/>
    <w:rsid w:val="0023544C"/>
    <w:rsid w:val="002354A2"/>
    <w:rsid w:val="00235637"/>
    <w:rsid w:val="00235654"/>
    <w:rsid w:val="00235921"/>
    <w:rsid w:val="00235AA0"/>
    <w:rsid w:val="00235AB2"/>
    <w:rsid w:val="00235AEC"/>
    <w:rsid w:val="00235BF3"/>
    <w:rsid w:val="00235CA7"/>
    <w:rsid w:val="00235DA1"/>
    <w:rsid w:val="00236048"/>
    <w:rsid w:val="002360BC"/>
    <w:rsid w:val="0023614C"/>
    <w:rsid w:val="00236261"/>
    <w:rsid w:val="002362BD"/>
    <w:rsid w:val="002362FE"/>
    <w:rsid w:val="0023632F"/>
    <w:rsid w:val="002365AC"/>
    <w:rsid w:val="00236620"/>
    <w:rsid w:val="002367A9"/>
    <w:rsid w:val="00236887"/>
    <w:rsid w:val="00236A6F"/>
    <w:rsid w:val="00236A74"/>
    <w:rsid w:val="00236A9B"/>
    <w:rsid w:val="00236D28"/>
    <w:rsid w:val="00236E4C"/>
    <w:rsid w:val="002370E0"/>
    <w:rsid w:val="002370E4"/>
    <w:rsid w:val="0023721D"/>
    <w:rsid w:val="0023729B"/>
    <w:rsid w:val="002374CD"/>
    <w:rsid w:val="0023752D"/>
    <w:rsid w:val="002375E4"/>
    <w:rsid w:val="00237644"/>
    <w:rsid w:val="002376B8"/>
    <w:rsid w:val="002377ED"/>
    <w:rsid w:val="00237914"/>
    <w:rsid w:val="00237A41"/>
    <w:rsid w:val="00237C15"/>
    <w:rsid w:val="00237DA8"/>
    <w:rsid w:val="00237E9F"/>
    <w:rsid w:val="00237EBA"/>
    <w:rsid w:val="00237F7B"/>
    <w:rsid w:val="00240089"/>
    <w:rsid w:val="0024008E"/>
    <w:rsid w:val="002401CD"/>
    <w:rsid w:val="00240231"/>
    <w:rsid w:val="0024025A"/>
    <w:rsid w:val="0024029A"/>
    <w:rsid w:val="00240356"/>
    <w:rsid w:val="002403CB"/>
    <w:rsid w:val="0024041A"/>
    <w:rsid w:val="00240469"/>
    <w:rsid w:val="0024046D"/>
    <w:rsid w:val="00240579"/>
    <w:rsid w:val="00240619"/>
    <w:rsid w:val="0024070A"/>
    <w:rsid w:val="00240780"/>
    <w:rsid w:val="002407AD"/>
    <w:rsid w:val="002407BC"/>
    <w:rsid w:val="002408E5"/>
    <w:rsid w:val="002408EE"/>
    <w:rsid w:val="00240908"/>
    <w:rsid w:val="00240A70"/>
    <w:rsid w:val="00240AB9"/>
    <w:rsid w:val="00240AD3"/>
    <w:rsid w:val="00240DAE"/>
    <w:rsid w:val="00240E2B"/>
    <w:rsid w:val="00240ED0"/>
    <w:rsid w:val="00241039"/>
    <w:rsid w:val="00241095"/>
    <w:rsid w:val="0024114E"/>
    <w:rsid w:val="00241165"/>
    <w:rsid w:val="00241166"/>
    <w:rsid w:val="002411B3"/>
    <w:rsid w:val="002411DD"/>
    <w:rsid w:val="00241259"/>
    <w:rsid w:val="00241430"/>
    <w:rsid w:val="00241536"/>
    <w:rsid w:val="002415F6"/>
    <w:rsid w:val="002417AF"/>
    <w:rsid w:val="00241881"/>
    <w:rsid w:val="00241983"/>
    <w:rsid w:val="00241B6B"/>
    <w:rsid w:val="00241BF3"/>
    <w:rsid w:val="00241DF9"/>
    <w:rsid w:val="00241FC8"/>
    <w:rsid w:val="002421C8"/>
    <w:rsid w:val="002421EF"/>
    <w:rsid w:val="002423AC"/>
    <w:rsid w:val="002423F4"/>
    <w:rsid w:val="00242418"/>
    <w:rsid w:val="0024241B"/>
    <w:rsid w:val="00242486"/>
    <w:rsid w:val="002424AB"/>
    <w:rsid w:val="002424BC"/>
    <w:rsid w:val="00242563"/>
    <w:rsid w:val="00242646"/>
    <w:rsid w:val="002426A4"/>
    <w:rsid w:val="00242862"/>
    <w:rsid w:val="0024286F"/>
    <w:rsid w:val="002428EF"/>
    <w:rsid w:val="0024294C"/>
    <w:rsid w:val="00242A6A"/>
    <w:rsid w:val="00242B1A"/>
    <w:rsid w:val="00242E1F"/>
    <w:rsid w:val="00242E66"/>
    <w:rsid w:val="00243047"/>
    <w:rsid w:val="0024335A"/>
    <w:rsid w:val="0024339B"/>
    <w:rsid w:val="002433B5"/>
    <w:rsid w:val="0024346B"/>
    <w:rsid w:val="002435A9"/>
    <w:rsid w:val="0024366F"/>
    <w:rsid w:val="00243680"/>
    <w:rsid w:val="0024368C"/>
    <w:rsid w:val="002436D2"/>
    <w:rsid w:val="00243977"/>
    <w:rsid w:val="00243A41"/>
    <w:rsid w:val="00243B5C"/>
    <w:rsid w:val="00243BCA"/>
    <w:rsid w:val="00243BEC"/>
    <w:rsid w:val="00243C21"/>
    <w:rsid w:val="00243E0B"/>
    <w:rsid w:val="00243EC8"/>
    <w:rsid w:val="00243EEB"/>
    <w:rsid w:val="002440E7"/>
    <w:rsid w:val="00244125"/>
    <w:rsid w:val="002441CB"/>
    <w:rsid w:val="00244422"/>
    <w:rsid w:val="00244510"/>
    <w:rsid w:val="00244516"/>
    <w:rsid w:val="00244A89"/>
    <w:rsid w:val="00244BD7"/>
    <w:rsid w:val="00244F8A"/>
    <w:rsid w:val="0024511A"/>
    <w:rsid w:val="0024516A"/>
    <w:rsid w:val="002452CC"/>
    <w:rsid w:val="002453ED"/>
    <w:rsid w:val="0024558C"/>
    <w:rsid w:val="002457F5"/>
    <w:rsid w:val="00245813"/>
    <w:rsid w:val="002458E3"/>
    <w:rsid w:val="00245957"/>
    <w:rsid w:val="00245BF6"/>
    <w:rsid w:val="00245CA9"/>
    <w:rsid w:val="002460CD"/>
    <w:rsid w:val="0024614D"/>
    <w:rsid w:val="00246190"/>
    <w:rsid w:val="002461BA"/>
    <w:rsid w:val="00246274"/>
    <w:rsid w:val="002462F9"/>
    <w:rsid w:val="0024632B"/>
    <w:rsid w:val="002463A7"/>
    <w:rsid w:val="00246551"/>
    <w:rsid w:val="002465A2"/>
    <w:rsid w:val="002465AD"/>
    <w:rsid w:val="00246670"/>
    <w:rsid w:val="0024671D"/>
    <w:rsid w:val="00246798"/>
    <w:rsid w:val="00246821"/>
    <w:rsid w:val="002468BD"/>
    <w:rsid w:val="00246983"/>
    <w:rsid w:val="00246C27"/>
    <w:rsid w:val="00246CE3"/>
    <w:rsid w:val="00246D8E"/>
    <w:rsid w:val="00246DCB"/>
    <w:rsid w:val="00246DCC"/>
    <w:rsid w:val="00246E0E"/>
    <w:rsid w:val="00246F24"/>
    <w:rsid w:val="00246FD5"/>
    <w:rsid w:val="0024734E"/>
    <w:rsid w:val="00247430"/>
    <w:rsid w:val="00247493"/>
    <w:rsid w:val="002475D9"/>
    <w:rsid w:val="00247636"/>
    <w:rsid w:val="0024763B"/>
    <w:rsid w:val="00247682"/>
    <w:rsid w:val="002477E0"/>
    <w:rsid w:val="00247877"/>
    <w:rsid w:val="002478F8"/>
    <w:rsid w:val="0024792B"/>
    <w:rsid w:val="00247A8A"/>
    <w:rsid w:val="00247CC6"/>
    <w:rsid w:val="00247DF2"/>
    <w:rsid w:val="00247DF4"/>
    <w:rsid w:val="00247EA4"/>
    <w:rsid w:val="00247EA8"/>
    <w:rsid w:val="00247EC2"/>
    <w:rsid w:val="00247FD1"/>
    <w:rsid w:val="00247FF3"/>
    <w:rsid w:val="002500B7"/>
    <w:rsid w:val="0025012B"/>
    <w:rsid w:val="00250159"/>
    <w:rsid w:val="0025017D"/>
    <w:rsid w:val="0025026B"/>
    <w:rsid w:val="002503A3"/>
    <w:rsid w:val="002503EF"/>
    <w:rsid w:val="0025044D"/>
    <w:rsid w:val="00250580"/>
    <w:rsid w:val="002505B2"/>
    <w:rsid w:val="002505CD"/>
    <w:rsid w:val="0025076E"/>
    <w:rsid w:val="0025081C"/>
    <w:rsid w:val="00250879"/>
    <w:rsid w:val="00250996"/>
    <w:rsid w:val="00250A08"/>
    <w:rsid w:val="00250A18"/>
    <w:rsid w:val="00250A7B"/>
    <w:rsid w:val="00250BAC"/>
    <w:rsid w:val="00250E31"/>
    <w:rsid w:val="00250FD0"/>
    <w:rsid w:val="002511A9"/>
    <w:rsid w:val="002511B2"/>
    <w:rsid w:val="002511B5"/>
    <w:rsid w:val="00251267"/>
    <w:rsid w:val="00251486"/>
    <w:rsid w:val="00251602"/>
    <w:rsid w:val="0025176F"/>
    <w:rsid w:val="002518FF"/>
    <w:rsid w:val="00251AB5"/>
    <w:rsid w:val="00251AC1"/>
    <w:rsid w:val="00251D8C"/>
    <w:rsid w:val="00251E55"/>
    <w:rsid w:val="00251F71"/>
    <w:rsid w:val="00251FB4"/>
    <w:rsid w:val="002520B7"/>
    <w:rsid w:val="0025216C"/>
    <w:rsid w:val="0025228C"/>
    <w:rsid w:val="00252368"/>
    <w:rsid w:val="002523BF"/>
    <w:rsid w:val="002524F7"/>
    <w:rsid w:val="0025260E"/>
    <w:rsid w:val="002526A7"/>
    <w:rsid w:val="0025270F"/>
    <w:rsid w:val="00252738"/>
    <w:rsid w:val="002527FC"/>
    <w:rsid w:val="002529A6"/>
    <w:rsid w:val="00252A47"/>
    <w:rsid w:val="00252D69"/>
    <w:rsid w:val="00252F31"/>
    <w:rsid w:val="00252FAF"/>
    <w:rsid w:val="002530A3"/>
    <w:rsid w:val="00253103"/>
    <w:rsid w:val="0025310E"/>
    <w:rsid w:val="002531CB"/>
    <w:rsid w:val="0025353B"/>
    <w:rsid w:val="00253611"/>
    <w:rsid w:val="00253635"/>
    <w:rsid w:val="0025365C"/>
    <w:rsid w:val="002536A1"/>
    <w:rsid w:val="0025370D"/>
    <w:rsid w:val="002537C4"/>
    <w:rsid w:val="00253840"/>
    <w:rsid w:val="002538AC"/>
    <w:rsid w:val="00253C2E"/>
    <w:rsid w:val="00253CA1"/>
    <w:rsid w:val="00253D82"/>
    <w:rsid w:val="00253DE1"/>
    <w:rsid w:val="00253DFB"/>
    <w:rsid w:val="0025410E"/>
    <w:rsid w:val="002543D8"/>
    <w:rsid w:val="00254531"/>
    <w:rsid w:val="00254533"/>
    <w:rsid w:val="00254619"/>
    <w:rsid w:val="002546D4"/>
    <w:rsid w:val="00254A27"/>
    <w:rsid w:val="00254A5D"/>
    <w:rsid w:val="00254BA7"/>
    <w:rsid w:val="00254BD2"/>
    <w:rsid w:val="00254E59"/>
    <w:rsid w:val="00254EF3"/>
    <w:rsid w:val="00254FF5"/>
    <w:rsid w:val="0025501D"/>
    <w:rsid w:val="0025539A"/>
    <w:rsid w:val="00255484"/>
    <w:rsid w:val="00255498"/>
    <w:rsid w:val="00255713"/>
    <w:rsid w:val="002557A5"/>
    <w:rsid w:val="0025594C"/>
    <w:rsid w:val="002559A8"/>
    <w:rsid w:val="00255C60"/>
    <w:rsid w:val="00255D18"/>
    <w:rsid w:val="00255D7A"/>
    <w:rsid w:val="00255EFA"/>
    <w:rsid w:val="002562D8"/>
    <w:rsid w:val="0025635E"/>
    <w:rsid w:val="00256400"/>
    <w:rsid w:val="0025652F"/>
    <w:rsid w:val="002568EC"/>
    <w:rsid w:val="0025695C"/>
    <w:rsid w:val="00256A4F"/>
    <w:rsid w:val="00256C32"/>
    <w:rsid w:val="00256C8A"/>
    <w:rsid w:val="00256CBE"/>
    <w:rsid w:val="00256EC2"/>
    <w:rsid w:val="00257131"/>
    <w:rsid w:val="0025737C"/>
    <w:rsid w:val="002574BE"/>
    <w:rsid w:val="0025763E"/>
    <w:rsid w:val="00257659"/>
    <w:rsid w:val="0025788B"/>
    <w:rsid w:val="00257931"/>
    <w:rsid w:val="00257975"/>
    <w:rsid w:val="00257A68"/>
    <w:rsid w:val="00257B24"/>
    <w:rsid w:val="00257C6D"/>
    <w:rsid w:val="00257E69"/>
    <w:rsid w:val="00257F71"/>
    <w:rsid w:val="00257FAC"/>
    <w:rsid w:val="00257FB6"/>
    <w:rsid w:val="00260079"/>
    <w:rsid w:val="002600EE"/>
    <w:rsid w:val="002601CF"/>
    <w:rsid w:val="002602A4"/>
    <w:rsid w:val="00260417"/>
    <w:rsid w:val="0026066C"/>
    <w:rsid w:val="002606B6"/>
    <w:rsid w:val="002606BC"/>
    <w:rsid w:val="002607EB"/>
    <w:rsid w:val="002608B1"/>
    <w:rsid w:val="002608F1"/>
    <w:rsid w:val="002609C1"/>
    <w:rsid w:val="00260CF1"/>
    <w:rsid w:val="00260D70"/>
    <w:rsid w:val="00260DEF"/>
    <w:rsid w:val="00260E94"/>
    <w:rsid w:val="00260EAB"/>
    <w:rsid w:val="00260FCC"/>
    <w:rsid w:val="00261139"/>
    <w:rsid w:val="002611CD"/>
    <w:rsid w:val="0026131C"/>
    <w:rsid w:val="00261394"/>
    <w:rsid w:val="00261437"/>
    <w:rsid w:val="002614BA"/>
    <w:rsid w:val="002614D2"/>
    <w:rsid w:val="002615C5"/>
    <w:rsid w:val="00261783"/>
    <w:rsid w:val="0026189F"/>
    <w:rsid w:val="002618B6"/>
    <w:rsid w:val="002618BD"/>
    <w:rsid w:val="0026190E"/>
    <w:rsid w:val="00261961"/>
    <w:rsid w:val="002619B1"/>
    <w:rsid w:val="002619E9"/>
    <w:rsid w:val="00261A0C"/>
    <w:rsid w:val="00261A7A"/>
    <w:rsid w:val="00261AC0"/>
    <w:rsid w:val="00261C0A"/>
    <w:rsid w:val="00261C2C"/>
    <w:rsid w:val="00261C4B"/>
    <w:rsid w:val="00261DB7"/>
    <w:rsid w:val="0026206A"/>
    <w:rsid w:val="002620FD"/>
    <w:rsid w:val="002621AC"/>
    <w:rsid w:val="002621D7"/>
    <w:rsid w:val="0026224A"/>
    <w:rsid w:val="0026231B"/>
    <w:rsid w:val="0026231D"/>
    <w:rsid w:val="00262384"/>
    <w:rsid w:val="00262411"/>
    <w:rsid w:val="0026259D"/>
    <w:rsid w:val="002625F5"/>
    <w:rsid w:val="0026264A"/>
    <w:rsid w:val="002626F8"/>
    <w:rsid w:val="002627C2"/>
    <w:rsid w:val="002629AD"/>
    <w:rsid w:val="00262C95"/>
    <w:rsid w:val="00262CC7"/>
    <w:rsid w:val="00262E88"/>
    <w:rsid w:val="00262EE3"/>
    <w:rsid w:val="00262F63"/>
    <w:rsid w:val="00262FD0"/>
    <w:rsid w:val="00263053"/>
    <w:rsid w:val="0026309E"/>
    <w:rsid w:val="00263196"/>
    <w:rsid w:val="00263211"/>
    <w:rsid w:val="002633C7"/>
    <w:rsid w:val="00263460"/>
    <w:rsid w:val="00263501"/>
    <w:rsid w:val="00263592"/>
    <w:rsid w:val="00263730"/>
    <w:rsid w:val="0026391A"/>
    <w:rsid w:val="002639BB"/>
    <w:rsid w:val="002639FE"/>
    <w:rsid w:val="00263B6C"/>
    <w:rsid w:val="00263BA0"/>
    <w:rsid w:val="00263C2E"/>
    <w:rsid w:val="00263E24"/>
    <w:rsid w:val="00263E97"/>
    <w:rsid w:val="00263E9D"/>
    <w:rsid w:val="002642CC"/>
    <w:rsid w:val="0026439F"/>
    <w:rsid w:val="002643BE"/>
    <w:rsid w:val="002644A0"/>
    <w:rsid w:val="002645CC"/>
    <w:rsid w:val="002645D5"/>
    <w:rsid w:val="002646A8"/>
    <w:rsid w:val="002646B5"/>
    <w:rsid w:val="00264A34"/>
    <w:rsid w:val="00264AC7"/>
    <w:rsid w:val="00264EC2"/>
    <w:rsid w:val="00264FAF"/>
    <w:rsid w:val="00265068"/>
    <w:rsid w:val="00265217"/>
    <w:rsid w:val="00265437"/>
    <w:rsid w:val="00265520"/>
    <w:rsid w:val="0026554E"/>
    <w:rsid w:val="00265680"/>
    <w:rsid w:val="002656F3"/>
    <w:rsid w:val="00265856"/>
    <w:rsid w:val="0026585C"/>
    <w:rsid w:val="00265919"/>
    <w:rsid w:val="00265B21"/>
    <w:rsid w:val="00265CBC"/>
    <w:rsid w:val="00265CDE"/>
    <w:rsid w:val="00265DB8"/>
    <w:rsid w:val="00265E47"/>
    <w:rsid w:val="002660C3"/>
    <w:rsid w:val="00266419"/>
    <w:rsid w:val="00266694"/>
    <w:rsid w:val="002666C2"/>
    <w:rsid w:val="00266AF4"/>
    <w:rsid w:val="00266C77"/>
    <w:rsid w:val="00266D2A"/>
    <w:rsid w:val="00266EB6"/>
    <w:rsid w:val="00266F47"/>
    <w:rsid w:val="00266F9F"/>
    <w:rsid w:val="0026707C"/>
    <w:rsid w:val="00267211"/>
    <w:rsid w:val="00267314"/>
    <w:rsid w:val="002674A0"/>
    <w:rsid w:val="002674C9"/>
    <w:rsid w:val="002674CC"/>
    <w:rsid w:val="00267544"/>
    <w:rsid w:val="00267690"/>
    <w:rsid w:val="0026780A"/>
    <w:rsid w:val="0026783A"/>
    <w:rsid w:val="00267862"/>
    <w:rsid w:val="00267959"/>
    <w:rsid w:val="00267DB5"/>
    <w:rsid w:val="00267EBB"/>
    <w:rsid w:val="00267FC4"/>
    <w:rsid w:val="002700CE"/>
    <w:rsid w:val="0027010A"/>
    <w:rsid w:val="00270211"/>
    <w:rsid w:val="002702A3"/>
    <w:rsid w:val="002702AA"/>
    <w:rsid w:val="00270429"/>
    <w:rsid w:val="00270611"/>
    <w:rsid w:val="00270781"/>
    <w:rsid w:val="002708F5"/>
    <w:rsid w:val="00270A0D"/>
    <w:rsid w:val="00270A13"/>
    <w:rsid w:val="00270A52"/>
    <w:rsid w:val="00270CC4"/>
    <w:rsid w:val="00270F76"/>
    <w:rsid w:val="00270FC6"/>
    <w:rsid w:val="002710A8"/>
    <w:rsid w:val="00271195"/>
    <w:rsid w:val="0027124F"/>
    <w:rsid w:val="0027127E"/>
    <w:rsid w:val="0027139F"/>
    <w:rsid w:val="002713EA"/>
    <w:rsid w:val="0027146F"/>
    <w:rsid w:val="002714FC"/>
    <w:rsid w:val="002715CC"/>
    <w:rsid w:val="002715EB"/>
    <w:rsid w:val="0027160E"/>
    <w:rsid w:val="002716BF"/>
    <w:rsid w:val="0027175D"/>
    <w:rsid w:val="00271770"/>
    <w:rsid w:val="002717EB"/>
    <w:rsid w:val="00271825"/>
    <w:rsid w:val="002718B8"/>
    <w:rsid w:val="002718EF"/>
    <w:rsid w:val="002718F4"/>
    <w:rsid w:val="002719A5"/>
    <w:rsid w:val="00271B37"/>
    <w:rsid w:val="00271D70"/>
    <w:rsid w:val="00271EE4"/>
    <w:rsid w:val="00271F32"/>
    <w:rsid w:val="00271FF4"/>
    <w:rsid w:val="002720A0"/>
    <w:rsid w:val="00272187"/>
    <w:rsid w:val="0027221C"/>
    <w:rsid w:val="00272240"/>
    <w:rsid w:val="00272785"/>
    <w:rsid w:val="002727EA"/>
    <w:rsid w:val="0027282D"/>
    <w:rsid w:val="002728E7"/>
    <w:rsid w:val="00272939"/>
    <w:rsid w:val="00272A8E"/>
    <w:rsid w:val="00272AA0"/>
    <w:rsid w:val="00272BCC"/>
    <w:rsid w:val="00272DAF"/>
    <w:rsid w:val="00272ED1"/>
    <w:rsid w:val="00272FED"/>
    <w:rsid w:val="002730B7"/>
    <w:rsid w:val="002730F9"/>
    <w:rsid w:val="0027334C"/>
    <w:rsid w:val="00273435"/>
    <w:rsid w:val="00273530"/>
    <w:rsid w:val="00273601"/>
    <w:rsid w:val="002736E0"/>
    <w:rsid w:val="0027381E"/>
    <w:rsid w:val="00273841"/>
    <w:rsid w:val="00273B58"/>
    <w:rsid w:val="00273C62"/>
    <w:rsid w:val="00273E0F"/>
    <w:rsid w:val="00274063"/>
    <w:rsid w:val="002741E1"/>
    <w:rsid w:val="00274214"/>
    <w:rsid w:val="00274421"/>
    <w:rsid w:val="002746FA"/>
    <w:rsid w:val="0027470C"/>
    <w:rsid w:val="0027472B"/>
    <w:rsid w:val="002747AA"/>
    <w:rsid w:val="00274A45"/>
    <w:rsid w:val="00274B3D"/>
    <w:rsid w:val="00274C41"/>
    <w:rsid w:val="00274D15"/>
    <w:rsid w:val="00274DA4"/>
    <w:rsid w:val="00274DDE"/>
    <w:rsid w:val="00274DEA"/>
    <w:rsid w:val="0027509B"/>
    <w:rsid w:val="00275141"/>
    <w:rsid w:val="002751DA"/>
    <w:rsid w:val="002751FC"/>
    <w:rsid w:val="0027524A"/>
    <w:rsid w:val="00275260"/>
    <w:rsid w:val="002753FE"/>
    <w:rsid w:val="002754C3"/>
    <w:rsid w:val="00275662"/>
    <w:rsid w:val="002756C5"/>
    <w:rsid w:val="00275717"/>
    <w:rsid w:val="0027574A"/>
    <w:rsid w:val="00275781"/>
    <w:rsid w:val="0027579E"/>
    <w:rsid w:val="002757DA"/>
    <w:rsid w:val="002757F3"/>
    <w:rsid w:val="0027590B"/>
    <w:rsid w:val="002759B0"/>
    <w:rsid w:val="00275A11"/>
    <w:rsid w:val="00275A70"/>
    <w:rsid w:val="00275AEC"/>
    <w:rsid w:val="00275AFB"/>
    <w:rsid w:val="00275C62"/>
    <w:rsid w:val="00275C9B"/>
    <w:rsid w:val="00275CA8"/>
    <w:rsid w:val="00275D72"/>
    <w:rsid w:val="00275E3D"/>
    <w:rsid w:val="00275E68"/>
    <w:rsid w:val="00275FC9"/>
    <w:rsid w:val="0027616F"/>
    <w:rsid w:val="00276199"/>
    <w:rsid w:val="002762E9"/>
    <w:rsid w:val="002763E2"/>
    <w:rsid w:val="002765D8"/>
    <w:rsid w:val="00276612"/>
    <w:rsid w:val="00276A39"/>
    <w:rsid w:val="00276C28"/>
    <w:rsid w:val="00276CD2"/>
    <w:rsid w:val="00276D10"/>
    <w:rsid w:val="00276F7D"/>
    <w:rsid w:val="00276FDF"/>
    <w:rsid w:val="00277027"/>
    <w:rsid w:val="002770CC"/>
    <w:rsid w:val="002770D9"/>
    <w:rsid w:val="00277110"/>
    <w:rsid w:val="00277187"/>
    <w:rsid w:val="002773B2"/>
    <w:rsid w:val="002773EE"/>
    <w:rsid w:val="002773F9"/>
    <w:rsid w:val="00277480"/>
    <w:rsid w:val="002774AF"/>
    <w:rsid w:val="002774B8"/>
    <w:rsid w:val="0027761F"/>
    <w:rsid w:val="00277694"/>
    <w:rsid w:val="00277782"/>
    <w:rsid w:val="0027781E"/>
    <w:rsid w:val="002779AE"/>
    <w:rsid w:val="00277C0F"/>
    <w:rsid w:val="00277CF6"/>
    <w:rsid w:val="0028000A"/>
    <w:rsid w:val="002800EE"/>
    <w:rsid w:val="00280994"/>
    <w:rsid w:val="002809E9"/>
    <w:rsid w:val="00280A9A"/>
    <w:rsid w:val="00280BA2"/>
    <w:rsid w:val="00280BF8"/>
    <w:rsid w:val="00280D79"/>
    <w:rsid w:val="00280FF4"/>
    <w:rsid w:val="00281329"/>
    <w:rsid w:val="0028134B"/>
    <w:rsid w:val="0028139B"/>
    <w:rsid w:val="00281553"/>
    <w:rsid w:val="00281666"/>
    <w:rsid w:val="002817AB"/>
    <w:rsid w:val="002818C0"/>
    <w:rsid w:val="00281A1C"/>
    <w:rsid w:val="00281B43"/>
    <w:rsid w:val="00281B84"/>
    <w:rsid w:val="00281C31"/>
    <w:rsid w:val="00281E0B"/>
    <w:rsid w:val="00281EEB"/>
    <w:rsid w:val="00281EF2"/>
    <w:rsid w:val="00281F4C"/>
    <w:rsid w:val="0028209B"/>
    <w:rsid w:val="002820AC"/>
    <w:rsid w:val="0028213A"/>
    <w:rsid w:val="002821DC"/>
    <w:rsid w:val="002822A3"/>
    <w:rsid w:val="0028253B"/>
    <w:rsid w:val="00282574"/>
    <w:rsid w:val="0028257C"/>
    <w:rsid w:val="0028293D"/>
    <w:rsid w:val="002829D3"/>
    <w:rsid w:val="00282A23"/>
    <w:rsid w:val="00282ABE"/>
    <w:rsid w:val="00282B2D"/>
    <w:rsid w:val="00282B3B"/>
    <w:rsid w:val="00282BE1"/>
    <w:rsid w:val="00282CAC"/>
    <w:rsid w:val="00282D80"/>
    <w:rsid w:val="00282F16"/>
    <w:rsid w:val="00282FEE"/>
    <w:rsid w:val="00283037"/>
    <w:rsid w:val="00283108"/>
    <w:rsid w:val="00283290"/>
    <w:rsid w:val="00283291"/>
    <w:rsid w:val="002832B7"/>
    <w:rsid w:val="002833B7"/>
    <w:rsid w:val="00283435"/>
    <w:rsid w:val="00283698"/>
    <w:rsid w:val="00283740"/>
    <w:rsid w:val="0028384A"/>
    <w:rsid w:val="002839ED"/>
    <w:rsid w:val="00283A8D"/>
    <w:rsid w:val="00283AF7"/>
    <w:rsid w:val="00283C0E"/>
    <w:rsid w:val="00283C3F"/>
    <w:rsid w:val="00283CAC"/>
    <w:rsid w:val="00283DEA"/>
    <w:rsid w:val="00283E4A"/>
    <w:rsid w:val="00283E8E"/>
    <w:rsid w:val="00283EB1"/>
    <w:rsid w:val="00283F7B"/>
    <w:rsid w:val="002840A1"/>
    <w:rsid w:val="0028424E"/>
    <w:rsid w:val="00284329"/>
    <w:rsid w:val="002843A3"/>
    <w:rsid w:val="002843EA"/>
    <w:rsid w:val="002846D2"/>
    <w:rsid w:val="002847B2"/>
    <w:rsid w:val="00284853"/>
    <w:rsid w:val="0028488F"/>
    <w:rsid w:val="00284977"/>
    <w:rsid w:val="002849AE"/>
    <w:rsid w:val="00284AA3"/>
    <w:rsid w:val="00284AD4"/>
    <w:rsid w:val="00284D00"/>
    <w:rsid w:val="00284F1C"/>
    <w:rsid w:val="002852C1"/>
    <w:rsid w:val="00285445"/>
    <w:rsid w:val="002854EB"/>
    <w:rsid w:val="00285514"/>
    <w:rsid w:val="0028556D"/>
    <w:rsid w:val="00285635"/>
    <w:rsid w:val="00285680"/>
    <w:rsid w:val="0028579A"/>
    <w:rsid w:val="00285969"/>
    <w:rsid w:val="002859BB"/>
    <w:rsid w:val="002859DA"/>
    <w:rsid w:val="00285AB1"/>
    <w:rsid w:val="00285C4D"/>
    <w:rsid w:val="00285ECB"/>
    <w:rsid w:val="00285F78"/>
    <w:rsid w:val="00285F85"/>
    <w:rsid w:val="00286039"/>
    <w:rsid w:val="00286213"/>
    <w:rsid w:val="00286776"/>
    <w:rsid w:val="00286825"/>
    <w:rsid w:val="00286846"/>
    <w:rsid w:val="0028695D"/>
    <w:rsid w:val="00286986"/>
    <w:rsid w:val="00286A57"/>
    <w:rsid w:val="00286B36"/>
    <w:rsid w:val="00286C46"/>
    <w:rsid w:val="00286D5C"/>
    <w:rsid w:val="00286E01"/>
    <w:rsid w:val="00286E6A"/>
    <w:rsid w:val="00286F55"/>
    <w:rsid w:val="002870B8"/>
    <w:rsid w:val="00287306"/>
    <w:rsid w:val="0028730A"/>
    <w:rsid w:val="002873E8"/>
    <w:rsid w:val="0028745D"/>
    <w:rsid w:val="002874A9"/>
    <w:rsid w:val="00287550"/>
    <w:rsid w:val="0028756C"/>
    <w:rsid w:val="002875C7"/>
    <w:rsid w:val="00287605"/>
    <w:rsid w:val="002876ED"/>
    <w:rsid w:val="0028787C"/>
    <w:rsid w:val="0028790B"/>
    <w:rsid w:val="002879A6"/>
    <w:rsid w:val="00287B4A"/>
    <w:rsid w:val="00287CB7"/>
    <w:rsid w:val="00287DB4"/>
    <w:rsid w:val="00287EE9"/>
    <w:rsid w:val="00287F52"/>
    <w:rsid w:val="00287F81"/>
    <w:rsid w:val="00287F96"/>
    <w:rsid w:val="00287FB0"/>
    <w:rsid w:val="002901E2"/>
    <w:rsid w:val="00290288"/>
    <w:rsid w:val="0029028A"/>
    <w:rsid w:val="002902C5"/>
    <w:rsid w:val="002903B1"/>
    <w:rsid w:val="00290421"/>
    <w:rsid w:val="0029043F"/>
    <w:rsid w:val="00290644"/>
    <w:rsid w:val="00290651"/>
    <w:rsid w:val="00290682"/>
    <w:rsid w:val="00290790"/>
    <w:rsid w:val="0029089D"/>
    <w:rsid w:val="0029095A"/>
    <w:rsid w:val="0029096F"/>
    <w:rsid w:val="00290AF9"/>
    <w:rsid w:val="00290B59"/>
    <w:rsid w:val="00290CF2"/>
    <w:rsid w:val="00290DAF"/>
    <w:rsid w:val="00290E37"/>
    <w:rsid w:val="00290E4C"/>
    <w:rsid w:val="00290E99"/>
    <w:rsid w:val="00290F01"/>
    <w:rsid w:val="0029133F"/>
    <w:rsid w:val="0029159C"/>
    <w:rsid w:val="0029167B"/>
    <w:rsid w:val="002916E0"/>
    <w:rsid w:val="0029181F"/>
    <w:rsid w:val="002919C3"/>
    <w:rsid w:val="002919F4"/>
    <w:rsid w:val="00291A38"/>
    <w:rsid w:val="00291B4A"/>
    <w:rsid w:val="00291D49"/>
    <w:rsid w:val="00291E2C"/>
    <w:rsid w:val="00291E44"/>
    <w:rsid w:val="00291F0E"/>
    <w:rsid w:val="00291F6D"/>
    <w:rsid w:val="0029218F"/>
    <w:rsid w:val="002921CC"/>
    <w:rsid w:val="00292267"/>
    <w:rsid w:val="00292388"/>
    <w:rsid w:val="002923C6"/>
    <w:rsid w:val="0029251C"/>
    <w:rsid w:val="00292546"/>
    <w:rsid w:val="0029270A"/>
    <w:rsid w:val="0029273B"/>
    <w:rsid w:val="002927CB"/>
    <w:rsid w:val="00292982"/>
    <w:rsid w:val="00292990"/>
    <w:rsid w:val="00292A60"/>
    <w:rsid w:val="00292ABA"/>
    <w:rsid w:val="00292BB9"/>
    <w:rsid w:val="00292DAD"/>
    <w:rsid w:val="00292FCC"/>
    <w:rsid w:val="00293079"/>
    <w:rsid w:val="00293091"/>
    <w:rsid w:val="0029319A"/>
    <w:rsid w:val="00293262"/>
    <w:rsid w:val="002932DC"/>
    <w:rsid w:val="0029337C"/>
    <w:rsid w:val="002934F8"/>
    <w:rsid w:val="0029355B"/>
    <w:rsid w:val="002935C1"/>
    <w:rsid w:val="00293736"/>
    <w:rsid w:val="002937E3"/>
    <w:rsid w:val="002938CC"/>
    <w:rsid w:val="00293B92"/>
    <w:rsid w:val="00293DEE"/>
    <w:rsid w:val="00293E15"/>
    <w:rsid w:val="00293E4A"/>
    <w:rsid w:val="00293F0C"/>
    <w:rsid w:val="00293F74"/>
    <w:rsid w:val="002941A0"/>
    <w:rsid w:val="002941D8"/>
    <w:rsid w:val="002941F7"/>
    <w:rsid w:val="0029436B"/>
    <w:rsid w:val="00294550"/>
    <w:rsid w:val="002946FE"/>
    <w:rsid w:val="0029474E"/>
    <w:rsid w:val="00294970"/>
    <w:rsid w:val="002949B5"/>
    <w:rsid w:val="00294B4E"/>
    <w:rsid w:val="00294B88"/>
    <w:rsid w:val="00294BE9"/>
    <w:rsid w:val="00294C10"/>
    <w:rsid w:val="00294EEB"/>
    <w:rsid w:val="00294EF7"/>
    <w:rsid w:val="00295040"/>
    <w:rsid w:val="002950C6"/>
    <w:rsid w:val="002950FD"/>
    <w:rsid w:val="00295172"/>
    <w:rsid w:val="00295330"/>
    <w:rsid w:val="00295366"/>
    <w:rsid w:val="002953F1"/>
    <w:rsid w:val="002954BB"/>
    <w:rsid w:val="0029564F"/>
    <w:rsid w:val="0029579F"/>
    <w:rsid w:val="002957DA"/>
    <w:rsid w:val="00295B30"/>
    <w:rsid w:val="00295E19"/>
    <w:rsid w:val="00295EC5"/>
    <w:rsid w:val="00295F22"/>
    <w:rsid w:val="00295F2B"/>
    <w:rsid w:val="0029635A"/>
    <w:rsid w:val="002963C0"/>
    <w:rsid w:val="00296548"/>
    <w:rsid w:val="002965F2"/>
    <w:rsid w:val="002969FC"/>
    <w:rsid w:val="00296A4F"/>
    <w:rsid w:val="00296A9B"/>
    <w:rsid w:val="00296BB1"/>
    <w:rsid w:val="00296BF3"/>
    <w:rsid w:val="00296CE9"/>
    <w:rsid w:val="00296D4D"/>
    <w:rsid w:val="00296E93"/>
    <w:rsid w:val="00296EE8"/>
    <w:rsid w:val="0029715F"/>
    <w:rsid w:val="00297170"/>
    <w:rsid w:val="002971E0"/>
    <w:rsid w:val="0029737F"/>
    <w:rsid w:val="002973A0"/>
    <w:rsid w:val="002973A7"/>
    <w:rsid w:val="00297451"/>
    <w:rsid w:val="0029761A"/>
    <w:rsid w:val="00297663"/>
    <w:rsid w:val="002976D5"/>
    <w:rsid w:val="0029787A"/>
    <w:rsid w:val="002979C7"/>
    <w:rsid w:val="00297A16"/>
    <w:rsid w:val="00297C00"/>
    <w:rsid w:val="00297CD2"/>
    <w:rsid w:val="00297CF1"/>
    <w:rsid w:val="00297D94"/>
    <w:rsid w:val="00297DF1"/>
    <w:rsid w:val="002A0182"/>
    <w:rsid w:val="002A059A"/>
    <w:rsid w:val="002A06BE"/>
    <w:rsid w:val="002A0896"/>
    <w:rsid w:val="002A08F9"/>
    <w:rsid w:val="002A0AA7"/>
    <w:rsid w:val="002A0D42"/>
    <w:rsid w:val="002A0D45"/>
    <w:rsid w:val="002A0DC4"/>
    <w:rsid w:val="002A0E3F"/>
    <w:rsid w:val="002A0E53"/>
    <w:rsid w:val="002A0EBC"/>
    <w:rsid w:val="002A0F3C"/>
    <w:rsid w:val="002A0F63"/>
    <w:rsid w:val="002A1007"/>
    <w:rsid w:val="002A133C"/>
    <w:rsid w:val="002A13BA"/>
    <w:rsid w:val="002A13FA"/>
    <w:rsid w:val="002A1478"/>
    <w:rsid w:val="002A14E2"/>
    <w:rsid w:val="002A16A6"/>
    <w:rsid w:val="002A19D6"/>
    <w:rsid w:val="002A1B55"/>
    <w:rsid w:val="002A1BC8"/>
    <w:rsid w:val="002A1BEE"/>
    <w:rsid w:val="002A1C24"/>
    <w:rsid w:val="002A1E13"/>
    <w:rsid w:val="002A1E61"/>
    <w:rsid w:val="002A20CA"/>
    <w:rsid w:val="002A20D2"/>
    <w:rsid w:val="002A2151"/>
    <w:rsid w:val="002A21D8"/>
    <w:rsid w:val="002A21F2"/>
    <w:rsid w:val="002A248B"/>
    <w:rsid w:val="002A25B8"/>
    <w:rsid w:val="002A2655"/>
    <w:rsid w:val="002A2664"/>
    <w:rsid w:val="002A269A"/>
    <w:rsid w:val="002A26CE"/>
    <w:rsid w:val="002A273A"/>
    <w:rsid w:val="002A27DE"/>
    <w:rsid w:val="002A27F8"/>
    <w:rsid w:val="002A2814"/>
    <w:rsid w:val="002A2B85"/>
    <w:rsid w:val="002A2BCE"/>
    <w:rsid w:val="002A323C"/>
    <w:rsid w:val="002A3260"/>
    <w:rsid w:val="002A33DB"/>
    <w:rsid w:val="002A345A"/>
    <w:rsid w:val="002A34D6"/>
    <w:rsid w:val="002A354F"/>
    <w:rsid w:val="002A36E7"/>
    <w:rsid w:val="002A3754"/>
    <w:rsid w:val="002A382B"/>
    <w:rsid w:val="002A386A"/>
    <w:rsid w:val="002A389D"/>
    <w:rsid w:val="002A38BA"/>
    <w:rsid w:val="002A38F0"/>
    <w:rsid w:val="002A3A13"/>
    <w:rsid w:val="002A3A25"/>
    <w:rsid w:val="002A3BBF"/>
    <w:rsid w:val="002A3E1A"/>
    <w:rsid w:val="002A3F5B"/>
    <w:rsid w:val="002A3FBF"/>
    <w:rsid w:val="002A4085"/>
    <w:rsid w:val="002A42D7"/>
    <w:rsid w:val="002A440F"/>
    <w:rsid w:val="002A4656"/>
    <w:rsid w:val="002A479E"/>
    <w:rsid w:val="002A47A7"/>
    <w:rsid w:val="002A47D8"/>
    <w:rsid w:val="002A482C"/>
    <w:rsid w:val="002A494C"/>
    <w:rsid w:val="002A4A02"/>
    <w:rsid w:val="002A4A08"/>
    <w:rsid w:val="002A4ACF"/>
    <w:rsid w:val="002A4AD2"/>
    <w:rsid w:val="002A4E6C"/>
    <w:rsid w:val="002A4E6E"/>
    <w:rsid w:val="002A51BE"/>
    <w:rsid w:val="002A5334"/>
    <w:rsid w:val="002A53C6"/>
    <w:rsid w:val="002A5529"/>
    <w:rsid w:val="002A5843"/>
    <w:rsid w:val="002A58AA"/>
    <w:rsid w:val="002A58F1"/>
    <w:rsid w:val="002A5936"/>
    <w:rsid w:val="002A5A93"/>
    <w:rsid w:val="002A5C00"/>
    <w:rsid w:val="002A5D35"/>
    <w:rsid w:val="002A5D77"/>
    <w:rsid w:val="002A5E2D"/>
    <w:rsid w:val="002A5E3B"/>
    <w:rsid w:val="002A5E62"/>
    <w:rsid w:val="002A5FBA"/>
    <w:rsid w:val="002A604B"/>
    <w:rsid w:val="002A6221"/>
    <w:rsid w:val="002A636B"/>
    <w:rsid w:val="002A63A1"/>
    <w:rsid w:val="002A65AA"/>
    <w:rsid w:val="002A6868"/>
    <w:rsid w:val="002A687E"/>
    <w:rsid w:val="002A6A2D"/>
    <w:rsid w:val="002A6A45"/>
    <w:rsid w:val="002A6B43"/>
    <w:rsid w:val="002A6BB3"/>
    <w:rsid w:val="002A6BBA"/>
    <w:rsid w:val="002A6BF0"/>
    <w:rsid w:val="002A6CA5"/>
    <w:rsid w:val="002A6E0E"/>
    <w:rsid w:val="002A6FFC"/>
    <w:rsid w:val="002A704F"/>
    <w:rsid w:val="002A70C6"/>
    <w:rsid w:val="002A72AA"/>
    <w:rsid w:val="002A733F"/>
    <w:rsid w:val="002A73B4"/>
    <w:rsid w:val="002A73BC"/>
    <w:rsid w:val="002A748D"/>
    <w:rsid w:val="002A74EF"/>
    <w:rsid w:val="002A7718"/>
    <w:rsid w:val="002A77E1"/>
    <w:rsid w:val="002A7A31"/>
    <w:rsid w:val="002A7CA0"/>
    <w:rsid w:val="002A7D4A"/>
    <w:rsid w:val="002A7D81"/>
    <w:rsid w:val="002A7DC8"/>
    <w:rsid w:val="002A7E14"/>
    <w:rsid w:val="002A7F27"/>
    <w:rsid w:val="002B0085"/>
    <w:rsid w:val="002B0116"/>
    <w:rsid w:val="002B01C6"/>
    <w:rsid w:val="002B0204"/>
    <w:rsid w:val="002B0235"/>
    <w:rsid w:val="002B036D"/>
    <w:rsid w:val="002B0452"/>
    <w:rsid w:val="002B048F"/>
    <w:rsid w:val="002B059A"/>
    <w:rsid w:val="002B0959"/>
    <w:rsid w:val="002B096C"/>
    <w:rsid w:val="002B0AC4"/>
    <w:rsid w:val="002B0C20"/>
    <w:rsid w:val="002B0C73"/>
    <w:rsid w:val="002B0CB8"/>
    <w:rsid w:val="002B0D7E"/>
    <w:rsid w:val="002B0DFC"/>
    <w:rsid w:val="002B0F7B"/>
    <w:rsid w:val="002B0FA9"/>
    <w:rsid w:val="002B0FDF"/>
    <w:rsid w:val="002B100C"/>
    <w:rsid w:val="002B10DB"/>
    <w:rsid w:val="002B11B2"/>
    <w:rsid w:val="002B1238"/>
    <w:rsid w:val="002B14ED"/>
    <w:rsid w:val="002B1555"/>
    <w:rsid w:val="002B1561"/>
    <w:rsid w:val="002B19DF"/>
    <w:rsid w:val="002B19E7"/>
    <w:rsid w:val="002B1C4E"/>
    <w:rsid w:val="002B1C5C"/>
    <w:rsid w:val="002B1C6E"/>
    <w:rsid w:val="002B1DAE"/>
    <w:rsid w:val="002B1E9A"/>
    <w:rsid w:val="002B1F85"/>
    <w:rsid w:val="002B2022"/>
    <w:rsid w:val="002B2155"/>
    <w:rsid w:val="002B2199"/>
    <w:rsid w:val="002B2214"/>
    <w:rsid w:val="002B22CB"/>
    <w:rsid w:val="002B23CB"/>
    <w:rsid w:val="002B23F1"/>
    <w:rsid w:val="002B2554"/>
    <w:rsid w:val="002B2587"/>
    <w:rsid w:val="002B25C2"/>
    <w:rsid w:val="002B2690"/>
    <w:rsid w:val="002B26FB"/>
    <w:rsid w:val="002B27F9"/>
    <w:rsid w:val="002B29B5"/>
    <w:rsid w:val="002B2B15"/>
    <w:rsid w:val="002B2B9D"/>
    <w:rsid w:val="002B2C91"/>
    <w:rsid w:val="002B2D0E"/>
    <w:rsid w:val="002B2D75"/>
    <w:rsid w:val="002B2D79"/>
    <w:rsid w:val="002B2FAD"/>
    <w:rsid w:val="002B303E"/>
    <w:rsid w:val="002B3180"/>
    <w:rsid w:val="002B31BD"/>
    <w:rsid w:val="002B32C6"/>
    <w:rsid w:val="002B3336"/>
    <w:rsid w:val="002B3414"/>
    <w:rsid w:val="002B3492"/>
    <w:rsid w:val="002B3682"/>
    <w:rsid w:val="002B378D"/>
    <w:rsid w:val="002B37B4"/>
    <w:rsid w:val="002B37D8"/>
    <w:rsid w:val="002B3829"/>
    <w:rsid w:val="002B3A34"/>
    <w:rsid w:val="002B3B70"/>
    <w:rsid w:val="002B3D93"/>
    <w:rsid w:val="002B3DA6"/>
    <w:rsid w:val="002B3ED1"/>
    <w:rsid w:val="002B4069"/>
    <w:rsid w:val="002B4140"/>
    <w:rsid w:val="002B435C"/>
    <w:rsid w:val="002B439E"/>
    <w:rsid w:val="002B46BB"/>
    <w:rsid w:val="002B472A"/>
    <w:rsid w:val="002B48C4"/>
    <w:rsid w:val="002B4ACD"/>
    <w:rsid w:val="002B4BE7"/>
    <w:rsid w:val="002B4D39"/>
    <w:rsid w:val="002B4DE1"/>
    <w:rsid w:val="002B4EC2"/>
    <w:rsid w:val="002B4F85"/>
    <w:rsid w:val="002B4FF2"/>
    <w:rsid w:val="002B5004"/>
    <w:rsid w:val="002B509E"/>
    <w:rsid w:val="002B5113"/>
    <w:rsid w:val="002B5189"/>
    <w:rsid w:val="002B51DE"/>
    <w:rsid w:val="002B5225"/>
    <w:rsid w:val="002B529D"/>
    <w:rsid w:val="002B52D9"/>
    <w:rsid w:val="002B53E5"/>
    <w:rsid w:val="002B577D"/>
    <w:rsid w:val="002B5967"/>
    <w:rsid w:val="002B5998"/>
    <w:rsid w:val="002B5B51"/>
    <w:rsid w:val="002B5BA5"/>
    <w:rsid w:val="002B5BA6"/>
    <w:rsid w:val="002B5CB5"/>
    <w:rsid w:val="002B5DA5"/>
    <w:rsid w:val="002B5E9E"/>
    <w:rsid w:val="002B5EB1"/>
    <w:rsid w:val="002B5ED5"/>
    <w:rsid w:val="002B5F8F"/>
    <w:rsid w:val="002B605D"/>
    <w:rsid w:val="002B625A"/>
    <w:rsid w:val="002B62F8"/>
    <w:rsid w:val="002B635F"/>
    <w:rsid w:val="002B6401"/>
    <w:rsid w:val="002B642F"/>
    <w:rsid w:val="002B6634"/>
    <w:rsid w:val="002B6790"/>
    <w:rsid w:val="002B67EE"/>
    <w:rsid w:val="002B6906"/>
    <w:rsid w:val="002B69BC"/>
    <w:rsid w:val="002B6DED"/>
    <w:rsid w:val="002B6E79"/>
    <w:rsid w:val="002B6EE4"/>
    <w:rsid w:val="002B6FAE"/>
    <w:rsid w:val="002B726A"/>
    <w:rsid w:val="002B75E5"/>
    <w:rsid w:val="002B760D"/>
    <w:rsid w:val="002B779F"/>
    <w:rsid w:val="002B7873"/>
    <w:rsid w:val="002B788A"/>
    <w:rsid w:val="002B78FB"/>
    <w:rsid w:val="002B790E"/>
    <w:rsid w:val="002B7AD4"/>
    <w:rsid w:val="002B7BB5"/>
    <w:rsid w:val="002B7C41"/>
    <w:rsid w:val="002B7C42"/>
    <w:rsid w:val="002B7D17"/>
    <w:rsid w:val="002B7F59"/>
    <w:rsid w:val="002C022A"/>
    <w:rsid w:val="002C023E"/>
    <w:rsid w:val="002C0244"/>
    <w:rsid w:val="002C06ED"/>
    <w:rsid w:val="002C0893"/>
    <w:rsid w:val="002C0B66"/>
    <w:rsid w:val="002C0B93"/>
    <w:rsid w:val="002C0C57"/>
    <w:rsid w:val="002C0C62"/>
    <w:rsid w:val="002C0D8A"/>
    <w:rsid w:val="002C0D8F"/>
    <w:rsid w:val="002C0DEC"/>
    <w:rsid w:val="002C0ED2"/>
    <w:rsid w:val="002C110F"/>
    <w:rsid w:val="002C11AD"/>
    <w:rsid w:val="002C11DA"/>
    <w:rsid w:val="002C11E4"/>
    <w:rsid w:val="002C11EC"/>
    <w:rsid w:val="002C123B"/>
    <w:rsid w:val="002C124B"/>
    <w:rsid w:val="002C1515"/>
    <w:rsid w:val="002C1602"/>
    <w:rsid w:val="002C176D"/>
    <w:rsid w:val="002C1914"/>
    <w:rsid w:val="002C1935"/>
    <w:rsid w:val="002C1A87"/>
    <w:rsid w:val="002C1ABE"/>
    <w:rsid w:val="002C1BB2"/>
    <w:rsid w:val="002C1F49"/>
    <w:rsid w:val="002C1F72"/>
    <w:rsid w:val="002C1F9E"/>
    <w:rsid w:val="002C2029"/>
    <w:rsid w:val="002C2176"/>
    <w:rsid w:val="002C21AF"/>
    <w:rsid w:val="002C2258"/>
    <w:rsid w:val="002C22D8"/>
    <w:rsid w:val="002C22EF"/>
    <w:rsid w:val="002C23D2"/>
    <w:rsid w:val="002C2700"/>
    <w:rsid w:val="002C2803"/>
    <w:rsid w:val="002C2A3D"/>
    <w:rsid w:val="002C2B47"/>
    <w:rsid w:val="002C2B7E"/>
    <w:rsid w:val="002C2BD3"/>
    <w:rsid w:val="002C2CEB"/>
    <w:rsid w:val="002C2D11"/>
    <w:rsid w:val="002C2DEE"/>
    <w:rsid w:val="002C3262"/>
    <w:rsid w:val="002C3484"/>
    <w:rsid w:val="002C350E"/>
    <w:rsid w:val="002C370C"/>
    <w:rsid w:val="002C37CE"/>
    <w:rsid w:val="002C37D0"/>
    <w:rsid w:val="002C39FA"/>
    <w:rsid w:val="002C3C10"/>
    <w:rsid w:val="002C3D88"/>
    <w:rsid w:val="002C3E3D"/>
    <w:rsid w:val="002C3EBA"/>
    <w:rsid w:val="002C3EEB"/>
    <w:rsid w:val="002C3F8F"/>
    <w:rsid w:val="002C401B"/>
    <w:rsid w:val="002C42D7"/>
    <w:rsid w:val="002C432F"/>
    <w:rsid w:val="002C4637"/>
    <w:rsid w:val="002C4DAF"/>
    <w:rsid w:val="002C4E2E"/>
    <w:rsid w:val="002C4E8A"/>
    <w:rsid w:val="002C4EFC"/>
    <w:rsid w:val="002C5046"/>
    <w:rsid w:val="002C51B1"/>
    <w:rsid w:val="002C5264"/>
    <w:rsid w:val="002C52F8"/>
    <w:rsid w:val="002C5315"/>
    <w:rsid w:val="002C5378"/>
    <w:rsid w:val="002C5433"/>
    <w:rsid w:val="002C550C"/>
    <w:rsid w:val="002C562B"/>
    <w:rsid w:val="002C5690"/>
    <w:rsid w:val="002C56A1"/>
    <w:rsid w:val="002C56B8"/>
    <w:rsid w:val="002C56E3"/>
    <w:rsid w:val="002C583A"/>
    <w:rsid w:val="002C598A"/>
    <w:rsid w:val="002C5CB3"/>
    <w:rsid w:val="002C5DDD"/>
    <w:rsid w:val="002C5E1A"/>
    <w:rsid w:val="002C5F3D"/>
    <w:rsid w:val="002C5FF6"/>
    <w:rsid w:val="002C60B8"/>
    <w:rsid w:val="002C60D7"/>
    <w:rsid w:val="002C634E"/>
    <w:rsid w:val="002C6395"/>
    <w:rsid w:val="002C6417"/>
    <w:rsid w:val="002C658C"/>
    <w:rsid w:val="002C65D7"/>
    <w:rsid w:val="002C6615"/>
    <w:rsid w:val="002C6660"/>
    <w:rsid w:val="002C6677"/>
    <w:rsid w:val="002C6690"/>
    <w:rsid w:val="002C66C3"/>
    <w:rsid w:val="002C670F"/>
    <w:rsid w:val="002C671F"/>
    <w:rsid w:val="002C682B"/>
    <w:rsid w:val="002C6A08"/>
    <w:rsid w:val="002C6B67"/>
    <w:rsid w:val="002C6C47"/>
    <w:rsid w:val="002C6E71"/>
    <w:rsid w:val="002C6E83"/>
    <w:rsid w:val="002C6EF6"/>
    <w:rsid w:val="002C6F33"/>
    <w:rsid w:val="002C6F49"/>
    <w:rsid w:val="002C70E6"/>
    <w:rsid w:val="002C71E4"/>
    <w:rsid w:val="002C7291"/>
    <w:rsid w:val="002C7378"/>
    <w:rsid w:val="002C743B"/>
    <w:rsid w:val="002C75BE"/>
    <w:rsid w:val="002C75DE"/>
    <w:rsid w:val="002C763E"/>
    <w:rsid w:val="002C769C"/>
    <w:rsid w:val="002C77BF"/>
    <w:rsid w:val="002C7A23"/>
    <w:rsid w:val="002C7BEE"/>
    <w:rsid w:val="002C7C12"/>
    <w:rsid w:val="002C7C79"/>
    <w:rsid w:val="002C7D3A"/>
    <w:rsid w:val="002C7DB1"/>
    <w:rsid w:val="002C7E5A"/>
    <w:rsid w:val="002C7E70"/>
    <w:rsid w:val="002C7ECD"/>
    <w:rsid w:val="002C7F29"/>
    <w:rsid w:val="002D00F5"/>
    <w:rsid w:val="002D01D6"/>
    <w:rsid w:val="002D02E6"/>
    <w:rsid w:val="002D03E1"/>
    <w:rsid w:val="002D0404"/>
    <w:rsid w:val="002D0446"/>
    <w:rsid w:val="002D0475"/>
    <w:rsid w:val="002D05CA"/>
    <w:rsid w:val="002D08C8"/>
    <w:rsid w:val="002D0A09"/>
    <w:rsid w:val="002D0A6F"/>
    <w:rsid w:val="002D0BC3"/>
    <w:rsid w:val="002D0CC4"/>
    <w:rsid w:val="002D0D59"/>
    <w:rsid w:val="002D0E20"/>
    <w:rsid w:val="002D0ECE"/>
    <w:rsid w:val="002D0F94"/>
    <w:rsid w:val="002D0FBC"/>
    <w:rsid w:val="002D11A5"/>
    <w:rsid w:val="002D11D4"/>
    <w:rsid w:val="002D1444"/>
    <w:rsid w:val="002D16A3"/>
    <w:rsid w:val="002D1733"/>
    <w:rsid w:val="002D17B4"/>
    <w:rsid w:val="002D17E0"/>
    <w:rsid w:val="002D186E"/>
    <w:rsid w:val="002D1893"/>
    <w:rsid w:val="002D18C7"/>
    <w:rsid w:val="002D18FB"/>
    <w:rsid w:val="002D1982"/>
    <w:rsid w:val="002D19DB"/>
    <w:rsid w:val="002D1A56"/>
    <w:rsid w:val="002D1C4D"/>
    <w:rsid w:val="002D1D3F"/>
    <w:rsid w:val="002D1F3B"/>
    <w:rsid w:val="002D1FA8"/>
    <w:rsid w:val="002D1FB2"/>
    <w:rsid w:val="002D209A"/>
    <w:rsid w:val="002D21A4"/>
    <w:rsid w:val="002D21B8"/>
    <w:rsid w:val="002D224C"/>
    <w:rsid w:val="002D224D"/>
    <w:rsid w:val="002D2297"/>
    <w:rsid w:val="002D22FC"/>
    <w:rsid w:val="002D2453"/>
    <w:rsid w:val="002D24DE"/>
    <w:rsid w:val="002D259E"/>
    <w:rsid w:val="002D268F"/>
    <w:rsid w:val="002D26C1"/>
    <w:rsid w:val="002D27B6"/>
    <w:rsid w:val="002D2823"/>
    <w:rsid w:val="002D2937"/>
    <w:rsid w:val="002D2B49"/>
    <w:rsid w:val="002D2C8E"/>
    <w:rsid w:val="002D2CBF"/>
    <w:rsid w:val="002D2E3A"/>
    <w:rsid w:val="002D2FB5"/>
    <w:rsid w:val="002D30FD"/>
    <w:rsid w:val="002D312D"/>
    <w:rsid w:val="002D3305"/>
    <w:rsid w:val="002D33AF"/>
    <w:rsid w:val="002D3692"/>
    <w:rsid w:val="002D38B3"/>
    <w:rsid w:val="002D390A"/>
    <w:rsid w:val="002D3A3D"/>
    <w:rsid w:val="002D3B14"/>
    <w:rsid w:val="002D3B56"/>
    <w:rsid w:val="002D3CEB"/>
    <w:rsid w:val="002D3E00"/>
    <w:rsid w:val="002D3F13"/>
    <w:rsid w:val="002D3F79"/>
    <w:rsid w:val="002D416F"/>
    <w:rsid w:val="002D4389"/>
    <w:rsid w:val="002D4397"/>
    <w:rsid w:val="002D4751"/>
    <w:rsid w:val="002D47FE"/>
    <w:rsid w:val="002D4855"/>
    <w:rsid w:val="002D48B7"/>
    <w:rsid w:val="002D48B8"/>
    <w:rsid w:val="002D4939"/>
    <w:rsid w:val="002D4972"/>
    <w:rsid w:val="002D49D8"/>
    <w:rsid w:val="002D4A19"/>
    <w:rsid w:val="002D4A5C"/>
    <w:rsid w:val="002D4B20"/>
    <w:rsid w:val="002D4BB1"/>
    <w:rsid w:val="002D4DA6"/>
    <w:rsid w:val="002D4DB1"/>
    <w:rsid w:val="002D4FA8"/>
    <w:rsid w:val="002D525C"/>
    <w:rsid w:val="002D52DF"/>
    <w:rsid w:val="002D52ED"/>
    <w:rsid w:val="002D5309"/>
    <w:rsid w:val="002D533A"/>
    <w:rsid w:val="002D5731"/>
    <w:rsid w:val="002D5795"/>
    <w:rsid w:val="002D5845"/>
    <w:rsid w:val="002D58BC"/>
    <w:rsid w:val="002D5BF8"/>
    <w:rsid w:val="002D5CB0"/>
    <w:rsid w:val="002D5D87"/>
    <w:rsid w:val="002D5E23"/>
    <w:rsid w:val="002D628F"/>
    <w:rsid w:val="002D6319"/>
    <w:rsid w:val="002D638C"/>
    <w:rsid w:val="002D658F"/>
    <w:rsid w:val="002D6968"/>
    <w:rsid w:val="002D69B0"/>
    <w:rsid w:val="002D69FD"/>
    <w:rsid w:val="002D6A14"/>
    <w:rsid w:val="002D6A80"/>
    <w:rsid w:val="002D6C40"/>
    <w:rsid w:val="002D6C4F"/>
    <w:rsid w:val="002D6CB1"/>
    <w:rsid w:val="002D6D9A"/>
    <w:rsid w:val="002D6EC8"/>
    <w:rsid w:val="002D6F04"/>
    <w:rsid w:val="002D6FE1"/>
    <w:rsid w:val="002D7052"/>
    <w:rsid w:val="002D715E"/>
    <w:rsid w:val="002D7194"/>
    <w:rsid w:val="002D7406"/>
    <w:rsid w:val="002D75C1"/>
    <w:rsid w:val="002D7969"/>
    <w:rsid w:val="002D7A7A"/>
    <w:rsid w:val="002D7C73"/>
    <w:rsid w:val="002D7CCB"/>
    <w:rsid w:val="002D7D7E"/>
    <w:rsid w:val="002D7DD4"/>
    <w:rsid w:val="002D7E61"/>
    <w:rsid w:val="002D7FB2"/>
    <w:rsid w:val="002D7FF0"/>
    <w:rsid w:val="002E041C"/>
    <w:rsid w:val="002E046C"/>
    <w:rsid w:val="002E0488"/>
    <w:rsid w:val="002E0492"/>
    <w:rsid w:val="002E054B"/>
    <w:rsid w:val="002E057B"/>
    <w:rsid w:val="002E0668"/>
    <w:rsid w:val="002E088F"/>
    <w:rsid w:val="002E08D7"/>
    <w:rsid w:val="002E0B71"/>
    <w:rsid w:val="002E0CCF"/>
    <w:rsid w:val="002E0D2D"/>
    <w:rsid w:val="002E0D88"/>
    <w:rsid w:val="002E0DB2"/>
    <w:rsid w:val="002E0E79"/>
    <w:rsid w:val="002E1044"/>
    <w:rsid w:val="002E1060"/>
    <w:rsid w:val="002E1066"/>
    <w:rsid w:val="002E1324"/>
    <w:rsid w:val="002E15E4"/>
    <w:rsid w:val="002E15F9"/>
    <w:rsid w:val="002E1652"/>
    <w:rsid w:val="002E1918"/>
    <w:rsid w:val="002E1A2D"/>
    <w:rsid w:val="002E1A9C"/>
    <w:rsid w:val="002E1B22"/>
    <w:rsid w:val="002E1B85"/>
    <w:rsid w:val="002E1E14"/>
    <w:rsid w:val="002E1E52"/>
    <w:rsid w:val="002E1EBF"/>
    <w:rsid w:val="002E1FB6"/>
    <w:rsid w:val="002E2007"/>
    <w:rsid w:val="002E206B"/>
    <w:rsid w:val="002E22C4"/>
    <w:rsid w:val="002E234C"/>
    <w:rsid w:val="002E23A0"/>
    <w:rsid w:val="002E24F4"/>
    <w:rsid w:val="002E2677"/>
    <w:rsid w:val="002E268E"/>
    <w:rsid w:val="002E2894"/>
    <w:rsid w:val="002E29B2"/>
    <w:rsid w:val="002E2BD1"/>
    <w:rsid w:val="002E2C07"/>
    <w:rsid w:val="002E2C0E"/>
    <w:rsid w:val="002E2C1F"/>
    <w:rsid w:val="002E2C63"/>
    <w:rsid w:val="002E2EC4"/>
    <w:rsid w:val="002E3062"/>
    <w:rsid w:val="002E306B"/>
    <w:rsid w:val="002E323F"/>
    <w:rsid w:val="002E339A"/>
    <w:rsid w:val="002E33D6"/>
    <w:rsid w:val="002E36DA"/>
    <w:rsid w:val="002E380A"/>
    <w:rsid w:val="002E3E29"/>
    <w:rsid w:val="002E3E48"/>
    <w:rsid w:val="002E3EAC"/>
    <w:rsid w:val="002E3ED2"/>
    <w:rsid w:val="002E3EE3"/>
    <w:rsid w:val="002E407E"/>
    <w:rsid w:val="002E42DA"/>
    <w:rsid w:val="002E44AB"/>
    <w:rsid w:val="002E454C"/>
    <w:rsid w:val="002E4676"/>
    <w:rsid w:val="002E4796"/>
    <w:rsid w:val="002E47DB"/>
    <w:rsid w:val="002E481E"/>
    <w:rsid w:val="002E4B7E"/>
    <w:rsid w:val="002E4D1B"/>
    <w:rsid w:val="002E4D8B"/>
    <w:rsid w:val="002E5152"/>
    <w:rsid w:val="002E51CD"/>
    <w:rsid w:val="002E543D"/>
    <w:rsid w:val="002E5658"/>
    <w:rsid w:val="002E569F"/>
    <w:rsid w:val="002E577D"/>
    <w:rsid w:val="002E588C"/>
    <w:rsid w:val="002E58E3"/>
    <w:rsid w:val="002E59A1"/>
    <w:rsid w:val="002E59ED"/>
    <w:rsid w:val="002E59FE"/>
    <w:rsid w:val="002E5AB3"/>
    <w:rsid w:val="002E5B8B"/>
    <w:rsid w:val="002E5BF4"/>
    <w:rsid w:val="002E5BFA"/>
    <w:rsid w:val="002E6015"/>
    <w:rsid w:val="002E61EC"/>
    <w:rsid w:val="002E63AB"/>
    <w:rsid w:val="002E63E8"/>
    <w:rsid w:val="002E6435"/>
    <w:rsid w:val="002E65A0"/>
    <w:rsid w:val="002E6676"/>
    <w:rsid w:val="002E66C5"/>
    <w:rsid w:val="002E6AA3"/>
    <w:rsid w:val="002E6B6C"/>
    <w:rsid w:val="002E6B80"/>
    <w:rsid w:val="002E6C86"/>
    <w:rsid w:val="002E6CD3"/>
    <w:rsid w:val="002E6CD4"/>
    <w:rsid w:val="002E6DCA"/>
    <w:rsid w:val="002E6FC4"/>
    <w:rsid w:val="002E72C5"/>
    <w:rsid w:val="002E735F"/>
    <w:rsid w:val="002E73B0"/>
    <w:rsid w:val="002E7431"/>
    <w:rsid w:val="002E756D"/>
    <w:rsid w:val="002E758E"/>
    <w:rsid w:val="002E7684"/>
    <w:rsid w:val="002E77DE"/>
    <w:rsid w:val="002E7978"/>
    <w:rsid w:val="002E7A56"/>
    <w:rsid w:val="002E7AF1"/>
    <w:rsid w:val="002E7B70"/>
    <w:rsid w:val="002E7C46"/>
    <w:rsid w:val="002E7C77"/>
    <w:rsid w:val="002E7CE2"/>
    <w:rsid w:val="002E7E66"/>
    <w:rsid w:val="002F015F"/>
    <w:rsid w:val="002F02B9"/>
    <w:rsid w:val="002F03E2"/>
    <w:rsid w:val="002F0533"/>
    <w:rsid w:val="002F0562"/>
    <w:rsid w:val="002F0574"/>
    <w:rsid w:val="002F0724"/>
    <w:rsid w:val="002F08AD"/>
    <w:rsid w:val="002F0A11"/>
    <w:rsid w:val="002F0A4A"/>
    <w:rsid w:val="002F0BF6"/>
    <w:rsid w:val="002F0C87"/>
    <w:rsid w:val="002F0CB2"/>
    <w:rsid w:val="002F0CD4"/>
    <w:rsid w:val="002F0CE6"/>
    <w:rsid w:val="002F0E88"/>
    <w:rsid w:val="002F0FA8"/>
    <w:rsid w:val="002F0FB1"/>
    <w:rsid w:val="002F104A"/>
    <w:rsid w:val="002F105D"/>
    <w:rsid w:val="002F1169"/>
    <w:rsid w:val="002F120B"/>
    <w:rsid w:val="002F126C"/>
    <w:rsid w:val="002F1295"/>
    <w:rsid w:val="002F141E"/>
    <w:rsid w:val="002F1644"/>
    <w:rsid w:val="002F186C"/>
    <w:rsid w:val="002F1974"/>
    <w:rsid w:val="002F19F7"/>
    <w:rsid w:val="002F1AB2"/>
    <w:rsid w:val="002F1B96"/>
    <w:rsid w:val="002F1CCF"/>
    <w:rsid w:val="002F1D1F"/>
    <w:rsid w:val="002F1E52"/>
    <w:rsid w:val="002F1E9E"/>
    <w:rsid w:val="002F1EA2"/>
    <w:rsid w:val="002F1EFC"/>
    <w:rsid w:val="002F1F7B"/>
    <w:rsid w:val="002F1FBA"/>
    <w:rsid w:val="002F20E8"/>
    <w:rsid w:val="002F212D"/>
    <w:rsid w:val="002F2148"/>
    <w:rsid w:val="002F2215"/>
    <w:rsid w:val="002F228D"/>
    <w:rsid w:val="002F231C"/>
    <w:rsid w:val="002F23A3"/>
    <w:rsid w:val="002F2695"/>
    <w:rsid w:val="002F26A5"/>
    <w:rsid w:val="002F28E2"/>
    <w:rsid w:val="002F298E"/>
    <w:rsid w:val="002F2B42"/>
    <w:rsid w:val="002F2B7D"/>
    <w:rsid w:val="002F2BA2"/>
    <w:rsid w:val="002F2BAD"/>
    <w:rsid w:val="002F2BC6"/>
    <w:rsid w:val="002F2C50"/>
    <w:rsid w:val="002F2C66"/>
    <w:rsid w:val="002F2D0C"/>
    <w:rsid w:val="002F2D6A"/>
    <w:rsid w:val="002F2F2D"/>
    <w:rsid w:val="002F2F3D"/>
    <w:rsid w:val="002F3053"/>
    <w:rsid w:val="002F31BA"/>
    <w:rsid w:val="002F3248"/>
    <w:rsid w:val="002F3249"/>
    <w:rsid w:val="002F32F6"/>
    <w:rsid w:val="002F36BE"/>
    <w:rsid w:val="002F372F"/>
    <w:rsid w:val="002F3840"/>
    <w:rsid w:val="002F384D"/>
    <w:rsid w:val="002F3914"/>
    <w:rsid w:val="002F3935"/>
    <w:rsid w:val="002F39FE"/>
    <w:rsid w:val="002F3AB1"/>
    <w:rsid w:val="002F3D14"/>
    <w:rsid w:val="002F3E44"/>
    <w:rsid w:val="002F3E45"/>
    <w:rsid w:val="002F3E8F"/>
    <w:rsid w:val="002F3FCA"/>
    <w:rsid w:val="002F3FD4"/>
    <w:rsid w:val="002F4016"/>
    <w:rsid w:val="002F4056"/>
    <w:rsid w:val="002F413E"/>
    <w:rsid w:val="002F4164"/>
    <w:rsid w:val="002F416A"/>
    <w:rsid w:val="002F41CD"/>
    <w:rsid w:val="002F42E2"/>
    <w:rsid w:val="002F42FE"/>
    <w:rsid w:val="002F4333"/>
    <w:rsid w:val="002F4335"/>
    <w:rsid w:val="002F444A"/>
    <w:rsid w:val="002F453C"/>
    <w:rsid w:val="002F47DC"/>
    <w:rsid w:val="002F4803"/>
    <w:rsid w:val="002F483E"/>
    <w:rsid w:val="002F48CE"/>
    <w:rsid w:val="002F4960"/>
    <w:rsid w:val="002F4A7B"/>
    <w:rsid w:val="002F4C26"/>
    <w:rsid w:val="002F4C2D"/>
    <w:rsid w:val="002F4CAA"/>
    <w:rsid w:val="002F4CC0"/>
    <w:rsid w:val="002F4E39"/>
    <w:rsid w:val="002F4EE8"/>
    <w:rsid w:val="002F4FFC"/>
    <w:rsid w:val="002F5075"/>
    <w:rsid w:val="002F518F"/>
    <w:rsid w:val="002F5293"/>
    <w:rsid w:val="002F53C7"/>
    <w:rsid w:val="002F5430"/>
    <w:rsid w:val="002F54DB"/>
    <w:rsid w:val="002F54EE"/>
    <w:rsid w:val="002F55D1"/>
    <w:rsid w:val="002F56D1"/>
    <w:rsid w:val="002F586A"/>
    <w:rsid w:val="002F59CB"/>
    <w:rsid w:val="002F59EB"/>
    <w:rsid w:val="002F5A6E"/>
    <w:rsid w:val="002F5ED1"/>
    <w:rsid w:val="002F5F05"/>
    <w:rsid w:val="002F5F5F"/>
    <w:rsid w:val="002F6161"/>
    <w:rsid w:val="002F617F"/>
    <w:rsid w:val="002F62AD"/>
    <w:rsid w:val="002F6460"/>
    <w:rsid w:val="002F64A3"/>
    <w:rsid w:val="002F65B7"/>
    <w:rsid w:val="002F65F5"/>
    <w:rsid w:val="002F677A"/>
    <w:rsid w:val="002F68CE"/>
    <w:rsid w:val="002F68E6"/>
    <w:rsid w:val="002F6CDB"/>
    <w:rsid w:val="002F6DE6"/>
    <w:rsid w:val="002F6ED9"/>
    <w:rsid w:val="002F6FE1"/>
    <w:rsid w:val="002F725B"/>
    <w:rsid w:val="002F7315"/>
    <w:rsid w:val="002F734D"/>
    <w:rsid w:val="002F7370"/>
    <w:rsid w:val="002F74B7"/>
    <w:rsid w:val="002F74F3"/>
    <w:rsid w:val="002F767E"/>
    <w:rsid w:val="002F774D"/>
    <w:rsid w:val="002F777A"/>
    <w:rsid w:val="002F798F"/>
    <w:rsid w:val="002F7B47"/>
    <w:rsid w:val="002F7B92"/>
    <w:rsid w:val="002F7BE2"/>
    <w:rsid w:val="002F7DCB"/>
    <w:rsid w:val="002F7DCF"/>
    <w:rsid w:val="002F7E7B"/>
    <w:rsid w:val="002F7F81"/>
    <w:rsid w:val="00300109"/>
    <w:rsid w:val="00300193"/>
    <w:rsid w:val="003003FF"/>
    <w:rsid w:val="003005CA"/>
    <w:rsid w:val="003005D4"/>
    <w:rsid w:val="00300687"/>
    <w:rsid w:val="00300797"/>
    <w:rsid w:val="00300A64"/>
    <w:rsid w:val="00300AA5"/>
    <w:rsid w:val="00300AD5"/>
    <w:rsid w:val="00300B74"/>
    <w:rsid w:val="00300BB0"/>
    <w:rsid w:val="00300DD2"/>
    <w:rsid w:val="00300F04"/>
    <w:rsid w:val="00300F15"/>
    <w:rsid w:val="00300F50"/>
    <w:rsid w:val="0030113F"/>
    <w:rsid w:val="00301144"/>
    <w:rsid w:val="00301173"/>
    <w:rsid w:val="0030128D"/>
    <w:rsid w:val="003012AE"/>
    <w:rsid w:val="00301393"/>
    <w:rsid w:val="003013AD"/>
    <w:rsid w:val="0030142D"/>
    <w:rsid w:val="003016DA"/>
    <w:rsid w:val="00301755"/>
    <w:rsid w:val="003017D7"/>
    <w:rsid w:val="003018BD"/>
    <w:rsid w:val="003018F0"/>
    <w:rsid w:val="00301973"/>
    <w:rsid w:val="00301ACA"/>
    <w:rsid w:val="00301BB2"/>
    <w:rsid w:val="00301C86"/>
    <w:rsid w:val="00301D6F"/>
    <w:rsid w:val="00301E5A"/>
    <w:rsid w:val="00301E98"/>
    <w:rsid w:val="00301F2C"/>
    <w:rsid w:val="00301F70"/>
    <w:rsid w:val="00301FB6"/>
    <w:rsid w:val="003020E3"/>
    <w:rsid w:val="00302179"/>
    <w:rsid w:val="0030233B"/>
    <w:rsid w:val="003023AB"/>
    <w:rsid w:val="00302672"/>
    <w:rsid w:val="003026BD"/>
    <w:rsid w:val="003026DE"/>
    <w:rsid w:val="0030270B"/>
    <w:rsid w:val="00302820"/>
    <w:rsid w:val="00302938"/>
    <w:rsid w:val="003029BD"/>
    <w:rsid w:val="00302AB8"/>
    <w:rsid w:val="00302C39"/>
    <w:rsid w:val="00302C67"/>
    <w:rsid w:val="00302D76"/>
    <w:rsid w:val="00302DC4"/>
    <w:rsid w:val="00303126"/>
    <w:rsid w:val="0030315D"/>
    <w:rsid w:val="0030344E"/>
    <w:rsid w:val="00303551"/>
    <w:rsid w:val="0030355A"/>
    <w:rsid w:val="0030357A"/>
    <w:rsid w:val="003035CC"/>
    <w:rsid w:val="00303650"/>
    <w:rsid w:val="0030371A"/>
    <w:rsid w:val="00303790"/>
    <w:rsid w:val="00303828"/>
    <w:rsid w:val="0030383D"/>
    <w:rsid w:val="00303941"/>
    <w:rsid w:val="003039FC"/>
    <w:rsid w:val="00303ACA"/>
    <w:rsid w:val="00303BCC"/>
    <w:rsid w:val="00303D07"/>
    <w:rsid w:val="00303E2E"/>
    <w:rsid w:val="00303EB0"/>
    <w:rsid w:val="00303EDA"/>
    <w:rsid w:val="00304078"/>
    <w:rsid w:val="00304249"/>
    <w:rsid w:val="003042C6"/>
    <w:rsid w:val="003043B5"/>
    <w:rsid w:val="00304455"/>
    <w:rsid w:val="00304501"/>
    <w:rsid w:val="00304502"/>
    <w:rsid w:val="0030472C"/>
    <w:rsid w:val="00304904"/>
    <w:rsid w:val="0030491A"/>
    <w:rsid w:val="003049F5"/>
    <w:rsid w:val="00304A5B"/>
    <w:rsid w:val="00304B45"/>
    <w:rsid w:val="00304BDA"/>
    <w:rsid w:val="00304CF3"/>
    <w:rsid w:val="00304DBF"/>
    <w:rsid w:val="00304E18"/>
    <w:rsid w:val="00304E4B"/>
    <w:rsid w:val="00304E63"/>
    <w:rsid w:val="00304F21"/>
    <w:rsid w:val="00304FA6"/>
    <w:rsid w:val="00304FC6"/>
    <w:rsid w:val="003052E7"/>
    <w:rsid w:val="00305332"/>
    <w:rsid w:val="0030539B"/>
    <w:rsid w:val="003053A9"/>
    <w:rsid w:val="0030553E"/>
    <w:rsid w:val="003055B7"/>
    <w:rsid w:val="00305631"/>
    <w:rsid w:val="00305653"/>
    <w:rsid w:val="003056D3"/>
    <w:rsid w:val="00305702"/>
    <w:rsid w:val="003057B6"/>
    <w:rsid w:val="00305833"/>
    <w:rsid w:val="003058CC"/>
    <w:rsid w:val="003059D3"/>
    <w:rsid w:val="00305C0A"/>
    <w:rsid w:val="00305C0B"/>
    <w:rsid w:val="00305DB7"/>
    <w:rsid w:val="003060D6"/>
    <w:rsid w:val="00306119"/>
    <w:rsid w:val="0030633D"/>
    <w:rsid w:val="0030637E"/>
    <w:rsid w:val="003064B2"/>
    <w:rsid w:val="00306609"/>
    <w:rsid w:val="00306633"/>
    <w:rsid w:val="0030665E"/>
    <w:rsid w:val="00306695"/>
    <w:rsid w:val="003066EF"/>
    <w:rsid w:val="00306743"/>
    <w:rsid w:val="00306866"/>
    <w:rsid w:val="0030686D"/>
    <w:rsid w:val="00306894"/>
    <w:rsid w:val="003069C6"/>
    <w:rsid w:val="00306A49"/>
    <w:rsid w:val="00306AC5"/>
    <w:rsid w:val="00306B1E"/>
    <w:rsid w:val="00306C52"/>
    <w:rsid w:val="00306E6A"/>
    <w:rsid w:val="00307146"/>
    <w:rsid w:val="0030720F"/>
    <w:rsid w:val="0030740D"/>
    <w:rsid w:val="003074D3"/>
    <w:rsid w:val="003074FE"/>
    <w:rsid w:val="003075E8"/>
    <w:rsid w:val="0030762B"/>
    <w:rsid w:val="00307828"/>
    <w:rsid w:val="00307AE3"/>
    <w:rsid w:val="00307B4B"/>
    <w:rsid w:val="00307B90"/>
    <w:rsid w:val="00307C0C"/>
    <w:rsid w:val="0031019C"/>
    <w:rsid w:val="003101C2"/>
    <w:rsid w:val="00310268"/>
    <w:rsid w:val="00310294"/>
    <w:rsid w:val="003102B3"/>
    <w:rsid w:val="003102C6"/>
    <w:rsid w:val="00310301"/>
    <w:rsid w:val="0031037D"/>
    <w:rsid w:val="0031039C"/>
    <w:rsid w:val="003103C8"/>
    <w:rsid w:val="003104D1"/>
    <w:rsid w:val="00310583"/>
    <w:rsid w:val="00310685"/>
    <w:rsid w:val="0031077C"/>
    <w:rsid w:val="00310837"/>
    <w:rsid w:val="003108AD"/>
    <w:rsid w:val="003109CF"/>
    <w:rsid w:val="00310A5D"/>
    <w:rsid w:val="00310AB6"/>
    <w:rsid w:val="00310AE8"/>
    <w:rsid w:val="00310AEC"/>
    <w:rsid w:val="00310B8B"/>
    <w:rsid w:val="00310B98"/>
    <w:rsid w:val="00310BE3"/>
    <w:rsid w:val="00310C2D"/>
    <w:rsid w:val="00310C67"/>
    <w:rsid w:val="00310D51"/>
    <w:rsid w:val="00310D63"/>
    <w:rsid w:val="00310DEF"/>
    <w:rsid w:val="00310E05"/>
    <w:rsid w:val="00310E08"/>
    <w:rsid w:val="00310E17"/>
    <w:rsid w:val="00310F16"/>
    <w:rsid w:val="00310F5F"/>
    <w:rsid w:val="0031103E"/>
    <w:rsid w:val="003110C2"/>
    <w:rsid w:val="00311383"/>
    <w:rsid w:val="003113AE"/>
    <w:rsid w:val="003113FA"/>
    <w:rsid w:val="003113FC"/>
    <w:rsid w:val="00311545"/>
    <w:rsid w:val="003115EF"/>
    <w:rsid w:val="0031197C"/>
    <w:rsid w:val="00311AFF"/>
    <w:rsid w:val="00311BC6"/>
    <w:rsid w:val="00311D32"/>
    <w:rsid w:val="00311D56"/>
    <w:rsid w:val="00311D6C"/>
    <w:rsid w:val="00311D9E"/>
    <w:rsid w:val="00311F01"/>
    <w:rsid w:val="00311F1D"/>
    <w:rsid w:val="00311F44"/>
    <w:rsid w:val="00312176"/>
    <w:rsid w:val="003121B5"/>
    <w:rsid w:val="00312201"/>
    <w:rsid w:val="0031226F"/>
    <w:rsid w:val="0031227F"/>
    <w:rsid w:val="003122E7"/>
    <w:rsid w:val="003122F4"/>
    <w:rsid w:val="00312336"/>
    <w:rsid w:val="003126D3"/>
    <w:rsid w:val="003127EC"/>
    <w:rsid w:val="003128BC"/>
    <w:rsid w:val="00312905"/>
    <w:rsid w:val="00312989"/>
    <w:rsid w:val="003129D2"/>
    <w:rsid w:val="00312B65"/>
    <w:rsid w:val="00312CE7"/>
    <w:rsid w:val="00312DD1"/>
    <w:rsid w:val="00312F27"/>
    <w:rsid w:val="00312F47"/>
    <w:rsid w:val="00312FD7"/>
    <w:rsid w:val="003130AA"/>
    <w:rsid w:val="00313145"/>
    <w:rsid w:val="003131D1"/>
    <w:rsid w:val="003134A5"/>
    <w:rsid w:val="003134F3"/>
    <w:rsid w:val="003135A1"/>
    <w:rsid w:val="00313797"/>
    <w:rsid w:val="003137C4"/>
    <w:rsid w:val="00313917"/>
    <w:rsid w:val="00313A1D"/>
    <w:rsid w:val="00313A44"/>
    <w:rsid w:val="00313BFC"/>
    <w:rsid w:val="00313C05"/>
    <w:rsid w:val="00313C65"/>
    <w:rsid w:val="00313EE2"/>
    <w:rsid w:val="00313EF3"/>
    <w:rsid w:val="00313EF7"/>
    <w:rsid w:val="00313F84"/>
    <w:rsid w:val="00313FFB"/>
    <w:rsid w:val="00314217"/>
    <w:rsid w:val="0031432B"/>
    <w:rsid w:val="0031458B"/>
    <w:rsid w:val="00314705"/>
    <w:rsid w:val="00314810"/>
    <w:rsid w:val="00314856"/>
    <w:rsid w:val="003149A7"/>
    <w:rsid w:val="00314A8E"/>
    <w:rsid w:val="00314CBF"/>
    <w:rsid w:val="00314D0B"/>
    <w:rsid w:val="00314E5A"/>
    <w:rsid w:val="00314E92"/>
    <w:rsid w:val="00314FA5"/>
    <w:rsid w:val="00315003"/>
    <w:rsid w:val="0031505C"/>
    <w:rsid w:val="00315090"/>
    <w:rsid w:val="003150F1"/>
    <w:rsid w:val="003152CB"/>
    <w:rsid w:val="00315306"/>
    <w:rsid w:val="00315450"/>
    <w:rsid w:val="003154D7"/>
    <w:rsid w:val="00315532"/>
    <w:rsid w:val="00315553"/>
    <w:rsid w:val="00315841"/>
    <w:rsid w:val="00315958"/>
    <w:rsid w:val="00315AE2"/>
    <w:rsid w:val="00315E37"/>
    <w:rsid w:val="00315E94"/>
    <w:rsid w:val="0031610C"/>
    <w:rsid w:val="0031617F"/>
    <w:rsid w:val="00316247"/>
    <w:rsid w:val="00316490"/>
    <w:rsid w:val="0031651C"/>
    <w:rsid w:val="0031654B"/>
    <w:rsid w:val="003165CD"/>
    <w:rsid w:val="0031670F"/>
    <w:rsid w:val="00316738"/>
    <w:rsid w:val="0031695C"/>
    <w:rsid w:val="00316965"/>
    <w:rsid w:val="003169FA"/>
    <w:rsid w:val="00316A38"/>
    <w:rsid w:val="00316D00"/>
    <w:rsid w:val="00316F08"/>
    <w:rsid w:val="00316F2D"/>
    <w:rsid w:val="00317220"/>
    <w:rsid w:val="0031722F"/>
    <w:rsid w:val="003175E2"/>
    <w:rsid w:val="00317696"/>
    <w:rsid w:val="0031769E"/>
    <w:rsid w:val="00317954"/>
    <w:rsid w:val="0031797F"/>
    <w:rsid w:val="003179F1"/>
    <w:rsid w:val="00317CF7"/>
    <w:rsid w:val="00317DAF"/>
    <w:rsid w:val="00317E0E"/>
    <w:rsid w:val="00317E2E"/>
    <w:rsid w:val="00320057"/>
    <w:rsid w:val="003200DC"/>
    <w:rsid w:val="003200F4"/>
    <w:rsid w:val="00320259"/>
    <w:rsid w:val="003202BF"/>
    <w:rsid w:val="0032047C"/>
    <w:rsid w:val="003206DF"/>
    <w:rsid w:val="00320774"/>
    <w:rsid w:val="0032078E"/>
    <w:rsid w:val="00320988"/>
    <w:rsid w:val="00320A4F"/>
    <w:rsid w:val="00320ADD"/>
    <w:rsid w:val="00320EAE"/>
    <w:rsid w:val="00320F2A"/>
    <w:rsid w:val="00320F3E"/>
    <w:rsid w:val="00320FBC"/>
    <w:rsid w:val="003210F6"/>
    <w:rsid w:val="00321149"/>
    <w:rsid w:val="00321151"/>
    <w:rsid w:val="00321274"/>
    <w:rsid w:val="0032132E"/>
    <w:rsid w:val="00321370"/>
    <w:rsid w:val="003213A4"/>
    <w:rsid w:val="0032142D"/>
    <w:rsid w:val="00321575"/>
    <w:rsid w:val="00321A64"/>
    <w:rsid w:val="00321C4E"/>
    <w:rsid w:val="00321C4F"/>
    <w:rsid w:val="00321D37"/>
    <w:rsid w:val="00321E83"/>
    <w:rsid w:val="00321F2C"/>
    <w:rsid w:val="00321FF3"/>
    <w:rsid w:val="00322155"/>
    <w:rsid w:val="003221D4"/>
    <w:rsid w:val="00322248"/>
    <w:rsid w:val="003222D5"/>
    <w:rsid w:val="003223FB"/>
    <w:rsid w:val="003224C2"/>
    <w:rsid w:val="003225B7"/>
    <w:rsid w:val="00322883"/>
    <w:rsid w:val="003229BD"/>
    <w:rsid w:val="00322BA7"/>
    <w:rsid w:val="00322C50"/>
    <w:rsid w:val="00322C6A"/>
    <w:rsid w:val="00322CAE"/>
    <w:rsid w:val="00322CF7"/>
    <w:rsid w:val="00322E38"/>
    <w:rsid w:val="00322F00"/>
    <w:rsid w:val="00322F93"/>
    <w:rsid w:val="00322FCF"/>
    <w:rsid w:val="00323040"/>
    <w:rsid w:val="003230D6"/>
    <w:rsid w:val="003232E5"/>
    <w:rsid w:val="003234A4"/>
    <w:rsid w:val="003235A5"/>
    <w:rsid w:val="00323719"/>
    <w:rsid w:val="003237AE"/>
    <w:rsid w:val="003237C3"/>
    <w:rsid w:val="00323922"/>
    <w:rsid w:val="00323A0D"/>
    <w:rsid w:val="00323C83"/>
    <w:rsid w:val="00323CE1"/>
    <w:rsid w:val="00323D48"/>
    <w:rsid w:val="00323E47"/>
    <w:rsid w:val="00323F74"/>
    <w:rsid w:val="00324011"/>
    <w:rsid w:val="0032402B"/>
    <w:rsid w:val="00324072"/>
    <w:rsid w:val="003240DB"/>
    <w:rsid w:val="003242A6"/>
    <w:rsid w:val="00324386"/>
    <w:rsid w:val="003245A7"/>
    <w:rsid w:val="003245A9"/>
    <w:rsid w:val="00324631"/>
    <w:rsid w:val="0032470D"/>
    <w:rsid w:val="0032476E"/>
    <w:rsid w:val="00324928"/>
    <w:rsid w:val="00324B1A"/>
    <w:rsid w:val="00324B8F"/>
    <w:rsid w:val="00324BAD"/>
    <w:rsid w:val="00324CA7"/>
    <w:rsid w:val="00324E8B"/>
    <w:rsid w:val="00325423"/>
    <w:rsid w:val="00325455"/>
    <w:rsid w:val="00325561"/>
    <w:rsid w:val="0032557F"/>
    <w:rsid w:val="003255E1"/>
    <w:rsid w:val="0032562D"/>
    <w:rsid w:val="00325638"/>
    <w:rsid w:val="003257AF"/>
    <w:rsid w:val="003257C6"/>
    <w:rsid w:val="00325816"/>
    <w:rsid w:val="0032587E"/>
    <w:rsid w:val="003258D2"/>
    <w:rsid w:val="003258D7"/>
    <w:rsid w:val="00325954"/>
    <w:rsid w:val="00325A82"/>
    <w:rsid w:val="00325AAD"/>
    <w:rsid w:val="00325B01"/>
    <w:rsid w:val="00325B26"/>
    <w:rsid w:val="00325C54"/>
    <w:rsid w:val="00325C6B"/>
    <w:rsid w:val="00325CCC"/>
    <w:rsid w:val="00325D23"/>
    <w:rsid w:val="00325D28"/>
    <w:rsid w:val="00325E4A"/>
    <w:rsid w:val="00325F27"/>
    <w:rsid w:val="00325FDD"/>
    <w:rsid w:val="003261E7"/>
    <w:rsid w:val="003261ED"/>
    <w:rsid w:val="00326283"/>
    <w:rsid w:val="00326315"/>
    <w:rsid w:val="003264AE"/>
    <w:rsid w:val="003265F4"/>
    <w:rsid w:val="003267D6"/>
    <w:rsid w:val="003268D5"/>
    <w:rsid w:val="00326A96"/>
    <w:rsid w:val="00326AFD"/>
    <w:rsid w:val="00326B2A"/>
    <w:rsid w:val="00326B87"/>
    <w:rsid w:val="00326BE9"/>
    <w:rsid w:val="00326C01"/>
    <w:rsid w:val="00326CB0"/>
    <w:rsid w:val="00326D72"/>
    <w:rsid w:val="00326D95"/>
    <w:rsid w:val="00326DD0"/>
    <w:rsid w:val="00326F51"/>
    <w:rsid w:val="00326F8D"/>
    <w:rsid w:val="0032719C"/>
    <w:rsid w:val="00327374"/>
    <w:rsid w:val="00327490"/>
    <w:rsid w:val="00327547"/>
    <w:rsid w:val="0032781F"/>
    <w:rsid w:val="0032793B"/>
    <w:rsid w:val="00327CA4"/>
    <w:rsid w:val="00327CCF"/>
    <w:rsid w:val="00327ED5"/>
    <w:rsid w:val="00327FB7"/>
    <w:rsid w:val="00327FF9"/>
    <w:rsid w:val="00330010"/>
    <w:rsid w:val="0033004B"/>
    <w:rsid w:val="00330175"/>
    <w:rsid w:val="0033030A"/>
    <w:rsid w:val="00330318"/>
    <w:rsid w:val="0033033D"/>
    <w:rsid w:val="00330371"/>
    <w:rsid w:val="003303B5"/>
    <w:rsid w:val="00330507"/>
    <w:rsid w:val="0033053C"/>
    <w:rsid w:val="00330624"/>
    <w:rsid w:val="00330721"/>
    <w:rsid w:val="0033074D"/>
    <w:rsid w:val="00330907"/>
    <w:rsid w:val="00330931"/>
    <w:rsid w:val="003309CB"/>
    <w:rsid w:val="00330A68"/>
    <w:rsid w:val="00330AEF"/>
    <w:rsid w:val="00330BAB"/>
    <w:rsid w:val="00330BBF"/>
    <w:rsid w:val="00330BFD"/>
    <w:rsid w:val="00330C03"/>
    <w:rsid w:val="00330C91"/>
    <w:rsid w:val="00330CA1"/>
    <w:rsid w:val="00330CC3"/>
    <w:rsid w:val="00330E89"/>
    <w:rsid w:val="00330E8E"/>
    <w:rsid w:val="00330F40"/>
    <w:rsid w:val="00330FC0"/>
    <w:rsid w:val="00331030"/>
    <w:rsid w:val="003310EF"/>
    <w:rsid w:val="0033113C"/>
    <w:rsid w:val="00331169"/>
    <w:rsid w:val="00331393"/>
    <w:rsid w:val="0033139C"/>
    <w:rsid w:val="003313AA"/>
    <w:rsid w:val="00331442"/>
    <w:rsid w:val="0033153E"/>
    <w:rsid w:val="00331628"/>
    <w:rsid w:val="00331641"/>
    <w:rsid w:val="00331887"/>
    <w:rsid w:val="00331925"/>
    <w:rsid w:val="00331D40"/>
    <w:rsid w:val="00332048"/>
    <w:rsid w:val="003322DB"/>
    <w:rsid w:val="003323F4"/>
    <w:rsid w:val="0033240D"/>
    <w:rsid w:val="0033263E"/>
    <w:rsid w:val="00332750"/>
    <w:rsid w:val="0033280F"/>
    <w:rsid w:val="00332957"/>
    <w:rsid w:val="003329A2"/>
    <w:rsid w:val="003329E0"/>
    <w:rsid w:val="00332BF7"/>
    <w:rsid w:val="00332C84"/>
    <w:rsid w:val="00332D5B"/>
    <w:rsid w:val="00332DA9"/>
    <w:rsid w:val="00332EE7"/>
    <w:rsid w:val="00333030"/>
    <w:rsid w:val="0033321B"/>
    <w:rsid w:val="00333390"/>
    <w:rsid w:val="003333A2"/>
    <w:rsid w:val="00333441"/>
    <w:rsid w:val="0033350E"/>
    <w:rsid w:val="0033352A"/>
    <w:rsid w:val="00333860"/>
    <w:rsid w:val="00333ACF"/>
    <w:rsid w:val="00333B71"/>
    <w:rsid w:val="00333BFB"/>
    <w:rsid w:val="00333C76"/>
    <w:rsid w:val="00333C87"/>
    <w:rsid w:val="00334015"/>
    <w:rsid w:val="0033403B"/>
    <w:rsid w:val="00334176"/>
    <w:rsid w:val="003342CC"/>
    <w:rsid w:val="003343D2"/>
    <w:rsid w:val="003343E0"/>
    <w:rsid w:val="00334428"/>
    <w:rsid w:val="00334730"/>
    <w:rsid w:val="00334731"/>
    <w:rsid w:val="00334793"/>
    <w:rsid w:val="003347F7"/>
    <w:rsid w:val="00334811"/>
    <w:rsid w:val="003349D4"/>
    <w:rsid w:val="00334A08"/>
    <w:rsid w:val="00334AF8"/>
    <w:rsid w:val="00334C9A"/>
    <w:rsid w:val="00334E81"/>
    <w:rsid w:val="00334F14"/>
    <w:rsid w:val="00334F76"/>
    <w:rsid w:val="00334F95"/>
    <w:rsid w:val="003350E3"/>
    <w:rsid w:val="00335158"/>
    <w:rsid w:val="003351F2"/>
    <w:rsid w:val="00335319"/>
    <w:rsid w:val="0033551F"/>
    <w:rsid w:val="003355B3"/>
    <w:rsid w:val="003357AA"/>
    <w:rsid w:val="003357D0"/>
    <w:rsid w:val="0033590E"/>
    <w:rsid w:val="00335915"/>
    <w:rsid w:val="00335986"/>
    <w:rsid w:val="003359D1"/>
    <w:rsid w:val="00335AD6"/>
    <w:rsid w:val="00335E07"/>
    <w:rsid w:val="00335E52"/>
    <w:rsid w:val="00335EBE"/>
    <w:rsid w:val="00336238"/>
    <w:rsid w:val="003363A3"/>
    <w:rsid w:val="003363B5"/>
    <w:rsid w:val="00336682"/>
    <w:rsid w:val="00336726"/>
    <w:rsid w:val="0033675D"/>
    <w:rsid w:val="003367F6"/>
    <w:rsid w:val="0033681D"/>
    <w:rsid w:val="003368C3"/>
    <w:rsid w:val="00336950"/>
    <w:rsid w:val="003369F1"/>
    <w:rsid w:val="00336C29"/>
    <w:rsid w:val="00336C32"/>
    <w:rsid w:val="00336D14"/>
    <w:rsid w:val="00336D28"/>
    <w:rsid w:val="00336E6A"/>
    <w:rsid w:val="00336F4E"/>
    <w:rsid w:val="00336F9B"/>
    <w:rsid w:val="00337245"/>
    <w:rsid w:val="0033726E"/>
    <w:rsid w:val="0033733C"/>
    <w:rsid w:val="00337397"/>
    <w:rsid w:val="003373E0"/>
    <w:rsid w:val="00337532"/>
    <w:rsid w:val="0033754A"/>
    <w:rsid w:val="0033755F"/>
    <w:rsid w:val="00337A89"/>
    <w:rsid w:val="00337B50"/>
    <w:rsid w:val="00337BF7"/>
    <w:rsid w:val="00337DE3"/>
    <w:rsid w:val="00337EDC"/>
    <w:rsid w:val="00337F6E"/>
    <w:rsid w:val="00337F95"/>
    <w:rsid w:val="003400B0"/>
    <w:rsid w:val="003400D8"/>
    <w:rsid w:val="00340118"/>
    <w:rsid w:val="003402DA"/>
    <w:rsid w:val="00340394"/>
    <w:rsid w:val="00340446"/>
    <w:rsid w:val="003404A6"/>
    <w:rsid w:val="003404C1"/>
    <w:rsid w:val="00340529"/>
    <w:rsid w:val="0034079C"/>
    <w:rsid w:val="003408B7"/>
    <w:rsid w:val="00340B52"/>
    <w:rsid w:val="00340C08"/>
    <w:rsid w:val="00340C4E"/>
    <w:rsid w:val="00340C7D"/>
    <w:rsid w:val="00340D8E"/>
    <w:rsid w:val="00340D92"/>
    <w:rsid w:val="00340F2D"/>
    <w:rsid w:val="00340F41"/>
    <w:rsid w:val="00341071"/>
    <w:rsid w:val="003414FD"/>
    <w:rsid w:val="00341592"/>
    <w:rsid w:val="003415E8"/>
    <w:rsid w:val="00341666"/>
    <w:rsid w:val="00341ADE"/>
    <w:rsid w:val="00341C86"/>
    <w:rsid w:val="00341E44"/>
    <w:rsid w:val="00341F55"/>
    <w:rsid w:val="00342011"/>
    <w:rsid w:val="0034213A"/>
    <w:rsid w:val="00342172"/>
    <w:rsid w:val="003422A0"/>
    <w:rsid w:val="003422A4"/>
    <w:rsid w:val="0034235C"/>
    <w:rsid w:val="00342373"/>
    <w:rsid w:val="0034244B"/>
    <w:rsid w:val="00342500"/>
    <w:rsid w:val="003425BC"/>
    <w:rsid w:val="003425ED"/>
    <w:rsid w:val="0034263A"/>
    <w:rsid w:val="00342984"/>
    <w:rsid w:val="003429E8"/>
    <w:rsid w:val="00342E74"/>
    <w:rsid w:val="00342F08"/>
    <w:rsid w:val="00342F24"/>
    <w:rsid w:val="00342F68"/>
    <w:rsid w:val="00342FB7"/>
    <w:rsid w:val="00343029"/>
    <w:rsid w:val="00343092"/>
    <w:rsid w:val="003430D0"/>
    <w:rsid w:val="00343255"/>
    <w:rsid w:val="00343389"/>
    <w:rsid w:val="00343393"/>
    <w:rsid w:val="00343506"/>
    <w:rsid w:val="00343607"/>
    <w:rsid w:val="003439F2"/>
    <w:rsid w:val="00343DEF"/>
    <w:rsid w:val="00343EFB"/>
    <w:rsid w:val="00344010"/>
    <w:rsid w:val="00344251"/>
    <w:rsid w:val="003442DC"/>
    <w:rsid w:val="0034435F"/>
    <w:rsid w:val="003444D9"/>
    <w:rsid w:val="00344611"/>
    <w:rsid w:val="003448F6"/>
    <w:rsid w:val="00344A42"/>
    <w:rsid w:val="00344A9B"/>
    <w:rsid w:val="00344AC8"/>
    <w:rsid w:val="00344B14"/>
    <w:rsid w:val="00344BD0"/>
    <w:rsid w:val="00344C56"/>
    <w:rsid w:val="00344EC6"/>
    <w:rsid w:val="003450DB"/>
    <w:rsid w:val="003453C5"/>
    <w:rsid w:val="003455F0"/>
    <w:rsid w:val="00345974"/>
    <w:rsid w:val="00345C48"/>
    <w:rsid w:val="00345D33"/>
    <w:rsid w:val="00345D54"/>
    <w:rsid w:val="00345D7F"/>
    <w:rsid w:val="00345E3C"/>
    <w:rsid w:val="00345E80"/>
    <w:rsid w:val="00346119"/>
    <w:rsid w:val="003461DE"/>
    <w:rsid w:val="00346330"/>
    <w:rsid w:val="0034652A"/>
    <w:rsid w:val="00346540"/>
    <w:rsid w:val="003465BC"/>
    <w:rsid w:val="003465F5"/>
    <w:rsid w:val="003468BF"/>
    <w:rsid w:val="00346954"/>
    <w:rsid w:val="0034696A"/>
    <w:rsid w:val="00346A59"/>
    <w:rsid w:val="003470E1"/>
    <w:rsid w:val="003470EA"/>
    <w:rsid w:val="00347164"/>
    <w:rsid w:val="003471B8"/>
    <w:rsid w:val="0034721F"/>
    <w:rsid w:val="0034724B"/>
    <w:rsid w:val="003474F2"/>
    <w:rsid w:val="00347591"/>
    <w:rsid w:val="003475FD"/>
    <w:rsid w:val="003476AB"/>
    <w:rsid w:val="0034776A"/>
    <w:rsid w:val="003479A1"/>
    <w:rsid w:val="003479C5"/>
    <w:rsid w:val="003479CD"/>
    <w:rsid w:val="00347A7C"/>
    <w:rsid w:val="00347C07"/>
    <w:rsid w:val="00347C9D"/>
    <w:rsid w:val="00347CEF"/>
    <w:rsid w:val="00347D36"/>
    <w:rsid w:val="00347EB1"/>
    <w:rsid w:val="00350183"/>
    <w:rsid w:val="00350388"/>
    <w:rsid w:val="00350425"/>
    <w:rsid w:val="00350435"/>
    <w:rsid w:val="003504BC"/>
    <w:rsid w:val="0035070A"/>
    <w:rsid w:val="0035074B"/>
    <w:rsid w:val="00350759"/>
    <w:rsid w:val="003507DB"/>
    <w:rsid w:val="00350934"/>
    <w:rsid w:val="00350A5F"/>
    <w:rsid w:val="00350BAE"/>
    <w:rsid w:val="00350CAE"/>
    <w:rsid w:val="00350D8D"/>
    <w:rsid w:val="00350EE9"/>
    <w:rsid w:val="00350F84"/>
    <w:rsid w:val="00350FFC"/>
    <w:rsid w:val="003510E0"/>
    <w:rsid w:val="003512CD"/>
    <w:rsid w:val="003513DE"/>
    <w:rsid w:val="0035149C"/>
    <w:rsid w:val="003515C1"/>
    <w:rsid w:val="00351654"/>
    <w:rsid w:val="00351656"/>
    <w:rsid w:val="0035165C"/>
    <w:rsid w:val="003516E0"/>
    <w:rsid w:val="003517A4"/>
    <w:rsid w:val="003518F5"/>
    <w:rsid w:val="00351A63"/>
    <w:rsid w:val="00351BFB"/>
    <w:rsid w:val="00351D9B"/>
    <w:rsid w:val="00352065"/>
    <w:rsid w:val="003520C5"/>
    <w:rsid w:val="003521D6"/>
    <w:rsid w:val="00352242"/>
    <w:rsid w:val="003522C1"/>
    <w:rsid w:val="003522C2"/>
    <w:rsid w:val="00352563"/>
    <w:rsid w:val="003526C6"/>
    <w:rsid w:val="00352753"/>
    <w:rsid w:val="003527F3"/>
    <w:rsid w:val="003529EC"/>
    <w:rsid w:val="00352A72"/>
    <w:rsid w:val="00352C3E"/>
    <w:rsid w:val="00352C4C"/>
    <w:rsid w:val="00352CD5"/>
    <w:rsid w:val="00352D42"/>
    <w:rsid w:val="00352D4E"/>
    <w:rsid w:val="00352DE2"/>
    <w:rsid w:val="00352DFE"/>
    <w:rsid w:val="00352F57"/>
    <w:rsid w:val="00352FB8"/>
    <w:rsid w:val="00352FBD"/>
    <w:rsid w:val="00353231"/>
    <w:rsid w:val="003532A5"/>
    <w:rsid w:val="003532D0"/>
    <w:rsid w:val="0035339F"/>
    <w:rsid w:val="00353534"/>
    <w:rsid w:val="00353569"/>
    <w:rsid w:val="00353582"/>
    <w:rsid w:val="003536BE"/>
    <w:rsid w:val="00353704"/>
    <w:rsid w:val="00353BA2"/>
    <w:rsid w:val="00353C3C"/>
    <w:rsid w:val="00353D7B"/>
    <w:rsid w:val="00353E31"/>
    <w:rsid w:val="003540DE"/>
    <w:rsid w:val="00354213"/>
    <w:rsid w:val="00354285"/>
    <w:rsid w:val="00354472"/>
    <w:rsid w:val="00354563"/>
    <w:rsid w:val="003547EB"/>
    <w:rsid w:val="003548B9"/>
    <w:rsid w:val="00354921"/>
    <w:rsid w:val="003549EE"/>
    <w:rsid w:val="00354A06"/>
    <w:rsid w:val="00354B30"/>
    <w:rsid w:val="00354D27"/>
    <w:rsid w:val="00354E85"/>
    <w:rsid w:val="00355014"/>
    <w:rsid w:val="0035527A"/>
    <w:rsid w:val="00355283"/>
    <w:rsid w:val="003552C9"/>
    <w:rsid w:val="003553DC"/>
    <w:rsid w:val="003555F8"/>
    <w:rsid w:val="00355783"/>
    <w:rsid w:val="00355864"/>
    <w:rsid w:val="00355888"/>
    <w:rsid w:val="003558DB"/>
    <w:rsid w:val="003559A4"/>
    <w:rsid w:val="00355A01"/>
    <w:rsid w:val="00355B51"/>
    <w:rsid w:val="00355D53"/>
    <w:rsid w:val="00355E67"/>
    <w:rsid w:val="00355EC7"/>
    <w:rsid w:val="00355F04"/>
    <w:rsid w:val="00355FB3"/>
    <w:rsid w:val="00355FC8"/>
    <w:rsid w:val="003561DD"/>
    <w:rsid w:val="00356322"/>
    <w:rsid w:val="0035637C"/>
    <w:rsid w:val="0035668C"/>
    <w:rsid w:val="003567AF"/>
    <w:rsid w:val="003567D7"/>
    <w:rsid w:val="003567FD"/>
    <w:rsid w:val="00356805"/>
    <w:rsid w:val="003568EF"/>
    <w:rsid w:val="00356BA1"/>
    <w:rsid w:val="00356C82"/>
    <w:rsid w:val="00356EAE"/>
    <w:rsid w:val="0035712D"/>
    <w:rsid w:val="003572BB"/>
    <w:rsid w:val="0035738A"/>
    <w:rsid w:val="003575F7"/>
    <w:rsid w:val="003576FD"/>
    <w:rsid w:val="0035778C"/>
    <w:rsid w:val="003577A2"/>
    <w:rsid w:val="003577D5"/>
    <w:rsid w:val="003578E5"/>
    <w:rsid w:val="0035790B"/>
    <w:rsid w:val="003579BC"/>
    <w:rsid w:val="00357A41"/>
    <w:rsid w:val="00357C23"/>
    <w:rsid w:val="00357C8D"/>
    <w:rsid w:val="00357C8E"/>
    <w:rsid w:val="00357DE9"/>
    <w:rsid w:val="00357F55"/>
    <w:rsid w:val="00357FF2"/>
    <w:rsid w:val="00360111"/>
    <w:rsid w:val="003601FC"/>
    <w:rsid w:val="0036028A"/>
    <w:rsid w:val="003602BF"/>
    <w:rsid w:val="0036030D"/>
    <w:rsid w:val="00360374"/>
    <w:rsid w:val="0036046A"/>
    <w:rsid w:val="00360559"/>
    <w:rsid w:val="00360741"/>
    <w:rsid w:val="003607E5"/>
    <w:rsid w:val="0036080C"/>
    <w:rsid w:val="0036085D"/>
    <w:rsid w:val="0036094C"/>
    <w:rsid w:val="003609B7"/>
    <w:rsid w:val="00360B79"/>
    <w:rsid w:val="00360C2C"/>
    <w:rsid w:val="00360D47"/>
    <w:rsid w:val="00360FC1"/>
    <w:rsid w:val="003612CE"/>
    <w:rsid w:val="003613CE"/>
    <w:rsid w:val="003615D5"/>
    <w:rsid w:val="0036171F"/>
    <w:rsid w:val="00361784"/>
    <w:rsid w:val="003617A0"/>
    <w:rsid w:val="00361887"/>
    <w:rsid w:val="003618CD"/>
    <w:rsid w:val="00361960"/>
    <w:rsid w:val="00361A26"/>
    <w:rsid w:val="00361A38"/>
    <w:rsid w:val="00361A3D"/>
    <w:rsid w:val="00361A46"/>
    <w:rsid w:val="00361AD4"/>
    <w:rsid w:val="00361AE0"/>
    <w:rsid w:val="00361BBF"/>
    <w:rsid w:val="00361BD6"/>
    <w:rsid w:val="00361BF7"/>
    <w:rsid w:val="00361C3D"/>
    <w:rsid w:val="00361C48"/>
    <w:rsid w:val="00361CF9"/>
    <w:rsid w:val="00361E6D"/>
    <w:rsid w:val="00362072"/>
    <w:rsid w:val="003621C3"/>
    <w:rsid w:val="00362344"/>
    <w:rsid w:val="0036242E"/>
    <w:rsid w:val="00362789"/>
    <w:rsid w:val="003627A9"/>
    <w:rsid w:val="0036280B"/>
    <w:rsid w:val="003628A8"/>
    <w:rsid w:val="003628C3"/>
    <w:rsid w:val="0036297E"/>
    <w:rsid w:val="00362B9C"/>
    <w:rsid w:val="00362CF6"/>
    <w:rsid w:val="00362D16"/>
    <w:rsid w:val="00362DAF"/>
    <w:rsid w:val="00362DF6"/>
    <w:rsid w:val="00362E3C"/>
    <w:rsid w:val="00362E66"/>
    <w:rsid w:val="00362F99"/>
    <w:rsid w:val="0036320F"/>
    <w:rsid w:val="00363214"/>
    <w:rsid w:val="0036326D"/>
    <w:rsid w:val="00363274"/>
    <w:rsid w:val="00363458"/>
    <w:rsid w:val="003634B2"/>
    <w:rsid w:val="003634ED"/>
    <w:rsid w:val="003637B0"/>
    <w:rsid w:val="0036381A"/>
    <w:rsid w:val="00363824"/>
    <w:rsid w:val="003638C5"/>
    <w:rsid w:val="00363CB4"/>
    <w:rsid w:val="00363CFF"/>
    <w:rsid w:val="00363D8E"/>
    <w:rsid w:val="00363F0E"/>
    <w:rsid w:val="00364045"/>
    <w:rsid w:val="003640AD"/>
    <w:rsid w:val="00364276"/>
    <w:rsid w:val="003642B0"/>
    <w:rsid w:val="00364362"/>
    <w:rsid w:val="00364455"/>
    <w:rsid w:val="00364520"/>
    <w:rsid w:val="003645AE"/>
    <w:rsid w:val="003646EE"/>
    <w:rsid w:val="00364777"/>
    <w:rsid w:val="0036484E"/>
    <w:rsid w:val="003648E2"/>
    <w:rsid w:val="0036492A"/>
    <w:rsid w:val="0036495B"/>
    <w:rsid w:val="00364A3B"/>
    <w:rsid w:val="00364E74"/>
    <w:rsid w:val="00364EFF"/>
    <w:rsid w:val="0036513E"/>
    <w:rsid w:val="0036524F"/>
    <w:rsid w:val="003653FD"/>
    <w:rsid w:val="00365443"/>
    <w:rsid w:val="003655C0"/>
    <w:rsid w:val="003655D5"/>
    <w:rsid w:val="003657E8"/>
    <w:rsid w:val="00365833"/>
    <w:rsid w:val="00365869"/>
    <w:rsid w:val="00365894"/>
    <w:rsid w:val="003658FD"/>
    <w:rsid w:val="00365947"/>
    <w:rsid w:val="00365961"/>
    <w:rsid w:val="00365A74"/>
    <w:rsid w:val="00365D75"/>
    <w:rsid w:val="00365D80"/>
    <w:rsid w:val="003661C0"/>
    <w:rsid w:val="003661E3"/>
    <w:rsid w:val="0036635D"/>
    <w:rsid w:val="00366412"/>
    <w:rsid w:val="00366479"/>
    <w:rsid w:val="003667A7"/>
    <w:rsid w:val="00366A58"/>
    <w:rsid w:val="00366AA4"/>
    <w:rsid w:val="00366AF0"/>
    <w:rsid w:val="00366CE0"/>
    <w:rsid w:val="00366E5C"/>
    <w:rsid w:val="00366ED4"/>
    <w:rsid w:val="003671D8"/>
    <w:rsid w:val="003672E1"/>
    <w:rsid w:val="00367597"/>
    <w:rsid w:val="003675C2"/>
    <w:rsid w:val="00367986"/>
    <w:rsid w:val="00367A12"/>
    <w:rsid w:val="00367C4D"/>
    <w:rsid w:val="00367C54"/>
    <w:rsid w:val="00367E4B"/>
    <w:rsid w:val="00367E67"/>
    <w:rsid w:val="00367E92"/>
    <w:rsid w:val="00367F21"/>
    <w:rsid w:val="00367F95"/>
    <w:rsid w:val="00367FE0"/>
    <w:rsid w:val="00367FF6"/>
    <w:rsid w:val="0037020A"/>
    <w:rsid w:val="00370333"/>
    <w:rsid w:val="0037033A"/>
    <w:rsid w:val="00370375"/>
    <w:rsid w:val="003703EF"/>
    <w:rsid w:val="003703FA"/>
    <w:rsid w:val="00370A02"/>
    <w:rsid w:val="00370A94"/>
    <w:rsid w:val="00370AC0"/>
    <w:rsid w:val="00370AFF"/>
    <w:rsid w:val="00370BC8"/>
    <w:rsid w:val="00370C9C"/>
    <w:rsid w:val="00370D0E"/>
    <w:rsid w:val="00370EC3"/>
    <w:rsid w:val="00370F2C"/>
    <w:rsid w:val="00370FD1"/>
    <w:rsid w:val="00371142"/>
    <w:rsid w:val="003711DD"/>
    <w:rsid w:val="0037129E"/>
    <w:rsid w:val="00371473"/>
    <w:rsid w:val="00371532"/>
    <w:rsid w:val="003715A2"/>
    <w:rsid w:val="00371708"/>
    <w:rsid w:val="003718E3"/>
    <w:rsid w:val="00371A1A"/>
    <w:rsid w:val="00371A68"/>
    <w:rsid w:val="00371BBA"/>
    <w:rsid w:val="00371CB2"/>
    <w:rsid w:val="003720A7"/>
    <w:rsid w:val="003721F8"/>
    <w:rsid w:val="0037223A"/>
    <w:rsid w:val="00372385"/>
    <w:rsid w:val="00372674"/>
    <w:rsid w:val="00372869"/>
    <w:rsid w:val="0037289A"/>
    <w:rsid w:val="00372A44"/>
    <w:rsid w:val="00372A78"/>
    <w:rsid w:val="00372B0F"/>
    <w:rsid w:val="00372DBD"/>
    <w:rsid w:val="00372E7E"/>
    <w:rsid w:val="00372FAB"/>
    <w:rsid w:val="00372FF6"/>
    <w:rsid w:val="00373060"/>
    <w:rsid w:val="0037306D"/>
    <w:rsid w:val="003730E0"/>
    <w:rsid w:val="00373103"/>
    <w:rsid w:val="00373119"/>
    <w:rsid w:val="003731CB"/>
    <w:rsid w:val="00373694"/>
    <w:rsid w:val="003737A3"/>
    <w:rsid w:val="003738E2"/>
    <w:rsid w:val="00373925"/>
    <w:rsid w:val="003739BD"/>
    <w:rsid w:val="003739FE"/>
    <w:rsid w:val="00373A1F"/>
    <w:rsid w:val="00373C0B"/>
    <w:rsid w:val="00373C29"/>
    <w:rsid w:val="00373DCB"/>
    <w:rsid w:val="00373E86"/>
    <w:rsid w:val="00374063"/>
    <w:rsid w:val="003740BD"/>
    <w:rsid w:val="003740FB"/>
    <w:rsid w:val="00374110"/>
    <w:rsid w:val="0037424B"/>
    <w:rsid w:val="003742CF"/>
    <w:rsid w:val="003744D8"/>
    <w:rsid w:val="003744F4"/>
    <w:rsid w:val="00374672"/>
    <w:rsid w:val="0037478E"/>
    <w:rsid w:val="00374A04"/>
    <w:rsid w:val="00374A2A"/>
    <w:rsid w:val="00374A69"/>
    <w:rsid w:val="00374AB7"/>
    <w:rsid w:val="00374C17"/>
    <w:rsid w:val="00374D2F"/>
    <w:rsid w:val="00375145"/>
    <w:rsid w:val="0037514E"/>
    <w:rsid w:val="00375150"/>
    <w:rsid w:val="00375267"/>
    <w:rsid w:val="0037547A"/>
    <w:rsid w:val="003754FC"/>
    <w:rsid w:val="00375509"/>
    <w:rsid w:val="0037558E"/>
    <w:rsid w:val="0037562F"/>
    <w:rsid w:val="00375655"/>
    <w:rsid w:val="003757B0"/>
    <w:rsid w:val="00375855"/>
    <w:rsid w:val="0037592E"/>
    <w:rsid w:val="00375A2F"/>
    <w:rsid w:val="00375A49"/>
    <w:rsid w:val="00375ABA"/>
    <w:rsid w:val="00375B78"/>
    <w:rsid w:val="00375BC7"/>
    <w:rsid w:val="00375BF3"/>
    <w:rsid w:val="00375D79"/>
    <w:rsid w:val="00375FDD"/>
    <w:rsid w:val="0037601A"/>
    <w:rsid w:val="00376034"/>
    <w:rsid w:val="00376226"/>
    <w:rsid w:val="003763AB"/>
    <w:rsid w:val="00376448"/>
    <w:rsid w:val="00376470"/>
    <w:rsid w:val="00376478"/>
    <w:rsid w:val="00376614"/>
    <w:rsid w:val="0037682B"/>
    <w:rsid w:val="003769D1"/>
    <w:rsid w:val="003769F4"/>
    <w:rsid w:val="00376A0E"/>
    <w:rsid w:val="00376C61"/>
    <w:rsid w:val="00376C6D"/>
    <w:rsid w:val="00376E00"/>
    <w:rsid w:val="0037707F"/>
    <w:rsid w:val="003771EC"/>
    <w:rsid w:val="00377328"/>
    <w:rsid w:val="00377337"/>
    <w:rsid w:val="00377347"/>
    <w:rsid w:val="00377A4A"/>
    <w:rsid w:val="00377A83"/>
    <w:rsid w:val="00377FB5"/>
    <w:rsid w:val="00377FEC"/>
    <w:rsid w:val="00380026"/>
    <w:rsid w:val="0038005F"/>
    <w:rsid w:val="0038007C"/>
    <w:rsid w:val="003801C3"/>
    <w:rsid w:val="0038029E"/>
    <w:rsid w:val="003803C6"/>
    <w:rsid w:val="003804FF"/>
    <w:rsid w:val="00380514"/>
    <w:rsid w:val="003805CF"/>
    <w:rsid w:val="003805F6"/>
    <w:rsid w:val="00380726"/>
    <w:rsid w:val="0038080C"/>
    <w:rsid w:val="00380853"/>
    <w:rsid w:val="00380869"/>
    <w:rsid w:val="003808B0"/>
    <w:rsid w:val="003808CA"/>
    <w:rsid w:val="0038091D"/>
    <w:rsid w:val="003809A0"/>
    <w:rsid w:val="00380BFF"/>
    <w:rsid w:val="00380DCC"/>
    <w:rsid w:val="00380DEE"/>
    <w:rsid w:val="00380E00"/>
    <w:rsid w:val="00380E53"/>
    <w:rsid w:val="00380E97"/>
    <w:rsid w:val="00381021"/>
    <w:rsid w:val="00381093"/>
    <w:rsid w:val="00381164"/>
    <w:rsid w:val="00381187"/>
    <w:rsid w:val="003812E3"/>
    <w:rsid w:val="00381393"/>
    <w:rsid w:val="003814FE"/>
    <w:rsid w:val="003817E3"/>
    <w:rsid w:val="003818D7"/>
    <w:rsid w:val="003819A5"/>
    <w:rsid w:val="00381A3F"/>
    <w:rsid w:val="00381DCE"/>
    <w:rsid w:val="00381E09"/>
    <w:rsid w:val="00381EF4"/>
    <w:rsid w:val="00381FB9"/>
    <w:rsid w:val="00382216"/>
    <w:rsid w:val="0038241E"/>
    <w:rsid w:val="003824AA"/>
    <w:rsid w:val="00382686"/>
    <w:rsid w:val="00382711"/>
    <w:rsid w:val="00382871"/>
    <w:rsid w:val="00382BCA"/>
    <w:rsid w:val="00382C3C"/>
    <w:rsid w:val="00382D14"/>
    <w:rsid w:val="00382D15"/>
    <w:rsid w:val="00382EA9"/>
    <w:rsid w:val="003830BB"/>
    <w:rsid w:val="003830EA"/>
    <w:rsid w:val="00383178"/>
    <w:rsid w:val="003833AD"/>
    <w:rsid w:val="0038342A"/>
    <w:rsid w:val="0038342C"/>
    <w:rsid w:val="003834BF"/>
    <w:rsid w:val="003839D2"/>
    <w:rsid w:val="003839F4"/>
    <w:rsid w:val="00383B21"/>
    <w:rsid w:val="00383C17"/>
    <w:rsid w:val="00383F4B"/>
    <w:rsid w:val="00384048"/>
    <w:rsid w:val="0038404B"/>
    <w:rsid w:val="003840FA"/>
    <w:rsid w:val="003841C2"/>
    <w:rsid w:val="00384435"/>
    <w:rsid w:val="00384496"/>
    <w:rsid w:val="0038451B"/>
    <w:rsid w:val="00384677"/>
    <w:rsid w:val="0038480D"/>
    <w:rsid w:val="0038484A"/>
    <w:rsid w:val="0038493C"/>
    <w:rsid w:val="0038498A"/>
    <w:rsid w:val="00384A46"/>
    <w:rsid w:val="00384B3D"/>
    <w:rsid w:val="00384B4A"/>
    <w:rsid w:val="00384B90"/>
    <w:rsid w:val="00384BFB"/>
    <w:rsid w:val="00384CC6"/>
    <w:rsid w:val="00384DB9"/>
    <w:rsid w:val="00384EE7"/>
    <w:rsid w:val="00384EF6"/>
    <w:rsid w:val="00385019"/>
    <w:rsid w:val="003852FF"/>
    <w:rsid w:val="003853B4"/>
    <w:rsid w:val="003855BD"/>
    <w:rsid w:val="00385635"/>
    <w:rsid w:val="003858A6"/>
    <w:rsid w:val="003858E1"/>
    <w:rsid w:val="003858E6"/>
    <w:rsid w:val="00385B7A"/>
    <w:rsid w:val="00385C8D"/>
    <w:rsid w:val="00385E17"/>
    <w:rsid w:val="00385F55"/>
    <w:rsid w:val="00385FC5"/>
    <w:rsid w:val="0038610F"/>
    <w:rsid w:val="00386170"/>
    <w:rsid w:val="00386251"/>
    <w:rsid w:val="003863C0"/>
    <w:rsid w:val="0038664B"/>
    <w:rsid w:val="0038666F"/>
    <w:rsid w:val="003867B6"/>
    <w:rsid w:val="003867C9"/>
    <w:rsid w:val="00386838"/>
    <w:rsid w:val="003868AE"/>
    <w:rsid w:val="0038691E"/>
    <w:rsid w:val="00386C5E"/>
    <w:rsid w:val="00386CF8"/>
    <w:rsid w:val="00386DA5"/>
    <w:rsid w:val="00386EA4"/>
    <w:rsid w:val="00386F01"/>
    <w:rsid w:val="00387278"/>
    <w:rsid w:val="003872EB"/>
    <w:rsid w:val="0038738A"/>
    <w:rsid w:val="003874F8"/>
    <w:rsid w:val="003874FC"/>
    <w:rsid w:val="00387550"/>
    <w:rsid w:val="00387633"/>
    <w:rsid w:val="0038770C"/>
    <w:rsid w:val="0038770D"/>
    <w:rsid w:val="00387752"/>
    <w:rsid w:val="003877C4"/>
    <w:rsid w:val="003877F6"/>
    <w:rsid w:val="003878D3"/>
    <w:rsid w:val="00387CBE"/>
    <w:rsid w:val="00387D0A"/>
    <w:rsid w:val="00387DD5"/>
    <w:rsid w:val="00387DE6"/>
    <w:rsid w:val="00387E52"/>
    <w:rsid w:val="00387E80"/>
    <w:rsid w:val="00390049"/>
    <w:rsid w:val="003901E0"/>
    <w:rsid w:val="00390281"/>
    <w:rsid w:val="00390309"/>
    <w:rsid w:val="00390408"/>
    <w:rsid w:val="0039042C"/>
    <w:rsid w:val="00390463"/>
    <w:rsid w:val="003904CD"/>
    <w:rsid w:val="0039054D"/>
    <w:rsid w:val="0039063A"/>
    <w:rsid w:val="003908BB"/>
    <w:rsid w:val="00390A83"/>
    <w:rsid w:val="00390A92"/>
    <w:rsid w:val="00390AC0"/>
    <w:rsid w:val="00390CCC"/>
    <w:rsid w:val="00390DCE"/>
    <w:rsid w:val="00390E4C"/>
    <w:rsid w:val="00390E5F"/>
    <w:rsid w:val="0039111C"/>
    <w:rsid w:val="0039150C"/>
    <w:rsid w:val="0039167B"/>
    <w:rsid w:val="003919EE"/>
    <w:rsid w:val="00391A23"/>
    <w:rsid w:val="00391A7F"/>
    <w:rsid w:val="00391AF8"/>
    <w:rsid w:val="00391CEA"/>
    <w:rsid w:val="00391CEF"/>
    <w:rsid w:val="00391DA9"/>
    <w:rsid w:val="00391E49"/>
    <w:rsid w:val="00391F5E"/>
    <w:rsid w:val="00391FBF"/>
    <w:rsid w:val="00391FFA"/>
    <w:rsid w:val="003920FE"/>
    <w:rsid w:val="0039216D"/>
    <w:rsid w:val="0039220C"/>
    <w:rsid w:val="0039222E"/>
    <w:rsid w:val="00392310"/>
    <w:rsid w:val="00392390"/>
    <w:rsid w:val="003923FD"/>
    <w:rsid w:val="00392508"/>
    <w:rsid w:val="003925A2"/>
    <w:rsid w:val="00392633"/>
    <w:rsid w:val="00392799"/>
    <w:rsid w:val="003928F0"/>
    <w:rsid w:val="0039290F"/>
    <w:rsid w:val="003929A9"/>
    <w:rsid w:val="00392A0F"/>
    <w:rsid w:val="00392ACC"/>
    <w:rsid w:val="00392B01"/>
    <w:rsid w:val="00392BBD"/>
    <w:rsid w:val="00392C21"/>
    <w:rsid w:val="00392CE4"/>
    <w:rsid w:val="00392D36"/>
    <w:rsid w:val="00392DCC"/>
    <w:rsid w:val="00392E63"/>
    <w:rsid w:val="00392EDF"/>
    <w:rsid w:val="00393297"/>
    <w:rsid w:val="003932AD"/>
    <w:rsid w:val="00393306"/>
    <w:rsid w:val="00393320"/>
    <w:rsid w:val="0039333B"/>
    <w:rsid w:val="003934F2"/>
    <w:rsid w:val="003935DE"/>
    <w:rsid w:val="0039376E"/>
    <w:rsid w:val="00393928"/>
    <w:rsid w:val="00393975"/>
    <w:rsid w:val="00393B5A"/>
    <w:rsid w:val="00393BA5"/>
    <w:rsid w:val="00393C27"/>
    <w:rsid w:val="00393EC1"/>
    <w:rsid w:val="00394070"/>
    <w:rsid w:val="003943D5"/>
    <w:rsid w:val="0039442D"/>
    <w:rsid w:val="00394857"/>
    <w:rsid w:val="00394970"/>
    <w:rsid w:val="00394C57"/>
    <w:rsid w:val="00394E7F"/>
    <w:rsid w:val="00394F4A"/>
    <w:rsid w:val="00395098"/>
    <w:rsid w:val="00395153"/>
    <w:rsid w:val="003952D5"/>
    <w:rsid w:val="003953DE"/>
    <w:rsid w:val="00395630"/>
    <w:rsid w:val="003957C0"/>
    <w:rsid w:val="0039590D"/>
    <w:rsid w:val="00395983"/>
    <w:rsid w:val="003959B5"/>
    <w:rsid w:val="00395C42"/>
    <w:rsid w:val="00395CFA"/>
    <w:rsid w:val="00395D00"/>
    <w:rsid w:val="00395EDC"/>
    <w:rsid w:val="00395FBC"/>
    <w:rsid w:val="00395FC4"/>
    <w:rsid w:val="00395FD9"/>
    <w:rsid w:val="00395FDD"/>
    <w:rsid w:val="003960AA"/>
    <w:rsid w:val="0039648E"/>
    <w:rsid w:val="00396589"/>
    <w:rsid w:val="00396762"/>
    <w:rsid w:val="003968CD"/>
    <w:rsid w:val="00396962"/>
    <w:rsid w:val="00396A52"/>
    <w:rsid w:val="00396B1D"/>
    <w:rsid w:val="00396BBC"/>
    <w:rsid w:val="00396C3F"/>
    <w:rsid w:val="00396D43"/>
    <w:rsid w:val="00396FAD"/>
    <w:rsid w:val="00397084"/>
    <w:rsid w:val="00397154"/>
    <w:rsid w:val="00397180"/>
    <w:rsid w:val="0039718C"/>
    <w:rsid w:val="00397206"/>
    <w:rsid w:val="003972B2"/>
    <w:rsid w:val="003972F8"/>
    <w:rsid w:val="00397528"/>
    <w:rsid w:val="0039752F"/>
    <w:rsid w:val="0039757A"/>
    <w:rsid w:val="00397615"/>
    <w:rsid w:val="00397640"/>
    <w:rsid w:val="003976BF"/>
    <w:rsid w:val="0039783E"/>
    <w:rsid w:val="00397840"/>
    <w:rsid w:val="003978FD"/>
    <w:rsid w:val="00397A32"/>
    <w:rsid w:val="00397BB5"/>
    <w:rsid w:val="00397F87"/>
    <w:rsid w:val="003A0154"/>
    <w:rsid w:val="003A046D"/>
    <w:rsid w:val="003A0471"/>
    <w:rsid w:val="003A0545"/>
    <w:rsid w:val="003A0554"/>
    <w:rsid w:val="003A0664"/>
    <w:rsid w:val="003A07BC"/>
    <w:rsid w:val="003A0944"/>
    <w:rsid w:val="003A0962"/>
    <w:rsid w:val="003A09CE"/>
    <w:rsid w:val="003A0A56"/>
    <w:rsid w:val="003A0B28"/>
    <w:rsid w:val="003A0B9C"/>
    <w:rsid w:val="003A0C5E"/>
    <w:rsid w:val="003A0D16"/>
    <w:rsid w:val="003A0D36"/>
    <w:rsid w:val="003A0E8B"/>
    <w:rsid w:val="003A1250"/>
    <w:rsid w:val="003A12A0"/>
    <w:rsid w:val="003A1539"/>
    <w:rsid w:val="003A1629"/>
    <w:rsid w:val="003A1792"/>
    <w:rsid w:val="003A180F"/>
    <w:rsid w:val="003A188D"/>
    <w:rsid w:val="003A18A4"/>
    <w:rsid w:val="003A18E8"/>
    <w:rsid w:val="003A18ED"/>
    <w:rsid w:val="003A1B78"/>
    <w:rsid w:val="003A1B8B"/>
    <w:rsid w:val="003A1D94"/>
    <w:rsid w:val="003A201D"/>
    <w:rsid w:val="003A205F"/>
    <w:rsid w:val="003A2149"/>
    <w:rsid w:val="003A2234"/>
    <w:rsid w:val="003A2504"/>
    <w:rsid w:val="003A26FC"/>
    <w:rsid w:val="003A27F1"/>
    <w:rsid w:val="003A28BA"/>
    <w:rsid w:val="003A28F0"/>
    <w:rsid w:val="003A29B1"/>
    <w:rsid w:val="003A2CFE"/>
    <w:rsid w:val="003A2E98"/>
    <w:rsid w:val="003A2ECD"/>
    <w:rsid w:val="003A2F79"/>
    <w:rsid w:val="003A3149"/>
    <w:rsid w:val="003A31EE"/>
    <w:rsid w:val="003A320E"/>
    <w:rsid w:val="003A322A"/>
    <w:rsid w:val="003A3485"/>
    <w:rsid w:val="003A37E4"/>
    <w:rsid w:val="003A37E9"/>
    <w:rsid w:val="003A3830"/>
    <w:rsid w:val="003A386D"/>
    <w:rsid w:val="003A3B8E"/>
    <w:rsid w:val="003A3C25"/>
    <w:rsid w:val="003A3C61"/>
    <w:rsid w:val="003A3D0B"/>
    <w:rsid w:val="003A3DF1"/>
    <w:rsid w:val="003A3E18"/>
    <w:rsid w:val="003A3EB2"/>
    <w:rsid w:val="003A4066"/>
    <w:rsid w:val="003A4168"/>
    <w:rsid w:val="003A424C"/>
    <w:rsid w:val="003A4317"/>
    <w:rsid w:val="003A43C4"/>
    <w:rsid w:val="003A4444"/>
    <w:rsid w:val="003A4484"/>
    <w:rsid w:val="003A44D8"/>
    <w:rsid w:val="003A4546"/>
    <w:rsid w:val="003A46F0"/>
    <w:rsid w:val="003A4740"/>
    <w:rsid w:val="003A4750"/>
    <w:rsid w:val="003A47E0"/>
    <w:rsid w:val="003A4B20"/>
    <w:rsid w:val="003A4CA3"/>
    <w:rsid w:val="003A4D52"/>
    <w:rsid w:val="003A4E51"/>
    <w:rsid w:val="003A4F03"/>
    <w:rsid w:val="003A4F41"/>
    <w:rsid w:val="003A4F56"/>
    <w:rsid w:val="003A509F"/>
    <w:rsid w:val="003A50B4"/>
    <w:rsid w:val="003A50CD"/>
    <w:rsid w:val="003A5363"/>
    <w:rsid w:val="003A5379"/>
    <w:rsid w:val="003A5415"/>
    <w:rsid w:val="003A556E"/>
    <w:rsid w:val="003A5601"/>
    <w:rsid w:val="003A5677"/>
    <w:rsid w:val="003A5959"/>
    <w:rsid w:val="003A5B36"/>
    <w:rsid w:val="003A5CD5"/>
    <w:rsid w:val="003A5D02"/>
    <w:rsid w:val="003A5FAF"/>
    <w:rsid w:val="003A603B"/>
    <w:rsid w:val="003A60F8"/>
    <w:rsid w:val="003A610E"/>
    <w:rsid w:val="003A6474"/>
    <w:rsid w:val="003A652A"/>
    <w:rsid w:val="003A6643"/>
    <w:rsid w:val="003A6678"/>
    <w:rsid w:val="003A66B3"/>
    <w:rsid w:val="003A6744"/>
    <w:rsid w:val="003A6865"/>
    <w:rsid w:val="003A68D9"/>
    <w:rsid w:val="003A68EE"/>
    <w:rsid w:val="003A6A38"/>
    <w:rsid w:val="003A6B6D"/>
    <w:rsid w:val="003A6C4A"/>
    <w:rsid w:val="003A6C7F"/>
    <w:rsid w:val="003A6CBB"/>
    <w:rsid w:val="003A6DF8"/>
    <w:rsid w:val="003A6E4C"/>
    <w:rsid w:val="003A6ECA"/>
    <w:rsid w:val="003A6F32"/>
    <w:rsid w:val="003A6F74"/>
    <w:rsid w:val="003A705A"/>
    <w:rsid w:val="003A738D"/>
    <w:rsid w:val="003A744E"/>
    <w:rsid w:val="003A7478"/>
    <w:rsid w:val="003A74A7"/>
    <w:rsid w:val="003A74DC"/>
    <w:rsid w:val="003A770F"/>
    <w:rsid w:val="003A78B4"/>
    <w:rsid w:val="003A78FA"/>
    <w:rsid w:val="003A79AB"/>
    <w:rsid w:val="003A7A44"/>
    <w:rsid w:val="003A7ADA"/>
    <w:rsid w:val="003A7BAC"/>
    <w:rsid w:val="003A7BAD"/>
    <w:rsid w:val="003A7D68"/>
    <w:rsid w:val="003A7DEC"/>
    <w:rsid w:val="003A7EE7"/>
    <w:rsid w:val="003B0304"/>
    <w:rsid w:val="003B0440"/>
    <w:rsid w:val="003B04EB"/>
    <w:rsid w:val="003B0550"/>
    <w:rsid w:val="003B05C7"/>
    <w:rsid w:val="003B05FB"/>
    <w:rsid w:val="003B061A"/>
    <w:rsid w:val="003B07D1"/>
    <w:rsid w:val="003B0812"/>
    <w:rsid w:val="003B0831"/>
    <w:rsid w:val="003B085F"/>
    <w:rsid w:val="003B0B38"/>
    <w:rsid w:val="003B0BA6"/>
    <w:rsid w:val="003B0BCC"/>
    <w:rsid w:val="003B0C73"/>
    <w:rsid w:val="003B0CA1"/>
    <w:rsid w:val="003B0D9D"/>
    <w:rsid w:val="003B0E82"/>
    <w:rsid w:val="003B0EAC"/>
    <w:rsid w:val="003B0F04"/>
    <w:rsid w:val="003B0F0A"/>
    <w:rsid w:val="003B0F0C"/>
    <w:rsid w:val="003B0FB2"/>
    <w:rsid w:val="003B0FC9"/>
    <w:rsid w:val="003B10C1"/>
    <w:rsid w:val="003B11C4"/>
    <w:rsid w:val="003B13BB"/>
    <w:rsid w:val="003B18ED"/>
    <w:rsid w:val="003B1962"/>
    <w:rsid w:val="003B1A0E"/>
    <w:rsid w:val="003B1B4F"/>
    <w:rsid w:val="003B21D9"/>
    <w:rsid w:val="003B2518"/>
    <w:rsid w:val="003B267D"/>
    <w:rsid w:val="003B280D"/>
    <w:rsid w:val="003B284D"/>
    <w:rsid w:val="003B2874"/>
    <w:rsid w:val="003B29F8"/>
    <w:rsid w:val="003B2A06"/>
    <w:rsid w:val="003B2A84"/>
    <w:rsid w:val="003B2B53"/>
    <w:rsid w:val="003B2D91"/>
    <w:rsid w:val="003B2E59"/>
    <w:rsid w:val="003B2EA1"/>
    <w:rsid w:val="003B2F21"/>
    <w:rsid w:val="003B326A"/>
    <w:rsid w:val="003B32A5"/>
    <w:rsid w:val="003B35FD"/>
    <w:rsid w:val="003B36C2"/>
    <w:rsid w:val="003B382D"/>
    <w:rsid w:val="003B389C"/>
    <w:rsid w:val="003B38DD"/>
    <w:rsid w:val="003B3D7F"/>
    <w:rsid w:val="003B3E13"/>
    <w:rsid w:val="003B3E39"/>
    <w:rsid w:val="003B3E4C"/>
    <w:rsid w:val="003B3F10"/>
    <w:rsid w:val="003B3F79"/>
    <w:rsid w:val="003B4011"/>
    <w:rsid w:val="003B40F7"/>
    <w:rsid w:val="003B449C"/>
    <w:rsid w:val="003B4540"/>
    <w:rsid w:val="003B4603"/>
    <w:rsid w:val="003B4BA7"/>
    <w:rsid w:val="003B4CC6"/>
    <w:rsid w:val="003B4D55"/>
    <w:rsid w:val="003B4D56"/>
    <w:rsid w:val="003B4D57"/>
    <w:rsid w:val="003B4D60"/>
    <w:rsid w:val="003B4DD3"/>
    <w:rsid w:val="003B4E00"/>
    <w:rsid w:val="003B4E96"/>
    <w:rsid w:val="003B5031"/>
    <w:rsid w:val="003B50E1"/>
    <w:rsid w:val="003B51CB"/>
    <w:rsid w:val="003B5376"/>
    <w:rsid w:val="003B5379"/>
    <w:rsid w:val="003B53BF"/>
    <w:rsid w:val="003B55D5"/>
    <w:rsid w:val="003B564F"/>
    <w:rsid w:val="003B5674"/>
    <w:rsid w:val="003B5686"/>
    <w:rsid w:val="003B5840"/>
    <w:rsid w:val="003B5849"/>
    <w:rsid w:val="003B58B0"/>
    <w:rsid w:val="003B5A94"/>
    <w:rsid w:val="003B5B4D"/>
    <w:rsid w:val="003B5B93"/>
    <w:rsid w:val="003B5BCB"/>
    <w:rsid w:val="003B5CB4"/>
    <w:rsid w:val="003B5CE7"/>
    <w:rsid w:val="003B5D62"/>
    <w:rsid w:val="003B5D70"/>
    <w:rsid w:val="003B5DFD"/>
    <w:rsid w:val="003B5E1D"/>
    <w:rsid w:val="003B5E5B"/>
    <w:rsid w:val="003B5F45"/>
    <w:rsid w:val="003B5F65"/>
    <w:rsid w:val="003B6012"/>
    <w:rsid w:val="003B6028"/>
    <w:rsid w:val="003B60F0"/>
    <w:rsid w:val="003B61F1"/>
    <w:rsid w:val="003B6292"/>
    <w:rsid w:val="003B6417"/>
    <w:rsid w:val="003B64B9"/>
    <w:rsid w:val="003B6552"/>
    <w:rsid w:val="003B6675"/>
    <w:rsid w:val="003B6691"/>
    <w:rsid w:val="003B6758"/>
    <w:rsid w:val="003B6787"/>
    <w:rsid w:val="003B684B"/>
    <w:rsid w:val="003B69F2"/>
    <w:rsid w:val="003B6B06"/>
    <w:rsid w:val="003B6BE0"/>
    <w:rsid w:val="003B6BE4"/>
    <w:rsid w:val="003B6C1E"/>
    <w:rsid w:val="003B6D08"/>
    <w:rsid w:val="003B6D5F"/>
    <w:rsid w:val="003B6FE7"/>
    <w:rsid w:val="003B708B"/>
    <w:rsid w:val="003B7333"/>
    <w:rsid w:val="003B7476"/>
    <w:rsid w:val="003B7767"/>
    <w:rsid w:val="003B77E6"/>
    <w:rsid w:val="003B7864"/>
    <w:rsid w:val="003B78D1"/>
    <w:rsid w:val="003B78EC"/>
    <w:rsid w:val="003B78EE"/>
    <w:rsid w:val="003B7983"/>
    <w:rsid w:val="003B7A0F"/>
    <w:rsid w:val="003B7A26"/>
    <w:rsid w:val="003B7B11"/>
    <w:rsid w:val="003B7B8E"/>
    <w:rsid w:val="003B7B95"/>
    <w:rsid w:val="003B7BB2"/>
    <w:rsid w:val="003B7C02"/>
    <w:rsid w:val="003B7D1D"/>
    <w:rsid w:val="003B7D97"/>
    <w:rsid w:val="003B7E58"/>
    <w:rsid w:val="003B7F81"/>
    <w:rsid w:val="003C022C"/>
    <w:rsid w:val="003C0254"/>
    <w:rsid w:val="003C027F"/>
    <w:rsid w:val="003C049D"/>
    <w:rsid w:val="003C0572"/>
    <w:rsid w:val="003C071A"/>
    <w:rsid w:val="003C0881"/>
    <w:rsid w:val="003C0A83"/>
    <w:rsid w:val="003C0D21"/>
    <w:rsid w:val="003C0DF4"/>
    <w:rsid w:val="003C0E0A"/>
    <w:rsid w:val="003C0F44"/>
    <w:rsid w:val="003C12C0"/>
    <w:rsid w:val="003C1461"/>
    <w:rsid w:val="003C155F"/>
    <w:rsid w:val="003C16F9"/>
    <w:rsid w:val="003C186F"/>
    <w:rsid w:val="003C187E"/>
    <w:rsid w:val="003C1CA7"/>
    <w:rsid w:val="003C1E65"/>
    <w:rsid w:val="003C1ECA"/>
    <w:rsid w:val="003C2048"/>
    <w:rsid w:val="003C2061"/>
    <w:rsid w:val="003C20BC"/>
    <w:rsid w:val="003C24B4"/>
    <w:rsid w:val="003C2567"/>
    <w:rsid w:val="003C25BD"/>
    <w:rsid w:val="003C2828"/>
    <w:rsid w:val="003C2A63"/>
    <w:rsid w:val="003C2A73"/>
    <w:rsid w:val="003C2B63"/>
    <w:rsid w:val="003C2E3E"/>
    <w:rsid w:val="003C2E65"/>
    <w:rsid w:val="003C2F86"/>
    <w:rsid w:val="003C2F94"/>
    <w:rsid w:val="003C30FD"/>
    <w:rsid w:val="003C319E"/>
    <w:rsid w:val="003C33D9"/>
    <w:rsid w:val="003C342E"/>
    <w:rsid w:val="003C36A9"/>
    <w:rsid w:val="003C36E6"/>
    <w:rsid w:val="003C39F0"/>
    <w:rsid w:val="003C3B3E"/>
    <w:rsid w:val="003C3C03"/>
    <w:rsid w:val="003C3C11"/>
    <w:rsid w:val="003C3C7F"/>
    <w:rsid w:val="003C3D93"/>
    <w:rsid w:val="003C3D95"/>
    <w:rsid w:val="003C3DDC"/>
    <w:rsid w:val="003C3F30"/>
    <w:rsid w:val="003C3F72"/>
    <w:rsid w:val="003C3FFE"/>
    <w:rsid w:val="003C41BC"/>
    <w:rsid w:val="003C42CB"/>
    <w:rsid w:val="003C42EB"/>
    <w:rsid w:val="003C43C3"/>
    <w:rsid w:val="003C43CA"/>
    <w:rsid w:val="003C4695"/>
    <w:rsid w:val="003C46EB"/>
    <w:rsid w:val="003C47F8"/>
    <w:rsid w:val="003C489E"/>
    <w:rsid w:val="003C4A6E"/>
    <w:rsid w:val="003C4A86"/>
    <w:rsid w:val="003C4BA7"/>
    <w:rsid w:val="003C4C24"/>
    <w:rsid w:val="003C4C5C"/>
    <w:rsid w:val="003C4CAD"/>
    <w:rsid w:val="003C4D50"/>
    <w:rsid w:val="003C4D58"/>
    <w:rsid w:val="003C4D96"/>
    <w:rsid w:val="003C4DBD"/>
    <w:rsid w:val="003C4E23"/>
    <w:rsid w:val="003C4E3D"/>
    <w:rsid w:val="003C4F65"/>
    <w:rsid w:val="003C4F68"/>
    <w:rsid w:val="003C5177"/>
    <w:rsid w:val="003C5299"/>
    <w:rsid w:val="003C5493"/>
    <w:rsid w:val="003C549D"/>
    <w:rsid w:val="003C54A4"/>
    <w:rsid w:val="003C54EA"/>
    <w:rsid w:val="003C55D9"/>
    <w:rsid w:val="003C564C"/>
    <w:rsid w:val="003C5686"/>
    <w:rsid w:val="003C5A21"/>
    <w:rsid w:val="003C5C2B"/>
    <w:rsid w:val="003C5D29"/>
    <w:rsid w:val="003C5E5A"/>
    <w:rsid w:val="003C61B9"/>
    <w:rsid w:val="003C6353"/>
    <w:rsid w:val="003C6480"/>
    <w:rsid w:val="003C6534"/>
    <w:rsid w:val="003C65DC"/>
    <w:rsid w:val="003C661F"/>
    <w:rsid w:val="003C66E6"/>
    <w:rsid w:val="003C6790"/>
    <w:rsid w:val="003C6801"/>
    <w:rsid w:val="003C6931"/>
    <w:rsid w:val="003C6948"/>
    <w:rsid w:val="003C6D1A"/>
    <w:rsid w:val="003C6DB6"/>
    <w:rsid w:val="003C6E3B"/>
    <w:rsid w:val="003C6E4C"/>
    <w:rsid w:val="003C6EAB"/>
    <w:rsid w:val="003C70F5"/>
    <w:rsid w:val="003C717E"/>
    <w:rsid w:val="003C7260"/>
    <w:rsid w:val="003C727E"/>
    <w:rsid w:val="003C7395"/>
    <w:rsid w:val="003C74E4"/>
    <w:rsid w:val="003C767C"/>
    <w:rsid w:val="003C76B0"/>
    <w:rsid w:val="003C7739"/>
    <w:rsid w:val="003C7932"/>
    <w:rsid w:val="003C7A27"/>
    <w:rsid w:val="003C7B80"/>
    <w:rsid w:val="003C7E96"/>
    <w:rsid w:val="003C7F32"/>
    <w:rsid w:val="003C7FDB"/>
    <w:rsid w:val="003D007E"/>
    <w:rsid w:val="003D00DE"/>
    <w:rsid w:val="003D0119"/>
    <w:rsid w:val="003D01B8"/>
    <w:rsid w:val="003D01E3"/>
    <w:rsid w:val="003D033B"/>
    <w:rsid w:val="003D065E"/>
    <w:rsid w:val="003D070A"/>
    <w:rsid w:val="003D085D"/>
    <w:rsid w:val="003D0951"/>
    <w:rsid w:val="003D0A24"/>
    <w:rsid w:val="003D0BB6"/>
    <w:rsid w:val="003D0CB6"/>
    <w:rsid w:val="003D0D5E"/>
    <w:rsid w:val="003D0D7C"/>
    <w:rsid w:val="003D1058"/>
    <w:rsid w:val="003D114F"/>
    <w:rsid w:val="003D1407"/>
    <w:rsid w:val="003D143D"/>
    <w:rsid w:val="003D14AF"/>
    <w:rsid w:val="003D1688"/>
    <w:rsid w:val="003D1B20"/>
    <w:rsid w:val="003D1B75"/>
    <w:rsid w:val="003D1C07"/>
    <w:rsid w:val="003D1C2F"/>
    <w:rsid w:val="003D1EDC"/>
    <w:rsid w:val="003D2022"/>
    <w:rsid w:val="003D2105"/>
    <w:rsid w:val="003D25AB"/>
    <w:rsid w:val="003D27BA"/>
    <w:rsid w:val="003D27CF"/>
    <w:rsid w:val="003D2AC9"/>
    <w:rsid w:val="003D2AEB"/>
    <w:rsid w:val="003D2B17"/>
    <w:rsid w:val="003D2CFA"/>
    <w:rsid w:val="003D2D64"/>
    <w:rsid w:val="003D2D9C"/>
    <w:rsid w:val="003D2E22"/>
    <w:rsid w:val="003D2E27"/>
    <w:rsid w:val="003D2E47"/>
    <w:rsid w:val="003D2F9C"/>
    <w:rsid w:val="003D2FC7"/>
    <w:rsid w:val="003D3050"/>
    <w:rsid w:val="003D30D4"/>
    <w:rsid w:val="003D33B0"/>
    <w:rsid w:val="003D3588"/>
    <w:rsid w:val="003D35F1"/>
    <w:rsid w:val="003D38B9"/>
    <w:rsid w:val="003D38CD"/>
    <w:rsid w:val="003D3B92"/>
    <w:rsid w:val="003D3F70"/>
    <w:rsid w:val="003D4091"/>
    <w:rsid w:val="003D4178"/>
    <w:rsid w:val="003D41B0"/>
    <w:rsid w:val="003D42BB"/>
    <w:rsid w:val="003D4355"/>
    <w:rsid w:val="003D4484"/>
    <w:rsid w:val="003D4779"/>
    <w:rsid w:val="003D4921"/>
    <w:rsid w:val="003D4A04"/>
    <w:rsid w:val="003D4AD9"/>
    <w:rsid w:val="003D4AE6"/>
    <w:rsid w:val="003D4AF3"/>
    <w:rsid w:val="003D4B19"/>
    <w:rsid w:val="003D4B67"/>
    <w:rsid w:val="003D4C08"/>
    <w:rsid w:val="003D4DC5"/>
    <w:rsid w:val="003D4F10"/>
    <w:rsid w:val="003D5177"/>
    <w:rsid w:val="003D52B0"/>
    <w:rsid w:val="003D540A"/>
    <w:rsid w:val="003D55C5"/>
    <w:rsid w:val="003D572F"/>
    <w:rsid w:val="003D575F"/>
    <w:rsid w:val="003D584F"/>
    <w:rsid w:val="003D5893"/>
    <w:rsid w:val="003D5953"/>
    <w:rsid w:val="003D5A43"/>
    <w:rsid w:val="003D5BD2"/>
    <w:rsid w:val="003D5CB7"/>
    <w:rsid w:val="003D5E8C"/>
    <w:rsid w:val="003D5FF9"/>
    <w:rsid w:val="003D607E"/>
    <w:rsid w:val="003D6219"/>
    <w:rsid w:val="003D6256"/>
    <w:rsid w:val="003D63AD"/>
    <w:rsid w:val="003D63F8"/>
    <w:rsid w:val="003D685B"/>
    <w:rsid w:val="003D6897"/>
    <w:rsid w:val="003D69EE"/>
    <w:rsid w:val="003D6B68"/>
    <w:rsid w:val="003D735D"/>
    <w:rsid w:val="003D782D"/>
    <w:rsid w:val="003D7883"/>
    <w:rsid w:val="003D7934"/>
    <w:rsid w:val="003D7BCB"/>
    <w:rsid w:val="003D7C7E"/>
    <w:rsid w:val="003D7C9B"/>
    <w:rsid w:val="003D7DC7"/>
    <w:rsid w:val="003D7E29"/>
    <w:rsid w:val="003D7EC4"/>
    <w:rsid w:val="003D7FC0"/>
    <w:rsid w:val="003E003B"/>
    <w:rsid w:val="003E026D"/>
    <w:rsid w:val="003E036E"/>
    <w:rsid w:val="003E0496"/>
    <w:rsid w:val="003E04C5"/>
    <w:rsid w:val="003E05E0"/>
    <w:rsid w:val="003E073D"/>
    <w:rsid w:val="003E078C"/>
    <w:rsid w:val="003E09F8"/>
    <w:rsid w:val="003E0D16"/>
    <w:rsid w:val="003E0F7F"/>
    <w:rsid w:val="003E0FA3"/>
    <w:rsid w:val="003E10DA"/>
    <w:rsid w:val="003E11CD"/>
    <w:rsid w:val="003E138E"/>
    <w:rsid w:val="003E158C"/>
    <w:rsid w:val="003E16D5"/>
    <w:rsid w:val="003E1768"/>
    <w:rsid w:val="003E197E"/>
    <w:rsid w:val="003E1B2E"/>
    <w:rsid w:val="003E1CBF"/>
    <w:rsid w:val="003E1D05"/>
    <w:rsid w:val="003E1FFC"/>
    <w:rsid w:val="003E20D6"/>
    <w:rsid w:val="003E21D9"/>
    <w:rsid w:val="003E235C"/>
    <w:rsid w:val="003E24F0"/>
    <w:rsid w:val="003E25F4"/>
    <w:rsid w:val="003E28E3"/>
    <w:rsid w:val="003E2ACC"/>
    <w:rsid w:val="003E2C47"/>
    <w:rsid w:val="003E2D34"/>
    <w:rsid w:val="003E2E18"/>
    <w:rsid w:val="003E2F0F"/>
    <w:rsid w:val="003E2FD8"/>
    <w:rsid w:val="003E30AE"/>
    <w:rsid w:val="003E30C7"/>
    <w:rsid w:val="003E30D6"/>
    <w:rsid w:val="003E347F"/>
    <w:rsid w:val="003E352B"/>
    <w:rsid w:val="003E37B3"/>
    <w:rsid w:val="003E3955"/>
    <w:rsid w:val="003E3B73"/>
    <w:rsid w:val="003E3B82"/>
    <w:rsid w:val="003E3C8D"/>
    <w:rsid w:val="003E3E30"/>
    <w:rsid w:val="003E3F04"/>
    <w:rsid w:val="003E3F73"/>
    <w:rsid w:val="003E40C7"/>
    <w:rsid w:val="003E4168"/>
    <w:rsid w:val="003E42EF"/>
    <w:rsid w:val="003E440F"/>
    <w:rsid w:val="003E455C"/>
    <w:rsid w:val="003E4566"/>
    <w:rsid w:val="003E4686"/>
    <w:rsid w:val="003E47D2"/>
    <w:rsid w:val="003E4818"/>
    <w:rsid w:val="003E4ADF"/>
    <w:rsid w:val="003E4BCB"/>
    <w:rsid w:val="003E4C81"/>
    <w:rsid w:val="003E4D87"/>
    <w:rsid w:val="003E4E1F"/>
    <w:rsid w:val="003E5051"/>
    <w:rsid w:val="003E51EC"/>
    <w:rsid w:val="003E5264"/>
    <w:rsid w:val="003E535D"/>
    <w:rsid w:val="003E54A4"/>
    <w:rsid w:val="003E5597"/>
    <w:rsid w:val="003E55DB"/>
    <w:rsid w:val="003E55F0"/>
    <w:rsid w:val="003E5652"/>
    <w:rsid w:val="003E56A9"/>
    <w:rsid w:val="003E57CE"/>
    <w:rsid w:val="003E57EF"/>
    <w:rsid w:val="003E5A57"/>
    <w:rsid w:val="003E5ABF"/>
    <w:rsid w:val="003E5BA9"/>
    <w:rsid w:val="003E5CDA"/>
    <w:rsid w:val="003E5DE4"/>
    <w:rsid w:val="003E5F7D"/>
    <w:rsid w:val="003E5F83"/>
    <w:rsid w:val="003E608A"/>
    <w:rsid w:val="003E6251"/>
    <w:rsid w:val="003E62B7"/>
    <w:rsid w:val="003E63D2"/>
    <w:rsid w:val="003E63DD"/>
    <w:rsid w:val="003E6694"/>
    <w:rsid w:val="003E6697"/>
    <w:rsid w:val="003E6750"/>
    <w:rsid w:val="003E6765"/>
    <w:rsid w:val="003E680C"/>
    <w:rsid w:val="003E687C"/>
    <w:rsid w:val="003E68C0"/>
    <w:rsid w:val="003E6AF8"/>
    <w:rsid w:val="003E6C77"/>
    <w:rsid w:val="003E6D32"/>
    <w:rsid w:val="003E6D36"/>
    <w:rsid w:val="003E6D44"/>
    <w:rsid w:val="003E6DB3"/>
    <w:rsid w:val="003E6E1B"/>
    <w:rsid w:val="003E6FF0"/>
    <w:rsid w:val="003E6FFB"/>
    <w:rsid w:val="003E7140"/>
    <w:rsid w:val="003E7156"/>
    <w:rsid w:val="003E7397"/>
    <w:rsid w:val="003E73FF"/>
    <w:rsid w:val="003E751B"/>
    <w:rsid w:val="003E76AC"/>
    <w:rsid w:val="003E76EF"/>
    <w:rsid w:val="003E778E"/>
    <w:rsid w:val="003E7862"/>
    <w:rsid w:val="003E79D4"/>
    <w:rsid w:val="003E7B8C"/>
    <w:rsid w:val="003E7CF4"/>
    <w:rsid w:val="003E7D58"/>
    <w:rsid w:val="003E7D83"/>
    <w:rsid w:val="003E7E44"/>
    <w:rsid w:val="003E7E73"/>
    <w:rsid w:val="003E7F22"/>
    <w:rsid w:val="003E7FFB"/>
    <w:rsid w:val="003F01B7"/>
    <w:rsid w:val="003F01E7"/>
    <w:rsid w:val="003F0287"/>
    <w:rsid w:val="003F05D4"/>
    <w:rsid w:val="003F0761"/>
    <w:rsid w:val="003F0768"/>
    <w:rsid w:val="003F0831"/>
    <w:rsid w:val="003F095E"/>
    <w:rsid w:val="003F0A25"/>
    <w:rsid w:val="003F0A6A"/>
    <w:rsid w:val="003F0B0B"/>
    <w:rsid w:val="003F0D07"/>
    <w:rsid w:val="003F0D7E"/>
    <w:rsid w:val="003F0DC2"/>
    <w:rsid w:val="003F0E24"/>
    <w:rsid w:val="003F0E31"/>
    <w:rsid w:val="003F0F48"/>
    <w:rsid w:val="003F0FEF"/>
    <w:rsid w:val="003F1424"/>
    <w:rsid w:val="003F145E"/>
    <w:rsid w:val="003F146B"/>
    <w:rsid w:val="003F14B7"/>
    <w:rsid w:val="003F14DE"/>
    <w:rsid w:val="003F1653"/>
    <w:rsid w:val="003F166E"/>
    <w:rsid w:val="003F1790"/>
    <w:rsid w:val="003F185F"/>
    <w:rsid w:val="003F193A"/>
    <w:rsid w:val="003F19D4"/>
    <w:rsid w:val="003F19D8"/>
    <w:rsid w:val="003F19FE"/>
    <w:rsid w:val="003F1B1F"/>
    <w:rsid w:val="003F1FB3"/>
    <w:rsid w:val="003F22A2"/>
    <w:rsid w:val="003F22A4"/>
    <w:rsid w:val="003F239F"/>
    <w:rsid w:val="003F2470"/>
    <w:rsid w:val="003F2484"/>
    <w:rsid w:val="003F25A8"/>
    <w:rsid w:val="003F25B0"/>
    <w:rsid w:val="003F2667"/>
    <w:rsid w:val="003F2742"/>
    <w:rsid w:val="003F2752"/>
    <w:rsid w:val="003F28F1"/>
    <w:rsid w:val="003F2988"/>
    <w:rsid w:val="003F29A2"/>
    <w:rsid w:val="003F29BB"/>
    <w:rsid w:val="003F2AAE"/>
    <w:rsid w:val="003F2B25"/>
    <w:rsid w:val="003F2C4B"/>
    <w:rsid w:val="003F2CDA"/>
    <w:rsid w:val="003F2DB1"/>
    <w:rsid w:val="003F2DE3"/>
    <w:rsid w:val="003F2E96"/>
    <w:rsid w:val="003F2F2E"/>
    <w:rsid w:val="003F2F53"/>
    <w:rsid w:val="003F30B1"/>
    <w:rsid w:val="003F3303"/>
    <w:rsid w:val="003F3456"/>
    <w:rsid w:val="003F36B0"/>
    <w:rsid w:val="003F38C7"/>
    <w:rsid w:val="003F38D7"/>
    <w:rsid w:val="003F3A40"/>
    <w:rsid w:val="003F3A49"/>
    <w:rsid w:val="003F3AB0"/>
    <w:rsid w:val="003F3BAF"/>
    <w:rsid w:val="003F3BDC"/>
    <w:rsid w:val="003F3C55"/>
    <w:rsid w:val="003F3E59"/>
    <w:rsid w:val="003F404A"/>
    <w:rsid w:val="003F4090"/>
    <w:rsid w:val="003F4181"/>
    <w:rsid w:val="003F41F4"/>
    <w:rsid w:val="003F42B8"/>
    <w:rsid w:val="003F42D3"/>
    <w:rsid w:val="003F433B"/>
    <w:rsid w:val="003F43C1"/>
    <w:rsid w:val="003F43F1"/>
    <w:rsid w:val="003F4503"/>
    <w:rsid w:val="003F453C"/>
    <w:rsid w:val="003F499F"/>
    <w:rsid w:val="003F4B13"/>
    <w:rsid w:val="003F4B75"/>
    <w:rsid w:val="003F4D64"/>
    <w:rsid w:val="003F4EE7"/>
    <w:rsid w:val="003F4EEC"/>
    <w:rsid w:val="003F4F46"/>
    <w:rsid w:val="003F52BC"/>
    <w:rsid w:val="003F5370"/>
    <w:rsid w:val="003F538E"/>
    <w:rsid w:val="003F545F"/>
    <w:rsid w:val="003F54F4"/>
    <w:rsid w:val="003F5610"/>
    <w:rsid w:val="003F56C0"/>
    <w:rsid w:val="003F5764"/>
    <w:rsid w:val="003F5887"/>
    <w:rsid w:val="003F5921"/>
    <w:rsid w:val="003F59AB"/>
    <w:rsid w:val="003F5A14"/>
    <w:rsid w:val="003F5A8F"/>
    <w:rsid w:val="003F5B43"/>
    <w:rsid w:val="003F5C1A"/>
    <w:rsid w:val="003F5C73"/>
    <w:rsid w:val="003F5CCB"/>
    <w:rsid w:val="003F5E1E"/>
    <w:rsid w:val="003F5EED"/>
    <w:rsid w:val="003F5F01"/>
    <w:rsid w:val="003F5F22"/>
    <w:rsid w:val="003F60FF"/>
    <w:rsid w:val="003F6145"/>
    <w:rsid w:val="003F618C"/>
    <w:rsid w:val="003F629D"/>
    <w:rsid w:val="003F62BF"/>
    <w:rsid w:val="003F632E"/>
    <w:rsid w:val="003F6357"/>
    <w:rsid w:val="003F6374"/>
    <w:rsid w:val="003F64F3"/>
    <w:rsid w:val="003F658E"/>
    <w:rsid w:val="003F66F4"/>
    <w:rsid w:val="003F6840"/>
    <w:rsid w:val="003F68CA"/>
    <w:rsid w:val="003F6B11"/>
    <w:rsid w:val="003F6DAF"/>
    <w:rsid w:val="003F6EDD"/>
    <w:rsid w:val="003F704C"/>
    <w:rsid w:val="003F7129"/>
    <w:rsid w:val="003F7187"/>
    <w:rsid w:val="003F71AC"/>
    <w:rsid w:val="003F7336"/>
    <w:rsid w:val="003F7386"/>
    <w:rsid w:val="003F749F"/>
    <w:rsid w:val="003F7530"/>
    <w:rsid w:val="003F7553"/>
    <w:rsid w:val="003F756A"/>
    <w:rsid w:val="003F75E8"/>
    <w:rsid w:val="003F78AA"/>
    <w:rsid w:val="003F7909"/>
    <w:rsid w:val="003F79DC"/>
    <w:rsid w:val="003F7C8D"/>
    <w:rsid w:val="003F7CF7"/>
    <w:rsid w:val="003F7D4F"/>
    <w:rsid w:val="003F7D9F"/>
    <w:rsid w:val="0040004B"/>
    <w:rsid w:val="004005EE"/>
    <w:rsid w:val="00400735"/>
    <w:rsid w:val="00400856"/>
    <w:rsid w:val="004008D3"/>
    <w:rsid w:val="00400913"/>
    <w:rsid w:val="004009CB"/>
    <w:rsid w:val="004009D7"/>
    <w:rsid w:val="004009F6"/>
    <w:rsid w:val="00400BA9"/>
    <w:rsid w:val="00400C5F"/>
    <w:rsid w:val="00400C9C"/>
    <w:rsid w:val="00400D74"/>
    <w:rsid w:val="00400E8D"/>
    <w:rsid w:val="00400F44"/>
    <w:rsid w:val="00400FBF"/>
    <w:rsid w:val="00401028"/>
    <w:rsid w:val="00401034"/>
    <w:rsid w:val="00401082"/>
    <w:rsid w:val="00401114"/>
    <w:rsid w:val="004011AF"/>
    <w:rsid w:val="0040131B"/>
    <w:rsid w:val="004014E0"/>
    <w:rsid w:val="004016F8"/>
    <w:rsid w:val="004018F2"/>
    <w:rsid w:val="004018FC"/>
    <w:rsid w:val="00401B75"/>
    <w:rsid w:val="00401D2E"/>
    <w:rsid w:val="00401D3F"/>
    <w:rsid w:val="00401DAE"/>
    <w:rsid w:val="00401E43"/>
    <w:rsid w:val="00402029"/>
    <w:rsid w:val="00402068"/>
    <w:rsid w:val="004020D4"/>
    <w:rsid w:val="0040215B"/>
    <w:rsid w:val="0040217B"/>
    <w:rsid w:val="004021E6"/>
    <w:rsid w:val="0040244A"/>
    <w:rsid w:val="0040255A"/>
    <w:rsid w:val="004025A1"/>
    <w:rsid w:val="00402645"/>
    <w:rsid w:val="004026E2"/>
    <w:rsid w:val="0040272F"/>
    <w:rsid w:val="004027CF"/>
    <w:rsid w:val="00402B10"/>
    <w:rsid w:val="00402C6B"/>
    <w:rsid w:val="00402CA7"/>
    <w:rsid w:val="00402D89"/>
    <w:rsid w:val="00402DD1"/>
    <w:rsid w:val="00402EDB"/>
    <w:rsid w:val="00402F57"/>
    <w:rsid w:val="00403066"/>
    <w:rsid w:val="0040311B"/>
    <w:rsid w:val="004031EC"/>
    <w:rsid w:val="00403360"/>
    <w:rsid w:val="00403533"/>
    <w:rsid w:val="004035DF"/>
    <w:rsid w:val="0040365F"/>
    <w:rsid w:val="004036A0"/>
    <w:rsid w:val="00403957"/>
    <w:rsid w:val="00403BDB"/>
    <w:rsid w:val="00403C2D"/>
    <w:rsid w:val="00403D89"/>
    <w:rsid w:val="00403E31"/>
    <w:rsid w:val="00403F1F"/>
    <w:rsid w:val="00403F57"/>
    <w:rsid w:val="00404009"/>
    <w:rsid w:val="00404072"/>
    <w:rsid w:val="00404182"/>
    <w:rsid w:val="00404212"/>
    <w:rsid w:val="00404279"/>
    <w:rsid w:val="00404439"/>
    <w:rsid w:val="0040455A"/>
    <w:rsid w:val="0040462C"/>
    <w:rsid w:val="004047A9"/>
    <w:rsid w:val="00404865"/>
    <w:rsid w:val="00404888"/>
    <w:rsid w:val="004049C5"/>
    <w:rsid w:val="004049D2"/>
    <w:rsid w:val="00404AF2"/>
    <w:rsid w:val="00404B34"/>
    <w:rsid w:val="00404B3E"/>
    <w:rsid w:val="00404BAD"/>
    <w:rsid w:val="00404E0D"/>
    <w:rsid w:val="00404E3C"/>
    <w:rsid w:val="00404FB5"/>
    <w:rsid w:val="00404FBB"/>
    <w:rsid w:val="00404FE3"/>
    <w:rsid w:val="00405002"/>
    <w:rsid w:val="00405154"/>
    <w:rsid w:val="004052BA"/>
    <w:rsid w:val="00405376"/>
    <w:rsid w:val="0040540E"/>
    <w:rsid w:val="004054A6"/>
    <w:rsid w:val="004054FC"/>
    <w:rsid w:val="00405536"/>
    <w:rsid w:val="0040563F"/>
    <w:rsid w:val="0040571C"/>
    <w:rsid w:val="004058C5"/>
    <w:rsid w:val="00405BC1"/>
    <w:rsid w:val="00405D06"/>
    <w:rsid w:val="00405EC4"/>
    <w:rsid w:val="00406091"/>
    <w:rsid w:val="004060BF"/>
    <w:rsid w:val="00406196"/>
    <w:rsid w:val="00406298"/>
    <w:rsid w:val="00406726"/>
    <w:rsid w:val="00406757"/>
    <w:rsid w:val="00406A46"/>
    <w:rsid w:val="00406B52"/>
    <w:rsid w:val="00406C51"/>
    <w:rsid w:val="00406D28"/>
    <w:rsid w:val="00406DA0"/>
    <w:rsid w:val="00406F36"/>
    <w:rsid w:val="00406F80"/>
    <w:rsid w:val="004073DB"/>
    <w:rsid w:val="00407501"/>
    <w:rsid w:val="004075AF"/>
    <w:rsid w:val="00407665"/>
    <w:rsid w:val="00407674"/>
    <w:rsid w:val="00407680"/>
    <w:rsid w:val="004076E9"/>
    <w:rsid w:val="0040776F"/>
    <w:rsid w:val="00407798"/>
    <w:rsid w:val="00407861"/>
    <w:rsid w:val="004079F7"/>
    <w:rsid w:val="00407B31"/>
    <w:rsid w:val="00407B56"/>
    <w:rsid w:val="00407C38"/>
    <w:rsid w:val="00407CD3"/>
    <w:rsid w:val="00407F4D"/>
    <w:rsid w:val="00410168"/>
    <w:rsid w:val="00410360"/>
    <w:rsid w:val="00410392"/>
    <w:rsid w:val="00410507"/>
    <w:rsid w:val="0041051F"/>
    <w:rsid w:val="004105F8"/>
    <w:rsid w:val="00410819"/>
    <w:rsid w:val="004108DC"/>
    <w:rsid w:val="00410A87"/>
    <w:rsid w:val="00410DF5"/>
    <w:rsid w:val="00410ECF"/>
    <w:rsid w:val="0041126E"/>
    <w:rsid w:val="004112E5"/>
    <w:rsid w:val="00411316"/>
    <w:rsid w:val="0041131C"/>
    <w:rsid w:val="00411415"/>
    <w:rsid w:val="004115DE"/>
    <w:rsid w:val="004117E2"/>
    <w:rsid w:val="00411864"/>
    <w:rsid w:val="004118A2"/>
    <w:rsid w:val="00411A37"/>
    <w:rsid w:val="00411BEB"/>
    <w:rsid w:val="00411C2B"/>
    <w:rsid w:val="00411E96"/>
    <w:rsid w:val="00412048"/>
    <w:rsid w:val="0041216C"/>
    <w:rsid w:val="004121D8"/>
    <w:rsid w:val="0041221A"/>
    <w:rsid w:val="00412310"/>
    <w:rsid w:val="0041232B"/>
    <w:rsid w:val="00412339"/>
    <w:rsid w:val="00412369"/>
    <w:rsid w:val="0041243A"/>
    <w:rsid w:val="0041254A"/>
    <w:rsid w:val="00412873"/>
    <w:rsid w:val="0041289D"/>
    <w:rsid w:val="004128B9"/>
    <w:rsid w:val="004129CC"/>
    <w:rsid w:val="00412B86"/>
    <w:rsid w:val="00412BD2"/>
    <w:rsid w:val="00412D3F"/>
    <w:rsid w:val="00412DC2"/>
    <w:rsid w:val="00412DD9"/>
    <w:rsid w:val="00412E13"/>
    <w:rsid w:val="00412E35"/>
    <w:rsid w:val="00413333"/>
    <w:rsid w:val="00413494"/>
    <w:rsid w:val="00413642"/>
    <w:rsid w:val="004136B6"/>
    <w:rsid w:val="0041385B"/>
    <w:rsid w:val="0041391C"/>
    <w:rsid w:val="0041396D"/>
    <w:rsid w:val="004139AD"/>
    <w:rsid w:val="004139B8"/>
    <w:rsid w:val="00413C55"/>
    <w:rsid w:val="00413E39"/>
    <w:rsid w:val="00413EDB"/>
    <w:rsid w:val="00413F18"/>
    <w:rsid w:val="00413F70"/>
    <w:rsid w:val="00414157"/>
    <w:rsid w:val="0041448C"/>
    <w:rsid w:val="004144ED"/>
    <w:rsid w:val="00414666"/>
    <w:rsid w:val="0041475C"/>
    <w:rsid w:val="0041497E"/>
    <w:rsid w:val="00414AB5"/>
    <w:rsid w:val="00414B33"/>
    <w:rsid w:val="00414CD9"/>
    <w:rsid w:val="00414D92"/>
    <w:rsid w:val="00414DD1"/>
    <w:rsid w:val="00414E33"/>
    <w:rsid w:val="004150CE"/>
    <w:rsid w:val="00415195"/>
    <w:rsid w:val="00415509"/>
    <w:rsid w:val="00415696"/>
    <w:rsid w:val="00415980"/>
    <w:rsid w:val="00415E4E"/>
    <w:rsid w:val="00415E73"/>
    <w:rsid w:val="00415E7D"/>
    <w:rsid w:val="00415FB7"/>
    <w:rsid w:val="00415FBA"/>
    <w:rsid w:val="0041602C"/>
    <w:rsid w:val="004160FC"/>
    <w:rsid w:val="00416187"/>
    <w:rsid w:val="0041622E"/>
    <w:rsid w:val="004162C3"/>
    <w:rsid w:val="00416650"/>
    <w:rsid w:val="0041673F"/>
    <w:rsid w:val="00416762"/>
    <w:rsid w:val="004168A7"/>
    <w:rsid w:val="00416A3F"/>
    <w:rsid w:val="00416AC3"/>
    <w:rsid w:val="00416ADA"/>
    <w:rsid w:val="00416C78"/>
    <w:rsid w:val="00416E1A"/>
    <w:rsid w:val="00416E55"/>
    <w:rsid w:val="00416F53"/>
    <w:rsid w:val="00417004"/>
    <w:rsid w:val="0041702B"/>
    <w:rsid w:val="004171E4"/>
    <w:rsid w:val="0041722A"/>
    <w:rsid w:val="004172A1"/>
    <w:rsid w:val="00417498"/>
    <w:rsid w:val="004174DC"/>
    <w:rsid w:val="00417548"/>
    <w:rsid w:val="00417652"/>
    <w:rsid w:val="004176E6"/>
    <w:rsid w:val="00417759"/>
    <w:rsid w:val="0041780C"/>
    <w:rsid w:val="0041784D"/>
    <w:rsid w:val="00417BA1"/>
    <w:rsid w:val="00417D0C"/>
    <w:rsid w:val="00417EF3"/>
    <w:rsid w:val="00417EF8"/>
    <w:rsid w:val="00417FCD"/>
    <w:rsid w:val="00420048"/>
    <w:rsid w:val="0042006D"/>
    <w:rsid w:val="0042021F"/>
    <w:rsid w:val="0042023F"/>
    <w:rsid w:val="004202B2"/>
    <w:rsid w:val="0042039B"/>
    <w:rsid w:val="00420470"/>
    <w:rsid w:val="00420477"/>
    <w:rsid w:val="00420509"/>
    <w:rsid w:val="00420537"/>
    <w:rsid w:val="0042056A"/>
    <w:rsid w:val="00420662"/>
    <w:rsid w:val="00420688"/>
    <w:rsid w:val="004206C0"/>
    <w:rsid w:val="0042084E"/>
    <w:rsid w:val="00420857"/>
    <w:rsid w:val="0042093A"/>
    <w:rsid w:val="00420AFA"/>
    <w:rsid w:val="00420D91"/>
    <w:rsid w:val="00420EA1"/>
    <w:rsid w:val="00420EA9"/>
    <w:rsid w:val="00420EC1"/>
    <w:rsid w:val="00420FC2"/>
    <w:rsid w:val="004211DB"/>
    <w:rsid w:val="00421234"/>
    <w:rsid w:val="004215AF"/>
    <w:rsid w:val="00421604"/>
    <w:rsid w:val="00421642"/>
    <w:rsid w:val="0042164D"/>
    <w:rsid w:val="004217E6"/>
    <w:rsid w:val="0042182E"/>
    <w:rsid w:val="0042193E"/>
    <w:rsid w:val="00421950"/>
    <w:rsid w:val="00421955"/>
    <w:rsid w:val="00421ADD"/>
    <w:rsid w:val="00421B37"/>
    <w:rsid w:val="00421E2E"/>
    <w:rsid w:val="00421EC0"/>
    <w:rsid w:val="00422064"/>
    <w:rsid w:val="00422151"/>
    <w:rsid w:val="0042233F"/>
    <w:rsid w:val="004224A2"/>
    <w:rsid w:val="0042258D"/>
    <w:rsid w:val="0042261F"/>
    <w:rsid w:val="004226D0"/>
    <w:rsid w:val="00422745"/>
    <w:rsid w:val="004228C8"/>
    <w:rsid w:val="004228E8"/>
    <w:rsid w:val="00422A36"/>
    <w:rsid w:val="00422AAD"/>
    <w:rsid w:val="00422C4B"/>
    <w:rsid w:val="00422DBC"/>
    <w:rsid w:val="00422DDB"/>
    <w:rsid w:val="00422E09"/>
    <w:rsid w:val="00422F51"/>
    <w:rsid w:val="004231D6"/>
    <w:rsid w:val="00423245"/>
    <w:rsid w:val="004233EB"/>
    <w:rsid w:val="0042340F"/>
    <w:rsid w:val="0042350C"/>
    <w:rsid w:val="00423642"/>
    <w:rsid w:val="00423680"/>
    <w:rsid w:val="00423862"/>
    <w:rsid w:val="00423929"/>
    <w:rsid w:val="00423A5E"/>
    <w:rsid w:val="00423A7D"/>
    <w:rsid w:val="00423AD7"/>
    <w:rsid w:val="00423B6D"/>
    <w:rsid w:val="00423BB2"/>
    <w:rsid w:val="00423D6E"/>
    <w:rsid w:val="00423DDE"/>
    <w:rsid w:val="00423F60"/>
    <w:rsid w:val="00423FB3"/>
    <w:rsid w:val="00424145"/>
    <w:rsid w:val="00424359"/>
    <w:rsid w:val="004243EB"/>
    <w:rsid w:val="004245B5"/>
    <w:rsid w:val="00424639"/>
    <w:rsid w:val="00424676"/>
    <w:rsid w:val="0042492C"/>
    <w:rsid w:val="00424A0D"/>
    <w:rsid w:val="00424A99"/>
    <w:rsid w:val="00424B2D"/>
    <w:rsid w:val="00424E7B"/>
    <w:rsid w:val="00424E88"/>
    <w:rsid w:val="00424EE6"/>
    <w:rsid w:val="0042518A"/>
    <w:rsid w:val="0042522F"/>
    <w:rsid w:val="0042532C"/>
    <w:rsid w:val="00425486"/>
    <w:rsid w:val="004254EC"/>
    <w:rsid w:val="004255AF"/>
    <w:rsid w:val="004256B5"/>
    <w:rsid w:val="0042574C"/>
    <w:rsid w:val="00425B8A"/>
    <w:rsid w:val="00425B96"/>
    <w:rsid w:val="00425C20"/>
    <w:rsid w:val="00425C90"/>
    <w:rsid w:val="00425DCD"/>
    <w:rsid w:val="00425E06"/>
    <w:rsid w:val="004260BB"/>
    <w:rsid w:val="004260BD"/>
    <w:rsid w:val="004260ED"/>
    <w:rsid w:val="004260F2"/>
    <w:rsid w:val="00426119"/>
    <w:rsid w:val="0042616F"/>
    <w:rsid w:val="0042618C"/>
    <w:rsid w:val="00426346"/>
    <w:rsid w:val="0042635A"/>
    <w:rsid w:val="00426393"/>
    <w:rsid w:val="004264B3"/>
    <w:rsid w:val="0042655E"/>
    <w:rsid w:val="004266A1"/>
    <w:rsid w:val="004267ED"/>
    <w:rsid w:val="004268B2"/>
    <w:rsid w:val="00426907"/>
    <w:rsid w:val="00426A3B"/>
    <w:rsid w:val="00426AA8"/>
    <w:rsid w:val="00426B54"/>
    <w:rsid w:val="00426C06"/>
    <w:rsid w:val="00426E7A"/>
    <w:rsid w:val="00426F71"/>
    <w:rsid w:val="00427144"/>
    <w:rsid w:val="004273E8"/>
    <w:rsid w:val="0042760B"/>
    <w:rsid w:val="004276A0"/>
    <w:rsid w:val="004276BE"/>
    <w:rsid w:val="004276FC"/>
    <w:rsid w:val="0042773E"/>
    <w:rsid w:val="0042774C"/>
    <w:rsid w:val="0042779E"/>
    <w:rsid w:val="00427887"/>
    <w:rsid w:val="004278F5"/>
    <w:rsid w:val="00427901"/>
    <w:rsid w:val="00427962"/>
    <w:rsid w:val="00427A1E"/>
    <w:rsid w:val="00427A3D"/>
    <w:rsid w:val="00427B0A"/>
    <w:rsid w:val="00427C45"/>
    <w:rsid w:val="00427C57"/>
    <w:rsid w:val="00427C5D"/>
    <w:rsid w:val="00427EF0"/>
    <w:rsid w:val="00427F32"/>
    <w:rsid w:val="00427FED"/>
    <w:rsid w:val="004300D1"/>
    <w:rsid w:val="00430334"/>
    <w:rsid w:val="0043037D"/>
    <w:rsid w:val="004305EC"/>
    <w:rsid w:val="004306AD"/>
    <w:rsid w:val="0043070D"/>
    <w:rsid w:val="00430807"/>
    <w:rsid w:val="00430953"/>
    <w:rsid w:val="004309D2"/>
    <w:rsid w:val="004309F0"/>
    <w:rsid w:val="00430A8D"/>
    <w:rsid w:val="00430C1D"/>
    <w:rsid w:val="00430C6C"/>
    <w:rsid w:val="00430D0C"/>
    <w:rsid w:val="00430D64"/>
    <w:rsid w:val="00430D6D"/>
    <w:rsid w:val="00430DD3"/>
    <w:rsid w:val="00430F82"/>
    <w:rsid w:val="0043114A"/>
    <w:rsid w:val="00431175"/>
    <w:rsid w:val="00431179"/>
    <w:rsid w:val="00431280"/>
    <w:rsid w:val="0043142A"/>
    <w:rsid w:val="004314BA"/>
    <w:rsid w:val="0043168D"/>
    <w:rsid w:val="004316E6"/>
    <w:rsid w:val="004318B5"/>
    <w:rsid w:val="00431A4C"/>
    <w:rsid w:val="00431AEE"/>
    <w:rsid w:val="00431BFA"/>
    <w:rsid w:val="00431C3B"/>
    <w:rsid w:val="00431C9D"/>
    <w:rsid w:val="00432032"/>
    <w:rsid w:val="004320BD"/>
    <w:rsid w:val="004320DF"/>
    <w:rsid w:val="004320F6"/>
    <w:rsid w:val="004323D3"/>
    <w:rsid w:val="004323E5"/>
    <w:rsid w:val="00432416"/>
    <w:rsid w:val="00432483"/>
    <w:rsid w:val="004325AA"/>
    <w:rsid w:val="00432810"/>
    <w:rsid w:val="00432A5F"/>
    <w:rsid w:val="00432A73"/>
    <w:rsid w:val="00432B05"/>
    <w:rsid w:val="00432B6F"/>
    <w:rsid w:val="00432BB6"/>
    <w:rsid w:val="00432BD9"/>
    <w:rsid w:val="00432E42"/>
    <w:rsid w:val="00432E5B"/>
    <w:rsid w:val="00432F1C"/>
    <w:rsid w:val="004330F6"/>
    <w:rsid w:val="0043311C"/>
    <w:rsid w:val="004332AD"/>
    <w:rsid w:val="004333D1"/>
    <w:rsid w:val="0043340E"/>
    <w:rsid w:val="00433501"/>
    <w:rsid w:val="0043350D"/>
    <w:rsid w:val="00433522"/>
    <w:rsid w:val="004335CE"/>
    <w:rsid w:val="004336B5"/>
    <w:rsid w:val="00433748"/>
    <w:rsid w:val="00433858"/>
    <w:rsid w:val="0043394F"/>
    <w:rsid w:val="00433A4A"/>
    <w:rsid w:val="00433A58"/>
    <w:rsid w:val="00433AD2"/>
    <w:rsid w:val="00433C09"/>
    <w:rsid w:val="00433C1B"/>
    <w:rsid w:val="00433F98"/>
    <w:rsid w:val="00433FA3"/>
    <w:rsid w:val="0043417D"/>
    <w:rsid w:val="004343AE"/>
    <w:rsid w:val="00434568"/>
    <w:rsid w:val="00434715"/>
    <w:rsid w:val="00434922"/>
    <w:rsid w:val="00434A9A"/>
    <w:rsid w:val="00434BC7"/>
    <w:rsid w:val="00434BE3"/>
    <w:rsid w:val="00434BF0"/>
    <w:rsid w:val="00434C1D"/>
    <w:rsid w:val="00434E50"/>
    <w:rsid w:val="00434F1F"/>
    <w:rsid w:val="00434FDE"/>
    <w:rsid w:val="0043509B"/>
    <w:rsid w:val="00435155"/>
    <w:rsid w:val="004351D6"/>
    <w:rsid w:val="0043520B"/>
    <w:rsid w:val="0043529B"/>
    <w:rsid w:val="00435345"/>
    <w:rsid w:val="0043535B"/>
    <w:rsid w:val="004358B5"/>
    <w:rsid w:val="00435A36"/>
    <w:rsid w:val="00435D1E"/>
    <w:rsid w:val="00435FC8"/>
    <w:rsid w:val="00436029"/>
    <w:rsid w:val="004362FB"/>
    <w:rsid w:val="00436418"/>
    <w:rsid w:val="0043646C"/>
    <w:rsid w:val="004364C7"/>
    <w:rsid w:val="00436598"/>
    <w:rsid w:val="004365E0"/>
    <w:rsid w:val="00436667"/>
    <w:rsid w:val="0043669C"/>
    <w:rsid w:val="00436882"/>
    <w:rsid w:val="0043688C"/>
    <w:rsid w:val="00436948"/>
    <w:rsid w:val="00436957"/>
    <w:rsid w:val="00436972"/>
    <w:rsid w:val="00436BDE"/>
    <w:rsid w:val="00436D2A"/>
    <w:rsid w:val="00436D92"/>
    <w:rsid w:val="00436DD4"/>
    <w:rsid w:val="00436F7D"/>
    <w:rsid w:val="004370DE"/>
    <w:rsid w:val="004371B8"/>
    <w:rsid w:val="004371C8"/>
    <w:rsid w:val="00437302"/>
    <w:rsid w:val="00437339"/>
    <w:rsid w:val="00437654"/>
    <w:rsid w:val="00437688"/>
    <w:rsid w:val="004376D6"/>
    <w:rsid w:val="0043771D"/>
    <w:rsid w:val="00437768"/>
    <w:rsid w:val="004378F7"/>
    <w:rsid w:val="00437A67"/>
    <w:rsid w:val="00437CD7"/>
    <w:rsid w:val="00437E21"/>
    <w:rsid w:val="00437EE9"/>
    <w:rsid w:val="00437FAC"/>
    <w:rsid w:val="0044027B"/>
    <w:rsid w:val="00440438"/>
    <w:rsid w:val="004404B3"/>
    <w:rsid w:val="00440588"/>
    <w:rsid w:val="00440A34"/>
    <w:rsid w:val="00440A9F"/>
    <w:rsid w:val="00440AB8"/>
    <w:rsid w:val="00440ABA"/>
    <w:rsid w:val="00440B22"/>
    <w:rsid w:val="00440D11"/>
    <w:rsid w:val="00440FA6"/>
    <w:rsid w:val="00441034"/>
    <w:rsid w:val="00441076"/>
    <w:rsid w:val="004410BA"/>
    <w:rsid w:val="00441146"/>
    <w:rsid w:val="0044115B"/>
    <w:rsid w:val="00441249"/>
    <w:rsid w:val="004412EA"/>
    <w:rsid w:val="00441624"/>
    <w:rsid w:val="00441695"/>
    <w:rsid w:val="004418CA"/>
    <w:rsid w:val="004419D9"/>
    <w:rsid w:val="00441B3E"/>
    <w:rsid w:val="00441CBE"/>
    <w:rsid w:val="00441E09"/>
    <w:rsid w:val="00441E83"/>
    <w:rsid w:val="00441EC1"/>
    <w:rsid w:val="00441FFA"/>
    <w:rsid w:val="0044201F"/>
    <w:rsid w:val="00442107"/>
    <w:rsid w:val="00442187"/>
    <w:rsid w:val="0044219B"/>
    <w:rsid w:val="004422CA"/>
    <w:rsid w:val="00442473"/>
    <w:rsid w:val="00442481"/>
    <w:rsid w:val="0044254F"/>
    <w:rsid w:val="0044274D"/>
    <w:rsid w:val="00442AE4"/>
    <w:rsid w:val="00442BDD"/>
    <w:rsid w:val="00442BE9"/>
    <w:rsid w:val="00442C16"/>
    <w:rsid w:val="00442C68"/>
    <w:rsid w:val="00442CC4"/>
    <w:rsid w:val="00442D40"/>
    <w:rsid w:val="00442F55"/>
    <w:rsid w:val="00442FF7"/>
    <w:rsid w:val="00443159"/>
    <w:rsid w:val="00443184"/>
    <w:rsid w:val="004432C5"/>
    <w:rsid w:val="00443399"/>
    <w:rsid w:val="004433D6"/>
    <w:rsid w:val="00443441"/>
    <w:rsid w:val="00443451"/>
    <w:rsid w:val="0044349F"/>
    <w:rsid w:val="00443679"/>
    <w:rsid w:val="00443775"/>
    <w:rsid w:val="00443837"/>
    <w:rsid w:val="004438D7"/>
    <w:rsid w:val="00443CB0"/>
    <w:rsid w:val="00443F39"/>
    <w:rsid w:val="0044433F"/>
    <w:rsid w:val="00444394"/>
    <w:rsid w:val="00444399"/>
    <w:rsid w:val="00444560"/>
    <w:rsid w:val="004445FD"/>
    <w:rsid w:val="00444655"/>
    <w:rsid w:val="004446DD"/>
    <w:rsid w:val="004447C1"/>
    <w:rsid w:val="00444824"/>
    <w:rsid w:val="004448CB"/>
    <w:rsid w:val="00444989"/>
    <w:rsid w:val="00444A44"/>
    <w:rsid w:val="00444A63"/>
    <w:rsid w:val="00444C3D"/>
    <w:rsid w:val="00444C82"/>
    <w:rsid w:val="00444D09"/>
    <w:rsid w:val="00444E0A"/>
    <w:rsid w:val="00444E70"/>
    <w:rsid w:val="00444EC0"/>
    <w:rsid w:val="00444EEC"/>
    <w:rsid w:val="00444FFC"/>
    <w:rsid w:val="00445265"/>
    <w:rsid w:val="0044543F"/>
    <w:rsid w:val="00445452"/>
    <w:rsid w:val="004454DA"/>
    <w:rsid w:val="004454EA"/>
    <w:rsid w:val="004454F8"/>
    <w:rsid w:val="00445747"/>
    <w:rsid w:val="0044577D"/>
    <w:rsid w:val="004457EC"/>
    <w:rsid w:val="0044583F"/>
    <w:rsid w:val="004458FF"/>
    <w:rsid w:val="00445969"/>
    <w:rsid w:val="0044599C"/>
    <w:rsid w:val="00445A9B"/>
    <w:rsid w:val="00445C5A"/>
    <w:rsid w:val="00445EC3"/>
    <w:rsid w:val="00445EF9"/>
    <w:rsid w:val="00445F4B"/>
    <w:rsid w:val="00446127"/>
    <w:rsid w:val="00446360"/>
    <w:rsid w:val="00446449"/>
    <w:rsid w:val="004464B7"/>
    <w:rsid w:val="004465F4"/>
    <w:rsid w:val="00446620"/>
    <w:rsid w:val="004466A8"/>
    <w:rsid w:val="00446740"/>
    <w:rsid w:val="00446852"/>
    <w:rsid w:val="004469E1"/>
    <w:rsid w:val="00446A78"/>
    <w:rsid w:val="00446B00"/>
    <w:rsid w:val="00446B4D"/>
    <w:rsid w:val="00446BFE"/>
    <w:rsid w:val="00446C72"/>
    <w:rsid w:val="00446D2C"/>
    <w:rsid w:val="00446D57"/>
    <w:rsid w:val="00446DAA"/>
    <w:rsid w:val="0044707F"/>
    <w:rsid w:val="004470F4"/>
    <w:rsid w:val="00447305"/>
    <w:rsid w:val="00447360"/>
    <w:rsid w:val="00447368"/>
    <w:rsid w:val="00447408"/>
    <w:rsid w:val="0044743B"/>
    <w:rsid w:val="004474CF"/>
    <w:rsid w:val="00447521"/>
    <w:rsid w:val="00447623"/>
    <w:rsid w:val="0044799C"/>
    <w:rsid w:val="00447B29"/>
    <w:rsid w:val="00447C04"/>
    <w:rsid w:val="00447CB8"/>
    <w:rsid w:val="00447D12"/>
    <w:rsid w:val="00447E3F"/>
    <w:rsid w:val="00447ED7"/>
    <w:rsid w:val="00447F09"/>
    <w:rsid w:val="00447FD6"/>
    <w:rsid w:val="00450056"/>
    <w:rsid w:val="004500AB"/>
    <w:rsid w:val="004501F7"/>
    <w:rsid w:val="00450215"/>
    <w:rsid w:val="004503A6"/>
    <w:rsid w:val="004503AC"/>
    <w:rsid w:val="0045041B"/>
    <w:rsid w:val="00450466"/>
    <w:rsid w:val="00450489"/>
    <w:rsid w:val="004504B5"/>
    <w:rsid w:val="00450604"/>
    <w:rsid w:val="0045071D"/>
    <w:rsid w:val="004507E2"/>
    <w:rsid w:val="0045082B"/>
    <w:rsid w:val="0045093E"/>
    <w:rsid w:val="00450987"/>
    <w:rsid w:val="004509E5"/>
    <w:rsid w:val="00450A18"/>
    <w:rsid w:val="00450AB0"/>
    <w:rsid w:val="00450ACF"/>
    <w:rsid w:val="00450C45"/>
    <w:rsid w:val="00450D24"/>
    <w:rsid w:val="00450DD5"/>
    <w:rsid w:val="00450E1D"/>
    <w:rsid w:val="00450E5B"/>
    <w:rsid w:val="00450E62"/>
    <w:rsid w:val="00450F7D"/>
    <w:rsid w:val="00451009"/>
    <w:rsid w:val="0045102C"/>
    <w:rsid w:val="00451345"/>
    <w:rsid w:val="004514F0"/>
    <w:rsid w:val="0045153A"/>
    <w:rsid w:val="00451541"/>
    <w:rsid w:val="004515CA"/>
    <w:rsid w:val="004516AB"/>
    <w:rsid w:val="00451986"/>
    <w:rsid w:val="004519DC"/>
    <w:rsid w:val="004519E2"/>
    <w:rsid w:val="00451A6D"/>
    <w:rsid w:val="00451B2F"/>
    <w:rsid w:val="00451C71"/>
    <w:rsid w:val="00451FE7"/>
    <w:rsid w:val="0045202D"/>
    <w:rsid w:val="00452090"/>
    <w:rsid w:val="0045213F"/>
    <w:rsid w:val="00452403"/>
    <w:rsid w:val="00452429"/>
    <w:rsid w:val="00452506"/>
    <w:rsid w:val="00452566"/>
    <w:rsid w:val="00452699"/>
    <w:rsid w:val="004526D4"/>
    <w:rsid w:val="00452736"/>
    <w:rsid w:val="004527E1"/>
    <w:rsid w:val="00452810"/>
    <w:rsid w:val="00452870"/>
    <w:rsid w:val="00452904"/>
    <w:rsid w:val="00452939"/>
    <w:rsid w:val="00452BA4"/>
    <w:rsid w:val="00452DC5"/>
    <w:rsid w:val="00452DE2"/>
    <w:rsid w:val="00452E14"/>
    <w:rsid w:val="00452EF8"/>
    <w:rsid w:val="00453065"/>
    <w:rsid w:val="00453108"/>
    <w:rsid w:val="0045317A"/>
    <w:rsid w:val="004531CB"/>
    <w:rsid w:val="0045321E"/>
    <w:rsid w:val="00453239"/>
    <w:rsid w:val="004532DA"/>
    <w:rsid w:val="004533DE"/>
    <w:rsid w:val="00453525"/>
    <w:rsid w:val="004536BE"/>
    <w:rsid w:val="00453744"/>
    <w:rsid w:val="00453848"/>
    <w:rsid w:val="00453A27"/>
    <w:rsid w:val="00453A87"/>
    <w:rsid w:val="00453A8A"/>
    <w:rsid w:val="00453AE6"/>
    <w:rsid w:val="00453B38"/>
    <w:rsid w:val="00453BC7"/>
    <w:rsid w:val="00453D27"/>
    <w:rsid w:val="00453D4A"/>
    <w:rsid w:val="00453D53"/>
    <w:rsid w:val="004542C1"/>
    <w:rsid w:val="00454455"/>
    <w:rsid w:val="00454475"/>
    <w:rsid w:val="0045447B"/>
    <w:rsid w:val="0045454C"/>
    <w:rsid w:val="0045462A"/>
    <w:rsid w:val="0045477D"/>
    <w:rsid w:val="0045496E"/>
    <w:rsid w:val="00454A3D"/>
    <w:rsid w:val="00454A5A"/>
    <w:rsid w:val="00454B41"/>
    <w:rsid w:val="00454C05"/>
    <w:rsid w:val="00454C89"/>
    <w:rsid w:val="00454D19"/>
    <w:rsid w:val="00454E41"/>
    <w:rsid w:val="00455211"/>
    <w:rsid w:val="0045527B"/>
    <w:rsid w:val="0045529C"/>
    <w:rsid w:val="00455343"/>
    <w:rsid w:val="00455432"/>
    <w:rsid w:val="00455477"/>
    <w:rsid w:val="0045581A"/>
    <w:rsid w:val="0045587E"/>
    <w:rsid w:val="004559CE"/>
    <w:rsid w:val="00455AF2"/>
    <w:rsid w:val="00455BAB"/>
    <w:rsid w:val="00455BEE"/>
    <w:rsid w:val="00455C18"/>
    <w:rsid w:val="00455E3A"/>
    <w:rsid w:val="00455EF0"/>
    <w:rsid w:val="00456057"/>
    <w:rsid w:val="00456185"/>
    <w:rsid w:val="00456233"/>
    <w:rsid w:val="00456244"/>
    <w:rsid w:val="004563D2"/>
    <w:rsid w:val="00456438"/>
    <w:rsid w:val="004564EC"/>
    <w:rsid w:val="0045664C"/>
    <w:rsid w:val="0045666C"/>
    <w:rsid w:val="004568A8"/>
    <w:rsid w:val="00456B1D"/>
    <w:rsid w:val="00456F50"/>
    <w:rsid w:val="004570C7"/>
    <w:rsid w:val="004570F1"/>
    <w:rsid w:val="00457123"/>
    <w:rsid w:val="0045721A"/>
    <w:rsid w:val="004572B3"/>
    <w:rsid w:val="00457409"/>
    <w:rsid w:val="00457514"/>
    <w:rsid w:val="00457663"/>
    <w:rsid w:val="00457882"/>
    <w:rsid w:val="004578C8"/>
    <w:rsid w:val="0045790E"/>
    <w:rsid w:val="0045791A"/>
    <w:rsid w:val="00457AC9"/>
    <w:rsid w:val="00457B2A"/>
    <w:rsid w:val="00457B7E"/>
    <w:rsid w:val="00457B86"/>
    <w:rsid w:val="00457BF9"/>
    <w:rsid w:val="00457C20"/>
    <w:rsid w:val="00457C5F"/>
    <w:rsid w:val="00457CFB"/>
    <w:rsid w:val="00457FEA"/>
    <w:rsid w:val="0046014C"/>
    <w:rsid w:val="0046018D"/>
    <w:rsid w:val="004603C0"/>
    <w:rsid w:val="00460525"/>
    <w:rsid w:val="004605A5"/>
    <w:rsid w:val="004606DE"/>
    <w:rsid w:val="004607D1"/>
    <w:rsid w:val="00460800"/>
    <w:rsid w:val="0046095B"/>
    <w:rsid w:val="0046099E"/>
    <w:rsid w:val="00460A90"/>
    <w:rsid w:val="00460AD7"/>
    <w:rsid w:val="00460BA3"/>
    <w:rsid w:val="00460BEB"/>
    <w:rsid w:val="00460E1A"/>
    <w:rsid w:val="00460E72"/>
    <w:rsid w:val="0046106A"/>
    <w:rsid w:val="004611C8"/>
    <w:rsid w:val="00461392"/>
    <w:rsid w:val="00461740"/>
    <w:rsid w:val="004619D4"/>
    <w:rsid w:val="00461FA3"/>
    <w:rsid w:val="0046224F"/>
    <w:rsid w:val="00462497"/>
    <w:rsid w:val="004624B0"/>
    <w:rsid w:val="004625D8"/>
    <w:rsid w:val="0046265B"/>
    <w:rsid w:val="00462818"/>
    <w:rsid w:val="004628B3"/>
    <w:rsid w:val="004629DB"/>
    <w:rsid w:val="004629E3"/>
    <w:rsid w:val="00462AB7"/>
    <w:rsid w:val="00462C82"/>
    <w:rsid w:val="00462D99"/>
    <w:rsid w:val="00462E02"/>
    <w:rsid w:val="00462E1D"/>
    <w:rsid w:val="00462EDC"/>
    <w:rsid w:val="00462F64"/>
    <w:rsid w:val="00463093"/>
    <w:rsid w:val="00463167"/>
    <w:rsid w:val="0046333A"/>
    <w:rsid w:val="004634B0"/>
    <w:rsid w:val="00463506"/>
    <w:rsid w:val="0046362F"/>
    <w:rsid w:val="004636C7"/>
    <w:rsid w:val="00463A74"/>
    <w:rsid w:val="00463B0A"/>
    <w:rsid w:val="00463B25"/>
    <w:rsid w:val="00463DF8"/>
    <w:rsid w:val="0046403F"/>
    <w:rsid w:val="004640ED"/>
    <w:rsid w:val="00464145"/>
    <w:rsid w:val="004642C7"/>
    <w:rsid w:val="004642E9"/>
    <w:rsid w:val="00464365"/>
    <w:rsid w:val="00464374"/>
    <w:rsid w:val="004643EA"/>
    <w:rsid w:val="004643F4"/>
    <w:rsid w:val="004643F7"/>
    <w:rsid w:val="004644DE"/>
    <w:rsid w:val="00464574"/>
    <w:rsid w:val="00464784"/>
    <w:rsid w:val="0046479B"/>
    <w:rsid w:val="00464919"/>
    <w:rsid w:val="004649FB"/>
    <w:rsid w:val="00464A20"/>
    <w:rsid w:val="00464BAB"/>
    <w:rsid w:val="00464BF6"/>
    <w:rsid w:val="00464C38"/>
    <w:rsid w:val="00464D0C"/>
    <w:rsid w:val="0046506C"/>
    <w:rsid w:val="0046508D"/>
    <w:rsid w:val="004654BA"/>
    <w:rsid w:val="004655A3"/>
    <w:rsid w:val="004655AC"/>
    <w:rsid w:val="004655EA"/>
    <w:rsid w:val="004656E7"/>
    <w:rsid w:val="004658D9"/>
    <w:rsid w:val="00465ABF"/>
    <w:rsid w:val="00465B50"/>
    <w:rsid w:val="00465BB9"/>
    <w:rsid w:val="00465BE6"/>
    <w:rsid w:val="00465C37"/>
    <w:rsid w:val="00465CD6"/>
    <w:rsid w:val="00465D84"/>
    <w:rsid w:val="00465DAA"/>
    <w:rsid w:val="00465E04"/>
    <w:rsid w:val="00465FD2"/>
    <w:rsid w:val="004661C7"/>
    <w:rsid w:val="004662C8"/>
    <w:rsid w:val="0046632E"/>
    <w:rsid w:val="00466383"/>
    <w:rsid w:val="004663F3"/>
    <w:rsid w:val="00466543"/>
    <w:rsid w:val="0046654D"/>
    <w:rsid w:val="00466823"/>
    <w:rsid w:val="0046682C"/>
    <w:rsid w:val="00466880"/>
    <w:rsid w:val="0046696D"/>
    <w:rsid w:val="004669B9"/>
    <w:rsid w:val="00466B17"/>
    <w:rsid w:val="00466B31"/>
    <w:rsid w:val="00466B87"/>
    <w:rsid w:val="00466D37"/>
    <w:rsid w:val="00466EC1"/>
    <w:rsid w:val="00466F76"/>
    <w:rsid w:val="004670FB"/>
    <w:rsid w:val="004672B4"/>
    <w:rsid w:val="0046735B"/>
    <w:rsid w:val="004674D5"/>
    <w:rsid w:val="0046751D"/>
    <w:rsid w:val="004676A9"/>
    <w:rsid w:val="00467775"/>
    <w:rsid w:val="0046782C"/>
    <w:rsid w:val="00467834"/>
    <w:rsid w:val="004678E8"/>
    <w:rsid w:val="00467B6F"/>
    <w:rsid w:val="00467DEA"/>
    <w:rsid w:val="00467DF6"/>
    <w:rsid w:val="00467E72"/>
    <w:rsid w:val="00467F9B"/>
    <w:rsid w:val="004700BC"/>
    <w:rsid w:val="00470157"/>
    <w:rsid w:val="00470298"/>
    <w:rsid w:val="00470339"/>
    <w:rsid w:val="004705BC"/>
    <w:rsid w:val="00470950"/>
    <w:rsid w:val="00470A3E"/>
    <w:rsid w:val="00470A58"/>
    <w:rsid w:val="00470B57"/>
    <w:rsid w:val="00470BE9"/>
    <w:rsid w:val="00470E9F"/>
    <w:rsid w:val="00470EFC"/>
    <w:rsid w:val="00470F64"/>
    <w:rsid w:val="004710F7"/>
    <w:rsid w:val="0047135C"/>
    <w:rsid w:val="00471375"/>
    <w:rsid w:val="0047146A"/>
    <w:rsid w:val="004715E9"/>
    <w:rsid w:val="004715F8"/>
    <w:rsid w:val="0047172E"/>
    <w:rsid w:val="0047175A"/>
    <w:rsid w:val="004719F9"/>
    <w:rsid w:val="00471A4E"/>
    <w:rsid w:val="00471AB1"/>
    <w:rsid w:val="00471C38"/>
    <w:rsid w:val="00471CC2"/>
    <w:rsid w:val="00471D33"/>
    <w:rsid w:val="00471DDE"/>
    <w:rsid w:val="00471E7D"/>
    <w:rsid w:val="00471FE1"/>
    <w:rsid w:val="00472044"/>
    <w:rsid w:val="004720D6"/>
    <w:rsid w:val="004720DF"/>
    <w:rsid w:val="004722E6"/>
    <w:rsid w:val="004724A0"/>
    <w:rsid w:val="0047261C"/>
    <w:rsid w:val="00472709"/>
    <w:rsid w:val="004727DE"/>
    <w:rsid w:val="004728D5"/>
    <w:rsid w:val="004729A7"/>
    <w:rsid w:val="00472B5F"/>
    <w:rsid w:val="00472C53"/>
    <w:rsid w:val="00472D27"/>
    <w:rsid w:val="00472DC1"/>
    <w:rsid w:val="00472F70"/>
    <w:rsid w:val="0047302C"/>
    <w:rsid w:val="0047316D"/>
    <w:rsid w:val="0047318C"/>
    <w:rsid w:val="00473290"/>
    <w:rsid w:val="004732A5"/>
    <w:rsid w:val="00473543"/>
    <w:rsid w:val="00473692"/>
    <w:rsid w:val="00473709"/>
    <w:rsid w:val="0047373D"/>
    <w:rsid w:val="0047373E"/>
    <w:rsid w:val="004737F2"/>
    <w:rsid w:val="00473907"/>
    <w:rsid w:val="00473A19"/>
    <w:rsid w:val="00473A70"/>
    <w:rsid w:val="00473A96"/>
    <w:rsid w:val="00473BE7"/>
    <w:rsid w:val="00473BEA"/>
    <w:rsid w:val="00473CFE"/>
    <w:rsid w:val="00473FC8"/>
    <w:rsid w:val="0047403F"/>
    <w:rsid w:val="00474063"/>
    <w:rsid w:val="004740A8"/>
    <w:rsid w:val="0047462D"/>
    <w:rsid w:val="00474741"/>
    <w:rsid w:val="0047476A"/>
    <w:rsid w:val="004747B5"/>
    <w:rsid w:val="00474AFD"/>
    <w:rsid w:val="00474B54"/>
    <w:rsid w:val="00474BE4"/>
    <w:rsid w:val="00474C68"/>
    <w:rsid w:val="00474C6B"/>
    <w:rsid w:val="00474D9B"/>
    <w:rsid w:val="00474E97"/>
    <w:rsid w:val="00474FA0"/>
    <w:rsid w:val="00475085"/>
    <w:rsid w:val="00475093"/>
    <w:rsid w:val="004750DD"/>
    <w:rsid w:val="004751FE"/>
    <w:rsid w:val="004753F5"/>
    <w:rsid w:val="004754D3"/>
    <w:rsid w:val="004755FA"/>
    <w:rsid w:val="004756F2"/>
    <w:rsid w:val="004758CE"/>
    <w:rsid w:val="00475994"/>
    <w:rsid w:val="00475A15"/>
    <w:rsid w:val="00475AAA"/>
    <w:rsid w:val="00475B59"/>
    <w:rsid w:val="00475B83"/>
    <w:rsid w:val="00475BF6"/>
    <w:rsid w:val="00475CCF"/>
    <w:rsid w:val="00475D4B"/>
    <w:rsid w:val="00475D6C"/>
    <w:rsid w:val="00475DF2"/>
    <w:rsid w:val="00475F16"/>
    <w:rsid w:val="00475F39"/>
    <w:rsid w:val="00475F44"/>
    <w:rsid w:val="00475F86"/>
    <w:rsid w:val="00475FEE"/>
    <w:rsid w:val="004760EF"/>
    <w:rsid w:val="004761A7"/>
    <w:rsid w:val="004762A1"/>
    <w:rsid w:val="004762CA"/>
    <w:rsid w:val="0047635E"/>
    <w:rsid w:val="00476382"/>
    <w:rsid w:val="00476429"/>
    <w:rsid w:val="004764B8"/>
    <w:rsid w:val="0047664B"/>
    <w:rsid w:val="0047670A"/>
    <w:rsid w:val="00476835"/>
    <w:rsid w:val="00476881"/>
    <w:rsid w:val="00476AA5"/>
    <w:rsid w:val="00476CF6"/>
    <w:rsid w:val="00476E5D"/>
    <w:rsid w:val="00476FBB"/>
    <w:rsid w:val="0047703D"/>
    <w:rsid w:val="00477104"/>
    <w:rsid w:val="0047714B"/>
    <w:rsid w:val="0047722C"/>
    <w:rsid w:val="0047757E"/>
    <w:rsid w:val="004776A1"/>
    <w:rsid w:val="0047777B"/>
    <w:rsid w:val="00477810"/>
    <w:rsid w:val="00477948"/>
    <w:rsid w:val="00477970"/>
    <w:rsid w:val="00477AA8"/>
    <w:rsid w:val="00477EA1"/>
    <w:rsid w:val="00480191"/>
    <w:rsid w:val="004801B5"/>
    <w:rsid w:val="004805E4"/>
    <w:rsid w:val="0048068D"/>
    <w:rsid w:val="004806F4"/>
    <w:rsid w:val="0048074C"/>
    <w:rsid w:val="004808C0"/>
    <w:rsid w:val="00480A38"/>
    <w:rsid w:val="00480A43"/>
    <w:rsid w:val="00480A4E"/>
    <w:rsid w:val="00480B1F"/>
    <w:rsid w:val="00480BF5"/>
    <w:rsid w:val="00480C5F"/>
    <w:rsid w:val="00480F34"/>
    <w:rsid w:val="00480F37"/>
    <w:rsid w:val="00480FE3"/>
    <w:rsid w:val="00480FFE"/>
    <w:rsid w:val="004811DC"/>
    <w:rsid w:val="004812AF"/>
    <w:rsid w:val="00481334"/>
    <w:rsid w:val="00481458"/>
    <w:rsid w:val="004814F8"/>
    <w:rsid w:val="004815DD"/>
    <w:rsid w:val="00481627"/>
    <w:rsid w:val="00481658"/>
    <w:rsid w:val="004817F0"/>
    <w:rsid w:val="004817FA"/>
    <w:rsid w:val="00481827"/>
    <w:rsid w:val="00481B65"/>
    <w:rsid w:val="00481DEF"/>
    <w:rsid w:val="00481F66"/>
    <w:rsid w:val="0048203B"/>
    <w:rsid w:val="0048213C"/>
    <w:rsid w:val="004821CF"/>
    <w:rsid w:val="00482206"/>
    <w:rsid w:val="004823D8"/>
    <w:rsid w:val="00482415"/>
    <w:rsid w:val="004824B0"/>
    <w:rsid w:val="004824E7"/>
    <w:rsid w:val="00482563"/>
    <w:rsid w:val="00482568"/>
    <w:rsid w:val="004826CF"/>
    <w:rsid w:val="0048270C"/>
    <w:rsid w:val="0048277B"/>
    <w:rsid w:val="004828A7"/>
    <w:rsid w:val="0048298C"/>
    <w:rsid w:val="00482A79"/>
    <w:rsid w:val="00482D5D"/>
    <w:rsid w:val="00482D77"/>
    <w:rsid w:val="00482E18"/>
    <w:rsid w:val="00482E34"/>
    <w:rsid w:val="00482E88"/>
    <w:rsid w:val="00482F48"/>
    <w:rsid w:val="00482FE6"/>
    <w:rsid w:val="00483278"/>
    <w:rsid w:val="004832CD"/>
    <w:rsid w:val="004833C1"/>
    <w:rsid w:val="004834A8"/>
    <w:rsid w:val="0048356C"/>
    <w:rsid w:val="004837BD"/>
    <w:rsid w:val="004837E2"/>
    <w:rsid w:val="004838BB"/>
    <w:rsid w:val="00483A63"/>
    <w:rsid w:val="00483AB1"/>
    <w:rsid w:val="00483C24"/>
    <w:rsid w:val="00483DDF"/>
    <w:rsid w:val="00483E55"/>
    <w:rsid w:val="00483E61"/>
    <w:rsid w:val="00483E65"/>
    <w:rsid w:val="00483F31"/>
    <w:rsid w:val="00483F7E"/>
    <w:rsid w:val="00484267"/>
    <w:rsid w:val="004844DF"/>
    <w:rsid w:val="00484763"/>
    <w:rsid w:val="00484819"/>
    <w:rsid w:val="0048485F"/>
    <w:rsid w:val="00484892"/>
    <w:rsid w:val="004848D8"/>
    <w:rsid w:val="00484978"/>
    <w:rsid w:val="0048499B"/>
    <w:rsid w:val="00484A66"/>
    <w:rsid w:val="00484D11"/>
    <w:rsid w:val="00484D72"/>
    <w:rsid w:val="00484D79"/>
    <w:rsid w:val="00484DA3"/>
    <w:rsid w:val="00484E01"/>
    <w:rsid w:val="0048506F"/>
    <w:rsid w:val="0048521C"/>
    <w:rsid w:val="00485414"/>
    <w:rsid w:val="0048545D"/>
    <w:rsid w:val="004854AE"/>
    <w:rsid w:val="00485637"/>
    <w:rsid w:val="00485761"/>
    <w:rsid w:val="004857EA"/>
    <w:rsid w:val="00485846"/>
    <w:rsid w:val="0048587F"/>
    <w:rsid w:val="004858F5"/>
    <w:rsid w:val="00485973"/>
    <w:rsid w:val="00485A5D"/>
    <w:rsid w:val="00485B7C"/>
    <w:rsid w:val="00485BEF"/>
    <w:rsid w:val="00485C43"/>
    <w:rsid w:val="00485C67"/>
    <w:rsid w:val="00485C96"/>
    <w:rsid w:val="00485CA7"/>
    <w:rsid w:val="00485CC9"/>
    <w:rsid w:val="00485F1C"/>
    <w:rsid w:val="004860B3"/>
    <w:rsid w:val="0048619C"/>
    <w:rsid w:val="004862E4"/>
    <w:rsid w:val="004862FB"/>
    <w:rsid w:val="0048649B"/>
    <w:rsid w:val="00486545"/>
    <w:rsid w:val="00486865"/>
    <w:rsid w:val="00486A6C"/>
    <w:rsid w:val="00486B4F"/>
    <w:rsid w:val="00486BDF"/>
    <w:rsid w:val="00486C3D"/>
    <w:rsid w:val="00486C48"/>
    <w:rsid w:val="00486D59"/>
    <w:rsid w:val="00486D98"/>
    <w:rsid w:val="00486F41"/>
    <w:rsid w:val="00486FFD"/>
    <w:rsid w:val="004870C8"/>
    <w:rsid w:val="00487290"/>
    <w:rsid w:val="00487409"/>
    <w:rsid w:val="00487441"/>
    <w:rsid w:val="00487475"/>
    <w:rsid w:val="00487673"/>
    <w:rsid w:val="004877A1"/>
    <w:rsid w:val="00487806"/>
    <w:rsid w:val="00487CD0"/>
    <w:rsid w:val="00487DA5"/>
    <w:rsid w:val="00487E56"/>
    <w:rsid w:val="00487F72"/>
    <w:rsid w:val="004901C8"/>
    <w:rsid w:val="00490209"/>
    <w:rsid w:val="00490442"/>
    <w:rsid w:val="004905E5"/>
    <w:rsid w:val="00490641"/>
    <w:rsid w:val="004906D9"/>
    <w:rsid w:val="0049080A"/>
    <w:rsid w:val="004908BA"/>
    <w:rsid w:val="004908DC"/>
    <w:rsid w:val="0049094F"/>
    <w:rsid w:val="0049097F"/>
    <w:rsid w:val="004909EC"/>
    <w:rsid w:val="00490B07"/>
    <w:rsid w:val="00490BA1"/>
    <w:rsid w:val="00490C38"/>
    <w:rsid w:val="00490D38"/>
    <w:rsid w:val="00490DAD"/>
    <w:rsid w:val="00490FEF"/>
    <w:rsid w:val="00491167"/>
    <w:rsid w:val="004911A0"/>
    <w:rsid w:val="004912D9"/>
    <w:rsid w:val="00491405"/>
    <w:rsid w:val="00491498"/>
    <w:rsid w:val="004914FE"/>
    <w:rsid w:val="0049164B"/>
    <w:rsid w:val="00491766"/>
    <w:rsid w:val="00491986"/>
    <w:rsid w:val="00491AC5"/>
    <w:rsid w:val="00491D13"/>
    <w:rsid w:val="00491D60"/>
    <w:rsid w:val="00491F17"/>
    <w:rsid w:val="004920BD"/>
    <w:rsid w:val="00492112"/>
    <w:rsid w:val="0049226E"/>
    <w:rsid w:val="00492355"/>
    <w:rsid w:val="0049260A"/>
    <w:rsid w:val="00492633"/>
    <w:rsid w:val="004927D5"/>
    <w:rsid w:val="00492958"/>
    <w:rsid w:val="0049296F"/>
    <w:rsid w:val="00492970"/>
    <w:rsid w:val="00492A31"/>
    <w:rsid w:val="00492A3E"/>
    <w:rsid w:val="00492AE5"/>
    <w:rsid w:val="00492C72"/>
    <w:rsid w:val="00492CD6"/>
    <w:rsid w:val="00492D90"/>
    <w:rsid w:val="00492E3E"/>
    <w:rsid w:val="00492FCB"/>
    <w:rsid w:val="00492FDB"/>
    <w:rsid w:val="004930E7"/>
    <w:rsid w:val="004931C8"/>
    <w:rsid w:val="004931EB"/>
    <w:rsid w:val="00493386"/>
    <w:rsid w:val="0049346A"/>
    <w:rsid w:val="00493582"/>
    <w:rsid w:val="004935B4"/>
    <w:rsid w:val="004935FD"/>
    <w:rsid w:val="00493619"/>
    <w:rsid w:val="004936E1"/>
    <w:rsid w:val="00493704"/>
    <w:rsid w:val="0049384E"/>
    <w:rsid w:val="00493879"/>
    <w:rsid w:val="00493899"/>
    <w:rsid w:val="00493C1B"/>
    <w:rsid w:val="00493E88"/>
    <w:rsid w:val="00493F15"/>
    <w:rsid w:val="00494028"/>
    <w:rsid w:val="0049422E"/>
    <w:rsid w:val="00494277"/>
    <w:rsid w:val="004942A7"/>
    <w:rsid w:val="004942D2"/>
    <w:rsid w:val="004942D8"/>
    <w:rsid w:val="004942F3"/>
    <w:rsid w:val="00494606"/>
    <w:rsid w:val="00494636"/>
    <w:rsid w:val="004946A0"/>
    <w:rsid w:val="00494742"/>
    <w:rsid w:val="00494753"/>
    <w:rsid w:val="00494758"/>
    <w:rsid w:val="00494851"/>
    <w:rsid w:val="004948B9"/>
    <w:rsid w:val="004948E7"/>
    <w:rsid w:val="00494A04"/>
    <w:rsid w:val="00494D2E"/>
    <w:rsid w:val="00494D70"/>
    <w:rsid w:val="00494E38"/>
    <w:rsid w:val="00494EC1"/>
    <w:rsid w:val="00494EEE"/>
    <w:rsid w:val="004951A9"/>
    <w:rsid w:val="0049525D"/>
    <w:rsid w:val="00495454"/>
    <w:rsid w:val="00495459"/>
    <w:rsid w:val="004954EF"/>
    <w:rsid w:val="004955A7"/>
    <w:rsid w:val="004955C6"/>
    <w:rsid w:val="0049561A"/>
    <w:rsid w:val="004956FE"/>
    <w:rsid w:val="00495779"/>
    <w:rsid w:val="0049577E"/>
    <w:rsid w:val="004957F4"/>
    <w:rsid w:val="004959A5"/>
    <w:rsid w:val="00495A5C"/>
    <w:rsid w:val="00495A7D"/>
    <w:rsid w:val="00495B24"/>
    <w:rsid w:val="00495B32"/>
    <w:rsid w:val="00495B44"/>
    <w:rsid w:val="00495B4D"/>
    <w:rsid w:val="00495C64"/>
    <w:rsid w:val="00495C9B"/>
    <w:rsid w:val="00495E2C"/>
    <w:rsid w:val="00495E3B"/>
    <w:rsid w:val="00496147"/>
    <w:rsid w:val="004961A9"/>
    <w:rsid w:val="00496286"/>
    <w:rsid w:val="00496300"/>
    <w:rsid w:val="004963AB"/>
    <w:rsid w:val="004963E0"/>
    <w:rsid w:val="00496449"/>
    <w:rsid w:val="00496809"/>
    <w:rsid w:val="0049685A"/>
    <w:rsid w:val="004968A1"/>
    <w:rsid w:val="00496AA9"/>
    <w:rsid w:val="00496B2F"/>
    <w:rsid w:val="00496E14"/>
    <w:rsid w:val="00496E64"/>
    <w:rsid w:val="00496F9D"/>
    <w:rsid w:val="00497037"/>
    <w:rsid w:val="0049704E"/>
    <w:rsid w:val="004970E5"/>
    <w:rsid w:val="004970FE"/>
    <w:rsid w:val="004971A8"/>
    <w:rsid w:val="004971FA"/>
    <w:rsid w:val="0049721E"/>
    <w:rsid w:val="004972F3"/>
    <w:rsid w:val="00497326"/>
    <w:rsid w:val="00497354"/>
    <w:rsid w:val="004973F1"/>
    <w:rsid w:val="00497477"/>
    <w:rsid w:val="0049753D"/>
    <w:rsid w:val="00497575"/>
    <w:rsid w:val="004975D2"/>
    <w:rsid w:val="00497754"/>
    <w:rsid w:val="00497858"/>
    <w:rsid w:val="00497871"/>
    <w:rsid w:val="0049790D"/>
    <w:rsid w:val="00497973"/>
    <w:rsid w:val="00497AA2"/>
    <w:rsid w:val="00497B30"/>
    <w:rsid w:val="00497D7D"/>
    <w:rsid w:val="00497E7F"/>
    <w:rsid w:val="00497EFE"/>
    <w:rsid w:val="00497F86"/>
    <w:rsid w:val="00497FE4"/>
    <w:rsid w:val="004A00DD"/>
    <w:rsid w:val="004A013D"/>
    <w:rsid w:val="004A01CB"/>
    <w:rsid w:val="004A020F"/>
    <w:rsid w:val="004A02AD"/>
    <w:rsid w:val="004A02E6"/>
    <w:rsid w:val="004A04A4"/>
    <w:rsid w:val="004A064A"/>
    <w:rsid w:val="004A0829"/>
    <w:rsid w:val="004A0962"/>
    <w:rsid w:val="004A096C"/>
    <w:rsid w:val="004A0A3C"/>
    <w:rsid w:val="004A0AE9"/>
    <w:rsid w:val="004A0B65"/>
    <w:rsid w:val="004A0BEA"/>
    <w:rsid w:val="004A0C5B"/>
    <w:rsid w:val="004A0C92"/>
    <w:rsid w:val="004A0E15"/>
    <w:rsid w:val="004A0F11"/>
    <w:rsid w:val="004A1106"/>
    <w:rsid w:val="004A1148"/>
    <w:rsid w:val="004A1231"/>
    <w:rsid w:val="004A12A4"/>
    <w:rsid w:val="004A1351"/>
    <w:rsid w:val="004A1353"/>
    <w:rsid w:val="004A14AF"/>
    <w:rsid w:val="004A156D"/>
    <w:rsid w:val="004A1600"/>
    <w:rsid w:val="004A163A"/>
    <w:rsid w:val="004A17DB"/>
    <w:rsid w:val="004A1806"/>
    <w:rsid w:val="004A1869"/>
    <w:rsid w:val="004A187D"/>
    <w:rsid w:val="004A1938"/>
    <w:rsid w:val="004A1B87"/>
    <w:rsid w:val="004A1C2F"/>
    <w:rsid w:val="004A1C30"/>
    <w:rsid w:val="004A1CCB"/>
    <w:rsid w:val="004A1D2F"/>
    <w:rsid w:val="004A1E16"/>
    <w:rsid w:val="004A1F31"/>
    <w:rsid w:val="004A1FE2"/>
    <w:rsid w:val="004A2007"/>
    <w:rsid w:val="004A215F"/>
    <w:rsid w:val="004A224E"/>
    <w:rsid w:val="004A2447"/>
    <w:rsid w:val="004A270B"/>
    <w:rsid w:val="004A2731"/>
    <w:rsid w:val="004A27AF"/>
    <w:rsid w:val="004A287B"/>
    <w:rsid w:val="004A2990"/>
    <w:rsid w:val="004A2A07"/>
    <w:rsid w:val="004A2B7D"/>
    <w:rsid w:val="004A2DA4"/>
    <w:rsid w:val="004A2DB9"/>
    <w:rsid w:val="004A2E63"/>
    <w:rsid w:val="004A303B"/>
    <w:rsid w:val="004A30B7"/>
    <w:rsid w:val="004A318A"/>
    <w:rsid w:val="004A31D5"/>
    <w:rsid w:val="004A31E5"/>
    <w:rsid w:val="004A3207"/>
    <w:rsid w:val="004A33D2"/>
    <w:rsid w:val="004A35FE"/>
    <w:rsid w:val="004A3711"/>
    <w:rsid w:val="004A3765"/>
    <w:rsid w:val="004A37AE"/>
    <w:rsid w:val="004A38E6"/>
    <w:rsid w:val="004A38EA"/>
    <w:rsid w:val="004A3B18"/>
    <w:rsid w:val="004A3B54"/>
    <w:rsid w:val="004A3B8B"/>
    <w:rsid w:val="004A3B96"/>
    <w:rsid w:val="004A3C8E"/>
    <w:rsid w:val="004A3D88"/>
    <w:rsid w:val="004A3EAA"/>
    <w:rsid w:val="004A418E"/>
    <w:rsid w:val="004A41C1"/>
    <w:rsid w:val="004A43E1"/>
    <w:rsid w:val="004A442C"/>
    <w:rsid w:val="004A4749"/>
    <w:rsid w:val="004A4892"/>
    <w:rsid w:val="004A48E7"/>
    <w:rsid w:val="004A4AA4"/>
    <w:rsid w:val="004A4BD0"/>
    <w:rsid w:val="004A4C92"/>
    <w:rsid w:val="004A4CA7"/>
    <w:rsid w:val="004A4CE3"/>
    <w:rsid w:val="004A4DB0"/>
    <w:rsid w:val="004A4DC4"/>
    <w:rsid w:val="004A5000"/>
    <w:rsid w:val="004A5153"/>
    <w:rsid w:val="004A5698"/>
    <w:rsid w:val="004A56A4"/>
    <w:rsid w:val="004A5787"/>
    <w:rsid w:val="004A5837"/>
    <w:rsid w:val="004A5845"/>
    <w:rsid w:val="004A58B1"/>
    <w:rsid w:val="004A58DC"/>
    <w:rsid w:val="004A596D"/>
    <w:rsid w:val="004A5997"/>
    <w:rsid w:val="004A5AA4"/>
    <w:rsid w:val="004A5B10"/>
    <w:rsid w:val="004A5B13"/>
    <w:rsid w:val="004A5D07"/>
    <w:rsid w:val="004A5E1B"/>
    <w:rsid w:val="004A5E88"/>
    <w:rsid w:val="004A5F05"/>
    <w:rsid w:val="004A621C"/>
    <w:rsid w:val="004A64BC"/>
    <w:rsid w:val="004A66C9"/>
    <w:rsid w:val="004A6862"/>
    <w:rsid w:val="004A686D"/>
    <w:rsid w:val="004A6B96"/>
    <w:rsid w:val="004A6BAF"/>
    <w:rsid w:val="004A6BEE"/>
    <w:rsid w:val="004A6D25"/>
    <w:rsid w:val="004A6D88"/>
    <w:rsid w:val="004A6E02"/>
    <w:rsid w:val="004A6E35"/>
    <w:rsid w:val="004A6FED"/>
    <w:rsid w:val="004A70B7"/>
    <w:rsid w:val="004A7136"/>
    <w:rsid w:val="004A7156"/>
    <w:rsid w:val="004A720A"/>
    <w:rsid w:val="004A7226"/>
    <w:rsid w:val="004A7486"/>
    <w:rsid w:val="004A752B"/>
    <w:rsid w:val="004A7601"/>
    <w:rsid w:val="004A7770"/>
    <w:rsid w:val="004A7937"/>
    <w:rsid w:val="004A7AFD"/>
    <w:rsid w:val="004A7CE0"/>
    <w:rsid w:val="004A7D14"/>
    <w:rsid w:val="004A7D4A"/>
    <w:rsid w:val="004A7D97"/>
    <w:rsid w:val="004A7E15"/>
    <w:rsid w:val="004A7E84"/>
    <w:rsid w:val="004A7EB1"/>
    <w:rsid w:val="004A7F67"/>
    <w:rsid w:val="004B0148"/>
    <w:rsid w:val="004B023F"/>
    <w:rsid w:val="004B03A4"/>
    <w:rsid w:val="004B0503"/>
    <w:rsid w:val="004B053E"/>
    <w:rsid w:val="004B05FF"/>
    <w:rsid w:val="004B06FA"/>
    <w:rsid w:val="004B09D4"/>
    <w:rsid w:val="004B0B2E"/>
    <w:rsid w:val="004B0B53"/>
    <w:rsid w:val="004B0DCA"/>
    <w:rsid w:val="004B0DFE"/>
    <w:rsid w:val="004B0EC0"/>
    <w:rsid w:val="004B0ECA"/>
    <w:rsid w:val="004B0F83"/>
    <w:rsid w:val="004B105F"/>
    <w:rsid w:val="004B158C"/>
    <w:rsid w:val="004B159E"/>
    <w:rsid w:val="004B15D0"/>
    <w:rsid w:val="004B1704"/>
    <w:rsid w:val="004B18AE"/>
    <w:rsid w:val="004B195D"/>
    <w:rsid w:val="004B19CE"/>
    <w:rsid w:val="004B1ACC"/>
    <w:rsid w:val="004B1C92"/>
    <w:rsid w:val="004B1CB4"/>
    <w:rsid w:val="004B1DD1"/>
    <w:rsid w:val="004B2060"/>
    <w:rsid w:val="004B210D"/>
    <w:rsid w:val="004B21C0"/>
    <w:rsid w:val="004B225E"/>
    <w:rsid w:val="004B23FA"/>
    <w:rsid w:val="004B2706"/>
    <w:rsid w:val="004B289C"/>
    <w:rsid w:val="004B28F4"/>
    <w:rsid w:val="004B2A15"/>
    <w:rsid w:val="004B2A1E"/>
    <w:rsid w:val="004B2B6A"/>
    <w:rsid w:val="004B2DE4"/>
    <w:rsid w:val="004B2DF8"/>
    <w:rsid w:val="004B2F54"/>
    <w:rsid w:val="004B31AF"/>
    <w:rsid w:val="004B32C3"/>
    <w:rsid w:val="004B32D5"/>
    <w:rsid w:val="004B3301"/>
    <w:rsid w:val="004B3542"/>
    <w:rsid w:val="004B37E8"/>
    <w:rsid w:val="004B38C9"/>
    <w:rsid w:val="004B3A3D"/>
    <w:rsid w:val="004B3C65"/>
    <w:rsid w:val="004B3CCE"/>
    <w:rsid w:val="004B3D84"/>
    <w:rsid w:val="004B3DF5"/>
    <w:rsid w:val="004B3E39"/>
    <w:rsid w:val="004B3E4B"/>
    <w:rsid w:val="004B3ED9"/>
    <w:rsid w:val="004B3EDD"/>
    <w:rsid w:val="004B3F2F"/>
    <w:rsid w:val="004B40DD"/>
    <w:rsid w:val="004B40F7"/>
    <w:rsid w:val="004B4120"/>
    <w:rsid w:val="004B4168"/>
    <w:rsid w:val="004B41FA"/>
    <w:rsid w:val="004B464B"/>
    <w:rsid w:val="004B4699"/>
    <w:rsid w:val="004B483E"/>
    <w:rsid w:val="004B4958"/>
    <w:rsid w:val="004B49D0"/>
    <w:rsid w:val="004B4A36"/>
    <w:rsid w:val="004B4B2B"/>
    <w:rsid w:val="004B4C1A"/>
    <w:rsid w:val="004B4D43"/>
    <w:rsid w:val="004B4DB5"/>
    <w:rsid w:val="004B4E95"/>
    <w:rsid w:val="004B4F36"/>
    <w:rsid w:val="004B4FDA"/>
    <w:rsid w:val="004B5123"/>
    <w:rsid w:val="004B5133"/>
    <w:rsid w:val="004B55B9"/>
    <w:rsid w:val="004B5658"/>
    <w:rsid w:val="004B565C"/>
    <w:rsid w:val="004B56FC"/>
    <w:rsid w:val="004B5B1E"/>
    <w:rsid w:val="004B5B56"/>
    <w:rsid w:val="004B5BC4"/>
    <w:rsid w:val="004B5C2A"/>
    <w:rsid w:val="004B5CD5"/>
    <w:rsid w:val="004B5D18"/>
    <w:rsid w:val="004B603B"/>
    <w:rsid w:val="004B6193"/>
    <w:rsid w:val="004B61FB"/>
    <w:rsid w:val="004B643D"/>
    <w:rsid w:val="004B66F5"/>
    <w:rsid w:val="004B67FC"/>
    <w:rsid w:val="004B6912"/>
    <w:rsid w:val="004B6A69"/>
    <w:rsid w:val="004B6B6C"/>
    <w:rsid w:val="004B6BA1"/>
    <w:rsid w:val="004B6C51"/>
    <w:rsid w:val="004B6F6B"/>
    <w:rsid w:val="004B7341"/>
    <w:rsid w:val="004B7384"/>
    <w:rsid w:val="004B73E6"/>
    <w:rsid w:val="004B740D"/>
    <w:rsid w:val="004B744B"/>
    <w:rsid w:val="004B7520"/>
    <w:rsid w:val="004B7560"/>
    <w:rsid w:val="004B782C"/>
    <w:rsid w:val="004B7838"/>
    <w:rsid w:val="004B78F4"/>
    <w:rsid w:val="004B7925"/>
    <w:rsid w:val="004B79F0"/>
    <w:rsid w:val="004B7B6A"/>
    <w:rsid w:val="004B7C2A"/>
    <w:rsid w:val="004B7CC1"/>
    <w:rsid w:val="004B7CF8"/>
    <w:rsid w:val="004B7F08"/>
    <w:rsid w:val="004B7FA5"/>
    <w:rsid w:val="004C0050"/>
    <w:rsid w:val="004C01CB"/>
    <w:rsid w:val="004C02A8"/>
    <w:rsid w:val="004C04FE"/>
    <w:rsid w:val="004C059E"/>
    <w:rsid w:val="004C06BB"/>
    <w:rsid w:val="004C0814"/>
    <w:rsid w:val="004C08B5"/>
    <w:rsid w:val="004C0B64"/>
    <w:rsid w:val="004C0DF7"/>
    <w:rsid w:val="004C0F50"/>
    <w:rsid w:val="004C0F6F"/>
    <w:rsid w:val="004C0FA2"/>
    <w:rsid w:val="004C1089"/>
    <w:rsid w:val="004C1138"/>
    <w:rsid w:val="004C139C"/>
    <w:rsid w:val="004C1477"/>
    <w:rsid w:val="004C1864"/>
    <w:rsid w:val="004C1A95"/>
    <w:rsid w:val="004C1B83"/>
    <w:rsid w:val="004C1BFF"/>
    <w:rsid w:val="004C2227"/>
    <w:rsid w:val="004C22FD"/>
    <w:rsid w:val="004C24CA"/>
    <w:rsid w:val="004C258D"/>
    <w:rsid w:val="004C2694"/>
    <w:rsid w:val="004C26C8"/>
    <w:rsid w:val="004C271F"/>
    <w:rsid w:val="004C2883"/>
    <w:rsid w:val="004C28AD"/>
    <w:rsid w:val="004C2902"/>
    <w:rsid w:val="004C2A20"/>
    <w:rsid w:val="004C2B98"/>
    <w:rsid w:val="004C2BEE"/>
    <w:rsid w:val="004C2C13"/>
    <w:rsid w:val="004C2CDB"/>
    <w:rsid w:val="004C2D35"/>
    <w:rsid w:val="004C2DE6"/>
    <w:rsid w:val="004C2DE9"/>
    <w:rsid w:val="004C2F8A"/>
    <w:rsid w:val="004C3081"/>
    <w:rsid w:val="004C3254"/>
    <w:rsid w:val="004C3519"/>
    <w:rsid w:val="004C36B2"/>
    <w:rsid w:val="004C36B8"/>
    <w:rsid w:val="004C382D"/>
    <w:rsid w:val="004C3834"/>
    <w:rsid w:val="004C38AA"/>
    <w:rsid w:val="004C38CA"/>
    <w:rsid w:val="004C3AD3"/>
    <w:rsid w:val="004C3B2F"/>
    <w:rsid w:val="004C3B48"/>
    <w:rsid w:val="004C3CCD"/>
    <w:rsid w:val="004C3DAA"/>
    <w:rsid w:val="004C3F19"/>
    <w:rsid w:val="004C407E"/>
    <w:rsid w:val="004C40A5"/>
    <w:rsid w:val="004C4118"/>
    <w:rsid w:val="004C41B6"/>
    <w:rsid w:val="004C4228"/>
    <w:rsid w:val="004C4254"/>
    <w:rsid w:val="004C4348"/>
    <w:rsid w:val="004C453B"/>
    <w:rsid w:val="004C45A0"/>
    <w:rsid w:val="004C46A4"/>
    <w:rsid w:val="004C486C"/>
    <w:rsid w:val="004C49EC"/>
    <w:rsid w:val="004C4AE6"/>
    <w:rsid w:val="004C4C4F"/>
    <w:rsid w:val="004C4CCD"/>
    <w:rsid w:val="004C4ED2"/>
    <w:rsid w:val="004C4F33"/>
    <w:rsid w:val="004C4F72"/>
    <w:rsid w:val="004C5005"/>
    <w:rsid w:val="004C5096"/>
    <w:rsid w:val="004C5344"/>
    <w:rsid w:val="004C5449"/>
    <w:rsid w:val="004C544D"/>
    <w:rsid w:val="004C54E1"/>
    <w:rsid w:val="004C5510"/>
    <w:rsid w:val="004C5512"/>
    <w:rsid w:val="004C5858"/>
    <w:rsid w:val="004C5B47"/>
    <w:rsid w:val="004C5C5E"/>
    <w:rsid w:val="004C5D4B"/>
    <w:rsid w:val="004C5DFE"/>
    <w:rsid w:val="004C5E80"/>
    <w:rsid w:val="004C5F02"/>
    <w:rsid w:val="004C5F8E"/>
    <w:rsid w:val="004C5FEB"/>
    <w:rsid w:val="004C6048"/>
    <w:rsid w:val="004C605B"/>
    <w:rsid w:val="004C60FF"/>
    <w:rsid w:val="004C631B"/>
    <w:rsid w:val="004C63A7"/>
    <w:rsid w:val="004C6493"/>
    <w:rsid w:val="004C64D2"/>
    <w:rsid w:val="004C657F"/>
    <w:rsid w:val="004C69A4"/>
    <w:rsid w:val="004C6B9C"/>
    <w:rsid w:val="004C6CE1"/>
    <w:rsid w:val="004C6E14"/>
    <w:rsid w:val="004C70BD"/>
    <w:rsid w:val="004C70D2"/>
    <w:rsid w:val="004C7138"/>
    <w:rsid w:val="004C7256"/>
    <w:rsid w:val="004C73C5"/>
    <w:rsid w:val="004C743F"/>
    <w:rsid w:val="004C7498"/>
    <w:rsid w:val="004C761C"/>
    <w:rsid w:val="004C78D5"/>
    <w:rsid w:val="004C7957"/>
    <w:rsid w:val="004C7A33"/>
    <w:rsid w:val="004C7C7D"/>
    <w:rsid w:val="004C7D90"/>
    <w:rsid w:val="004C7DA2"/>
    <w:rsid w:val="004C7DF1"/>
    <w:rsid w:val="004C7FD2"/>
    <w:rsid w:val="004D00D7"/>
    <w:rsid w:val="004D0304"/>
    <w:rsid w:val="004D037A"/>
    <w:rsid w:val="004D0393"/>
    <w:rsid w:val="004D045D"/>
    <w:rsid w:val="004D04EA"/>
    <w:rsid w:val="004D0516"/>
    <w:rsid w:val="004D05E0"/>
    <w:rsid w:val="004D0676"/>
    <w:rsid w:val="004D067D"/>
    <w:rsid w:val="004D0701"/>
    <w:rsid w:val="004D07B7"/>
    <w:rsid w:val="004D092D"/>
    <w:rsid w:val="004D0940"/>
    <w:rsid w:val="004D09AF"/>
    <w:rsid w:val="004D0C11"/>
    <w:rsid w:val="004D0E06"/>
    <w:rsid w:val="004D0E53"/>
    <w:rsid w:val="004D0EA0"/>
    <w:rsid w:val="004D0EA8"/>
    <w:rsid w:val="004D0F2E"/>
    <w:rsid w:val="004D0F92"/>
    <w:rsid w:val="004D0FFF"/>
    <w:rsid w:val="004D12CF"/>
    <w:rsid w:val="004D137A"/>
    <w:rsid w:val="004D1383"/>
    <w:rsid w:val="004D139B"/>
    <w:rsid w:val="004D148B"/>
    <w:rsid w:val="004D14F2"/>
    <w:rsid w:val="004D17BF"/>
    <w:rsid w:val="004D17C8"/>
    <w:rsid w:val="004D1855"/>
    <w:rsid w:val="004D18B2"/>
    <w:rsid w:val="004D1AE3"/>
    <w:rsid w:val="004D1E7F"/>
    <w:rsid w:val="004D1F56"/>
    <w:rsid w:val="004D2007"/>
    <w:rsid w:val="004D2043"/>
    <w:rsid w:val="004D204F"/>
    <w:rsid w:val="004D2181"/>
    <w:rsid w:val="004D21E6"/>
    <w:rsid w:val="004D2207"/>
    <w:rsid w:val="004D2299"/>
    <w:rsid w:val="004D242A"/>
    <w:rsid w:val="004D24A2"/>
    <w:rsid w:val="004D254C"/>
    <w:rsid w:val="004D25E0"/>
    <w:rsid w:val="004D26AD"/>
    <w:rsid w:val="004D26C2"/>
    <w:rsid w:val="004D276F"/>
    <w:rsid w:val="004D27D7"/>
    <w:rsid w:val="004D291B"/>
    <w:rsid w:val="004D299C"/>
    <w:rsid w:val="004D2CDD"/>
    <w:rsid w:val="004D2D56"/>
    <w:rsid w:val="004D2EC7"/>
    <w:rsid w:val="004D3013"/>
    <w:rsid w:val="004D311A"/>
    <w:rsid w:val="004D318D"/>
    <w:rsid w:val="004D3217"/>
    <w:rsid w:val="004D3233"/>
    <w:rsid w:val="004D334E"/>
    <w:rsid w:val="004D342F"/>
    <w:rsid w:val="004D343C"/>
    <w:rsid w:val="004D3606"/>
    <w:rsid w:val="004D3B56"/>
    <w:rsid w:val="004D3D05"/>
    <w:rsid w:val="004D3D3F"/>
    <w:rsid w:val="004D3D98"/>
    <w:rsid w:val="004D3E3D"/>
    <w:rsid w:val="004D3FCE"/>
    <w:rsid w:val="004D4010"/>
    <w:rsid w:val="004D402B"/>
    <w:rsid w:val="004D404E"/>
    <w:rsid w:val="004D406E"/>
    <w:rsid w:val="004D4156"/>
    <w:rsid w:val="004D4405"/>
    <w:rsid w:val="004D444B"/>
    <w:rsid w:val="004D4511"/>
    <w:rsid w:val="004D45E4"/>
    <w:rsid w:val="004D462F"/>
    <w:rsid w:val="004D4951"/>
    <w:rsid w:val="004D4AF6"/>
    <w:rsid w:val="004D4B4F"/>
    <w:rsid w:val="004D4CE8"/>
    <w:rsid w:val="004D4DAB"/>
    <w:rsid w:val="004D4DED"/>
    <w:rsid w:val="004D4EC7"/>
    <w:rsid w:val="004D4FC3"/>
    <w:rsid w:val="004D512D"/>
    <w:rsid w:val="004D5138"/>
    <w:rsid w:val="004D5634"/>
    <w:rsid w:val="004D572E"/>
    <w:rsid w:val="004D5962"/>
    <w:rsid w:val="004D5981"/>
    <w:rsid w:val="004D5A2B"/>
    <w:rsid w:val="004D5A32"/>
    <w:rsid w:val="004D5AED"/>
    <w:rsid w:val="004D5B7B"/>
    <w:rsid w:val="004D5BC6"/>
    <w:rsid w:val="004D5BC8"/>
    <w:rsid w:val="004D5BF3"/>
    <w:rsid w:val="004D5CEF"/>
    <w:rsid w:val="004D5D0E"/>
    <w:rsid w:val="004D5D67"/>
    <w:rsid w:val="004D5F0F"/>
    <w:rsid w:val="004D5FA6"/>
    <w:rsid w:val="004D605F"/>
    <w:rsid w:val="004D6101"/>
    <w:rsid w:val="004D6131"/>
    <w:rsid w:val="004D6354"/>
    <w:rsid w:val="004D6617"/>
    <w:rsid w:val="004D680B"/>
    <w:rsid w:val="004D6A98"/>
    <w:rsid w:val="004D6DC8"/>
    <w:rsid w:val="004D6E11"/>
    <w:rsid w:val="004D6E1D"/>
    <w:rsid w:val="004D6E22"/>
    <w:rsid w:val="004D6E37"/>
    <w:rsid w:val="004D7267"/>
    <w:rsid w:val="004D73DE"/>
    <w:rsid w:val="004D7464"/>
    <w:rsid w:val="004D7568"/>
    <w:rsid w:val="004D7574"/>
    <w:rsid w:val="004D7603"/>
    <w:rsid w:val="004D77C0"/>
    <w:rsid w:val="004D789F"/>
    <w:rsid w:val="004D78E3"/>
    <w:rsid w:val="004D7B12"/>
    <w:rsid w:val="004D7B46"/>
    <w:rsid w:val="004D7C28"/>
    <w:rsid w:val="004D7C40"/>
    <w:rsid w:val="004D7D59"/>
    <w:rsid w:val="004D7ED4"/>
    <w:rsid w:val="004D7F80"/>
    <w:rsid w:val="004E0040"/>
    <w:rsid w:val="004E00EA"/>
    <w:rsid w:val="004E0110"/>
    <w:rsid w:val="004E02BE"/>
    <w:rsid w:val="004E02CD"/>
    <w:rsid w:val="004E0337"/>
    <w:rsid w:val="004E033F"/>
    <w:rsid w:val="004E0372"/>
    <w:rsid w:val="004E0565"/>
    <w:rsid w:val="004E0575"/>
    <w:rsid w:val="004E0638"/>
    <w:rsid w:val="004E06AA"/>
    <w:rsid w:val="004E06FA"/>
    <w:rsid w:val="004E0789"/>
    <w:rsid w:val="004E08AC"/>
    <w:rsid w:val="004E0A92"/>
    <w:rsid w:val="004E0EEC"/>
    <w:rsid w:val="004E0FD3"/>
    <w:rsid w:val="004E10D4"/>
    <w:rsid w:val="004E1190"/>
    <w:rsid w:val="004E11EF"/>
    <w:rsid w:val="004E12DE"/>
    <w:rsid w:val="004E154C"/>
    <w:rsid w:val="004E155B"/>
    <w:rsid w:val="004E1654"/>
    <w:rsid w:val="004E174A"/>
    <w:rsid w:val="004E1A18"/>
    <w:rsid w:val="004E1A7E"/>
    <w:rsid w:val="004E1ACF"/>
    <w:rsid w:val="004E1B31"/>
    <w:rsid w:val="004E1C4E"/>
    <w:rsid w:val="004E1C6F"/>
    <w:rsid w:val="004E1D0B"/>
    <w:rsid w:val="004E1EFD"/>
    <w:rsid w:val="004E2042"/>
    <w:rsid w:val="004E2386"/>
    <w:rsid w:val="004E23B4"/>
    <w:rsid w:val="004E2588"/>
    <w:rsid w:val="004E25BA"/>
    <w:rsid w:val="004E26DE"/>
    <w:rsid w:val="004E280F"/>
    <w:rsid w:val="004E29B9"/>
    <w:rsid w:val="004E2A8D"/>
    <w:rsid w:val="004E2C6E"/>
    <w:rsid w:val="004E2D70"/>
    <w:rsid w:val="004E2F1D"/>
    <w:rsid w:val="004E3012"/>
    <w:rsid w:val="004E30ED"/>
    <w:rsid w:val="004E3166"/>
    <w:rsid w:val="004E32A5"/>
    <w:rsid w:val="004E32C4"/>
    <w:rsid w:val="004E340D"/>
    <w:rsid w:val="004E348F"/>
    <w:rsid w:val="004E36EB"/>
    <w:rsid w:val="004E3779"/>
    <w:rsid w:val="004E37EA"/>
    <w:rsid w:val="004E37EB"/>
    <w:rsid w:val="004E3814"/>
    <w:rsid w:val="004E384E"/>
    <w:rsid w:val="004E3901"/>
    <w:rsid w:val="004E39B2"/>
    <w:rsid w:val="004E3AD3"/>
    <w:rsid w:val="004E3BD6"/>
    <w:rsid w:val="004E3CFA"/>
    <w:rsid w:val="004E3D38"/>
    <w:rsid w:val="004E3F1B"/>
    <w:rsid w:val="004E40B9"/>
    <w:rsid w:val="004E40BC"/>
    <w:rsid w:val="004E420D"/>
    <w:rsid w:val="004E42CD"/>
    <w:rsid w:val="004E42D4"/>
    <w:rsid w:val="004E4383"/>
    <w:rsid w:val="004E4547"/>
    <w:rsid w:val="004E4652"/>
    <w:rsid w:val="004E4780"/>
    <w:rsid w:val="004E47F6"/>
    <w:rsid w:val="004E490C"/>
    <w:rsid w:val="004E49D3"/>
    <w:rsid w:val="004E49F7"/>
    <w:rsid w:val="004E4A06"/>
    <w:rsid w:val="004E4D49"/>
    <w:rsid w:val="004E4EDE"/>
    <w:rsid w:val="004E4EE7"/>
    <w:rsid w:val="004E4F3D"/>
    <w:rsid w:val="004E5062"/>
    <w:rsid w:val="004E50DA"/>
    <w:rsid w:val="004E5111"/>
    <w:rsid w:val="004E5242"/>
    <w:rsid w:val="004E5294"/>
    <w:rsid w:val="004E53D3"/>
    <w:rsid w:val="004E54A6"/>
    <w:rsid w:val="004E54D5"/>
    <w:rsid w:val="004E55FB"/>
    <w:rsid w:val="004E5699"/>
    <w:rsid w:val="004E57D7"/>
    <w:rsid w:val="004E5853"/>
    <w:rsid w:val="004E5967"/>
    <w:rsid w:val="004E5986"/>
    <w:rsid w:val="004E5AAC"/>
    <w:rsid w:val="004E5AEE"/>
    <w:rsid w:val="004E5B17"/>
    <w:rsid w:val="004E5D0A"/>
    <w:rsid w:val="004E5DB1"/>
    <w:rsid w:val="004E5E45"/>
    <w:rsid w:val="004E6244"/>
    <w:rsid w:val="004E6280"/>
    <w:rsid w:val="004E62D8"/>
    <w:rsid w:val="004E643C"/>
    <w:rsid w:val="004E6470"/>
    <w:rsid w:val="004E6482"/>
    <w:rsid w:val="004E657D"/>
    <w:rsid w:val="004E66CA"/>
    <w:rsid w:val="004E6830"/>
    <w:rsid w:val="004E68F3"/>
    <w:rsid w:val="004E6900"/>
    <w:rsid w:val="004E6939"/>
    <w:rsid w:val="004E6B14"/>
    <w:rsid w:val="004E6BE2"/>
    <w:rsid w:val="004E6DF1"/>
    <w:rsid w:val="004E6F84"/>
    <w:rsid w:val="004E70B2"/>
    <w:rsid w:val="004E70CF"/>
    <w:rsid w:val="004E718A"/>
    <w:rsid w:val="004E7364"/>
    <w:rsid w:val="004E74A0"/>
    <w:rsid w:val="004E7A56"/>
    <w:rsid w:val="004E7A61"/>
    <w:rsid w:val="004E7AC5"/>
    <w:rsid w:val="004E7B28"/>
    <w:rsid w:val="004E7C0E"/>
    <w:rsid w:val="004E7EB3"/>
    <w:rsid w:val="004E7EBA"/>
    <w:rsid w:val="004F0228"/>
    <w:rsid w:val="004F02CE"/>
    <w:rsid w:val="004F05A8"/>
    <w:rsid w:val="004F0673"/>
    <w:rsid w:val="004F079F"/>
    <w:rsid w:val="004F095D"/>
    <w:rsid w:val="004F09D1"/>
    <w:rsid w:val="004F0A13"/>
    <w:rsid w:val="004F0BFC"/>
    <w:rsid w:val="004F0C21"/>
    <w:rsid w:val="004F0D34"/>
    <w:rsid w:val="004F0E8D"/>
    <w:rsid w:val="004F0F27"/>
    <w:rsid w:val="004F0FB4"/>
    <w:rsid w:val="004F10E9"/>
    <w:rsid w:val="004F142D"/>
    <w:rsid w:val="004F1588"/>
    <w:rsid w:val="004F15B0"/>
    <w:rsid w:val="004F1689"/>
    <w:rsid w:val="004F1757"/>
    <w:rsid w:val="004F177C"/>
    <w:rsid w:val="004F1791"/>
    <w:rsid w:val="004F18BB"/>
    <w:rsid w:val="004F18E0"/>
    <w:rsid w:val="004F1912"/>
    <w:rsid w:val="004F19BB"/>
    <w:rsid w:val="004F19C4"/>
    <w:rsid w:val="004F1A4A"/>
    <w:rsid w:val="004F1AD4"/>
    <w:rsid w:val="004F1B0E"/>
    <w:rsid w:val="004F1B2B"/>
    <w:rsid w:val="004F1D4C"/>
    <w:rsid w:val="004F2054"/>
    <w:rsid w:val="004F2083"/>
    <w:rsid w:val="004F2380"/>
    <w:rsid w:val="004F2481"/>
    <w:rsid w:val="004F2494"/>
    <w:rsid w:val="004F250B"/>
    <w:rsid w:val="004F2746"/>
    <w:rsid w:val="004F279E"/>
    <w:rsid w:val="004F284D"/>
    <w:rsid w:val="004F28A7"/>
    <w:rsid w:val="004F2931"/>
    <w:rsid w:val="004F2B65"/>
    <w:rsid w:val="004F2BFB"/>
    <w:rsid w:val="004F2D55"/>
    <w:rsid w:val="004F2F03"/>
    <w:rsid w:val="004F3041"/>
    <w:rsid w:val="004F33BD"/>
    <w:rsid w:val="004F340E"/>
    <w:rsid w:val="004F3673"/>
    <w:rsid w:val="004F399D"/>
    <w:rsid w:val="004F39F4"/>
    <w:rsid w:val="004F3A9E"/>
    <w:rsid w:val="004F3BAB"/>
    <w:rsid w:val="004F3C30"/>
    <w:rsid w:val="004F3EBE"/>
    <w:rsid w:val="004F3F6E"/>
    <w:rsid w:val="004F3FA7"/>
    <w:rsid w:val="004F41F0"/>
    <w:rsid w:val="004F4200"/>
    <w:rsid w:val="004F431D"/>
    <w:rsid w:val="004F44CD"/>
    <w:rsid w:val="004F44DF"/>
    <w:rsid w:val="004F44F4"/>
    <w:rsid w:val="004F45D8"/>
    <w:rsid w:val="004F4601"/>
    <w:rsid w:val="004F48A9"/>
    <w:rsid w:val="004F4977"/>
    <w:rsid w:val="004F49F1"/>
    <w:rsid w:val="004F4AAB"/>
    <w:rsid w:val="004F4B92"/>
    <w:rsid w:val="004F4CBF"/>
    <w:rsid w:val="004F4DB6"/>
    <w:rsid w:val="004F4E75"/>
    <w:rsid w:val="004F4EF3"/>
    <w:rsid w:val="004F4FC2"/>
    <w:rsid w:val="004F5347"/>
    <w:rsid w:val="004F546C"/>
    <w:rsid w:val="004F56F8"/>
    <w:rsid w:val="004F5B0F"/>
    <w:rsid w:val="004F5CE7"/>
    <w:rsid w:val="004F5E98"/>
    <w:rsid w:val="004F6047"/>
    <w:rsid w:val="004F63E7"/>
    <w:rsid w:val="004F695A"/>
    <w:rsid w:val="004F69E3"/>
    <w:rsid w:val="004F6A33"/>
    <w:rsid w:val="004F6B5E"/>
    <w:rsid w:val="004F6B8C"/>
    <w:rsid w:val="004F6C73"/>
    <w:rsid w:val="004F6D0F"/>
    <w:rsid w:val="004F6D2A"/>
    <w:rsid w:val="004F6FFF"/>
    <w:rsid w:val="004F7090"/>
    <w:rsid w:val="004F7190"/>
    <w:rsid w:val="004F738D"/>
    <w:rsid w:val="004F73F5"/>
    <w:rsid w:val="004F7475"/>
    <w:rsid w:val="004F74BF"/>
    <w:rsid w:val="004F7650"/>
    <w:rsid w:val="004F76C4"/>
    <w:rsid w:val="004F7866"/>
    <w:rsid w:val="004F78EB"/>
    <w:rsid w:val="004F796A"/>
    <w:rsid w:val="004F79B9"/>
    <w:rsid w:val="004F7AFB"/>
    <w:rsid w:val="004F7B27"/>
    <w:rsid w:val="004F7B4C"/>
    <w:rsid w:val="004F7BAF"/>
    <w:rsid w:val="004F7D15"/>
    <w:rsid w:val="004F7DE8"/>
    <w:rsid w:val="004F7F2B"/>
    <w:rsid w:val="004F7FA2"/>
    <w:rsid w:val="00500093"/>
    <w:rsid w:val="00500103"/>
    <w:rsid w:val="0050019E"/>
    <w:rsid w:val="00500279"/>
    <w:rsid w:val="00500565"/>
    <w:rsid w:val="00500574"/>
    <w:rsid w:val="00500712"/>
    <w:rsid w:val="005009F8"/>
    <w:rsid w:val="00500A55"/>
    <w:rsid w:val="00500AB2"/>
    <w:rsid w:val="00500AF8"/>
    <w:rsid w:val="00500C5B"/>
    <w:rsid w:val="00500E1D"/>
    <w:rsid w:val="00500EBD"/>
    <w:rsid w:val="00501034"/>
    <w:rsid w:val="005010BE"/>
    <w:rsid w:val="0050111F"/>
    <w:rsid w:val="00501260"/>
    <w:rsid w:val="00501474"/>
    <w:rsid w:val="005014CF"/>
    <w:rsid w:val="005015CD"/>
    <w:rsid w:val="00501641"/>
    <w:rsid w:val="00501929"/>
    <w:rsid w:val="00501A09"/>
    <w:rsid w:val="00501AB9"/>
    <w:rsid w:val="00501B6C"/>
    <w:rsid w:val="00501C7B"/>
    <w:rsid w:val="00501F37"/>
    <w:rsid w:val="00501FDF"/>
    <w:rsid w:val="00502037"/>
    <w:rsid w:val="00502063"/>
    <w:rsid w:val="00502074"/>
    <w:rsid w:val="005020BB"/>
    <w:rsid w:val="005020C8"/>
    <w:rsid w:val="0050210E"/>
    <w:rsid w:val="00502178"/>
    <w:rsid w:val="00502237"/>
    <w:rsid w:val="005023AB"/>
    <w:rsid w:val="005023EC"/>
    <w:rsid w:val="00502532"/>
    <w:rsid w:val="00502577"/>
    <w:rsid w:val="005025AB"/>
    <w:rsid w:val="005027B8"/>
    <w:rsid w:val="00502813"/>
    <w:rsid w:val="005028ED"/>
    <w:rsid w:val="00502A33"/>
    <w:rsid w:val="00502A9D"/>
    <w:rsid w:val="00502B2D"/>
    <w:rsid w:val="00502C4C"/>
    <w:rsid w:val="00502D2E"/>
    <w:rsid w:val="00502E39"/>
    <w:rsid w:val="00502E7E"/>
    <w:rsid w:val="00503122"/>
    <w:rsid w:val="00503130"/>
    <w:rsid w:val="0050319D"/>
    <w:rsid w:val="005031F2"/>
    <w:rsid w:val="00503591"/>
    <w:rsid w:val="0050360F"/>
    <w:rsid w:val="00503850"/>
    <w:rsid w:val="005039AF"/>
    <w:rsid w:val="00503ABC"/>
    <w:rsid w:val="00503B74"/>
    <w:rsid w:val="00503C4E"/>
    <w:rsid w:val="00503C62"/>
    <w:rsid w:val="00503CE6"/>
    <w:rsid w:val="00503E77"/>
    <w:rsid w:val="00503EF2"/>
    <w:rsid w:val="0050403C"/>
    <w:rsid w:val="00504091"/>
    <w:rsid w:val="00504248"/>
    <w:rsid w:val="0050447B"/>
    <w:rsid w:val="005045DE"/>
    <w:rsid w:val="00504624"/>
    <w:rsid w:val="00504770"/>
    <w:rsid w:val="005048AD"/>
    <w:rsid w:val="00504A8B"/>
    <w:rsid w:val="00504B56"/>
    <w:rsid w:val="00504C08"/>
    <w:rsid w:val="00504D30"/>
    <w:rsid w:val="00504D3C"/>
    <w:rsid w:val="00504EA3"/>
    <w:rsid w:val="00504EB1"/>
    <w:rsid w:val="00504F7F"/>
    <w:rsid w:val="00504FEC"/>
    <w:rsid w:val="005052F6"/>
    <w:rsid w:val="00505312"/>
    <w:rsid w:val="00505322"/>
    <w:rsid w:val="00505413"/>
    <w:rsid w:val="00505470"/>
    <w:rsid w:val="005054C6"/>
    <w:rsid w:val="00505569"/>
    <w:rsid w:val="00505614"/>
    <w:rsid w:val="005056E4"/>
    <w:rsid w:val="005057E1"/>
    <w:rsid w:val="00505854"/>
    <w:rsid w:val="00505989"/>
    <w:rsid w:val="00505991"/>
    <w:rsid w:val="00505AAE"/>
    <w:rsid w:val="00505B29"/>
    <w:rsid w:val="00505B59"/>
    <w:rsid w:val="00505B5F"/>
    <w:rsid w:val="00505C9F"/>
    <w:rsid w:val="00505D29"/>
    <w:rsid w:val="00505D32"/>
    <w:rsid w:val="00505DAC"/>
    <w:rsid w:val="00505DCC"/>
    <w:rsid w:val="00506114"/>
    <w:rsid w:val="0050618B"/>
    <w:rsid w:val="00506414"/>
    <w:rsid w:val="00506462"/>
    <w:rsid w:val="005064EF"/>
    <w:rsid w:val="005064F6"/>
    <w:rsid w:val="00506595"/>
    <w:rsid w:val="005066FC"/>
    <w:rsid w:val="0050671E"/>
    <w:rsid w:val="0050674A"/>
    <w:rsid w:val="00506A63"/>
    <w:rsid w:val="00506BE3"/>
    <w:rsid w:val="00506CE9"/>
    <w:rsid w:val="00506D76"/>
    <w:rsid w:val="00506E1E"/>
    <w:rsid w:val="00506E2E"/>
    <w:rsid w:val="00506E34"/>
    <w:rsid w:val="00506EA1"/>
    <w:rsid w:val="00506F0F"/>
    <w:rsid w:val="00506F9E"/>
    <w:rsid w:val="00507127"/>
    <w:rsid w:val="0050719E"/>
    <w:rsid w:val="005072F0"/>
    <w:rsid w:val="00507357"/>
    <w:rsid w:val="00507424"/>
    <w:rsid w:val="0050751C"/>
    <w:rsid w:val="0050757B"/>
    <w:rsid w:val="00507581"/>
    <w:rsid w:val="00507627"/>
    <w:rsid w:val="005076DD"/>
    <w:rsid w:val="0050773B"/>
    <w:rsid w:val="00507864"/>
    <w:rsid w:val="005079C5"/>
    <w:rsid w:val="00507AA1"/>
    <w:rsid w:val="00507BE0"/>
    <w:rsid w:val="00507EFC"/>
    <w:rsid w:val="00507F4F"/>
    <w:rsid w:val="0051009E"/>
    <w:rsid w:val="0051012B"/>
    <w:rsid w:val="00510348"/>
    <w:rsid w:val="0051047D"/>
    <w:rsid w:val="005104AD"/>
    <w:rsid w:val="00510570"/>
    <w:rsid w:val="005109B6"/>
    <w:rsid w:val="00510A54"/>
    <w:rsid w:val="00510D74"/>
    <w:rsid w:val="00511020"/>
    <w:rsid w:val="00511189"/>
    <w:rsid w:val="00511208"/>
    <w:rsid w:val="00511293"/>
    <w:rsid w:val="0051131C"/>
    <w:rsid w:val="005114D8"/>
    <w:rsid w:val="005114F9"/>
    <w:rsid w:val="005115B0"/>
    <w:rsid w:val="005116B7"/>
    <w:rsid w:val="0051179F"/>
    <w:rsid w:val="005117AE"/>
    <w:rsid w:val="005118FD"/>
    <w:rsid w:val="00511AA1"/>
    <w:rsid w:val="00511E8D"/>
    <w:rsid w:val="00511F96"/>
    <w:rsid w:val="0051205D"/>
    <w:rsid w:val="00512085"/>
    <w:rsid w:val="00512789"/>
    <w:rsid w:val="005127E7"/>
    <w:rsid w:val="00512875"/>
    <w:rsid w:val="00512951"/>
    <w:rsid w:val="00512A6C"/>
    <w:rsid w:val="00512A85"/>
    <w:rsid w:val="00512B25"/>
    <w:rsid w:val="00512D35"/>
    <w:rsid w:val="00512DD1"/>
    <w:rsid w:val="00512F86"/>
    <w:rsid w:val="00512FBC"/>
    <w:rsid w:val="005130E6"/>
    <w:rsid w:val="005131ED"/>
    <w:rsid w:val="005131F4"/>
    <w:rsid w:val="005131FC"/>
    <w:rsid w:val="0051334C"/>
    <w:rsid w:val="00513868"/>
    <w:rsid w:val="0051387E"/>
    <w:rsid w:val="005139BA"/>
    <w:rsid w:val="00513C32"/>
    <w:rsid w:val="00513C81"/>
    <w:rsid w:val="00513CE0"/>
    <w:rsid w:val="00513DE1"/>
    <w:rsid w:val="00513EC0"/>
    <w:rsid w:val="0051400B"/>
    <w:rsid w:val="00514222"/>
    <w:rsid w:val="0051447B"/>
    <w:rsid w:val="005146D5"/>
    <w:rsid w:val="00514756"/>
    <w:rsid w:val="0051481B"/>
    <w:rsid w:val="00514839"/>
    <w:rsid w:val="005148D0"/>
    <w:rsid w:val="00514A63"/>
    <w:rsid w:val="00514AB6"/>
    <w:rsid w:val="00514B5B"/>
    <w:rsid w:val="00514D41"/>
    <w:rsid w:val="00514F15"/>
    <w:rsid w:val="00515161"/>
    <w:rsid w:val="00515187"/>
    <w:rsid w:val="00515482"/>
    <w:rsid w:val="0051555C"/>
    <w:rsid w:val="00515647"/>
    <w:rsid w:val="00515952"/>
    <w:rsid w:val="005159FC"/>
    <w:rsid w:val="00515C4F"/>
    <w:rsid w:val="00515CCA"/>
    <w:rsid w:val="00515D49"/>
    <w:rsid w:val="00515DA9"/>
    <w:rsid w:val="00515DB3"/>
    <w:rsid w:val="00515DF5"/>
    <w:rsid w:val="00515E96"/>
    <w:rsid w:val="00515F18"/>
    <w:rsid w:val="00515FEE"/>
    <w:rsid w:val="0051600C"/>
    <w:rsid w:val="00516066"/>
    <w:rsid w:val="005160E7"/>
    <w:rsid w:val="00516197"/>
    <w:rsid w:val="005161D8"/>
    <w:rsid w:val="00516237"/>
    <w:rsid w:val="00516276"/>
    <w:rsid w:val="005162EF"/>
    <w:rsid w:val="00516446"/>
    <w:rsid w:val="0051649B"/>
    <w:rsid w:val="005164D0"/>
    <w:rsid w:val="00516500"/>
    <w:rsid w:val="00516785"/>
    <w:rsid w:val="00516787"/>
    <w:rsid w:val="00516813"/>
    <w:rsid w:val="005168C9"/>
    <w:rsid w:val="005169A6"/>
    <w:rsid w:val="00516B05"/>
    <w:rsid w:val="00516B13"/>
    <w:rsid w:val="00516B3D"/>
    <w:rsid w:val="00516CDD"/>
    <w:rsid w:val="00516DD8"/>
    <w:rsid w:val="00516E01"/>
    <w:rsid w:val="00516E48"/>
    <w:rsid w:val="00516EC1"/>
    <w:rsid w:val="00516F23"/>
    <w:rsid w:val="00516FAB"/>
    <w:rsid w:val="00517037"/>
    <w:rsid w:val="0051705D"/>
    <w:rsid w:val="005170A1"/>
    <w:rsid w:val="00517433"/>
    <w:rsid w:val="0051752B"/>
    <w:rsid w:val="00517630"/>
    <w:rsid w:val="0051763D"/>
    <w:rsid w:val="0051797A"/>
    <w:rsid w:val="00517A4C"/>
    <w:rsid w:val="00517A69"/>
    <w:rsid w:val="00517A81"/>
    <w:rsid w:val="00517FB5"/>
    <w:rsid w:val="0052007B"/>
    <w:rsid w:val="00520149"/>
    <w:rsid w:val="00520372"/>
    <w:rsid w:val="0052037D"/>
    <w:rsid w:val="005203E3"/>
    <w:rsid w:val="0052045F"/>
    <w:rsid w:val="00520748"/>
    <w:rsid w:val="005209B6"/>
    <w:rsid w:val="005209F8"/>
    <w:rsid w:val="00520AC4"/>
    <w:rsid w:val="00520B00"/>
    <w:rsid w:val="00520B90"/>
    <w:rsid w:val="00520DD2"/>
    <w:rsid w:val="00520DF2"/>
    <w:rsid w:val="00520E7F"/>
    <w:rsid w:val="00520FA1"/>
    <w:rsid w:val="0052132E"/>
    <w:rsid w:val="0052138E"/>
    <w:rsid w:val="005214C8"/>
    <w:rsid w:val="005214D2"/>
    <w:rsid w:val="005215AA"/>
    <w:rsid w:val="005215D1"/>
    <w:rsid w:val="00521668"/>
    <w:rsid w:val="00521730"/>
    <w:rsid w:val="0052180D"/>
    <w:rsid w:val="00521A59"/>
    <w:rsid w:val="00521AAE"/>
    <w:rsid w:val="00521D3C"/>
    <w:rsid w:val="00521DC4"/>
    <w:rsid w:val="00521FBA"/>
    <w:rsid w:val="005221B6"/>
    <w:rsid w:val="00522203"/>
    <w:rsid w:val="005222D3"/>
    <w:rsid w:val="005222DB"/>
    <w:rsid w:val="0052236B"/>
    <w:rsid w:val="00522454"/>
    <w:rsid w:val="005225D6"/>
    <w:rsid w:val="00522644"/>
    <w:rsid w:val="0052266D"/>
    <w:rsid w:val="005226BD"/>
    <w:rsid w:val="00522727"/>
    <w:rsid w:val="00522731"/>
    <w:rsid w:val="005229E7"/>
    <w:rsid w:val="00522B82"/>
    <w:rsid w:val="00522BEF"/>
    <w:rsid w:val="00522CF2"/>
    <w:rsid w:val="00522F17"/>
    <w:rsid w:val="0052327B"/>
    <w:rsid w:val="00523292"/>
    <w:rsid w:val="0052337F"/>
    <w:rsid w:val="0052339C"/>
    <w:rsid w:val="005233AE"/>
    <w:rsid w:val="005234E3"/>
    <w:rsid w:val="005235F4"/>
    <w:rsid w:val="00523620"/>
    <w:rsid w:val="00523663"/>
    <w:rsid w:val="00523A06"/>
    <w:rsid w:val="00523CD7"/>
    <w:rsid w:val="00523E1A"/>
    <w:rsid w:val="0052419D"/>
    <w:rsid w:val="005242CE"/>
    <w:rsid w:val="00524581"/>
    <w:rsid w:val="00524713"/>
    <w:rsid w:val="00524769"/>
    <w:rsid w:val="0052476E"/>
    <w:rsid w:val="00524780"/>
    <w:rsid w:val="00524A7C"/>
    <w:rsid w:val="00524ACD"/>
    <w:rsid w:val="00524BC5"/>
    <w:rsid w:val="00524C8B"/>
    <w:rsid w:val="00524CDA"/>
    <w:rsid w:val="00524D35"/>
    <w:rsid w:val="00524EA7"/>
    <w:rsid w:val="00524F12"/>
    <w:rsid w:val="00524FB7"/>
    <w:rsid w:val="0052502E"/>
    <w:rsid w:val="00525040"/>
    <w:rsid w:val="005250DF"/>
    <w:rsid w:val="00525190"/>
    <w:rsid w:val="00525304"/>
    <w:rsid w:val="0052534F"/>
    <w:rsid w:val="005254FD"/>
    <w:rsid w:val="0052569F"/>
    <w:rsid w:val="0052578C"/>
    <w:rsid w:val="00525793"/>
    <w:rsid w:val="00525803"/>
    <w:rsid w:val="005259AB"/>
    <w:rsid w:val="00525B21"/>
    <w:rsid w:val="00525B48"/>
    <w:rsid w:val="00525C59"/>
    <w:rsid w:val="00525D91"/>
    <w:rsid w:val="00525EAB"/>
    <w:rsid w:val="00525FB7"/>
    <w:rsid w:val="0052605C"/>
    <w:rsid w:val="00526097"/>
    <w:rsid w:val="005260F8"/>
    <w:rsid w:val="005262A7"/>
    <w:rsid w:val="00526527"/>
    <w:rsid w:val="00526617"/>
    <w:rsid w:val="00526895"/>
    <w:rsid w:val="00526A27"/>
    <w:rsid w:val="00526A9B"/>
    <w:rsid w:val="00526B75"/>
    <w:rsid w:val="00526DAA"/>
    <w:rsid w:val="00526DC8"/>
    <w:rsid w:val="00526DDC"/>
    <w:rsid w:val="00526E1D"/>
    <w:rsid w:val="00526FCD"/>
    <w:rsid w:val="0052708A"/>
    <w:rsid w:val="005270C7"/>
    <w:rsid w:val="00527348"/>
    <w:rsid w:val="005273FB"/>
    <w:rsid w:val="00527415"/>
    <w:rsid w:val="005275A8"/>
    <w:rsid w:val="0052761F"/>
    <w:rsid w:val="0052778D"/>
    <w:rsid w:val="00527B5C"/>
    <w:rsid w:val="00527BC8"/>
    <w:rsid w:val="00527C2E"/>
    <w:rsid w:val="00527CA4"/>
    <w:rsid w:val="00527D98"/>
    <w:rsid w:val="00527FE6"/>
    <w:rsid w:val="005300C2"/>
    <w:rsid w:val="0053015D"/>
    <w:rsid w:val="005301F8"/>
    <w:rsid w:val="00530206"/>
    <w:rsid w:val="00530475"/>
    <w:rsid w:val="00530607"/>
    <w:rsid w:val="0053070E"/>
    <w:rsid w:val="005307DC"/>
    <w:rsid w:val="005308C8"/>
    <w:rsid w:val="005309CD"/>
    <w:rsid w:val="005309E2"/>
    <w:rsid w:val="00530C69"/>
    <w:rsid w:val="00530CBA"/>
    <w:rsid w:val="00530FC2"/>
    <w:rsid w:val="0053102A"/>
    <w:rsid w:val="005311A9"/>
    <w:rsid w:val="005311AD"/>
    <w:rsid w:val="005312FC"/>
    <w:rsid w:val="00531399"/>
    <w:rsid w:val="0053155F"/>
    <w:rsid w:val="0053161E"/>
    <w:rsid w:val="0053174A"/>
    <w:rsid w:val="0053180A"/>
    <w:rsid w:val="00531845"/>
    <w:rsid w:val="005319AB"/>
    <w:rsid w:val="00531AC0"/>
    <w:rsid w:val="00531B89"/>
    <w:rsid w:val="00531CBE"/>
    <w:rsid w:val="00531D6F"/>
    <w:rsid w:val="00531F93"/>
    <w:rsid w:val="0053237A"/>
    <w:rsid w:val="00532383"/>
    <w:rsid w:val="00532413"/>
    <w:rsid w:val="00532487"/>
    <w:rsid w:val="00532567"/>
    <w:rsid w:val="00532585"/>
    <w:rsid w:val="0053261C"/>
    <w:rsid w:val="005327EB"/>
    <w:rsid w:val="005328AD"/>
    <w:rsid w:val="005328B2"/>
    <w:rsid w:val="005329F4"/>
    <w:rsid w:val="00532C6D"/>
    <w:rsid w:val="00532F24"/>
    <w:rsid w:val="00533200"/>
    <w:rsid w:val="0053329A"/>
    <w:rsid w:val="005335DB"/>
    <w:rsid w:val="005336F5"/>
    <w:rsid w:val="00533706"/>
    <w:rsid w:val="00533927"/>
    <w:rsid w:val="00533962"/>
    <w:rsid w:val="005339DE"/>
    <w:rsid w:val="00533BEE"/>
    <w:rsid w:val="00533D91"/>
    <w:rsid w:val="00533F70"/>
    <w:rsid w:val="005340BB"/>
    <w:rsid w:val="005340E1"/>
    <w:rsid w:val="00534272"/>
    <w:rsid w:val="005342E3"/>
    <w:rsid w:val="00534353"/>
    <w:rsid w:val="005343FE"/>
    <w:rsid w:val="00534434"/>
    <w:rsid w:val="00534819"/>
    <w:rsid w:val="00534886"/>
    <w:rsid w:val="0053499F"/>
    <w:rsid w:val="00534BAB"/>
    <w:rsid w:val="00534CD1"/>
    <w:rsid w:val="00534D42"/>
    <w:rsid w:val="00534E7F"/>
    <w:rsid w:val="00534EA3"/>
    <w:rsid w:val="00534F83"/>
    <w:rsid w:val="0053509F"/>
    <w:rsid w:val="005350A9"/>
    <w:rsid w:val="005351D4"/>
    <w:rsid w:val="0053531B"/>
    <w:rsid w:val="005353C2"/>
    <w:rsid w:val="00535507"/>
    <w:rsid w:val="0053554E"/>
    <w:rsid w:val="0053569E"/>
    <w:rsid w:val="00535867"/>
    <w:rsid w:val="00535ACE"/>
    <w:rsid w:val="00535B9E"/>
    <w:rsid w:val="00535CF0"/>
    <w:rsid w:val="00535E4E"/>
    <w:rsid w:val="0053603D"/>
    <w:rsid w:val="00536095"/>
    <w:rsid w:val="0053609E"/>
    <w:rsid w:val="00536218"/>
    <w:rsid w:val="00536396"/>
    <w:rsid w:val="00536428"/>
    <w:rsid w:val="005364CC"/>
    <w:rsid w:val="005364F5"/>
    <w:rsid w:val="005365BD"/>
    <w:rsid w:val="005365F6"/>
    <w:rsid w:val="00536769"/>
    <w:rsid w:val="00536823"/>
    <w:rsid w:val="00536916"/>
    <w:rsid w:val="00536AA4"/>
    <w:rsid w:val="00536C0B"/>
    <w:rsid w:val="00536CAA"/>
    <w:rsid w:val="00536D32"/>
    <w:rsid w:val="00536D5A"/>
    <w:rsid w:val="00536E48"/>
    <w:rsid w:val="00536EB1"/>
    <w:rsid w:val="00536F76"/>
    <w:rsid w:val="00537293"/>
    <w:rsid w:val="0053731D"/>
    <w:rsid w:val="0053739A"/>
    <w:rsid w:val="005373C9"/>
    <w:rsid w:val="00537412"/>
    <w:rsid w:val="0053742A"/>
    <w:rsid w:val="0053743F"/>
    <w:rsid w:val="005379EF"/>
    <w:rsid w:val="00537B1A"/>
    <w:rsid w:val="00537C06"/>
    <w:rsid w:val="00537C85"/>
    <w:rsid w:val="00537DA6"/>
    <w:rsid w:val="00537FA6"/>
    <w:rsid w:val="0054004F"/>
    <w:rsid w:val="005401D3"/>
    <w:rsid w:val="0054027D"/>
    <w:rsid w:val="00540290"/>
    <w:rsid w:val="00540469"/>
    <w:rsid w:val="005404A7"/>
    <w:rsid w:val="005405AE"/>
    <w:rsid w:val="005405C6"/>
    <w:rsid w:val="005406BF"/>
    <w:rsid w:val="00540946"/>
    <w:rsid w:val="00540A06"/>
    <w:rsid w:val="00540B55"/>
    <w:rsid w:val="00540BBD"/>
    <w:rsid w:val="00540BC5"/>
    <w:rsid w:val="00540C56"/>
    <w:rsid w:val="00540DC4"/>
    <w:rsid w:val="00540E73"/>
    <w:rsid w:val="00540FD8"/>
    <w:rsid w:val="0054139C"/>
    <w:rsid w:val="00541468"/>
    <w:rsid w:val="00541473"/>
    <w:rsid w:val="005415C5"/>
    <w:rsid w:val="005415D5"/>
    <w:rsid w:val="00541829"/>
    <w:rsid w:val="00541910"/>
    <w:rsid w:val="00541AB2"/>
    <w:rsid w:val="00541B90"/>
    <w:rsid w:val="00541BA9"/>
    <w:rsid w:val="00541D29"/>
    <w:rsid w:val="00541D35"/>
    <w:rsid w:val="00541E97"/>
    <w:rsid w:val="00541EAA"/>
    <w:rsid w:val="00541F06"/>
    <w:rsid w:val="00541F2A"/>
    <w:rsid w:val="00541FF2"/>
    <w:rsid w:val="005421B6"/>
    <w:rsid w:val="0054248D"/>
    <w:rsid w:val="005424F3"/>
    <w:rsid w:val="00542566"/>
    <w:rsid w:val="0054262C"/>
    <w:rsid w:val="0054277D"/>
    <w:rsid w:val="0054284A"/>
    <w:rsid w:val="00542892"/>
    <w:rsid w:val="005429E8"/>
    <w:rsid w:val="00542A1B"/>
    <w:rsid w:val="00542A31"/>
    <w:rsid w:val="00542AF3"/>
    <w:rsid w:val="00542ED8"/>
    <w:rsid w:val="00542EE3"/>
    <w:rsid w:val="00542FD6"/>
    <w:rsid w:val="0054336E"/>
    <w:rsid w:val="00543505"/>
    <w:rsid w:val="0054370B"/>
    <w:rsid w:val="005438BE"/>
    <w:rsid w:val="0054396D"/>
    <w:rsid w:val="00543A29"/>
    <w:rsid w:val="00543C46"/>
    <w:rsid w:val="00543CC8"/>
    <w:rsid w:val="00543F23"/>
    <w:rsid w:val="00544018"/>
    <w:rsid w:val="0054404E"/>
    <w:rsid w:val="005440D7"/>
    <w:rsid w:val="00544119"/>
    <w:rsid w:val="00544132"/>
    <w:rsid w:val="00544157"/>
    <w:rsid w:val="005441F2"/>
    <w:rsid w:val="005442C0"/>
    <w:rsid w:val="0054434E"/>
    <w:rsid w:val="00544380"/>
    <w:rsid w:val="00544636"/>
    <w:rsid w:val="00544645"/>
    <w:rsid w:val="00544670"/>
    <w:rsid w:val="00544672"/>
    <w:rsid w:val="005447F6"/>
    <w:rsid w:val="0054489B"/>
    <w:rsid w:val="00544956"/>
    <w:rsid w:val="005449D8"/>
    <w:rsid w:val="00544A3D"/>
    <w:rsid w:val="00544A5D"/>
    <w:rsid w:val="00544B05"/>
    <w:rsid w:val="00544B23"/>
    <w:rsid w:val="00544BE6"/>
    <w:rsid w:val="00544C4A"/>
    <w:rsid w:val="00544CD2"/>
    <w:rsid w:val="00544E34"/>
    <w:rsid w:val="00544F06"/>
    <w:rsid w:val="00544F48"/>
    <w:rsid w:val="00544F8C"/>
    <w:rsid w:val="00545041"/>
    <w:rsid w:val="005450ED"/>
    <w:rsid w:val="0054538B"/>
    <w:rsid w:val="005453B3"/>
    <w:rsid w:val="00545652"/>
    <w:rsid w:val="005457FB"/>
    <w:rsid w:val="0054583E"/>
    <w:rsid w:val="00545966"/>
    <w:rsid w:val="005459E8"/>
    <w:rsid w:val="005459F8"/>
    <w:rsid w:val="00545A6C"/>
    <w:rsid w:val="00545AD1"/>
    <w:rsid w:val="00545B02"/>
    <w:rsid w:val="00545D7E"/>
    <w:rsid w:val="00545DA5"/>
    <w:rsid w:val="00545E02"/>
    <w:rsid w:val="00545F25"/>
    <w:rsid w:val="0054600E"/>
    <w:rsid w:val="00546011"/>
    <w:rsid w:val="0054605D"/>
    <w:rsid w:val="0054607E"/>
    <w:rsid w:val="00546228"/>
    <w:rsid w:val="0054628C"/>
    <w:rsid w:val="0054631E"/>
    <w:rsid w:val="005463EC"/>
    <w:rsid w:val="005465BB"/>
    <w:rsid w:val="0054660A"/>
    <w:rsid w:val="00546879"/>
    <w:rsid w:val="005468BE"/>
    <w:rsid w:val="00546C05"/>
    <w:rsid w:val="00546C2C"/>
    <w:rsid w:val="00546C81"/>
    <w:rsid w:val="00546C8C"/>
    <w:rsid w:val="00546D00"/>
    <w:rsid w:val="00546D3B"/>
    <w:rsid w:val="00546EF3"/>
    <w:rsid w:val="00546FDD"/>
    <w:rsid w:val="005470CD"/>
    <w:rsid w:val="00547155"/>
    <w:rsid w:val="0054724B"/>
    <w:rsid w:val="005472A7"/>
    <w:rsid w:val="005472E4"/>
    <w:rsid w:val="00547391"/>
    <w:rsid w:val="00547448"/>
    <w:rsid w:val="00547506"/>
    <w:rsid w:val="0054764D"/>
    <w:rsid w:val="0054795F"/>
    <w:rsid w:val="00547DA9"/>
    <w:rsid w:val="00547F7F"/>
    <w:rsid w:val="0055005F"/>
    <w:rsid w:val="005500D3"/>
    <w:rsid w:val="0055017D"/>
    <w:rsid w:val="005501B2"/>
    <w:rsid w:val="005501D1"/>
    <w:rsid w:val="00550206"/>
    <w:rsid w:val="00550291"/>
    <w:rsid w:val="0055041B"/>
    <w:rsid w:val="0055041E"/>
    <w:rsid w:val="00550606"/>
    <w:rsid w:val="00550671"/>
    <w:rsid w:val="00550811"/>
    <w:rsid w:val="00550943"/>
    <w:rsid w:val="00550999"/>
    <w:rsid w:val="00550A67"/>
    <w:rsid w:val="00550B1C"/>
    <w:rsid w:val="00550B55"/>
    <w:rsid w:val="00550C31"/>
    <w:rsid w:val="00550C41"/>
    <w:rsid w:val="00550D74"/>
    <w:rsid w:val="00550DDE"/>
    <w:rsid w:val="00550E6B"/>
    <w:rsid w:val="00550FCC"/>
    <w:rsid w:val="00551150"/>
    <w:rsid w:val="0055148A"/>
    <w:rsid w:val="005514BC"/>
    <w:rsid w:val="00551540"/>
    <w:rsid w:val="005515A3"/>
    <w:rsid w:val="00551673"/>
    <w:rsid w:val="005516F5"/>
    <w:rsid w:val="00551784"/>
    <w:rsid w:val="005518BC"/>
    <w:rsid w:val="0055191B"/>
    <w:rsid w:val="00551A57"/>
    <w:rsid w:val="00551C3D"/>
    <w:rsid w:val="00551D74"/>
    <w:rsid w:val="00551ECF"/>
    <w:rsid w:val="005520F0"/>
    <w:rsid w:val="00552172"/>
    <w:rsid w:val="00552197"/>
    <w:rsid w:val="005522D4"/>
    <w:rsid w:val="005524C7"/>
    <w:rsid w:val="00552605"/>
    <w:rsid w:val="005526D4"/>
    <w:rsid w:val="00552733"/>
    <w:rsid w:val="005527AE"/>
    <w:rsid w:val="00552872"/>
    <w:rsid w:val="00552B9F"/>
    <w:rsid w:val="00552BDB"/>
    <w:rsid w:val="00552BF7"/>
    <w:rsid w:val="00552C4B"/>
    <w:rsid w:val="00552D0A"/>
    <w:rsid w:val="00552DB0"/>
    <w:rsid w:val="00552E1B"/>
    <w:rsid w:val="00553043"/>
    <w:rsid w:val="005530BD"/>
    <w:rsid w:val="005530DE"/>
    <w:rsid w:val="00553149"/>
    <w:rsid w:val="005532AD"/>
    <w:rsid w:val="0055335E"/>
    <w:rsid w:val="00553510"/>
    <w:rsid w:val="0055361D"/>
    <w:rsid w:val="005539DB"/>
    <w:rsid w:val="00553B19"/>
    <w:rsid w:val="00553B47"/>
    <w:rsid w:val="00553CED"/>
    <w:rsid w:val="0055422C"/>
    <w:rsid w:val="005543B8"/>
    <w:rsid w:val="005543D1"/>
    <w:rsid w:val="005543FF"/>
    <w:rsid w:val="00554445"/>
    <w:rsid w:val="005544E5"/>
    <w:rsid w:val="005544E8"/>
    <w:rsid w:val="0055465E"/>
    <w:rsid w:val="005546C1"/>
    <w:rsid w:val="00554777"/>
    <w:rsid w:val="00554786"/>
    <w:rsid w:val="00554792"/>
    <w:rsid w:val="005547BB"/>
    <w:rsid w:val="00554861"/>
    <w:rsid w:val="00554BDF"/>
    <w:rsid w:val="00554D32"/>
    <w:rsid w:val="00554E6F"/>
    <w:rsid w:val="005551D8"/>
    <w:rsid w:val="0055525B"/>
    <w:rsid w:val="00555326"/>
    <w:rsid w:val="0055538F"/>
    <w:rsid w:val="00555473"/>
    <w:rsid w:val="00555481"/>
    <w:rsid w:val="005554AC"/>
    <w:rsid w:val="005554F0"/>
    <w:rsid w:val="005555D2"/>
    <w:rsid w:val="00555675"/>
    <w:rsid w:val="005556BE"/>
    <w:rsid w:val="00555758"/>
    <w:rsid w:val="00555961"/>
    <w:rsid w:val="00555964"/>
    <w:rsid w:val="00555B09"/>
    <w:rsid w:val="00555BCA"/>
    <w:rsid w:val="00555BE6"/>
    <w:rsid w:val="00555D45"/>
    <w:rsid w:val="00555DE7"/>
    <w:rsid w:val="00555E9D"/>
    <w:rsid w:val="0055609C"/>
    <w:rsid w:val="005560F6"/>
    <w:rsid w:val="0055614E"/>
    <w:rsid w:val="005562AF"/>
    <w:rsid w:val="005565A3"/>
    <w:rsid w:val="005565DF"/>
    <w:rsid w:val="0055663F"/>
    <w:rsid w:val="0055680F"/>
    <w:rsid w:val="00556894"/>
    <w:rsid w:val="00556D6D"/>
    <w:rsid w:val="00556EB8"/>
    <w:rsid w:val="005570CB"/>
    <w:rsid w:val="00557376"/>
    <w:rsid w:val="0055737A"/>
    <w:rsid w:val="005573DD"/>
    <w:rsid w:val="005574F8"/>
    <w:rsid w:val="00557575"/>
    <w:rsid w:val="00557750"/>
    <w:rsid w:val="005577F1"/>
    <w:rsid w:val="00557865"/>
    <w:rsid w:val="005578CA"/>
    <w:rsid w:val="0055798C"/>
    <w:rsid w:val="00557A32"/>
    <w:rsid w:val="00557A5F"/>
    <w:rsid w:val="00557A6A"/>
    <w:rsid w:val="00557A7F"/>
    <w:rsid w:val="00557B7C"/>
    <w:rsid w:val="00557CDB"/>
    <w:rsid w:val="00557F6A"/>
    <w:rsid w:val="0056002F"/>
    <w:rsid w:val="00560063"/>
    <w:rsid w:val="00560223"/>
    <w:rsid w:val="005602ED"/>
    <w:rsid w:val="005602F3"/>
    <w:rsid w:val="005602FE"/>
    <w:rsid w:val="005603FB"/>
    <w:rsid w:val="005606CD"/>
    <w:rsid w:val="00560907"/>
    <w:rsid w:val="0056095A"/>
    <w:rsid w:val="00560AC4"/>
    <w:rsid w:val="00560E5C"/>
    <w:rsid w:val="00561005"/>
    <w:rsid w:val="00561097"/>
    <w:rsid w:val="0056116C"/>
    <w:rsid w:val="0056119C"/>
    <w:rsid w:val="00561A4F"/>
    <w:rsid w:val="00561A91"/>
    <w:rsid w:val="00561B5E"/>
    <w:rsid w:val="00561B8E"/>
    <w:rsid w:val="00561BDA"/>
    <w:rsid w:val="00561C7E"/>
    <w:rsid w:val="00561E16"/>
    <w:rsid w:val="00561F9C"/>
    <w:rsid w:val="00562004"/>
    <w:rsid w:val="0056212B"/>
    <w:rsid w:val="0056214C"/>
    <w:rsid w:val="0056237E"/>
    <w:rsid w:val="0056251D"/>
    <w:rsid w:val="00562534"/>
    <w:rsid w:val="005626B8"/>
    <w:rsid w:val="00562AA9"/>
    <w:rsid w:val="00562F17"/>
    <w:rsid w:val="00563351"/>
    <w:rsid w:val="00563375"/>
    <w:rsid w:val="00563394"/>
    <w:rsid w:val="0056340C"/>
    <w:rsid w:val="00563559"/>
    <w:rsid w:val="00563566"/>
    <w:rsid w:val="00563686"/>
    <w:rsid w:val="005637B6"/>
    <w:rsid w:val="005637D9"/>
    <w:rsid w:val="005638A8"/>
    <w:rsid w:val="00563A0E"/>
    <w:rsid w:val="00563B2F"/>
    <w:rsid w:val="00563C6E"/>
    <w:rsid w:val="00563D04"/>
    <w:rsid w:val="00563D50"/>
    <w:rsid w:val="00563D65"/>
    <w:rsid w:val="00563DE3"/>
    <w:rsid w:val="00563E2D"/>
    <w:rsid w:val="00563E35"/>
    <w:rsid w:val="00563EC3"/>
    <w:rsid w:val="00563F56"/>
    <w:rsid w:val="00563F9C"/>
    <w:rsid w:val="00563FBC"/>
    <w:rsid w:val="0056407B"/>
    <w:rsid w:val="005640CA"/>
    <w:rsid w:val="0056410C"/>
    <w:rsid w:val="005642F8"/>
    <w:rsid w:val="00564308"/>
    <w:rsid w:val="00564357"/>
    <w:rsid w:val="00564528"/>
    <w:rsid w:val="00564640"/>
    <w:rsid w:val="00564648"/>
    <w:rsid w:val="00564673"/>
    <w:rsid w:val="0056476E"/>
    <w:rsid w:val="00564A81"/>
    <w:rsid w:val="00564AE5"/>
    <w:rsid w:val="00564B0F"/>
    <w:rsid w:val="00564B1A"/>
    <w:rsid w:val="00564BF9"/>
    <w:rsid w:val="00564CB8"/>
    <w:rsid w:val="00564DED"/>
    <w:rsid w:val="00564DF5"/>
    <w:rsid w:val="00565054"/>
    <w:rsid w:val="005650AA"/>
    <w:rsid w:val="0056515F"/>
    <w:rsid w:val="005651CF"/>
    <w:rsid w:val="00565232"/>
    <w:rsid w:val="005652AF"/>
    <w:rsid w:val="0056552C"/>
    <w:rsid w:val="0056561D"/>
    <w:rsid w:val="00565626"/>
    <w:rsid w:val="0056569E"/>
    <w:rsid w:val="0056582C"/>
    <w:rsid w:val="0056590F"/>
    <w:rsid w:val="0056593B"/>
    <w:rsid w:val="0056594F"/>
    <w:rsid w:val="005659B9"/>
    <w:rsid w:val="00565BE7"/>
    <w:rsid w:val="00565C4D"/>
    <w:rsid w:val="00565DC8"/>
    <w:rsid w:val="00565E1D"/>
    <w:rsid w:val="00565E1F"/>
    <w:rsid w:val="00565E59"/>
    <w:rsid w:val="00565EFE"/>
    <w:rsid w:val="00565F16"/>
    <w:rsid w:val="00566141"/>
    <w:rsid w:val="0056614E"/>
    <w:rsid w:val="00566328"/>
    <w:rsid w:val="005663BF"/>
    <w:rsid w:val="0056643B"/>
    <w:rsid w:val="005665D8"/>
    <w:rsid w:val="005668C1"/>
    <w:rsid w:val="00566A8B"/>
    <w:rsid w:val="00566CC5"/>
    <w:rsid w:val="00566E88"/>
    <w:rsid w:val="00567001"/>
    <w:rsid w:val="00567241"/>
    <w:rsid w:val="00567314"/>
    <w:rsid w:val="00567320"/>
    <w:rsid w:val="00567329"/>
    <w:rsid w:val="00567392"/>
    <w:rsid w:val="0056745F"/>
    <w:rsid w:val="00567507"/>
    <w:rsid w:val="005675D0"/>
    <w:rsid w:val="005676D5"/>
    <w:rsid w:val="005676FF"/>
    <w:rsid w:val="005678F7"/>
    <w:rsid w:val="00567962"/>
    <w:rsid w:val="00567A6F"/>
    <w:rsid w:val="00567B7B"/>
    <w:rsid w:val="00567DD2"/>
    <w:rsid w:val="00567ED2"/>
    <w:rsid w:val="00567F99"/>
    <w:rsid w:val="005700B3"/>
    <w:rsid w:val="005701A6"/>
    <w:rsid w:val="0057020C"/>
    <w:rsid w:val="00570215"/>
    <w:rsid w:val="005702AF"/>
    <w:rsid w:val="00570346"/>
    <w:rsid w:val="00570379"/>
    <w:rsid w:val="0057068B"/>
    <w:rsid w:val="00570780"/>
    <w:rsid w:val="0057078D"/>
    <w:rsid w:val="00570845"/>
    <w:rsid w:val="00570BDC"/>
    <w:rsid w:val="00570BE9"/>
    <w:rsid w:val="00570C5B"/>
    <w:rsid w:val="00570DA4"/>
    <w:rsid w:val="00571085"/>
    <w:rsid w:val="0057139E"/>
    <w:rsid w:val="005715C9"/>
    <w:rsid w:val="00571901"/>
    <w:rsid w:val="00571AD2"/>
    <w:rsid w:val="00571C8B"/>
    <w:rsid w:val="00571CC7"/>
    <w:rsid w:val="00571E41"/>
    <w:rsid w:val="00571EAC"/>
    <w:rsid w:val="00571F65"/>
    <w:rsid w:val="00572014"/>
    <w:rsid w:val="00572053"/>
    <w:rsid w:val="005720C5"/>
    <w:rsid w:val="00572120"/>
    <w:rsid w:val="00572464"/>
    <w:rsid w:val="0057251C"/>
    <w:rsid w:val="00572702"/>
    <w:rsid w:val="0057280A"/>
    <w:rsid w:val="005728BD"/>
    <w:rsid w:val="00572909"/>
    <w:rsid w:val="00572A58"/>
    <w:rsid w:val="00572B8B"/>
    <w:rsid w:val="00572BDD"/>
    <w:rsid w:val="00572CD6"/>
    <w:rsid w:val="00572E3A"/>
    <w:rsid w:val="00572E47"/>
    <w:rsid w:val="00572F25"/>
    <w:rsid w:val="00572F66"/>
    <w:rsid w:val="00572F92"/>
    <w:rsid w:val="005734A2"/>
    <w:rsid w:val="005735D7"/>
    <w:rsid w:val="0057372B"/>
    <w:rsid w:val="005737D1"/>
    <w:rsid w:val="00573805"/>
    <w:rsid w:val="0057396B"/>
    <w:rsid w:val="00573AB0"/>
    <w:rsid w:val="00573BAF"/>
    <w:rsid w:val="00573BDF"/>
    <w:rsid w:val="00573DBC"/>
    <w:rsid w:val="00573E75"/>
    <w:rsid w:val="00573EB1"/>
    <w:rsid w:val="00573F45"/>
    <w:rsid w:val="00573FC7"/>
    <w:rsid w:val="005741C6"/>
    <w:rsid w:val="00574242"/>
    <w:rsid w:val="005743CA"/>
    <w:rsid w:val="005744D0"/>
    <w:rsid w:val="00574514"/>
    <w:rsid w:val="0057453B"/>
    <w:rsid w:val="00574590"/>
    <w:rsid w:val="005745AF"/>
    <w:rsid w:val="005745D8"/>
    <w:rsid w:val="00574657"/>
    <w:rsid w:val="005746E5"/>
    <w:rsid w:val="0057496F"/>
    <w:rsid w:val="00574978"/>
    <w:rsid w:val="00574A29"/>
    <w:rsid w:val="00574BEC"/>
    <w:rsid w:val="00574E82"/>
    <w:rsid w:val="00574F62"/>
    <w:rsid w:val="00574FD4"/>
    <w:rsid w:val="00575025"/>
    <w:rsid w:val="005750BE"/>
    <w:rsid w:val="00575159"/>
    <w:rsid w:val="00575324"/>
    <w:rsid w:val="00575397"/>
    <w:rsid w:val="00575469"/>
    <w:rsid w:val="00575489"/>
    <w:rsid w:val="00575635"/>
    <w:rsid w:val="005757BC"/>
    <w:rsid w:val="005758AE"/>
    <w:rsid w:val="005758F7"/>
    <w:rsid w:val="00575A17"/>
    <w:rsid w:val="00575A7A"/>
    <w:rsid w:val="00575C3B"/>
    <w:rsid w:val="00575CA5"/>
    <w:rsid w:val="00575E81"/>
    <w:rsid w:val="00575EEB"/>
    <w:rsid w:val="0057616C"/>
    <w:rsid w:val="00576614"/>
    <w:rsid w:val="00576633"/>
    <w:rsid w:val="0057668E"/>
    <w:rsid w:val="00576699"/>
    <w:rsid w:val="0057679E"/>
    <w:rsid w:val="005767C6"/>
    <w:rsid w:val="00576868"/>
    <w:rsid w:val="00576976"/>
    <w:rsid w:val="0057697B"/>
    <w:rsid w:val="00576A0E"/>
    <w:rsid w:val="00576A24"/>
    <w:rsid w:val="00576A5D"/>
    <w:rsid w:val="00576A94"/>
    <w:rsid w:val="00576BA5"/>
    <w:rsid w:val="00576C76"/>
    <w:rsid w:val="00576E69"/>
    <w:rsid w:val="00576EFC"/>
    <w:rsid w:val="00576F3F"/>
    <w:rsid w:val="00577281"/>
    <w:rsid w:val="00577416"/>
    <w:rsid w:val="005776B2"/>
    <w:rsid w:val="00577829"/>
    <w:rsid w:val="00577B76"/>
    <w:rsid w:val="00577C04"/>
    <w:rsid w:val="00577C4B"/>
    <w:rsid w:val="00577D15"/>
    <w:rsid w:val="00577D21"/>
    <w:rsid w:val="00580026"/>
    <w:rsid w:val="0058010F"/>
    <w:rsid w:val="0058019E"/>
    <w:rsid w:val="005801B9"/>
    <w:rsid w:val="0058034A"/>
    <w:rsid w:val="00580692"/>
    <w:rsid w:val="005807EC"/>
    <w:rsid w:val="0058081B"/>
    <w:rsid w:val="0058093F"/>
    <w:rsid w:val="00580CCE"/>
    <w:rsid w:val="00580D3E"/>
    <w:rsid w:val="00580E85"/>
    <w:rsid w:val="00580EA7"/>
    <w:rsid w:val="00580F7F"/>
    <w:rsid w:val="00581030"/>
    <w:rsid w:val="00581064"/>
    <w:rsid w:val="00581165"/>
    <w:rsid w:val="0058132E"/>
    <w:rsid w:val="0058133D"/>
    <w:rsid w:val="0058137D"/>
    <w:rsid w:val="005814AE"/>
    <w:rsid w:val="0058156F"/>
    <w:rsid w:val="00581692"/>
    <w:rsid w:val="00581860"/>
    <w:rsid w:val="00581E31"/>
    <w:rsid w:val="00581F2A"/>
    <w:rsid w:val="00581F58"/>
    <w:rsid w:val="005821DD"/>
    <w:rsid w:val="005821E1"/>
    <w:rsid w:val="00582244"/>
    <w:rsid w:val="005822B5"/>
    <w:rsid w:val="005824BB"/>
    <w:rsid w:val="00582556"/>
    <w:rsid w:val="00582562"/>
    <w:rsid w:val="00582753"/>
    <w:rsid w:val="0058289A"/>
    <w:rsid w:val="00582913"/>
    <w:rsid w:val="00582CA5"/>
    <w:rsid w:val="00582D04"/>
    <w:rsid w:val="00582DBA"/>
    <w:rsid w:val="00582DE6"/>
    <w:rsid w:val="0058303D"/>
    <w:rsid w:val="00583052"/>
    <w:rsid w:val="0058324F"/>
    <w:rsid w:val="0058327B"/>
    <w:rsid w:val="00583351"/>
    <w:rsid w:val="0058351A"/>
    <w:rsid w:val="00583729"/>
    <w:rsid w:val="00583758"/>
    <w:rsid w:val="00583794"/>
    <w:rsid w:val="0058394D"/>
    <w:rsid w:val="005839A8"/>
    <w:rsid w:val="00583B9B"/>
    <w:rsid w:val="00583BE8"/>
    <w:rsid w:val="00583D52"/>
    <w:rsid w:val="00583FBB"/>
    <w:rsid w:val="00583FE1"/>
    <w:rsid w:val="00584037"/>
    <w:rsid w:val="00584186"/>
    <w:rsid w:val="00584189"/>
    <w:rsid w:val="0058421F"/>
    <w:rsid w:val="00584299"/>
    <w:rsid w:val="005842E5"/>
    <w:rsid w:val="005844A5"/>
    <w:rsid w:val="00584546"/>
    <w:rsid w:val="00584601"/>
    <w:rsid w:val="005846E3"/>
    <w:rsid w:val="005847B5"/>
    <w:rsid w:val="00584BD1"/>
    <w:rsid w:val="00584C48"/>
    <w:rsid w:val="00584CD0"/>
    <w:rsid w:val="00584D16"/>
    <w:rsid w:val="00584D44"/>
    <w:rsid w:val="00584DA4"/>
    <w:rsid w:val="00584E1D"/>
    <w:rsid w:val="00584E21"/>
    <w:rsid w:val="00584E2F"/>
    <w:rsid w:val="00584EE0"/>
    <w:rsid w:val="00584FFA"/>
    <w:rsid w:val="00585254"/>
    <w:rsid w:val="00585296"/>
    <w:rsid w:val="005852C1"/>
    <w:rsid w:val="005852F8"/>
    <w:rsid w:val="00585309"/>
    <w:rsid w:val="005853CF"/>
    <w:rsid w:val="00585431"/>
    <w:rsid w:val="00585561"/>
    <w:rsid w:val="005855D3"/>
    <w:rsid w:val="00585634"/>
    <w:rsid w:val="00585668"/>
    <w:rsid w:val="005856CC"/>
    <w:rsid w:val="00585925"/>
    <w:rsid w:val="005859C6"/>
    <w:rsid w:val="00585A74"/>
    <w:rsid w:val="00585B51"/>
    <w:rsid w:val="00585D80"/>
    <w:rsid w:val="00585EFC"/>
    <w:rsid w:val="00585F9A"/>
    <w:rsid w:val="005860FF"/>
    <w:rsid w:val="005863B1"/>
    <w:rsid w:val="005864CA"/>
    <w:rsid w:val="00586579"/>
    <w:rsid w:val="00586605"/>
    <w:rsid w:val="0058680C"/>
    <w:rsid w:val="005868DE"/>
    <w:rsid w:val="00586958"/>
    <w:rsid w:val="00586D08"/>
    <w:rsid w:val="00586D96"/>
    <w:rsid w:val="00586DB2"/>
    <w:rsid w:val="00586FF9"/>
    <w:rsid w:val="0058700C"/>
    <w:rsid w:val="00587040"/>
    <w:rsid w:val="0058706A"/>
    <w:rsid w:val="005870A6"/>
    <w:rsid w:val="005870F5"/>
    <w:rsid w:val="005871F0"/>
    <w:rsid w:val="00587253"/>
    <w:rsid w:val="0058743E"/>
    <w:rsid w:val="00587458"/>
    <w:rsid w:val="0058764A"/>
    <w:rsid w:val="00587672"/>
    <w:rsid w:val="00587688"/>
    <w:rsid w:val="00587702"/>
    <w:rsid w:val="00587719"/>
    <w:rsid w:val="005877AC"/>
    <w:rsid w:val="0058796A"/>
    <w:rsid w:val="00587A65"/>
    <w:rsid w:val="00587B60"/>
    <w:rsid w:val="00587FDB"/>
    <w:rsid w:val="00590038"/>
    <w:rsid w:val="00590102"/>
    <w:rsid w:val="00590145"/>
    <w:rsid w:val="00590166"/>
    <w:rsid w:val="00590443"/>
    <w:rsid w:val="0059066A"/>
    <w:rsid w:val="005906AF"/>
    <w:rsid w:val="005906C0"/>
    <w:rsid w:val="005907FF"/>
    <w:rsid w:val="00590886"/>
    <w:rsid w:val="00590894"/>
    <w:rsid w:val="005908E6"/>
    <w:rsid w:val="00590989"/>
    <w:rsid w:val="00590A04"/>
    <w:rsid w:val="00590B3D"/>
    <w:rsid w:val="00590D7E"/>
    <w:rsid w:val="00590DC6"/>
    <w:rsid w:val="00590E19"/>
    <w:rsid w:val="00591271"/>
    <w:rsid w:val="00591445"/>
    <w:rsid w:val="005915D0"/>
    <w:rsid w:val="0059178D"/>
    <w:rsid w:val="00591906"/>
    <w:rsid w:val="00591933"/>
    <w:rsid w:val="005919CF"/>
    <w:rsid w:val="00591C06"/>
    <w:rsid w:val="00591E4C"/>
    <w:rsid w:val="00591E6D"/>
    <w:rsid w:val="00591EF2"/>
    <w:rsid w:val="00592189"/>
    <w:rsid w:val="0059225D"/>
    <w:rsid w:val="00592335"/>
    <w:rsid w:val="005923FC"/>
    <w:rsid w:val="0059241B"/>
    <w:rsid w:val="0059259A"/>
    <w:rsid w:val="005925FE"/>
    <w:rsid w:val="0059261B"/>
    <w:rsid w:val="0059284F"/>
    <w:rsid w:val="0059288F"/>
    <w:rsid w:val="005928E8"/>
    <w:rsid w:val="0059294D"/>
    <w:rsid w:val="005929C0"/>
    <w:rsid w:val="00592A0E"/>
    <w:rsid w:val="00592CE2"/>
    <w:rsid w:val="00592D8B"/>
    <w:rsid w:val="00592D99"/>
    <w:rsid w:val="00592F56"/>
    <w:rsid w:val="00592F91"/>
    <w:rsid w:val="00593400"/>
    <w:rsid w:val="00593475"/>
    <w:rsid w:val="00593645"/>
    <w:rsid w:val="00593688"/>
    <w:rsid w:val="00593799"/>
    <w:rsid w:val="00593970"/>
    <w:rsid w:val="00593ABD"/>
    <w:rsid w:val="00593B0C"/>
    <w:rsid w:val="00593BEA"/>
    <w:rsid w:val="00593C84"/>
    <w:rsid w:val="00593DFE"/>
    <w:rsid w:val="00593FA7"/>
    <w:rsid w:val="00594144"/>
    <w:rsid w:val="00594273"/>
    <w:rsid w:val="005942EA"/>
    <w:rsid w:val="005944FF"/>
    <w:rsid w:val="0059452D"/>
    <w:rsid w:val="0059456C"/>
    <w:rsid w:val="0059461D"/>
    <w:rsid w:val="00594664"/>
    <w:rsid w:val="005946B4"/>
    <w:rsid w:val="005947D2"/>
    <w:rsid w:val="00594894"/>
    <w:rsid w:val="00594917"/>
    <w:rsid w:val="00594929"/>
    <w:rsid w:val="00594A05"/>
    <w:rsid w:val="00594A47"/>
    <w:rsid w:val="00594CD5"/>
    <w:rsid w:val="00594D98"/>
    <w:rsid w:val="00594F92"/>
    <w:rsid w:val="00594FE4"/>
    <w:rsid w:val="0059526F"/>
    <w:rsid w:val="00595276"/>
    <w:rsid w:val="00595364"/>
    <w:rsid w:val="0059543F"/>
    <w:rsid w:val="005954C8"/>
    <w:rsid w:val="0059556E"/>
    <w:rsid w:val="00595641"/>
    <w:rsid w:val="00595653"/>
    <w:rsid w:val="005956C3"/>
    <w:rsid w:val="00595814"/>
    <w:rsid w:val="00595AD4"/>
    <w:rsid w:val="00595AE7"/>
    <w:rsid w:val="00595B80"/>
    <w:rsid w:val="00595C0F"/>
    <w:rsid w:val="00595CB1"/>
    <w:rsid w:val="00595CBC"/>
    <w:rsid w:val="00595E29"/>
    <w:rsid w:val="00595E6F"/>
    <w:rsid w:val="00595E76"/>
    <w:rsid w:val="00595EEA"/>
    <w:rsid w:val="00595F05"/>
    <w:rsid w:val="00595F3D"/>
    <w:rsid w:val="00595FCF"/>
    <w:rsid w:val="00595FD7"/>
    <w:rsid w:val="00596165"/>
    <w:rsid w:val="005961D3"/>
    <w:rsid w:val="005963CF"/>
    <w:rsid w:val="0059645D"/>
    <w:rsid w:val="00596473"/>
    <w:rsid w:val="00596497"/>
    <w:rsid w:val="0059650A"/>
    <w:rsid w:val="00596585"/>
    <w:rsid w:val="0059664F"/>
    <w:rsid w:val="0059665C"/>
    <w:rsid w:val="005966B7"/>
    <w:rsid w:val="0059688B"/>
    <w:rsid w:val="005968FD"/>
    <w:rsid w:val="0059695E"/>
    <w:rsid w:val="0059698D"/>
    <w:rsid w:val="005969F5"/>
    <w:rsid w:val="00596A90"/>
    <w:rsid w:val="00596C22"/>
    <w:rsid w:val="00596E00"/>
    <w:rsid w:val="00596F85"/>
    <w:rsid w:val="00597101"/>
    <w:rsid w:val="0059710D"/>
    <w:rsid w:val="0059720F"/>
    <w:rsid w:val="0059721F"/>
    <w:rsid w:val="00597293"/>
    <w:rsid w:val="00597294"/>
    <w:rsid w:val="005973C4"/>
    <w:rsid w:val="0059750D"/>
    <w:rsid w:val="00597679"/>
    <w:rsid w:val="005977A2"/>
    <w:rsid w:val="005977B4"/>
    <w:rsid w:val="005979D4"/>
    <w:rsid w:val="00597A09"/>
    <w:rsid w:val="00597A9A"/>
    <w:rsid w:val="00597AEE"/>
    <w:rsid w:val="00597B60"/>
    <w:rsid w:val="00597E3B"/>
    <w:rsid w:val="005A0108"/>
    <w:rsid w:val="005A017D"/>
    <w:rsid w:val="005A01C9"/>
    <w:rsid w:val="005A01F6"/>
    <w:rsid w:val="005A0286"/>
    <w:rsid w:val="005A02E2"/>
    <w:rsid w:val="005A0322"/>
    <w:rsid w:val="005A0621"/>
    <w:rsid w:val="005A0679"/>
    <w:rsid w:val="005A068C"/>
    <w:rsid w:val="005A06F5"/>
    <w:rsid w:val="005A0750"/>
    <w:rsid w:val="005A08FE"/>
    <w:rsid w:val="005A09AB"/>
    <w:rsid w:val="005A0AE7"/>
    <w:rsid w:val="005A0AEE"/>
    <w:rsid w:val="005A0C08"/>
    <w:rsid w:val="005A0CA7"/>
    <w:rsid w:val="005A0CDA"/>
    <w:rsid w:val="005A0DB8"/>
    <w:rsid w:val="005A0E12"/>
    <w:rsid w:val="005A0E7C"/>
    <w:rsid w:val="005A0EA8"/>
    <w:rsid w:val="005A101D"/>
    <w:rsid w:val="005A12EF"/>
    <w:rsid w:val="005A1493"/>
    <w:rsid w:val="005A1651"/>
    <w:rsid w:val="005A1800"/>
    <w:rsid w:val="005A1AA6"/>
    <w:rsid w:val="005A1BD3"/>
    <w:rsid w:val="005A1CAE"/>
    <w:rsid w:val="005A1D13"/>
    <w:rsid w:val="005A1E03"/>
    <w:rsid w:val="005A1EB4"/>
    <w:rsid w:val="005A1F11"/>
    <w:rsid w:val="005A1F5E"/>
    <w:rsid w:val="005A1FFA"/>
    <w:rsid w:val="005A2261"/>
    <w:rsid w:val="005A2278"/>
    <w:rsid w:val="005A2579"/>
    <w:rsid w:val="005A2610"/>
    <w:rsid w:val="005A273E"/>
    <w:rsid w:val="005A2789"/>
    <w:rsid w:val="005A2801"/>
    <w:rsid w:val="005A2A7F"/>
    <w:rsid w:val="005A2B34"/>
    <w:rsid w:val="005A2C40"/>
    <w:rsid w:val="005A2D28"/>
    <w:rsid w:val="005A2D5A"/>
    <w:rsid w:val="005A2D5F"/>
    <w:rsid w:val="005A2DAD"/>
    <w:rsid w:val="005A2EE6"/>
    <w:rsid w:val="005A2F69"/>
    <w:rsid w:val="005A3082"/>
    <w:rsid w:val="005A3260"/>
    <w:rsid w:val="005A32CE"/>
    <w:rsid w:val="005A33E2"/>
    <w:rsid w:val="005A3454"/>
    <w:rsid w:val="005A3547"/>
    <w:rsid w:val="005A360F"/>
    <w:rsid w:val="005A365B"/>
    <w:rsid w:val="005A3701"/>
    <w:rsid w:val="005A37CA"/>
    <w:rsid w:val="005A3996"/>
    <w:rsid w:val="005A39E1"/>
    <w:rsid w:val="005A3BBB"/>
    <w:rsid w:val="005A3CDF"/>
    <w:rsid w:val="005A3D44"/>
    <w:rsid w:val="005A3F68"/>
    <w:rsid w:val="005A3FED"/>
    <w:rsid w:val="005A401A"/>
    <w:rsid w:val="005A427F"/>
    <w:rsid w:val="005A4428"/>
    <w:rsid w:val="005A468D"/>
    <w:rsid w:val="005A4723"/>
    <w:rsid w:val="005A474F"/>
    <w:rsid w:val="005A47D6"/>
    <w:rsid w:val="005A48D4"/>
    <w:rsid w:val="005A497D"/>
    <w:rsid w:val="005A4A2E"/>
    <w:rsid w:val="005A4C24"/>
    <w:rsid w:val="005A4C7A"/>
    <w:rsid w:val="005A4CCC"/>
    <w:rsid w:val="005A4D13"/>
    <w:rsid w:val="005A4D4B"/>
    <w:rsid w:val="005A4DD5"/>
    <w:rsid w:val="005A4E07"/>
    <w:rsid w:val="005A4E35"/>
    <w:rsid w:val="005A4F1A"/>
    <w:rsid w:val="005A4F69"/>
    <w:rsid w:val="005A4F84"/>
    <w:rsid w:val="005A502B"/>
    <w:rsid w:val="005A5093"/>
    <w:rsid w:val="005A51B5"/>
    <w:rsid w:val="005A52F0"/>
    <w:rsid w:val="005A537A"/>
    <w:rsid w:val="005A53F1"/>
    <w:rsid w:val="005A5401"/>
    <w:rsid w:val="005A5449"/>
    <w:rsid w:val="005A546A"/>
    <w:rsid w:val="005A5556"/>
    <w:rsid w:val="005A5576"/>
    <w:rsid w:val="005A560E"/>
    <w:rsid w:val="005A567E"/>
    <w:rsid w:val="005A56AA"/>
    <w:rsid w:val="005A573A"/>
    <w:rsid w:val="005A59AC"/>
    <w:rsid w:val="005A5BE1"/>
    <w:rsid w:val="005A5C8D"/>
    <w:rsid w:val="005A5DB9"/>
    <w:rsid w:val="005A5DEF"/>
    <w:rsid w:val="005A5F0C"/>
    <w:rsid w:val="005A5F67"/>
    <w:rsid w:val="005A5F75"/>
    <w:rsid w:val="005A6233"/>
    <w:rsid w:val="005A6246"/>
    <w:rsid w:val="005A64BD"/>
    <w:rsid w:val="005A65A7"/>
    <w:rsid w:val="005A65D9"/>
    <w:rsid w:val="005A6602"/>
    <w:rsid w:val="005A6659"/>
    <w:rsid w:val="005A69EA"/>
    <w:rsid w:val="005A6B1D"/>
    <w:rsid w:val="005A6B89"/>
    <w:rsid w:val="005A6DF3"/>
    <w:rsid w:val="005A6EFA"/>
    <w:rsid w:val="005A6F24"/>
    <w:rsid w:val="005A7344"/>
    <w:rsid w:val="005A74ED"/>
    <w:rsid w:val="005A764A"/>
    <w:rsid w:val="005A7686"/>
    <w:rsid w:val="005A76EB"/>
    <w:rsid w:val="005A76F9"/>
    <w:rsid w:val="005A78DE"/>
    <w:rsid w:val="005A7924"/>
    <w:rsid w:val="005A7AFE"/>
    <w:rsid w:val="005A7BFC"/>
    <w:rsid w:val="005A7C20"/>
    <w:rsid w:val="005A7CF3"/>
    <w:rsid w:val="005A7F09"/>
    <w:rsid w:val="005A7F4A"/>
    <w:rsid w:val="005B0008"/>
    <w:rsid w:val="005B0133"/>
    <w:rsid w:val="005B0220"/>
    <w:rsid w:val="005B03B4"/>
    <w:rsid w:val="005B068C"/>
    <w:rsid w:val="005B06D3"/>
    <w:rsid w:val="005B0913"/>
    <w:rsid w:val="005B0A72"/>
    <w:rsid w:val="005B0AFC"/>
    <w:rsid w:val="005B0C33"/>
    <w:rsid w:val="005B0CA4"/>
    <w:rsid w:val="005B0E9F"/>
    <w:rsid w:val="005B0EC1"/>
    <w:rsid w:val="005B0F52"/>
    <w:rsid w:val="005B0FE2"/>
    <w:rsid w:val="005B1017"/>
    <w:rsid w:val="005B1181"/>
    <w:rsid w:val="005B1271"/>
    <w:rsid w:val="005B133A"/>
    <w:rsid w:val="005B1387"/>
    <w:rsid w:val="005B1453"/>
    <w:rsid w:val="005B1473"/>
    <w:rsid w:val="005B150D"/>
    <w:rsid w:val="005B1520"/>
    <w:rsid w:val="005B1640"/>
    <w:rsid w:val="005B184D"/>
    <w:rsid w:val="005B18DE"/>
    <w:rsid w:val="005B1A3D"/>
    <w:rsid w:val="005B1AB6"/>
    <w:rsid w:val="005B1B20"/>
    <w:rsid w:val="005B1D98"/>
    <w:rsid w:val="005B1EF2"/>
    <w:rsid w:val="005B1F8F"/>
    <w:rsid w:val="005B21A3"/>
    <w:rsid w:val="005B21F0"/>
    <w:rsid w:val="005B2203"/>
    <w:rsid w:val="005B2211"/>
    <w:rsid w:val="005B22E1"/>
    <w:rsid w:val="005B23F8"/>
    <w:rsid w:val="005B2436"/>
    <w:rsid w:val="005B24E8"/>
    <w:rsid w:val="005B2645"/>
    <w:rsid w:val="005B2701"/>
    <w:rsid w:val="005B2709"/>
    <w:rsid w:val="005B2766"/>
    <w:rsid w:val="005B27BB"/>
    <w:rsid w:val="005B2855"/>
    <w:rsid w:val="005B2983"/>
    <w:rsid w:val="005B29D2"/>
    <w:rsid w:val="005B29DB"/>
    <w:rsid w:val="005B29E6"/>
    <w:rsid w:val="005B2ABF"/>
    <w:rsid w:val="005B2CAB"/>
    <w:rsid w:val="005B2CCD"/>
    <w:rsid w:val="005B2D03"/>
    <w:rsid w:val="005B2DDD"/>
    <w:rsid w:val="005B2DF2"/>
    <w:rsid w:val="005B2E6F"/>
    <w:rsid w:val="005B2EE4"/>
    <w:rsid w:val="005B2EE6"/>
    <w:rsid w:val="005B3105"/>
    <w:rsid w:val="005B320A"/>
    <w:rsid w:val="005B323A"/>
    <w:rsid w:val="005B3294"/>
    <w:rsid w:val="005B32E5"/>
    <w:rsid w:val="005B3531"/>
    <w:rsid w:val="005B3573"/>
    <w:rsid w:val="005B3731"/>
    <w:rsid w:val="005B3765"/>
    <w:rsid w:val="005B39AF"/>
    <w:rsid w:val="005B3B83"/>
    <w:rsid w:val="005B3B8B"/>
    <w:rsid w:val="005B3BFC"/>
    <w:rsid w:val="005B3D59"/>
    <w:rsid w:val="005B3DE0"/>
    <w:rsid w:val="005B3E3C"/>
    <w:rsid w:val="005B3E85"/>
    <w:rsid w:val="005B4207"/>
    <w:rsid w:val="005B435C"/>
    <w:rsid w:val="005B4419"/>
    <w:rsid w:val="005B45F0"/>
    <w:rsid w:val="005B465F"/>
    <w:rsid w:val="005B4742"/>
    <w:rsid w:val="005B496E"/>
    <w:rsid w:val="005B4DAA"/>
    <w:rsid w:val="005B4E07"/>
    <w:rsid w:val="005B4F95"/>
    <w:rsid w:val="005B505D"/>
    <w:rsid w:val="005B512D"/>
    <w:rsid w:val="005B525F"/>
    <w:rsid w:val="005B535C"/>
    <w:rsid w:val="005B5519"/>
    <w:rsid w:val="005B5589"/>
    <w:rsid w:val="005B55AE"/>
    <w:rsid w:val="005B55FD"/>
    <w:rsid w:val="005B5726"/>
    <w:rsid w:val="005B5751"/>
    <w:rsid w:val="005B58AE"/>
    <w:rsid w:val="005B5961"/>
    <w:rsid w:val="005B598C"/>
    <w:rsid w:val="005B5A1F"/>
    <w:rsid w:val="005B5B73"/>
    <w:rsid w:val="005B5BA2"/>
    <w:rsid w:val="005B5BC7"/>
    <w:rsid w:val="005B5BEA"/>
    <w:rsid w:val="005B5D7F"/>
    <w:rsid w:val="005B5DE8"/>
    <w:rsid w:val="005B5DFC"/>
    <w:rsid w:val="005B5E08"/>
    <w:rsid w:val="005B5E2A"/>
    <w:rsid w:val="005B5E4E"/>
    <w:rsid w:val="005B5ED6"/>
    <w:rsid w:val="005B5FCB"/>
    <w:rsid w:val="005B6006"/>
    <w:rsid w:val="005B608A"/>
    <w:rsid w:val="005B6283"/>
    <w:rsid w:val="005B62C2"/>
    <w:rsid w:val="005B6488"/>
    <w:rsid w:val="005B6531"/>
    <w:rsid w:val="005B6731"/>
    <w:rsid w:val="005B689F"/>
    <w:rsid w:val="005B699E"/>
    <w:rsid w:val="005B69A7"/>
    <w:rsid w:val="005B6C08"/>
    <w:rsid w:val="005B6C58"/>
    <w:rsid w:val="005B6C5A"/>
    <w:rsid w:val="005B6D12"/>
    <w:rsid w:val="005B6F78"/>
    <w:rsid w:val="005B6F96"/>
    <w:rsid w:val="005B7005"/>
    <w:rsid w:val="005B70DC"/>
    <w:rsid w:val="005B70F2"/>
    <w:rsid w:val="005B7100"/>
    <w:rsid w:val="005B74AA"/>
    <w:rsid w:val="005B74B8"/>
    <w:rsid w:val="005B7667"/>
    <w:rsid w:val="005B7751"/>
    <w:rsid w:val="005B7783"/>
    <w:rsid w:val="005B7802"/>
    <w:rsid w:val="005B787D"/>
    <w:rsid w:val="005B78A6"/>
    <w:rsid w:val="005B794C"/>
    <w:rsid w:val="005B79E0"/>
    <w:rsid w:val="005B7BA4"/>
    <w:rsid w:val="005B7C56"/>
    <w:rsid w:val="005B7CA1"/>
    <w:rsid w:val="005B7F88"/>
    <w:rsid w:val="005B7FDB"/>
    <w:rsid w:val="005B7FF3"/>
    <w:rsid w:val="005C0191"/>
    <w:rsid w:val="005C01C0"/>
    <w:rsid w:val="005C0239"/>
    <w:rsid w:val="005C02A4"/>
    <w:rsid w:val="005C0319"/>
    <w:rsid w:val="005C0351"/>
    <w:rsid w:val="005C0573"/>
    <w:rsid w:val="005C0798"/>
    <w:rsid w:val="005C083B"/>
    <w:rsid w:val="005C0910"/>
    <w:rsid w:val="005C0A15"/>
    <w:rsid w:val="005C0AAC"/>
    <w:rsid w:val="005C0B10"/>
    <w:rsid w:val="005C0CF2"/>
    <w:rsid w:val="005C0D7D"/>
    <w:rsid w:val="005C0E20"/>
    <w:rsid w:val="005C0F21"/>
    <w:rsid w:val="005C1027"/>
    <w:rsid w:val="005C110D"/>
    <w:rsid w:val="005C115C"/>
    <w:rsid w:val="005C1203"/>
    <w:rsid w:val="005C14E7"/>
    <w:rsid w:val="005C1530"/>
    <w:rsid w:val="005C1668"/>
    <w:rsid w:val="005C18A4"/>
    <w:rsid w:val="005C193A"/>
    <w:rsid w:val="005C1B42"/>
    <w:rsid w:val="005C1B56"/>
    <w:rsid w:val="005C1B5A"/>
    <w:rsid w:val="005C1BEB"/>
    <w:rsid w:val="005C1BF2"/>
    <w:rsid w:val="005C20D2"/>
    <w:rsid w:val="005C2209"/>
    <w:rsid w:val="005C2280"/>
    <w:rsid w:val="005C2334"/>
    <w:rsid w:val="005C2357"/>
    <w:rsid w:val="005C23AA"/>
    <w:rsid w:val="005C23DD"/>
    <w:rsid w:val="005C23F1"/>
    <w:rsid w:val="005C240C"/>
    <w:rsid w:val="005C2412"/>
    <w:rsid w:val="005C2507"/>
    <w:rsid w:val="005C25BD"/>
    <w:rsid w:val="005C2717"/>
    <w:rsid w:val="005C2786"/>
    <w:rsid w:val="005C27C6"/>
    <w:rsid w:val="005C2808"/>
    <w:rsid w:val="005C2826"/>
    <w:rsid w:val="005C28B2"/>
    <w:rsid w:val="005C2A50"/>
    <w:rsid w:val="005C2CE9"/>
    <w:rsid w:val="005C2CFC"/>
    <w:rsid w:val="005C2D89"/>
    <w:rsid w:val="005C303D"/>
    <w:rsid w:val="005C306E"/>
    <w:rsid w:val="005C31E9"/>
    <w:rsid w:val="005C3272"/>
    <w:rsid w:val="005C32F1"/>
    <w:rsid w:val="005C32FE"/>
    <w:rsid w:val="005C3687"/>
    <w:rsid w:val="005C3720"/>
    <w:rsid w:val="005C3724"/>
    <w:rsid w:val="005C381E"/>
    <w:rsid w:val="005C3973"/>
    <w:rsid w:val="005C398F"/>
    <w:rsid w:val="005C3A0E"/>
    <w:rsid w:val="005C3DD5"/>
    <w:rsid w:val="005C3E3F"/>
    <w:rsid w:val="005C4012"/>
    <w:rsid w:val="005C418F"/>
    <w:rsid w:val="005C4297"/>
    <w:rsid w:val="005C4329"/>
    <w:rsid w:val="005C43F3"/>
    <w:rsid w:val="005C4401"/>
    <w:rsid w:val="005C444C"/>
    <w:rsid w:val="005C447F"/>
    <w:rsid w:val="005C44D8"/>
    <w:rsid w:val="005C4569"/>
    <w:rsid w:val="005C45A4"/>
    <w:rsid w:val="005C45C3"/>
    <w:rsid w:val="005C4663"/>
    <w:rsid w:val="005C478E"/>
    <w:rsid w:val="005C4803"/>
    <w:rsid w:val="005C48EB"/>
    <w:rsid w:val="005C4915"/>
    <w:rsid w:val="005C492E"/>
    <w:rsid w:val="005C4951"/>
    <w:rsid w:val="005C4961"/>
    <w:rsid w:val="005C49DC"/>
    <w:rsid w:val="005C4AB1"/>
    <w:rsid w:val="005C4D9D"/>
    <w:rsid w:val="005C4DB6"/>
    <w:rsid w:val="005C4E17"/>
    <w:rsid w:val="005C5024"/>
    <w:rsid w:val="005C503A"/>
    <w:rsid w:val="005C5113"/>
    <w:rsid w:val="005C52E0"/>
    <w:rsid w:val="005C544F"/>
    <w:rsid w:val="005C5571"/>
    <w:rsid w:val="005C561E"/>
    <w:rsid w:val="005C5679"/>
    <w:rsid w:val="005C56CA"/>
    <w:rsid w:val="005C573F"/>
    <w:rsid w:val="005C5745"/>
    <w:rsid w:val="005C5774"/>
    <w:rsid w:val="005C577D"/>
    <w:rsid w:val="005C57BD"/>
    <w:rsid w:val="005C5875"/>
    <w:rsid w:val="005C58B6"/>
    <w:rsid w:val="005C58D7"/>
    <w:rsid w:val="005C58E2"/>
    <w:rsid w:val="005C597C"/>
    <w:rsid w:val="005C5B57"/>
    <w:rsid w:val="005C5C1A"/>
    <w:rsid w:val="005C5CB8"/>
    <w:rsid w:val="005C5CFE"/>
    <w:rsid w:val="005C5F81"/>
    <w:rsid w:val="005C5FE2"/>
    <w:rsid w:val="005C5FEC"/>
    <w:rsid w:val="005C6169"/>
    <w:rsid w:val="005C62B1"/>
    <w:rsid w:val="005C63E0"/>
    <w:rsid w:val="005C658B"/>
    <w:rsid w:val="005C65A0"/>
    <w:rsid w:val="005C666D"/>
    <w:rsid w:val="005C6670"/>
    <w:rsid w:val="005C6700"/>
    <w:rsid w:val="005C687C"/>
    <w:rsid w:val="005C6917"/>
    <w:rsid w:val="005C696E"/>
    <w:rsid w:val="005C6987"/>
    <w:rsid w:val="005C69F2"/>
    <w:rsid w:val="005C6A19"/>
    <w:rsid w:val="005C6A35"/>
    <w:rsid w:val="005C6AAE"/>
    <w:rsid w:val="005C6B43"/>
    <w:rsid w:val="005C6BD1"/>
    <w:rsid w:val="005C7056"/>
    <w:rsid w:val="005C7090"/>
    <w:rsid w:val="005C70D7"/>
    <w:rsid w:val="005C70E2"/>
    <w:rsid w:val="005C70E8"/>
    <w:rsid w:val="005C7283"/>
    <w:rsid w:val="005C72DF"/>
    <w:rsid w:val="005C7307"/>
    <w:rsid w:val="005C739F"/>
    <w:rsid w:val="005C73B8"/>
    <w:rsid w:val="005C743D"/>
    <w:rsid w:val="005C75CE"/>
    <w:rsid w:val="005C75F7"/>
    <w:rsid w:val="005C7726"/>
    <w:rsid w:val="005C77B3"/>
    <w:rsid w:val="005C7809"/>
    <w:rsid w:val="005C78AA"/>
    <w:rsid w:val="005C7A0D"/>
    <w:rsid w:val="005C7ABB"/>
    <w:rsid w:val="005C7B7B"/>
    <w:rsid w:val="005C7BDD"/>
    <w:rsid w:val="005C7EC2"/>
    <w:rsid w:val="005D002E"/>
    <w:rsid w:val="005D01CA"/>
    <w:rsid w:val="005D024A"/>
    <w:rsid w:val="005D03F8"/>
    <w:rsid w:val="005D054A"/>
    <w:rsid w:val="005D06BF"/>
    <w:rsid w:val="005D085B"/>
    <w:rsid w:val="005D0A2C"/>
    <w:rsid w:val="005D0AB9"/>
    <w:rsid w:val="005D0BA1"/>
    <w:rsid w:val="005D0BDB"/>
    <w:rsid w:val="005D0DF3"/>
    <w:rsid w:val="005D0E62"/>
    <w:rsid w:val="005D0F8F"/>
    <w:rsid w:val="005D112E"/>
    <w:rsid w:val="005D1158"/>
    <w:rsid w:val="005D1281"/>
    <w:rsid w:val="005D128D"/>
    <w:rsid w:val="005D1320"/>
    <w:rsid w:val="005D1396"/>
    <w:rsid w:val="005D1503"/>
    <w:rsid w:val="005D1577"/>
    <w:rsid w:val="005D1646"/>
    <w:rsid w:val="005D16B5"/>
    <w:rsid w:val="005D1A14"/>
    <w:rsid w:val="005D1A57"/>
    <w:rsid w:val="005D1B3D"/>
    <w:rsid w:val="005D1D48"/>
    <w:rsid w:val="005D1EAB"/>
    <w:rsid w:val="005D1FB0"/>
    <w:rsid w:val="005D202A"/>
    <w:rsid w:val="005D223A"/>
    <w:rsid w:val="005D2260"/>
    <w:rsid w:val="005D237F"/>
    <w:rsid w:val="005D2411"/>
    <w:rsid w:val="005D24C7"/>
    <w:rsid w:val="005D2705"/>
    <w:rsid w:val="005D270D"/>
    <w:rsid w:val="005D271A"/>
    <w:rsid w:val="005D27A5"/>
    <w:rsid w:val="005D2A31"/>
    <w:rsid w:val="005D2A6A"/>
    <w:rsid w:val="005D2B86"/>
    <w:rsid w:val="005D2C53"/>
    <w:rsid w:val="005D2C5C"/>
    <w:rsid w:val="005D2D08"/>
    <w:rsid w:val="005D2D5C"/>
    <w:rsid w:val="005D2E9E"/>
    <w:rsid w:val="005D3536"/>
    <w:rsid w:val="005D36AA"/>
    <w:rsid w:val="005D380C"/>
    <w:rsid w:val="005D3862"/>
    <w:rsid w:val="005D3894"/>
    <w:rsid w:val="005D39ED"/>
    <w:rsid w:val="005D3A2E"/>
    <w:rsid w:val="005D3A39"/>
    <w:rsid w:val="005D3DFA"/>
    <w:rsid w:val="005D3E62"/>
    <w:rsid w:val="005D446D"/>
    <w:rsid w:val="005D459A"/>
    <w:rsid w:val="005D45A0"/>
    <w:rsid w:val="005D468C"/>
    <w:rsid w:val="005D476B"/>
    <w:rsid w:val="005D4853"/>
    <w:rsid w:val="005D4BB9"/>
    <w:rsid w:val="005D4C1A"/>
    <w:rsid w:val="005D4C46"/>
    <w:rsid w:val="005D4C4E"/>
    <w:rsid w:val="005D4ED4"/>
    <w:rsid w:val="005D4F14"/>
    <w:rsid w:val="005D4FB9"/>
    <w:rsid w:val="005D4FD4"/>
    <w:rsid w:val="005D50C4"/>
    <w:rsid w:val="005D5284"/>
    <w:rsid w:val="005D5355"/>
    <w:rsid w:val="005D5588"/>
    <w:rsid w:val="005D55C7"/>
    <w:rsid w:val="005D5683"/>
    <w:rsid w:val="005D59CD"/>
    <w:rsid w:val="005D5BA5"/>
    <w:rsid w:val="005D5C72"/>
    <w:rsid w:val="005D5D40"/>
    <w:rsid w:val="005D5D6B"/>
    <w:rsid w:val="005D5DF8"/>
    <w:rsid w:val="005D5F96"/>
    <w:rsid w:val="005D6012"/>
    <w:rsid w:val="005D60BE"/>
    <w:rsid w:val="005D60E6"/>
    <w:rsid w:val="005D6122"/>
    <w:rsid w:val="005D63F2"/>
    <w:rsid w:val="005D64AB"/>
    <w:rsid w:val="005D65C2"/>
    <w:rsid w:val="005D6672"/>
    <w:rsid w:val="005D66C0"/>
    <w:rsid w:val="005D66D5"/>
    <w:rsid w:val="005D66D7"/>
    <w:rsid w:val="005D6856"/>
    <w:rsid w:val="005D6BB0"/>
    <w:rsid w:val="005D6C11"/>
    <w:rsid w:val="005D6CA6"/>
    <w:rsid w:val="005D6D53"/>
    <w:rsid w:val="005D6D64"/>
    <w:rsid w:val="005D6DEB"/>
    <w:rsid w:val="005D6DFB"/>
    <w:rsid w:val="005D6E15"/>
    <w:rsid w:val="005D6F43"/>
    <w:rsid w:val="005D7026"/>
    <w:rsid w:val="005D70FB"/>
    <w:rsid w:val="005D7231"/>
    <w:rsid w:val="005D74FA"/>
    <w:rsid w:val="005D76CD"/>
    <w:rsid w:val="005D7787"/>
    <w:rsid w:val="005D7808"/>
    <w:rsid w:val="005D78BC"/>
    <w:rsid w:val="005D78F6"/>
    <w:rsid w:val="005D791B"/>
    <w:rsid w:val="005D79D4"/>
    <w:rsid w:val="005E0328"/>
    <w:rsid w:val="005E0334"/>
    <w:rsid w:val="005E0357"/>
    <w:rsid w:val="005E04A8"/>
    <w:rsid w:val="005E04E2"/>
    <w:rsid w:val="005E06C8"/>
    <w:rsid w:val="005E06CF"/>
    <w:rsid w:val="005E09C5"/>
    <w:rsid w:val="005E0BAA"/>
    <w:rsid w:val="005E0C75"/>
    <w:rsid w:val="005E0E68"/>
    <w:rsid w:val="005E0E8A"/>
    <w:rsid w:val="005E0FF3"/>
    <w:rsid w:val="005E100F"/>
    <w:rsid w:val="005E1108"/>
    <w:rsid w:val="005E136B"/>
    <w:rsid w:val="005E147C"/>
    <w:rsid w:val="005E15E1"/>
    <w:rsid w:val="005E16CF"/>
    <w:rsid w:val="005E18B0"/>
    <w:rsid w:val="005E190B"/>
    <w:rsid w:val="005E1AF0"/>
    <w:rsid w:val="005E1BCC"/>
    <w:rsid w:val="005E1CCF"/>
    <w:rsid w:val="005E1D58"/>
    <w:rsid w:val="005E1EFB"/>
    <w:rsid w:val="005E1F0E"/>
    <w:rsid w:val="005E206E"/>
    <w:rsid w:val="005E21C6"/>
    <w:rsid w:val="005E21E4"/>
    <w:rsid w:val="005E2299"/>
    <w:rsid w:val="005E22E7"/>
    <w:rsid w:val="005E2320"/>
    <w:rsid w:val="005E2357"/>
    <w:rsid w:val="005E251A"/>
    <w:rsid w:val="005E2532"/>
    <w:rsid w:val="005E25F0"/>
    <w:rsid w:val="005E26DF"/>
    <w:rsid w:val="005E281D"/>
    <w:rsid w:val="005E28CC"/>
    <w:rsid w:val="005E29B1"/>
    <w:rsid w:val="005E29BB"/>
    <w:rsid w:val="005E29C4"/>
    <w:rsid w:val="005E2A5C"/>
    <w:rsid w:val="005E2C44"/>
    <w:rsid w:val="005E2CD0"/>
    <w:rsid w:val="005E2E02"/>
    <w:rsid w:val="005E2E0A"/>
    <w:rsid w:val="005E2F2D"/>
    <w:rsid w:val="005E2F94"/>
    <w:rsid w:val="005E3118"/>
    <w:rsid w:val="005E3136"/>
    <w:rsid w:val="005E3179"/>
    <w:rsid w:val="005E31A6"/>
    <w:rsid w:val="005E31BD"/>
    <w:rsid w:val="005E3216"/>
    <w:rsid w:val="005E3222"/>
    <w:rsid w:val="005E32A8"/>
    <w:rsid w:val="005E32C2"/>
    <w:rsid w:val="005E3431"/>
    <w:rsid w:val="005E34AC"/>
    <w:rsid w:val="005E34DF"/>
    <w:rsid w:val="005E3654"/>
    <w:rsid w:val="005E36B6"/>
    <w:rsid w:val="005E3893"/>
    <w:rsid w:val="005E3943"/>
    <w:rsid w:val="005E3B01"/>
    <w:rsid w:val="005E3BE4"/>
    <w:rsid w:val="005E3BE6"/>
    <w:rsid w:val="005E3CB2"/>
    <w:rsid w:val="005E3D50"/>
    <w:rsid w:val="005E3EBB"/>
    <w:rsid w:val="005E4094"/>
    <w:rsid w:val="005E40DB"/>
    <w:rsid w:val="005E4149"/>
    <w:rsid w:val="005E43F7"/>
    <w:rsid w:val="005E441A"/>
    <w:rsid w:val="005E45E4"/>
    <w:rsid w:val="005E4607"/>
    <w:rsid w:val="005E46E0"/>
    <w:rsid w:val="005E471F"/>
    <w:rsid w:val="005E475F"/>
    <w:rsid w:val="005E47A5"/>
    <w:rsid w:val="005E4859"/>
    <w:rsid w:val="005E4861"/>
    <w:rsid w:val="005E4B16"/>
    <w:rsid w:val="005E4B59"/>
    <w:rsid w:val="005E4B6F"/>
    <w:rsid w:val="005E4DE3"/>
    <w:rsid w:val="005E50B4"/>
    <w:rsid w:val="005E51F2"/>
    <w:rsid w:val="005E5411"/>
    <w:rsid w:val="005E56D7"/>
    <w:rsid w:val="005E56F4"/>
    <w:rsid w:val="005E5728"/>
    <w:rsid w:val="005E5773"/>
    <w:rsid w:val="005E582E"/>
    <w:rsid w:val="005E59C7"/>
    <w:rsid w:val="005E59E3"/>
    <w:rsid w:val="005E5A76"/>
    <w:rsid w:val="005E5AED"/>
    <w:rsid w:val="005E5BA8"/>
    <w:rsid w:val="005E5E30"/>
    <w:rsid w:val="005E5E3B"/>
    <w:rsid w:val="005E60B5"/>
    <w:rsid w:val="005E6185"/>
    <w:rsid w:val="005E618D"/>
    <w:rsid w:val="005E622F"/>
    <w:rsid w:val="005E624F"/>
    <w:rsid w:val="005E6262"/>
    <w:rsid w:val="005E62AF"/>
    <w:rsid w:val="005E6365"/>
    <w:rsid w:val="005E63AC"/>
    <w:rsid w:val="005E683C"/>
    <w:rsid w:val="005E68CB"/>
    <w:rsid w:val="005E6903"/>
    <w:rsid w:val="005E6CD6"/>
    <w:rsid w:val="005E7298"/>
    <w:rsid w:val="005E72A1"/>
    <w:rsid w:val="005E736D"/>
    <w:rsid w:val="005E751A"/>
    <w:rsid w:val="005E789B"/>
    <w:rsid w:val="005E7979"/>
    <w:rsid w:val="005E798D"/>
    <w:rsid w:val="005E7BDB"/>
    <w:rsid w:val="005E7C1B"/>
    <w:rsid w:val="005E7CB5"/>
    <w:rsid w:val="005E7D59"/>
    <w:rsid w:val="005E7DC1"/>
    <w:rsid w:val="005E7E61"/>
    <w:rsid w:val="005F0289"/>
    <w:rsid w:val="005F0295"/>
    <w:rsid w:val="005F043C"/>
    <w:rsid w:val="005F059C"/>
    <w:rsid w:val="005F06FD"/>
    <w:rsid w:val="005F072D"/>
    <w:rsid w:val="005F072E"/>
    <w:rsid w:val="005F08C6"/>
    <w:rsid w:val="005F0917"/>
    <w:rsid w:val="005F0BD9"/>
    <w:rsid w:val="005F0C83"/>
    <w:rsid w:val="005F0DAB"/>
    <w:rsid w:val="005F0DDE"/>
    <w:rsid w:val="005F1035"/>
    <w:rsid w:val="005F12A8"/>
    <w:rsid w:val="005F12AE"/>
    <w:rsid w:val="005F1798"/>
    <w:rsid w:val="005F18CF"/>
    <w:rsid w:val="005F196F"/>
    <w:rsid w:val="005F1970"/>
    <w:rsid w:val="005F1B3C"/>
    <w:rsid w:val="005F1C1B"/>
    <w:rsid w:val="005F1CFF"/>
    <w:rsid w:val="005F1D14"/>
    <w:rsid w:val="005F1D4A"/>
    <w:rsid w:val="005F1E10"/>
    <w:rsid w:val="005F1E17"/>
    <w:rsid w:val="005F1E34"/>
    <w:rsid w:val="005F2023"/>
    <w:rsid w:val="005F20D1"/>
    <w:rsid w:val="005F21F7"/>
    <w:rsid w:val="005F221F"/>
    <w:rsid w:val="005F2293"/>
    <w:rsid w:val="005F22C9"/>
    <w:rsid w:val="005F22E2"/>
    <w:rsid w:val="005F268E"/>
    <w:rsid w:val="005F2716"/>
    <w:rsid w:val="005F2AF9"/>
    <w:rsid w:val="005F2B40"/>
    <w:rsid w:val="005F2BA3"/>
    <w:rsid w:val="005F2D70"/>
    <w:rsid w:val="005F2E26"/>
    <w:rsid w:val="005F2E27"/>
    <w:rsid w:val="005F2EFE"/>
    <w:rsid w:val="005F2F45"/>
    <w:rsid w:val="005F30B9"/>
    <w:rsid w:val="005F3134"/>
    <w:rsid w:val="005F320D"/>
    <w:rsid w:val="005F33E8"/>
    <w:rsid w:val="005F3460"/>
    <w:rsid w:val="005F34B6"/>
    <w:rsid w:val="005F36DD"/>
    <w:rsid w:val="005F3747"/>
    <w:rsid w:val="005F3777"/>
    <w:rsid w:val="005F37F9"/>
    <w:rsid w:val="005F3897"/>
    <w:rsid w:val="005F3B9A"/>
    <w:rsid w:val="005F3B9E"/>
    <w:rsid w:val="005F3C44"/>
    <w:rsid w:val="005F3C5D"/>
    <w:rsid w:val="005F3C81"/>
    <w:rsid w:val="005F3D4E"/>
    <w:rsid w:val="005F42BB"/>
    <w:rsid w:val="005F4336"/>
    <w:rsid w:val="005F441B"/>
    <w:rsid w:val="005F461A"/>
    <w:rsid w:val="005F47BF"/>
    <w:rsid w:val="005F47DF"/>
    <w:rsid w:val="005F4887"/>
    <w:rsid w:val="005F4A53"/>
    <w:rsid w:val="005F4B19"/>
    <w:rsid w:val="005F4C8E"/>
    <w:rsid w:val="005F4CC8"/>
    <w:rsid w:val="005F4D6E"/>
    <w:rsid w:val="005F4DBF"/>
    <w:rsid w:val="005F4F92"/>
    <w:rsid w:val="005F50C5"/>
    <w:rsid w:val="005F50D0"/>
    <w:rsid w:val="005F5113"/>
    <w:rsid w:val="005F52C5"/>
    <w:rsid w:val="005F52D3"/>
    <w:rsid w:val="005F5682"/>
    <w:rsid w:val="005F56EB"/>
    <w:rsid w:val="005F594E"/>
    <w:rsid w:val="005F5A20"/>
    <w:rsid w:val="005F5ABC"/>
    <w:rsid w:val="005F5AE0"/>
    <w:rsid w:val="005F5C01"/>
    <w:rsid w:val="005F5C1A"/>
    <w:rsid w:val="005F5FB7"/>
    <w:rsid w:val="005F609E"/>
    <w:rsid w:val="005F616F"/>
    <w:rsid w:val="005F62A1"/>
    <w:rsid w:val="005F6345"/>
    <w:rsid w:val="005F64E5"/>
    <w:rsid w:val="005F6550"/>
    <w:rsid w:val="005F6564"/>
    <w:rsid w:val="005F6630"/>
    <w:rsid w:val="005F67C0"/>
    <w:rsid w:val="005F6817"/>
    <w:rsid w:val="005F6848"/>
    <w:rsid w:val="005F6A13"/>
    <w:rsid w:val="005F6B8B"/>
    <w:rsid w:val="005F6B90"/>
    <w:rsid w:val="005F6B91"/>
    <w:rsid w:val="005F6BDE"/>
    <w:rsid w:val="005F6CDE"/>
    <w:rsid w:val="005F6E48"/>
    <w:rsid w:val="005F7093"/>
    <w:rsid w:val="005F7207"/>
    <w:rsid w:val="005F76C6"/>
    <w:rsid w:val="005F77C9"/>
    <w:rsid w:val="005F783A"/>
    <w:rsid w:val="005F79A7"/>
    <w:rsid w:val="005F7ACC"/>
    <w:rsid w:val="005F7B33"/>
    <w:rsid w:val="005F7B4A"/>
    <w:rsid w:val="005F7BF2"/>
    <w:rsid w:val="005F7BFD"/>
    <w:rsid w:val="005F7E99"/>
    <w:rsid w:val="005F7F3D"/>
    <w:rsid w:val="005F7F43"/>
    <w:rsid w:val="0060012E"/>
    <w:rsid w:val="006003C5"/>
    <w:rsid w:val="006005A7"/>
    <w:rsid w:val="00600855"/>
    <w:rsid w:val="006008CF"/>
    <w:rsid w:val="006008E4"/>
    <w:rsid w:val="00600A27"/>
    <w:rsid w:val="00600A8D"/>
    <w:rsid w:val="00600B91"/>
    <w:rsid w:val="00600C17"/>
    <w:rsid w:val="00600CE6"/>
    <w:rsid w:val="0060115E"/>
    <w:rsid w:val="006011E0"/>
    <w:rsid w:val="00601307"/>
    <w:rsid w:val="006013E6"/>
    <w:rsid w:val="006013F0"/>
    <w:rsid w:val="00601598"/>
    <w:rsid w:val="00601613"/>
    <w:rsid w:val="00601628"/>
    <w:rsid w:val="00601650"/>
    <w:rsid w:val="006017BD"/>
    <w:rsid w:val="00601811"/>
    <w:rsid w:val="00601838"/>
    <w:rsid w:val="00601890"/>
    <w:rsid w:val="006019BB"/>
    <w:rsid w:val="00601A2F"/>
    <w:rsid w:val="00601B40"/>
    <w:rsid w:val="00601B61"/>
    <w:rsid w:val="00601C72"/>
    <w:rsid w:val="00601D88"/>
    <w:rsid w:val="00602062"/>
    <w:rsid w:val="006022B0"/>
    <w:rsid w:val="006023F9"/>
    <w:rsid w:val="0060247B"/>
    <w:rsid w:val="006024BC"/>
    <w:rsid w:val="006027EF"/>
    <w:rsid w:val="00602875"/>
    <w:rsid w:val="00602922"/>
    <w:rsid w:val="006029AA"/>
    <w:rsid w:val="00602A61"/>
    <w:rsid w:val="00602CD8"/>
    <w:rsid w:val="00602D71"/>
    <w:rsid w:val="00602E99"/>
    <w:rsid w:val="00602F02"/>
    <w:rsid w:val="00602FC6"/>
    <w:rsid w:val="00602FDE"/>
    <w:rsid w:val="00603413"/>
    <w:rsid w:val="00603426"/>
    <w:rsid w:val="00603548"/>
    <w:rsid w:val="00603568"/>
    <w:rsid w:val="00603636"/>
    <w:rsid w:val="00603720"/>
    <w:rsid w:val="00603825"/>
    <w:rsid w:val="00603906"/>
    <w:rsid w:val="006039DC"/>
    <w:rsid w:val="00603A6D"/>
    <w:rsid w:val="00603AA0"/>
    <w:rsid w:val="00603C3C"/>
    <w:rsid w:val="00603D2B"/>
    <w:rsid w:val="00603E9B"/>
    <w:rsid w:val="00604109"/>
    <w:rsid w:val="00604190"/>
    <w:rsid w:val="006041F2"/>
    <w:rsid w:val="00604206"/>
    <w:rsid w:val="00604283"/>
    <w:rsid w:val="006047F8"/>
    <w:rsid w:val="006048F8"/>
    <w:rsid w:val="006049DB"/>
    <w:rsid w:val="00604A1E"/>
    <w:rsid w:val="00604A22"/>
    <w:rsid w:val="00604A35"/>
    <w:rsid w:val="00604A83"/>
    <w:rsid w:val="00604C0F"/>
    <w:rsid w:val="00604C5D"/>
    <w:rsid w:val="00604DE8"/>
    <w:rsid w:val="00604EEF"/>
    <w:rsid w:val="0060506B"/>
    <w:rsid w:val="006050E9"/>
    <w:rsid w:val="00605427"/>
    <w:rsid w:val="00605453"/>
    <w:rsid w:val="00605521"/>
    <w:rsid w:val="00605536"/>
    <w:rsid w:val="00605697"/>
    <w:rsid w:val="00605725"/>
    <w:rsid w:val="00605766"/>
    <w:rsid w:val="0060577B"/>
    <w:rsid w:val="00605975"/>
    <w:rsid w:val="00605A93"/>
    <w:rsid w:val="00605AFD"/>
    <w:rsid w:val="00605CA5"/>
    <w:rsid w:val="00605E35"/>
    <w:rsid w:val="00605FA7"/>
    <w:rsid w:val="00605FF6"/>
    <w:rsid w:val="00606174"/>
    <w:rsid w:val="006061B8"/>
    <w:rsid w:val="006061C0"/>
    <w:rsid w:val="0060647A"/>
    <w:rsid w:val="00606496"/>
    <w:rsid w:val="00606694"/>
    <w:rsid w:val="006066A1"/>
    <w:rsid w:val="00606991"/>
    <w:rsid w:val="006069C0"/>
    <w:rsid w:val="00606A80"/>
    <w:rsid w:val="00606AA1"/>
    <w:rsid w:val="00606E19"/>
    <w:rsid w:val="00606FCD"/>
    <w:rsid w:val="00607102"/>
    <w:rsid w:val="0060710A"/>
    <w:rsid w:val="006071A6"/>
    <w:rsid w:val="006072BD"/>
    <w:rsid w:val="00607364"/>
    <w:rsid w:val="00607383"/>
    <w:rsid w:val="0060747F"/>
    <w:rsid w:val="00607575"/>
    <w:rsid w:val="00607847"/>
    <w:rsid w:val="0060784C"/>
    <w:rsid w:val="006078D2"/>
    <w:rsid w:val="00607934"/>
    <w:rsid w:val="00607A21"/>
    <w:rsid w:val="00607AF3"/>
    <w:rsid w:val="00607BFE"/>
    <w:rsid w:val="00607C10"/>
    <w:rsid w:val="00607CBB"/>
    <w:rsid w:val="0061022A"/>
    <w:rsid w:val="0061035B"/>
    <w:rsid w:val="006103E2"/>
    <w:rsid w:val="006104E4"/>
    <w:rsid w:val="00610533"/>
    <w:rsid w:val="0061074E"/>
    <w:rsid w:val="006107EA"/>
    <w:rsid w:val="00610887"/>
    <w:rsid w:val="0061092E"/>
    <w:rsid w:val="006109CF"/>
    <w:rsid w:val="006109E5"/>
    <w:rsid w:val="00610A3F"/>
    <w:rsid w:val="00610A75"/>
    <w:rsid w:val="00610B94"/>
    <w:rsid w:val="00610BAA"/>
    <w:rsid w:val="00610D36"/>
    <w:rsid w:val="00610E58"/>
    <w:rsid w:val="00611104"/>
    <w:rsid w:val="0061136C"/>
    <w:rsid w:val="00611391"/>
    <w:rsid w:val="006114B5"/>
    <w:rsid w:val="006115FA"/>
    <w:rsid w:val="0061173E"/>
    <w:rsid w:val="006117F6"/>
    <w:rsid w:val="00611801"/>
    <w:rsid w:val="0061184B"/>
    <w:rsid w:val="006118B6"/>
    <w:rsid w:val="006119F8"/>
    <w:rsid w:val="00611B05"/>
    <w:rsid w:val="00611B7C"/>
    <w:rsid w:val="00611B99"/>
    <w:rsid w:val="00611BBD"/>
    <w:rsid w:val="00611C1E"/>
    <w:rsid w:val="00611E03"/>
    <w:rsid w:val="00611E5C"/>
    <w:rsid w:val="00611F0D"/>
    <w:rsid w:val="00611F76"/>
    <w:rsid w:val="00612009"/>
    <w:rsid w:val="006121AF"/>
    <w:rsid w:val="00612229"/>
    <w:rsid w:val="006123D4"/>
    <w:rsid w:val="0061249E"/>
    <w:rsid w:val="0061256A"/>
    <w:rsid w:val="006127EF"/>
    <w:rsid w:val="00612899"/>
    <w:rsid w:val="006129C1"/>
    <w:rsid w:val="00612B4E"/>
    <w:rsid w:val="00612BC7"/>
    <w:rsid w:val="00612C73"/>
    <w:rsid w:val="00612EFE"/>
    <w:rsid w:val="00612FA3"/>
    <w:rsid w:val="00613116"/>
    <w:rsid w:val="0061311E"/>
    <w:rsid w:val="0061312B"/>
    <w:rsid w:val="006132D3"/>
    <w:rsid w:val="006132FE"/>
    <w:rsid w:val="00613394"/>
    <w:rsid w:val="00613662"/>
    <w:rsid w:val="00613787"/>
    <w:rsid w:val="00613801"/>
    <w:rsid w:val="006138C5"/>
    <w:rsid w:val="00613903"/>
    <w:rsid w:val="00613A37"/>
    <w:rsid w:val="00613A64"/>
    <w:rsid w:val="00613D0B"/>
    <w:rsid w:val="00613D37"/>
    <w:rsid w:val="00614232"/>
    <w:rsid w:val="00614276"/>
    <w:rsid w:val="006143BB"/>
    <w:rsid w:val="0061445B"/>
    <w:rsid w:val="00614569"/>
    <w:rsid w:val="006147AF"/>
    <w:rsid w:val="00614AC3"/>
    <w:rsid w:val="00614BB9"/>
    <w:rsid w:val="00614BE2"/>
    <w:rsid w:val="00614C26"/>
    <w:rsid w:val="00614D64"/>
    <w:rsid w:val="00614D70"/>
    <w:rsid w:val="00614E88"/>
    <w:rsid w:val="00614F40"/>
    <w:rsid w:val="0061501B"/>
    <w:rsid w:val="00615074"/>
    <w:rsid w:val="006151D7"/>
    <w:rsid w:val="00615239"/>
    <w:rsid w:val="006153AC"/>
    <w:rsid w:val="006153D5"/>
    <w:rsid w:val="00615454"/>
    <w:rsid w:val="00615535"/>
    <w:rsid w:val="006155AD"/>
    <w:rsid w:val="006155B6"/>
    <w:rsid w:val="00615627"/>
    <w:rsid w:val="006156F2"/>
    <w:rsid w:val="006157B4"/>
    <w:rsid w:val="006157CE"/>
    <w:rsid w:val="0061582E"/>
    <w:rsid w:val="00615870"/>
    <w:rsid w:val="006158B4"/>
    <w:rsid w:val="00615A79"/>
    <w:rsid w:val="00615AD7"/>
    <w:rsid w:val="00615C5C"/>
    <w:rsid w:val="00615CD7"/>
    <w:rsid w:val="00615CE7"/>
    <w:rsid w:val="00615D73"/>
    <w:rsid w:val="00615DC0"/>
    <w:rsid w:val="00615F79"/>
    <w:rsid w:val="00615F92"/>
    <w:rsid w:val="0061618E"/>
    <w:rsid w:val="006162C1"/>
    <w:rsid w:val="006163F9"/>
    <w:rsid w:val="00616403"/>
    <w:rsid w:val="0061649D"/>
    <w:rsid w:val="0061688A"/>
    <w:rsid w:val="006168D2"/>
    <w:rsid w:val="00616998"/>
    <w:rsid w:val="00616BE9"/>
    <w:rsid w:val="00616C84"/>
    <w:rsid w:val="00616D2A"/>
    <w:rsid w:val="00616D8D"/>
    <w:rsid w:val="00616EAB"/>
    <w:rsid w:val="00616F2D"/>
    <w:rsid w:val="00616F7B"/>
    <w:rsid w:val="00616FB0"/>
    <w:rsid w:val="00616FD5"/>
    <w:rsid w:val="0061703B"/>
    <w:rsid w:val="00617060"/>
    <w:rsid w:val="00617092"/>
    <w:rsid w:val="00617147"/>
    <w:rsid w:val="00617287"/>
    <w:rsid w:val="006172CA"/>
    <w:rsid w:val="006173B2"/>
    <w:rsid w:val="006173BB"/>
    <w:rsid w:val="0061745A"/>
    <w:rsid w:val="006174ED"/>
    <w:rsid w:val="006175C9"/>
    <w:rsid w:val="006175F7"/>
    <w:rsid w:val="00617623"/>
    <w:rsid w:val="0061784B"/>
    <w:rsid w:val="0061785E"/>
    <w:rsid w:val="006178B2"/>
    <w:rsid w:val="00617AD1"/>
    <w:rsid w:val="00617D13"/>
    <w:rsid w:val="00617E88"/>
    <w:rsid w:val="00617E96"/>
    <w:rsid w:val="00617ED2"/>
    <w:rsid w:val="00617EED"/>
    <w:rsid w:val="00617F47"/>
    <w:rsid w:val="0062011A"/>
    <w:rsid w:val="00620157"/>
    <w:rsid w:val="00620214"/>
    <w:rsid w:val="00620440"/>
    <w:rsid w:val="006204A6"/>
    <w:rsid w:val="0062052C"/>
    <w:rsid w:val="0062062E"/>
    <w:rsid w:val="00620793"/>
    <w:rsid w:val="006209C9"/>
    <w:rsid w:val="006209F8"/>
    <w:rsid w:val="00620B1A"/>
    <w:rsid w:val="00620E4E"/>
    <w:rsid w:val="00620F25"/>
    <w:rsid w:val="00620F69"/>
    <w:rsid w:val="00621132"/>
    <w:rsid w:val="0062117A"/>
    <w:rsid w:val="006211A7"/>
    <w:rsid w:val="0062123E"/>
    <w:rsid w:val="0062134B"/>
    <w:rsid w:val="006213A3"/>
    <w:rsid w:val="006214C3"/>
    <w:rsid w:val="006215B4"/>
    <w:rsid w:val="00621753"/>
    <w:rsid w:val="00621815"/>
    <w:rsid w:val="00621930"/>
    <w:rsid w:val="00621932"/>
    <w:rsid w:val="0062195F"/>
    <w:rsid w:val="00621963"/>
    <w:rsid w:val="006219CA"/>
    <w:rsid w:val="00621C0C"/>
    <w:rsid w:val="00621C1A"/>
    <w:rsid w:val="00621C59"/>
    <w:rsid w:val="00621C9A"/>
    <w:rsid w:val="00621D77"/>
    <w:rsid w:val="00621DB7"/>
    <w:rsid w:val="00621E2B"/>
    <w:rsid w:val="00621EEC"/>
    <w:rsid w:val="00622099"/>
    <w:rsid w:val="006220E4"/>
    <w:rsid w:val="006221CC"/>
    <w:rsid w:val="0062236C"/>
    <w:rsid w:val="00622472"/>
    <w:rsid w:val="006226B7"/>
    <w:rsid w:val="0062270D"/>
    <w:rsid w:val="0062273D"/>
    <w:rsid w:val="00622770"/>
    <w:rsid w:val="00622802"/>
    <w:rsid w:val="006228E0"/>
    <w:rsid w:val="00622978"/>
    <w:rsid w:val="00622BC8"/>
    <w:rsid w:val="00622C35"/>
    <w:rsid w:val="00622D26"/>
    <w:rsid w:val="00622F3C"/>
    <w:rsid w:val="00622F96"/>
    <w:rsid w:val="00623020"/>
    <w:rsid w:val="00623210"/>
    <w:rsid w:val="0062323F"/>
    <w:rsid w:val="006232B4"/>
    <w:rsid w:val="006232CB"/>
    <w:rsid w:val="006233DE"/>
    <w:rsid w:val="00623785"/>
    <w:rsid w:val="006237F8"/>
    <w:rsid w:val="00623918"/>
    <w:rsid w:val="0062393A"/>
    <w:rsid w:val="0062395D"/>
    <w:rsid w:val="006239EF"/>
    <w:rsid w:val="00623A9E"/>
    <w:rsid w:val="00623B2A"/>
    <w:rsid w:val="00623CC3"/>
    <w:rsid w:val="0062403B"/>
    <w:rsid w:val="0062413F"/>
    <w:rsid w:val="0062429D"/>
    <w:rsid w:val="006243C0"/>
    <w:rsid w:val="006243FA"/>
    <w:rsid w:val="00624447"/>
    <w:rsid w:val="00624539"/>
    <w:rsid w:val="0062475A"/>
    <w:rsid w:val="00624761"/>
    <w:rsid w:val="006247A2"/>
    <w:rsid w:val="00624829"/>
    <w:rsid w:val="00624879"/>
    <w:rsid w:val="00624A39"/>
    <w:rsid w:val="00624B82"/>
    <w:rsid w:val="00624BD2"/>
    <w:rsid w:val="00624C4B"/>
    <w:rsid w:val="00624C5B"/>
    <w:rsid w:val="00624DE1"/>
    <w:rsid w:val="00624DEB"/>
    <w:rsid w:val="00624EB0"/>
    <w:rsid w:val="00624EC8"/>
    <w:rsid w:val="00624F01"/>
    <w:rsid w:val="00624F99"/>
    <w:rsid w:val="00625143"/>
    <w:rsid w:val="006251CB"/>
    <w:rsid w:val="0062540A"/>
    <w:rsid w:val="00625485"/>
    <w:rsid w:val="00625750"/>
    <w:rsid w:val="00625810"/>
    <w:rsid w:val="00625811"/>
    <w:rsid w:val="0062589C"/>
    <w:rsid w:val="00625A52"/>
    <w:rsid w:val="00625A8E"/>
    <w:rsid w:val="00625AE8"/>
    <w:rsid w:val="00625B5E"/>
    <w:rsid w:val="00625B6A"/>
    <w:rsid w:val="00625C10"/>
    <w:rsid w:val="00625C82"/>
    <w:rsid w:val="00626349"/>
    <w:rsid w:val="0062661D"/>
    <w:rsid w:val="006266C5"/>
    <w:rsid w:val="0062680A"/>
    <w:rsid w:val="0062680E"/>
    <w:rsid w:val="0062682F"/>
    <w:rsid w:val="00626868"/>
    <w:rsid w:val="0062686E"/>
    <w:rsid w:val="00626909"/>
    <w:rsid w:val="00626962"/>
    <w:rsid w:val="006269DC"/>
    <w:rsid w:val="006269E1"/>
    <w:rsid w:val="00626A1C"/>
    <w:rsid w:val="00626A8F"/>
    <w:rsid w:val="00626B90"/>
    <w:rsid w:val="00626D1C"/>
    <w:rsid w:val="00626D7D"/>
    <w:rsid w:val="00626DCF"/>
    <w:rsid w:val="00626EA4"/>
    <w:rsid w:val="00627320"/>
    <w:rsid w:val="0062734F"/>
    <w:rsid w:val="00627359"/>
    <w:rsid w:val="006273A5"/>
    <w:rsid w:val="006273F7"/>
    <w:rsid w:val="00627590"/>
    <w:rsid w:val="00627BC4"/>
    <w:rsid w:val="00627C69"/>
    <w:rsid w:val="00627DA0"/>
    <w:rsid w:val="00627DD7"/>
    <w:rsid w:val="00627E1C"/>
    <w:rsid w:val="00627E3F"/>
    <w:rsid w:val="00627E5F"/>
    <w:rsid w:val="00630022"/>
    <w:rsid w:val="0063005C"/>
    <w:rsid w:val="00630121"/>
    <w:rsid w:val="00630189"/>
    <w:rsid w:val="006301FA"/>
    <w:rsid w:val="006302B9"/>
    <w:rsid w:val="006303BE"/>
    <w:rsid w:val="00630512"/>
    <w:rsid w:val="0063052D"/>
    <w:rsid w:val="006305C8"/>
    <w:rsid w:val="006306DC"/>
    <w:rsid w:val="006307C5"/>
    <w:rsid w:val="006307CA"/>
    <w:rsid w:val="00630A6F"/>
    <w:rsid w:val="00630AC3"/>
    <w:rsid w:val="00630CCC"/>
    <w:rsid w:val="00630D9A"/>
    <w:rsid w:val="00630E42"/>
    <w:rsid w:val="00630E98"/>
    <w:rsid w:val="00630F55"/>
    <w:rsid w:val="0063108C"/>
    <w:rsid w:val="00631125"/>
    <w:rsid w:val="0063166C"/>
    <w:rsid w:val="00631697"/>
    <w:rsid w:val="0063191D"/>
    <w:rsid w:val="00631946"/>
    <w:rsid w:val="00631969"/>
    <w:rsid w:val="00631BC9"/>
    <w:rsid w:val="00631C37"/>
    <w:rsid w:val="00631E28"/>
    <w:rsid w:val="00631F54"/>
    <w:rsid w:val="00631F9A"/>
    <w:rsid w:val="0063230F"/>
    <w:rsid w:val="00632445"/>
    <w:rsid w:val="00632643"/>
    <w:rsid w:val="006326D0"/>
    <w:rsid w:val="0063287A"/>
    <w:rsid w:val="006328C6"/>
    <w:rsid w:val="00632986"/>
    <w:rsid w:val="00632A3D"/>
    <w:rsid w:val="00632C6D"/>
    <w:rsid w:val="00632CBD"/>
    <w:rsid w:val="00632D0F"/>
    <w:rsid w:val="00632D2D"/>
    <w:rsid w:val="00632EE0"/>
    <w:rsid w:val="00632EEB"/>
    <w:rsid w:val="00632FB1"/>
    <w:rsid w:val="00632FF0"/>
    <w:rsid w:val="0063326E"/>
    <w:rsid w:val="00633519"/>
    <w:rsid w:val="00633749"/>
    <w:rsid w:val="0063378D"/>
    <w:rsid w:val="00633A43"/>
    <w:rsid w:val="00633D8A"/>
    <w:rsid w:val="00633E20"/>
    <w:rsid w:val="00633FDB"/>
    <w:rsid w:val="00634047"/>
    <w:rsid w:val="00634112"/>
    <w:rsid w:val="00634156"/>
    <w:rsid w:val="00634176"/>
    <w:rsid w:val="006341F9"/>
    <w:rsid w:val="00634241"/>
    <w:rsid w:val="00634350"/>
    <w:rsid w:val="006344A7"/>
    <w:rsid w:val="00634581"/>
    <w:rsid w:val="00634606"/>
    <w:rsid w:val="006348A7"/>
    <w:rsid w:val="006349AA"/>
    <w:rsid w:val="00634A47"/>
    <w:rsid w:val="00634AA9"/>
    <w:rsid w:val="00634AFB"/>
    <w:rsid w:val="00634FEF"/>
    <w:rsid w:val="0063500D"/>
    <w:rsid w:val="006350EF"/>
    <w:rsid w:val="00635229"/>
    <w:rsid w:val="0063544D"/>
    <w:rsid w:val="00635470"/>
    <w:rsid w:val="006354C4"/>
    <w:rsid w:val="006354E4"/>
    <w:rsid w:val="006357FD"/>
    <w:rsid w:val="0063581A"/>
    <w:rsid w:val="0063592D"/>
    <w:rsid w:val="00635B20"/>
    <w:rsid w:val="00635BA3"/>
    <w:rsid w:val="00635CF1"/>
    <w:rsid w:val="00635DE2"/>
    <w:rsid w:val="00636153"/>
    <w:rsid w:val="006361FA"/>
    <w:rsid w:val="0063622A"/>
    <w:rsid w:val="006362EE"/>
    <w:rsid w:val="00636324"/>
    <w:rsid w:val="006363C8"/>
    <w:rsid w:val="006364CE"/>
    <w:rsid w:val="006368AD"/>
    <w:rsid w:val="006368DF"/>
    <w:rsid w:val="0063694E"/>
    <w:rsid w:val="00636A50"/>
    <w:rsid w:val="00636A69"/>
    <w:rsid w:val="00636B4C"/>
    <w:rsid w:val="00636B83"/>
    <w:rsid w:val="00636B97"/>
    <w:rsid w:val="00636B99"/>
    <w:rsid w:val="00636CBE"/>
    <w:rsid w:val="006375EE"/>
    <w:rsid w:val="006377FC"/>
    <w:rsid w:val="00637894"/>
    <w:rsid w:val="00637918"/>
    <w:rsid w:val="00637975"/>
    <w:rsid w:val="006379AD"/>
    <w:rsid w:val="00637AB6"/>
    <w:rsid w:val="00637C9A"/>
    <w:rsid w:val="00637EE9"/>
    <w:rsid w:val="00637F01"/>
    <w:rsid w:val="00640088"/>
    <w:rsid w:val="00640095"/>
    <w:rsid w:val="006400FF"/>
    <w:rsid w:val="00640331"/>
    <w:rsid w:val="0064033E"/>
    <w:rsid w:val="00640360"/>
    <w:rsid w:val="00640392"/>
    <w:rsid w:val="006405C2"/>
    <w:rsid w:val="006405F4"/>
    <w:rsid w:val="00640659"/>
    <w:rsid w:val="00640662"/>
    <w:rsid w:val="00640681"/>
    <w:rsid w:val="006406F2"/>
    <w:rsid w:val="0064073E"/>
    <w:rsid w:val="00640872"/>
    <w:rsid w:val="0064090D"/>
    <w:rsid w:val="0064092F"/>
    <w:rsid w:val="00640AFD"/>
    <w:rsid w:val="00640B42"/>
    <w:rsid w:val="00640DAE"/>
    <w:rsid w:val="00640F2B"/>
    <w:rsid w:val="0064121A"/>
    <w:rsid w:val="006412B5"/>
    <w:rsid w:val="0064134E"/>
    <w:rsid w:val="00641692"/>
    <w:rsid w:val="0064174C"/>
    <w:rsid w:val="00641985"/>
    <w:rsid w:val="0064198B"/>
    <w:rsid w:val="00641A0E"/>
    <w:rsid w:val="00641AA2"/>
    <w:rsid w:val="00641AA6"/>
    <w:rsid w:val="00641AD4"/>
    <w:rsid w:val="00641B14"/>
    <w:rsid w:val="00641B58"/>
    <w:rsid w:val="00641D3B"/>
    <w:rsid w:val="006421A7"/>
    <w:rsid w:val="00642278"/>
    <w:rsid w:val="006422DB"/>
    <w:rsid w:val="006423D4"/>
    <w:rsid w:val="006424DE"/>
    <w:rsid w:val="006427AD"/>
    <w:rsid w:val="006427C5"/>
    <w:rsid w:val="006428EE"/>
    <w:rsid w:val="00642AB5"/>
    <w:rsid w:val="00642B13"/>
    <w:rsid w:val="00642D19"/>
    <w:rsid w:val="00642F13"/>
    <w:rsid w:val="00642F53"/>
    <w:rsid w:val="00643049"/>
    <w:rsid w:val="00643058"/>
    <w:rsid w:val="006430BD"/>
    <w:rsid w:val="00643118"/>
    <w:rsid w:val="00643147"/>
    <w:rsid w:val="00643542"/>
    <w:rsid w:val="0064355E"/>
    <w:rsid w:val="00643709"/>
    <w:rsid w:val="0064370C"/>
    <w:rsid w:val="00643736"/>
    <w:rsid w:val="0064392A"/>
    <w:rsid w:val="006439AA"/>
    <w:rsid w:val="00643A2A"/>
    <w:rsid w:val="00643AF1"/>
    <w:rsid w:val="00643BB0"/>
    <w:rsid w:val="00643D84"/>
    <w:rsid w:val="00643F05"/>
    <w:rsid w:val="00643F16"/>
    <w:rsid w:val="006440B3"/>
    <w:rsid w:val="006440E4"/>
    <w:rsid w:val="006441FC"/>
    <w:rsid w:val="00644343"/>
    <w:rsid w:val="0064436F"/>
    <w:rsid w:val="006443E4"/>
    <w:rsid w:val="006445A3"/>
    <w:rsid w:val="006445ED"/>
    <w:rsid w:val="006446B9"/>
    <w:rsid w:val="006448A5"/>
    <w:rsid w:val="00644AA5"/>
    <w:rsid w:val="00644AE4"/>
    <w:rsid w:val="00644C48"/>
    <w:rsid w:val="00644C62"/>
    <w:rsid w:val="00644FF7"/>
    <w:rsid w:val="00645277"/>
    <w:rsid w:val="006452E5"/>
    <w:rsid w:val="00645375"/>
    <w:rsid w:val="006453AB"/>
    <w:rsid w:val="00645433"/>
    <w:rsid w:val="006456DF"/>
    <w:rsid w:val="0064585B"/>
    <w:rsid w:val="0064589C"/>
    <w:rsid w:val="006459B0"/>
    <w:rsid w:val="00645C5B"/>
    <w:rsid w:val="00645CE5"/>
    <w:rsid w:val="00645E9A"/>
    <w:rsid w:val="00645F2B"/>
    <w:rsid w:val="00645F6C"/>
    <w:rsid w:val="006460B0"/>
    <w:rsid w:val="0064610B"/>
    <w:rsid w:val="006461CC"/>
    <w:rsid w:val="006462D6"/>
    <w:rsid w:val="00646474"/>
    <w:rsid w:val="006465F6"/>
    <w:rsid w:val="0064665E"/>
    <w:rsid w:val="006466F8"/>
    <w:rsid w:val="00646700"/>
    <w:rsid w:val="00646730"/>
    <w:rsid w:val="0064677F"/>
    <w:rsid w:val="00646799"/>
    <w:rsid w:val="006468B8"/>
    <w:rsid w:val="00646945"/>
    <w:rsid w:val="0064694A"/>
    <w:rsid w:val="0064696D"/>
    <w:rsid w:val="006469BE"/>
    <w:rsid w:val="006469CC"/>
    <w:rsid w:val="00646AC9"/>
    <w:rsid w:val="00646BB3"/>
    <w:rsid w:val="00646BC4"/>
    <w:rsid w:val="00646DE3"/>
    <w:rsid w:val="00646EC8"/>
    <w:rsid w:val="00646F09"/>
    <w:rsid w:val="00646FDF"/>
    <w:rsid w:val="0064716A"/>
    <w:rsid w:val="006471E9"/>
    <w:rsid w:val="0064747E"/>
    <w:rsid w:val="00647610"/>
    <w:rsid w:val="00647692"/>
    <w:rsid w:val="0064770F"/>
    <w:rsid w:val="00647A5E"/>
    <w:rsid w:val="00647BC0"/>
    <w:rsid w:val="00647C77"/>
    <w:rsid w:val="00647C94"/>
    <w:rsid w:val="00647CDF"/>
    <w:rsid w:val="00647CF1"/>
    <w:rsid w:val="00647E56"/>
    <w:rsid w:val="00647F67"/>
    <w:rsid w:val="00647FF8"/>
    <w:rsid w:val="00650022"/>
    <w:rsid w:val="006500A2"/>
    <w:rsid w:val="006501D8"/>
    <w:rsid w:val="00650223"/>
    <w:rsid w:val="0065024B"/>
    <w:rsid w:val="00650305"/>
    <w:rsid w:val="0065042F"/>
    <w:rsid w:val="00650589"/>
    <w:rsid w:val="006505A9"/>
    <w:rsid w:val="00650625"/>
    <w:rsid w:val="0065064F"/>
    <w:rsid w:val="00650795"/>
    <w:rsid w:val="006507FC"/>
    <w:rsid w:val="00650966"/>
    <w:rsid w:val="006509E7"/>
    <w:rsid w:val="00650D1E"/>
    <w:rsid w:val="00651111"/>
    <w:rsid w:val="00651152"/>
    <w:rsid w:val="0065115A"/>
    <w:rsid w:val="00651185"/>
    <w:rsid w:val="00651444"/>
    <w:rsid w:val="00651470"/>
    <w:rsid w:val="0065152F"/>
    <w:rsid w:val="006516D7"/>
    <w:rsid w:val="006516F4"/>
    <w:rsid w:val="00651719"/>
    <w:rsid w:val="00651AD3"/>
    <w:rsid w:val="00651B41"/>
    <w:rsid w:val="00651BC1"/>
    <w:rsid w:val="00651C21"/>
    <w:rsid w:val="00651C44"/>
    <w:rsid w:val="00651D61"/>
    <w:rsid w:val="00651E1C"/>
    <w:rsid w:val="00651F70"/>
    <w:rsid w:val="00651FC6"/>
    <w:rsid w:val="006520AD"/>
    <w:rsid w:val="006521F6"/>
    <w:rsid w:val="0065230A"/>
    <w:rsid w:val="00652470"/>
    <w:rsid w:val="006525C8"/>
    <w:rsid w:val="0065260F"/>
    <w:rsid w:val="0065269D"/>
    <w:rsid w:val="00652779"/>
    <w:rsid w:val="00652812"/>
    <w:rsid w:val="0065290B"/>
    <w:rsid w:val="0065299C"/>
    <w:rsid w:val="00652A8B"/>
    <w:rsid w:val="00652ACA"/>
    <w:rsid w:val="00652B5E"/>
    <w:rsid w:val="00652BE1"/>
    <w:rsid w:val="00652C4C"/>
    <w:rsid w:val="00653238"/>
    <w:rsid w:val="006533AF"/>
    <w:rsid w:val="00653404"/>
    <w:rsid w:val="0065344C"/>
    <w:rsid w:val="0065351A"/>
    <w:rsid w:val="0065361D"/>
    <w:rsid w:val="00653676"/>
    <w:rsid w:val="006537B0"/>
    <w:rsid w:val="00653895"/>
    <w:rsid w:val="00653A0B"/>
    <w:rsid w:val="00653C7B"/>
    <w:rsid w:val="00653DE3"/>
    <w:rsid w:val="00653E47"/>
    <w:rsid w:val="00653F38"/>
    <w:rsid w:val="00653F8D"/>
    <w:rsid w:val="00653FC8"/>
    <w:rsid w:val="0065407F"/>
    <w:rsid w:val="00654351"/>
    <w:rsid w:val="006545EE"/>
    <w:rsid w:val="006547CD"/>
    <w:rsid w:val="00654835"/>
    <w:rsid w:val="006549B1"/>
    <w:rsid w:val="00654A69"/>
    <w:rsid w:val="00654BC4"/>
    <w:rsid w:val="00654C01"/>
    <w:rsid w:val="00654C9A"/>
    <w:rsid w:val="00654CE4"/>
    <w:rsid w:val="00654D0A"/>
    <w:rsid w:val="00654D16"/>
    <w:rsid w:val="00654D85"/>
    <w:rsid w:val="00654D99"/>
    <w:rsid w:val="00654E1C"/>
    <w:rsid w:val="00654ECA"/>
    <w:rsid w:val="0065529C"/>
    <w:rsid w:val="006552FE"/>
    <w:rsid w:val="006554CE"/>
    <w:rsid w:val="006554F8"/>
    <w:rsid w:val="0065555D"/>
    <w:rsid w:val="00655614"/>
    <w:rsid w:val="00655673"/>
    <w:rsid w:val="00655715"/>
    <w:rsid w:val="006557F2"/>
    <w:rsid w:val="0065597A"/>
    <w:rsid w:val="00655C7A"/>
    <w:rsid w:val="00655D62"/>
    <w:rsid w:val="00655E66"/>
    <w:rsid w:val="00655EA0"/>
    <w:rsid w:val="00656013"/>
    <w:rsid w:val="00656139"/>
    <w:rsid w:val="00656295"/>
    <w:rsid w:val="0065630F"/>
    <w:rsid w:val="006565D2"/>
    <w:rsid w:val="006565E7"/>
    <w:rsid w:val="00656674"/>
    <w:rsid w:val="006566A4"/>
    <w:rsid w:val="0065681E"/>
    <w:rsid w:val="0065683C"/>
    <w:rsid w:val="00656951"/>
    <w:rsid w:val="006569A8"/>
    <w:rsid w:val="00656A04"/>
    <w:rsid w:val="00656B80"/>
    <w:rsid w:val="00656BFC"/>
    <w:rsid w:val="00656C02"/>
    <w:rsid w:val="00656F6F"/>
    <w:rsid w:val="00656FC1"/>
    <w:rsid w:val="00657329"/>
    <w:rsid w:val="00657497"/>
    <w:rsid w:val="006574E9"/>
    <w:rsid w:val="006575F4"/>
    <w:rsid w:val="00657603"/>
    <w:rsid w:val="00657754"/>
    <w:rsid w:val="006577DD"/>
    <w:rsid w:val="00657833"/>
    <w:rsid w:val="006578D6"/>
    <w:rsid w:val="00657900"/>
    <w:rsid w:val="006579F3"/>
    <w:rsid w:val="00657A0F"/>
    <w:rsid w:val="00657A34"/>
    <w:rsid w:val="00657AE7"/>
    <w:rsid w:val="00657C2D"/>
    <w:rsid w:val="00657C67"/>
    <w:rsid w:val="00657D15"/>
    <w:rsid w:val="00657EDA"/>
    <w:rsid w:val="00657F07"/>
    <w:rsid w:val="00657F13"/>
    <w:rsid w:val="00660042"/>
    <w:rsid w:val="0066013C"/>
    <w:rsid w:val="006601E3"/>
    <w:rsid w:val="00660205"/>
    <w:rsid w:val="00660544"/>
    <w:rsid w:val="00660589"/>
    <w:rsid w:val="0066064A"/>
    <w:rsid w:val="00660684"/>
    <w:rsid w:val="0066083F"/>
    <w:rsid w:val="0066094F"/>
    <w:rsid w:val="006609C9"/>
    <w:rsid w:val="006609D4"/>
    <w:rsid w:val="00660A18"/>
    <w:rsid w:val="00660A3B"/>
    <w:rsid w:val="00660BDA"/>
    <w:rsid w:val="00660C46"/>
    <w:rsid w:val="0066115C"/>
    <w:rsid w:val="006611DB"/>
    <w:rsid w:val="0066120D"/>
    <w:rsid w:val="006613C7"/>
    <w:rsid w:val="006614F1"/>
    <w:rsid w:val="006617B8"/>
    <w:rsid w:val="00661992"/>
    <w:rsid w:val="00661A52"/>
    <w:rsid w:val="00661BB3"/>
    <w:rsid w:val="00661DC2"/>
    <w:rsid w:val="00661E1A"/>
    <w:rsid w:val="00662082"/>
    <w:rsid w:val="0066214B"/>
    <w:rsid w:val="00662331"/>
    <w:rsid w:val="00662380"/>
    <w:rsid w:val="006623CC"/>
    <w:rsid w:val="00662439"/>
    <w:rsid w:val="006629A7"/>
    <w:rsid w:val="00662B6E"/>
    <w:rsid w:val="00662C9C"/>
    <w:rsid w:val="00662D62"/>
    <w:rsid w:val="00662DF1"/>
    <w:rsid w:val="00662DF7"/>
    <w:rsid w:val="00663006"/>
    <w:rsid w:val="00663048"/>
    <w:rsid w:val="0066306A"/>
    <w:rsid w:val="006631EE"/>
    <w:rsid w:val="006632E8"/>
    <w:rsid w:val="0066338D"/>
    <w:rsid w:val="006633DF"/>
    <w:rsid w:val="00663423"/>
    <w:rsid w:val="006634CF"/>
    <w:rsid w:val="00663599"/>
    <w:rsid w:val="00663656"/>
    <w:rsid w:val="00663939"/>
    <w:rsid w:val="00663964"/>
    <w:rsid w:val="00663A24"/>
    <w:rsid w:val="00663C77"/>
    <w:rsid w:val="00663E13"/>
    <w:rsid w:val="00663EE2"/>
    <w:rsid w:val="00663F54"/>
    <w:rsid w:val="00664013"/>
    <w:rsid w:val="00664035"/>
    <w:rsid w:val="0066423E"/>
    <w:rsid w:val="0066437F"/>
    <w:rsid w:val="006643F5"/>
    <w:rsid w:val="006644AD"/>
    <w:rsid w:val="006646C7"/>
    <w:rsid w:val="0066473F"/>
    <w:rsid w:val="0066480F"/>
    <w:rsid w:val="00664841"/>
    <w:rsid w:val="00664863"/>
    <w:rsid w:val="006648AD"/>
    <w:rsid w:val="00664977"/>
    <w:rsid w:val="00664A1D"/>
    <w:rsid w:val="00664AA4"/>
    <w:rsid w:val="00664AA6"/>
    <w:rsid w:val="00664E49"/>
    <w:rsid w:val="00664E5C"/>
    <w:rsid w:val="00664E5D"/>
    <w:rsid w:val="00664F8F"/>
    <w:rsid w:val="006650C1"/>
    <w:rsid w:val="00665108"/>
    <w:rsid w:val="006651F5"/>
    <w:rsid w:val="0066539D"/>
    <w:rsid w:val="0066569D"/>
    <w:rsid w:val="006657D1"/>
    <w:rsid w:val="0066585D"/>
    <w:rsid w:val="0066589C"/>
    <w:rsid w:val="0066591E"/>
    <w:rsid w:val="00665A7F"/>
    <w:rsid w:val="00665B69"/>
    <w:rsid w:val="006660FC"/>
    <w:rsid w:val="006661E3"/>
    <w:rsid w:val="006662E5"/>
    <w:rsid w:val="006663F7"/>
    <w:rsid w:val="00666456"/>
    <w:rsid w:val="00666568"/>
    <w:rsid w:val="00666635"/>
    <w:rsid w:val="0066678A"/>
    <w:rsid w:val="0066679B"/>
    <w:rsid w:val="006667AC"/>
    <w:rsid w:val="00666A9E"/>
    <w:rsid w:val="00666AC0"/>
    <w:rsid w:val="00666EF6"/>
    <w:rsid w:val="00666F76"/>
    <w:rsid w:val="00666FCD"/>
    <w:rsid w:val="006670A1"/>
    <w:rsid w:val="00667385"/>
    <w:rsid w:val="0066745B"/>
    <w:rsid w:val="00667503"/>
    <w:rsid w:val="00667532"/>
    <w:rsid w:val="00667543"/>
    <w:rsid w:val="00667569"/>
    <w:rsid w:val="006675D5"/>
    <w:rsid w:val="00667849"/>
    <w:rsid w:val="0066789F"/>
    <w:rsid w:val="00667A4C"/>
    <w:rsid w:val="00667B93"/>
    <w:rsid w:val="00667BF2"/>
    <w:rsid w:val="00667C18"/>
    <w:rsid w:val="00667D3C"/>
    <w:rsid w:val="00667D65"/>
    <w:rsid w:val="00667D9B"/>
    <w:rsid w:val="00667EDD"/>
    <w:rsid w:val="006701B7"/>
    <w:rsid w:val="0067024D"/>
    <w:rsid w:val="0067026E"/>
    <w:rsid w:val="006702BE"/>
    <w:rsid w:val="0067030F"/>
    <w:rsid w:val="00670343"/>
    <w:rsid w:val="006703DF"/>
    <w:rsid w:val="00670410"/>
    <w:rsid w:val="00670591"/>
    <w:rsid w:val="00670827"/>
    <w:rsid w:val="006708C6"/>
    <w:rsid w:val="006708D8"/>
    <w:rsid w:val="00670993"/>
    <w:rsid w:val="00670CB3"/>
    <w:rsid w:val="00670D5C"/>
    <w:rsid w:val="00670EC7"/>
    <w:rsid w:val="00670F20"/>
    <w:rsid w:val="00670F2D"/>
    <w:rsid w:val="00670FE2"/>
    <w:rsid w:val="006710B0"/>
    <w:rsid w:val="0067136E"/>
    <w:rsid w:val="00671382"/>
    <w:rsid w:val="00671384"/>
    <w:rsid w:val="00671461"/>
    <w:rsid w:val="006714BB"/>
    <w:rsid w:val="00671527"/>
    <w:rsid w:val="006715B3"/>
    <w:rsid w:val="006716E8"/>
    <w:rsid w:val="00671ADA"/>
    <w:rsid w:val="00671BB2"/>
    <w:rsid w:val="00671D5B"/>
    <w:rsid w:val="00671D68"/>
    <w:rsid w:val="00671F8C"/>
    <w:rsid w:val="006720C4"/>
    <w:rsid w:val="00672107"/>
    <w:rsid w:val="006721DF"/>
    <w:rsid w:val="006722D2"/>
    <w:rsid w:val="006722E4"/>
    <w:rsid w:val="0067232A"/>
    <w:rsid w:val="0067232F"/>
    <w:rsid w:val="00672373"/>
    <w:rsid w:val="0067237A"/>
    <w:rsid w:val="006726AB"/>
    <w:rsid w:val="00672753"/>
    <w:rsid w:val="0067279D"/>
    <w:rsid w:val="0067281C"/>
    <w:rsid w:val="00672848"/>
    <w:rsid w:val="00672A30"/>
    <w:rsid w:val="00672B5D"/>
    <w:rsid w:val="00672B9B"/>
    <w:rsid w:val="00672C5E"/>
    <w:rsid w:val="00672C7C"/>
    <w:rsid w:val="00672D90"/>
    <w:rsid w:val="00672E21"/>
    <w:rsid w:val="00672EB7"/>
    <w:rsid w:val="00672FAA"/>
    <w:rsid w:val="00673040"/>
    <w:rsid w:val="0067319C"/>
    <w:rsid w:val="006731AC"/>
    <w:rsid w:val="006731DE"/>
    <w:rsid w:val="00673589"/>
    <w:rsid w:val="0067369A"/>
    <w:rsid w:val="00673715"/>
    <w:rsid w:val="00673792"/>
    <w:rsid w:val="0067392F"/>
    <w:rsid w:val="00673AEC"/>
    <w:rsid w:val="00673B49"/>
    <w:rsid w:val="00673BF4"/>
    <w:rsid w:val="00673EDA"/>
    <w:rsid w:val="00673FA1"/>
    <w:rsid w:val="00673FE3"/>
    <w:rsid w:val="006740F8"/>
    <w:rsid w:val="00674152"/>
    <w:rsid w:val="0067426C"/>
    <w:rsid w:val="006743D2"/>
    <w:rsid w:val="006743ED"/>
    <w:rsid w:val="0067441A"/>
    <w:rsid w:val="0067492B"/>
    <w:rsid w:val="00674C61"/>
    <w:rsid w:val="00674CC6"/>
    <w:rsid w:val="00674D5A"/>
    <w:rsid w:val="00674F56"/>
    <w:rsid w:val="00674F58"/>
    <w:rsid w:val="006750AC"/>
    <w:rsid w:val="00675299"/>
    <w:rsid w:val="006752DD"/>
    <w:rsid w:val="00675474"/>
    <w:rsid w:val="006754A8"/>
    <w:rsid w:val="006754AD"/>
    <w:rsid w:val="00675700"/>
    <w:rsid w:val="0067573F"/>
    <w:rsid w:val="00675761"/>
    <w:rsid w:val="00675888"/>
    <w:rsid w:val="00675A07"/>
    <w:rsid w:val="00675A74"/>
    <w:rsid w:val="00675A7B"/>
    <w:rsid w:val="00675D3F"/>
    <w:rsid w:val="00676080"/>
    <w:rsid w:val="0067611B"/>
    <w:rsid w:val="0067622C"/>
    <w:rsid w:val="0067628D"/>
    <w:rsid w:val="006762DC"/>
    <w:rsid w:val="0067631F"/>
    <w:rsid w:val="006763BC"/>
    <w:rsid w:val="00676862"/>
    <w:rsid w:val="006768B5"/>
    <w:rsid w:val="006768C2"/>
    <w:rsid w:val="006768CF"/>
    <w:rsid w:val="0067696D"/>
    <w:rsid w:val="006769C3"/>
    <w:rsid w:val="006769D2"/>
    <w:rsid w:val="00676BB2"/>
    <w:rsid w:val="00676EAC"/>
    <w:rsid w:val="00676F3B"/>
    <w:rsid w:val="006771D6"/>
    <w:rsid w:val="006772BB"/>
    <w:rsid w:val="006772D2"/>
    <w:rsid w:val="00677473"/>
    <w:rsid w:val="0067757D"/>
    <w:rsid w:val="0067759E"/>
    <w:rsid w:val="0067759F"/>
    <w:rsid w:val="006778F3"/>
    <w:rsid w:val="00677A33"/>
    <w:rsid w:val="00677AD8"/>
    <w:rsid w:val="00677D0A"/>
    <w:rsid w:val="00677D18"/>
    <w:rsid w:val="00677F66"/>
    <w:rsid w:val="0068000C"/>
    <w:rsid w:val="0068000F"/>
    <w:rsid w:val="0068001E"/>
    <w:rsid w:val="0068003C"/>
    <w:rsid w:val="0068009D"/>
    <w:rsid w:val="0068015D"/>
    <w:rsid w:val="006802E3"/>
    <w:rsid w:val="006803AC"/>
    <w:rsid w:val="006805DF"/>
    <w:rsid w:val="006808DA"/>
    <w:rsid w:val="0068094D"/>
    <w:rsid w:val="006809D5"/>
    <w:rsid w:val="00680AAB"/>
    <w:rsid w:val="00680B75"/>
    <w:rsid w:val="00680BC0"/>
    <w:rsid w:val="00680BC9"/>
    <w:rsid w:val="00681046"/>
    <w:rsid w:val="006810F8"/>
    <w:rsid w:val="00681193"/>
    <w:rsid w:val="0068127F"/>
    <w:rsid w:val="00681285"/>
    <w:rsid w:val="006812CE"/>
    <w:rsid w:val="0068144B"/>
    <w:rsid w:val="00681479"/>
    <w:rsid w:val="0068159A"/>
    <w:rsid w:val="006815FB"/>
    <w:rsid w:val="006815FF"/>
    <w:rsid w:val="00681762"/>
    <w:rsid w:val="0068192E"/>
    <w:rsid w:val="00681A51"/>
    <w:rsid w:val="00681AFA"/>
    <w:rsid w:val="00681B7A"/>
    <w:rsid w:val="00681B8F"/>
    <w:rsid w:val="00681DC8"/>
    <w:rsid w:val="0068209E"/>
    <w:rsid w:val="006820AE"/>
    <w:rsid w:val="00682249"/>
    <w:rsid w:val="0068224D"/>
    <w:rsid w:val="006823B3"/>
    <w:rsid w:val="006823F8"/>
    <w:rsid w:val="00682732"/>
    <w:rsid w:val="0068279F"/>
    <w:rsid w:val="006827A5"/>
    <w:rsid w:val="0068280E"/>
    <w:rsid w:val="006828C1"/>
    <w:rsid w:val="00682946"/>
    <w:rsid w:val="00682973"/>
    <w:rsid w:val="0068297D"/>
    <w:rsid w:val="006829AA"/>
    <w:rsid w:val="006829E9"/>
    <w:rsid w:val="00682B38"/>
    <w:rsid w:val="00682DEB"/>
    <w:rsid w:val="00682DF6"/>
    <w:rsid w:val="00682E20"/>
    <w:rsid w:val="00682EA2"/>
    <w:rsid w:val="00683004"/>
    <w:rsid w:val="00683033"/>
    <w:rsid w:val="006830FD"/>
    <w:rsid w:val="006832F7"/>
    <w:rsid w:val="0068333B"/>
    <w:rsid w:val="0068335F"/>
    <w:rsid w:val="0068356B"/>
    <w:rsid w:val="0068359F"/>
    <w:rsid w:val="0068376E"/>
    <w:rsid w:val="00683870"/>
    <w:rsid w:val="00683922"/>
    <w:rsid w:val="00683BA8"/>
    <w:rsid w:val="00683C49"/>
    <w:rsid w:val="00683C61"/>
    <w:rsid w:val="00683E5F"/>
    <w:rsid w:val="00683F44"/>
    <w:rsid w:val="00683FD9"/>
    <w:rsid w:val="00684016"/>
    <w:rsid w:val="006840A3"/>
    <w:rsid w:val="006840DD"/>
    <w:rsid w:val="00684119"/>
    <w:rsid w:val="00684168"/>
    <w:rsid w:val="006841C9"/>
    <w:rsid w:val="006841D3"/>
    <w:rsid w:val="006842D5"/>
    <w:rsid w:val="00684354"/>
    <w:rsid w:val="00684504"/>
    <w:rsid w:val="006845AC"/>
    <w:rsid w:val="0068467C"/>
    <w:rsid w:val="00684905"/>
    <w:rsid w:val="00684A7E"/>
    <w:rsid w:val="00684B82"/>
    <w:rsid w:val="00684C04"/>
    <w:rsid w:val="00684C3A"/>
    <w:rsid w:val="00684C78"/>
    <w:rsid w:val="00684CF2"/>
    <w:rsid w:val="00684CFE"/>
    <w:rsid w:val="00685118"/>
    <w:rsid w:val="00685143"/>
    <w:rsid w:val="0068530C"/>
    <w:rsid w:val="006853D2"/>
    <w:rsid w:val="006855ED"/>
    <w:rsid w:val="006857DD"/>
    <w:rsid w:val="006858FF"/>
    <w:rsid w:val="00685C3A"/>
    <w:rsid w:val="00685CF7"/>
    <w:rsid w:val="00685D35"/>
    <w:rsid w:val="00685DB6"/>
    <w:rsid w:val="00685DEC"/>
    <w:rsid w:val="00685FE4"/>
    <w:rsid w:val="006860B4"/>
    <w:rsid w:val="0068614C"/>
    <w:rsid w:val="00686165"/>
    <w:rsid w:val="00686216"/>
    <w:rsid w:val="006863D4"/>
    <w:rsid w:val="006864E5"/>
    <w:rsid w:val="006864E9"/>
    <w:rsid w:val="00686845"/>
    <w:rsid w:val="006868D6"/>
    <w:rsid w:val="00686BAD"/>
    <w:rsid w:val="00686E18"/>
    <w:rsid w:val="00686E43"/>
    <w:rsid w:val="00686EDB"/>
    <w:rsid w:val="00686F50"/>
    <w:rsid w:val="00687225"/>
    <w:rsid w:val="0068767A"/>
    <w:rsid w:val="00687785"/>
    <w:rsid w:val="00687942"/>
    <w:rsid w:val="0068796B"/>
    <w:rsid w:val="0068797A"/>
    <w:rsid w:val="00687A08"/>
    <w:rsid w:val="00687A7B"/>
    <w:rsid w:val="00687B02"/>
    <w:rsid w:val="00687CD0"/>
    <w:rsid w:val="00687E6C"/>
    <w:rsid w:val="00687E9B"/>
    <w:rsid w:val="00687EB6"/>
    <w:rsid w:val="00687F80"/>
    <w:rsid w:val="00687FDF"/>
    <w:rsid w:val="00690128"/>
    <w:rsid w:val="00690378"/>
    <w:rsid w:val="00690426"/>
    <w:rsid w:val="00690464"/>
    <w:rsid w:val="00690495"/>
    <w:rsid w:val="006905D5"/>
    <w:rsid w:val="006905EF"/>
    <w:rsid w:val="0069061B"/>
    <w:rsid w:val="006906B7"/>
    <w:rsid w:val="006906DF"/>
    <w:rsid w:val="00690736"/>
    <w:rsid w:val="00690872"/>
    <w:rsid w:val="006908EE"/>
    <w:rsid w:val="00690914"/>
    <w:rsid w:val="00690AD2"/>
    <w:rsid w:val="00690B3C"/>
    <w:rsid w:val="00690C06"/>
    <w:rsid w:val="00690D01"/>
    <w:rsid w:val="00690D7B"/>
    <w:rsid w:val="00690E74"/>
    <w:rsid w:val="00690F13"/>
    <w:rsid w:val="00690F66"/>
    <w:rsid w:val="0069104A"/>
    <w:rsid w:val="00691153"/>
    <w:rsid w:val="00691199"/>
    <w:rsid w:val="006911C2"/>
    <w:rsid w:val="00691267"/>
    <w:rsid w:val="006913C5"/>
    <w:rsid w:val="00691419"/>
    <w:rsid w:val="00691503"/>
    <w:rsid w:val="006915C8"/>
    <w:rsid w:val="0069199A"/>
    <w:rsid w:val="006919B7"/>
    <w:rsid w:val="00691AA1"/>
    <w:rsid w:val="00691C04"/>
    <w:rsid w:val="00691CB5"/>
    <w:rsid w:val="00691CE4"/>
    <w:rsid w:val="00691DBC"/>
    <w:rsid w:val="00691DC7"/>
    <w:rsid w:val="00691F66"/>
    <w:rsid w:val="00692185"/>
    <w:rsid w:val="00692255"/>
    <w:rsid w:val="006923DF"/>
    <w:rsid w:val="00692433"/>
    <w:rsid w:val="00692528"/>
    <w:rsid w:val="006926E5"/>
    <w:rsid w:val="00692713"/>
    <w:rsid w:val="00692979"/>
    <w:rsid w:val="00692A03"/>
    <w:rsid w:val="00692B30"/>
    <w:rsid w:val="00692CA2"/>
    <w:rsid w:val="00692EF3"/>
    <w:rsid w:val="00692F05"/>
    <w:rsid w:val="00693049"/>
    <w:rsid w:val="00693073"/>
    <w:rsid w:val="00693352"/>
    <w:rsid w:val="006933F0"/>
    <w:rsid w:val="00693509"/>
    <w:rsid w:val="006935BE"/>
    <w:rsid w:val="00693626"/>
    <w:rsid w:val="006936E9"/>
    <w:rsid w:val="00693759"/>
    <w:rsid w:val="00693908"/>
    <w:rsid w:val="00693D61"/>
    <w:rsid w:val="00693E3F"/>
    <w:rsid w:val="00693EB3"/>
    <w:rsid w:val="00693F68"/>
    <w:rsid w:val="00693FED"/>
    <w:rsid w:val="00694006"/>
    <w:rsid w:val="00694250"/>
    <w:rsid w:val="00694315"/>
    <w:rsid w:val="00694344"/>
    <w:rsid w:val="006943D6"/>
    <w:rsid w:val="006943E7"/>
    <w:rsid w:val="006943EB"/>
    <w:rsid w:val="0069441C"/>
    <w:rsid w:val="00694497"/>
    <w:rsid w:val="0069451A"/>
    <w:rsid w:val="006945A2"/>
    <w:rsid w:val="006947CE"/>
    <w:rsid w:val="006949F1"/>
    <w:rsid w:val="00694A4E"/>
    <w:rsid w:val="00694BDC"/>
    <w:rsid w:val="00694CB4"/>
    <w:rsid w:val="00694D9E"/>
    <w:rsid w:val="006950AF"/>
    <w:rsid w:val="00695144"/>
    <w:rsid w:val="00695198"/>
    <w:rsid w:val="006951DE"/>
    <w:rsid w:val="00695273"/>
    <w:rsid w:val="0069534A"/>
    <w:rsid w:val="00695390"/>
    <w:rsid w:val="006953D9"/>
    <w:rsid w:val="006953DB"/>
    <w:rsid w:val="006954B5"/>
    <w:rsid w:val="006954C1"/>
    <w:rsid w:val="00695504"/>
    <w:rsid w:val="006955AB"/>
    <w:rsid w:val="00695678"/>
    <w:rsid w:val="00695698"/>
    <w:rsid w:val="00695991"/>
    <w:rsid w:val="00695A8F"/>
    <w:rsid w:val="00695B37"/>
    <w:rsid w:val="00695C15"/>
    <w:rsid w:val="00695D7E"/>
    <w:rsid w:val="00695F11"/>
    <w:rsid w:val="00695F4C"/>
    <w:rsid w:val="00695FAF"/>
    <w:rsid w:val="00695FB2"/>
    <w:rsid w:val="0069614D"/>
    <w:rsid w:val="00696214"/>
    <w:rsid w:val="006962C0"/>
    <w:rsid w:val="006962CD"/>
    <w:rsid w:val="0069647F"/>
    <w:rsid w:val="0069665C"/>
    <w:rsid w:val="00696C68"/>
    <w:rsid w:val="00696D32"/>
    <w:rsid w:val="00696E6E"/>
    <w:rsid w:val="00696EB9"/>
    <w:rsid w:val="00696EE7"/>
    <w:rsid w:val="00696F2D"/>
    <w:rsid w:val="00696F4F"/>
    <w:rsid w:val="00697009"/>
    <w:rsid w:val="0069734C"/>
    <w:rsid w:val="0069736D"/>
    <w:rsid w:val="00697412"/>
    <w:rsid w:val="006974C5"/>
    <w:rsid w:val="00697746"/>
    <w:rsid w:val="0069790A"/>
    <w:rsid w:val="00697964"/>
    <w:rsid w:val="00697DC3"/>
    <w:rsid w:val="00697ED7"/>
    <w:rsid w:val="00697F0A"/>
    <w:rsid w:val="00697FB2"/>
    <w:rsid w:val="00697FEA"/>
    <w:rsid w:val="006A005F"/>
    <w:rsid w:val="006A0098"/>
    <w:rsid w:val="006A0173"/>
    <w:rsid w:val="006A0294"/>
    <w:rsid w:val="006A074E"/>
    <w:rsid w:val="006A0789"/>
    <w:rsid w:val="006A0A93"/>
    <w:rsid w:val="006A0C58"/>
    <w:rsid w:val="006A0DD1"/>
    <w:rsid w:val="006A0E3C"/>
    <w:rsid w:val="006A0F5A"/>
    <w:rsid w:val="006A1088"/>
    <w:rsid w:val="006A10BF"/>
    <w:rsid w:val="006A1127"/>
    <w:rsid w:val="006A117C"/>
    <w:rsid w:val="006A11D8"/>
    <w:rsid w:val="006A13C0"/>
    <w:rsid w:val="006A158A"/>
    <w:rsid w:val="006A15D6"/>
    <w:rsid w:val="006A1636"/>
    <w:rsid w:val="006A165F"/>
    <w:rsid w:val="006A16A0"/>
    <w:rsid w:val="006A16B2"/>
    <w:rsid w:val="006A1A0C"/>
    <w:rsid w:val="006A1AEE"/>
    <w:rsid w:val="006A1B3A"/>
    <w:rsid w:val="006A1C4D"/>
    <w:rsid w:val="006A1CCA"/>
    <w:rsid w:val="006A1E7A"/>
    <w:rsid w:val="006A1F39"/>
    <w:rsid w:val="006A1FAF"/>
    <w:rsid w:val="006A2091"/>
    <w:rsid w:val="006A21AC"/>
    <w:rsid w:val="006A21EE"/>
    <w:rsid w:val="006A224E"/>
    <w:rsid w:val="006A231D"/>
    <w:rsid w:val="006A234F"/>
    <w:rsid w:val="006A2497"/>
    <w:rsid w:val="006A24DB"/>
    <w:rsid w:val="006A253F"/>
    <w:rsid w:val="006A258D"/>
    <w:rsid w:val="006A2592"/>
    <w:rsid w:val="006A271B"/>
    <w:rsid w:val="006A2727"/>
    <w:rsid w:val="006A292F"/>
    <w:rsid w:val="006A2BF6"/>
    <w:rsid w:val="006A2D93"/>
    <w:rsid w:val="006A2F29"/>
    <w:rsid w:val="006A2FB9"/>
    <w:rsid w:val="006A30F7"/>
    <w:rsid w:val="006A3328"/>
    <w:rsid w:val="006A37A1"/>
    <w:rsid w:val="006A37F5"/>
    <w:rsid w:val="006A3816"/>
    <w:rsid w:val="006A38D8"/>
    <w:rsid w:val="006A397A"/>
    <w:rsid w:val="006A398F"/>
    <w:rsid w:val="006A3B39"/>
    <w:rsid w:val="006A3B7F"/>
    <w:rsid w:val="006A3BDC"/>
    <w:rsid w:val="006A3BF6"/>
    <w:rsid w:val="006A3EB1"/>
    <w:rsid w:val="006A4066"/>
    <w:rsid w:val="006A40CD"/>
    <w:rsid w:val="006A40DD"/>
    <w:rsid w:val="006A42A7"/>
    <w:rsid w:val="006A42FF"/>
    <w:rsid w:val="006A4323"/>
    <w:rsid w:val="006A4401"/>
    <w:rsid w:val="006A4491"/>
    <w:rsid w:val="006A44E6"/>
    <w:rsid w:val="006A451B"/>
    <w:rsid w:val="006A459A"/>
    <w:rsid w:val="006A45AD"/>
    <w:rsid w:val="006A46B4"/>
    <w:rsid w:val="006A46EB"/>
    <w:rsid w:val="006A47D3"/>
    <w:rsid w:val="006A482E"/>
    <w:rsid w:val="006A4A46"/>
    <w:rsid w:val="006A4AF8"/>
    <w:rsid w:val="006A4BA9"/>
    <w:rsid w:val="006A4C6B"/>
    <w:rsid w:val="006A4E3C"/>
    <w:rsid w:val="006A4F98"/>
    <w:rsid w:val="006A4F9D"/>
    <w:rsid w:val="006A4FDC"/>
    <w:rsid w:val="006A503A"/>
    <w:rsid w:val="006A525F"/>
    <w:rsid w:val="006A5312"/>
    <w:rsid w:val="006A5395"/>
    <w:rsid w:val="006A551F"/>
    <w:rsid w:val="006A5523"/>
    <w:rsid w:val="006A5534"/>
    <w:rsid w:val="006A5561"/>
    <w:rsid w:val="006A55ED"/>
    <w:rsid w:val="006A56AF"/>
    <w:rsid w:val="006A57AC"/>
    <w:rsid w:val="006A5803"/>
    <w:rsid w:val="006A5929"/>
    <w:rsid w:val="006A5975"/>
    <w:rsid w:val="006A59F9"/>
    <w:rsid w:val="006A5D18"/>
    <w:rsid w:val="006A5D3E"/>
    <w:rsid w:val="006A5DFF"/>
    <w:rsid w:val="006A5EA3"/>
    <w:rsid w:val="006A5F3E"/>
    <w:rsid w:val="006A607C"/>
    <w:rsid w:val="006A6106"/>
    <w:rsid w:val="006A6130"/>
    <w:rsid w:val="006A631C"/>
    <w:rsid w:val="006A6441"/>
    <w:rsid w:val="006A66D2"/>
    <w:rsid w:val="006A6781"/>
    <w:rsid w:val="006A67DF"/>
    <w:rsid w:val="006A6AC5"/>
    <w:rsid w:val="006A6C65"/>
    <w:rsid w:val="006A6D79"/>
    <w:rsid w:val="006A6FC5"/>
    <w:rsid w:val="006A702B"/>
    <w:rsid w:val="006A71F4"/>
    <w:rsid w:val="006A7364"/>
    <w:rsid w:val="006A746D"/>
    <w:rsid w:val="006A747D"/>
    <w:rsid w:val="006A767D"/>
    <w:rsid w:val="006A7750"/>
    <w:rsid w:val="006A7756"/>
    <w:rsid w:val="006A77DA"/>
    <w:rsid w:val="006A7864"/>
    <w:rsid w:val="006A7955"/>
    <w:rsid w:val="006A799A"/>
    <w:rsid w:val="006A7CC0"/>
    <w:rsid w:val="006A7D06"/>
    <w:rsid w:val="006B0044"/>
    <w:rsid w:val="006B00FF"/>
    <w:rsid w:val="006B01CB"/>
    <w:rsid w:val="006B0453"/>
    <w:rsid w:val="006B0457"/>
    <w:rsid w:val="006B067A"/>
    <w:rsid w:val="006B06BF"/>
    <w:rsid w:val="006B07A1"/>
    <w:rsid w:val="006B0AAC"/>
    <w:rsid w:val="006B0B54"/>
    <w:rsid w:val="006B0B67"/>
    <w:rsid w:val="006B0C1B"/>
    <w:rsid w:val="006B0D8A"/>
    <w:rsid w:val="006B0DA9"/>
    <w:rsid w:val="006B0E49"/>
    <w:rsid w:val="006B1074"/>
    <w:rsid w:val="006B10BA"/>
    <w:rsid w:val="006B11C7"/>
    <w:rsid w:val="006B11EC"/>
    <w:rsid w:val="006B1586"/>
    <w:rsid w:val="006B1616"/>
    <w:rsid w:val="006B1848"/>
    <w:rsid w:val="006B18FD"/>
    <w:rsid w:val="006B1BD2"/>
    <w:rsid w:val="006B211A"/>
    <w:rsid w:val="006B23C5"/>
    <w:rsid w:val="006B23DF"/>
    <w:rsid w:val="006B2457"/>
    <w:rsid w:val="006B248A"/>
    <w:rsid w:val="006B24E1"/>
    <w:rsid w:val="006B25AF"/>
    <w:rsid w:val="006B2774"/>
    <w:rsid w:val="006B2790"/>
    <w:rsid w:val="006B2957"/>
    <w:rsid w:val="006B2B3E"/>
    <w:rsid w:val="006B2CDE"/>
    <w:rsid w:val="006B2DAA"/>
    <w:rsid w:val="006B2DCF"/>
    <w:rsid w:val="006B2DE6"/>
    <w:rsid w:val="006B2F73"/>
    <w:rsid w:val="006B33D9"/>
    <w:rsid w:val="006B36A5"/>
    <w:rsid w:val="006B37A3"/>
    <w:rsid w:val="006B38FF"/>
    <w:rsid w:val="006B391E"/>
    <w:rsid w:val="006B39FA"/>
    <w:rsid w:val="006B3A2C"/>
    <w:rsid w:val="006B3A57"/>
    <w:rsid w:val="006B3A9E"/>
    <w:rsid w:val="006B3B9D"/>
    <w:rsid w:val="006B3C6C"/>
    <w:rsid w:val="006B3D52"/>
    <w:rsid w:val="006B3D53"/>
    <w:rsid w:val="006B3DA8"/>
    <w:rsid w:val="006B3E0F"/>
    <w:rsid w:val="006B3F8D"/>
    <w:rsid w:val="006B4064"/>
    <w:rsid w:val="006B409D"/>
    <w:rsid w:val="006B40C4"/>
    <w:rsid w:val="006B419E"/>
    <w:rsid w:val="006B41DD"/>
    <w:rsid w:val="006B41E1"/>
    <w:rsid w:val="006B41F8"/>
    <w:rsid w:val="006B4222"/>
    <w:rsid w:val="006B427A"/>
    <w:rsid w:val="006B435F"/>
    <w:rsid w:val="006B448F"/>
    <w:rsid w:val="006B44B0"/>
    <w:rsid w:val="006B44DD"/>
    <w:rsid w:val="006B46B7"/>
    <w:rsid w:val="006B474C"/>
    <w:rsid w:val="006B4A11"/>
    <w:rsid w:val="006B4A3A"/>
    <w:rsid w:val="006B4B41"/>
    <w:rsid w:val="006B4B82"/>
    <w:rsid w:val="006B4E0D"/>
    <w:rsid w:val="006B4E0F"/>
    <w:rsid w:val="006B4E11"/>
    <w:rsid w:val="006B50CD"/>
    <w:rsid w:val="006B525D"/>
    <w:rsid w:val="006B541E"/>
    <w:rsid w:val="006B55DD"/>
    <w:rsid w:val="006B567B"/>
    <w:rsid w:val="006B56E6"/>
    <w:rsid w:val="006B579B"/>
    <w:rsid w:val="006B57AA"/>
    <w:rsid w:val="006B58E7"/>
    <w:rsid w:val="006B5948"/>
    <w:rsid w:val="006B59C4"/>
    <w:rsid w:val="006B5A02"/>
    <w:rsid w:val="006B5A53"/>
    <w:rsid w:val="006B5A5E"/>
    <w:rsid w:val="006B5B40"/>
    <w:rsid w:val="006B5C93"/>
    <w:rsid w:val="006B5D4E"/>
    <w:rsid w:val="006B5DCD"/>
    <w:rsid w:val="006B5FAB"/>
    <w:rsid w:val="006B6076"/>
    <w:rsid w:val="006B61BF"/>
    <w:rsid w:val="006B6254"/>
    <w:rsid w:val="006B64EF"/>
    <w:rsid w:val="006B66E4"/>
    <w:rsid w:val="006B6A4C"/>
    <w:rsid w:val="006B6BB6"/>
    <w:rsid w:val="006B6BD1"/>
    <w:rsid w:val="006B6FB4"/>
    <w:rsid w:val="006B70BF"/>
    <w:rsid w:val="006B728B"/>
    <w:rsid w:val="006B72C9"/>
    <w:rsid w:val="006B72DD"/>
    <w:rsid w:val="006B7444"/>
    <w:rsid w:val="006B75D4"/>
    <w:rsid w:val="006B788D"/>
    <w:rsid w:val="006B7AD8"/>
    <w:rsid w:val="006B7AF1"/>
    <w:rsid w:val="006B7B46"/>
    <w:rsid w:val="006B7BE7"/>
    <w:rsid w:val="006B7BF8"/>
    <w:rsid w:val="006B7C04"/>
    <w:rsid w:val="006B7E80"/>
    <w:rsid w:val="006B7ECF"/>
    <w:rsid w:val="006B7F53"/>
    <w:rsid w:val="006B7FCA"/>
    <w:rsid w:val="006C00DD"/>
    <w:rsid w:val="006C0108"/>
    <w:rsid w:val="006C021D"/>
    <w:rsid w:val="006C0249"/>
    <w:rsid w:val="006C02A8"/>
    <w:rsid w:val="006C02EA"/>
    <w:rsid w:val="006C0395"/>
    <w:rsid w:val="006C03A7"/>
    <w:rsid w:val="006C0414"/>
    <w:rsid w:val="006C04EC"/>
    <w:rsid w:val="006C065F"/>
    <w:rsid w:val="006C07A3"/>
    <w:rsid w:val="006C08A5"/>
    <w:rsid w:val="006C0933"/>
    <w:rsid w:val="006C0A9F"/>
    <w:rsid w:val="006C0ADE"/>
    <w:rsid w:val="006C0BAF"/>
    <w:rsid w:val="006C0C4B"/>
    <w:rsid w:val="006C0D36"/>
    <w:rsid w:val="006C0E37"/>
    <w:rsid w:val="006C105E"/>
    <w:rsid w:val="006C113A"/>
    <w:rsid w:val="006C1255"/>
    <w:rsid w:val="006C12FF"/>
    <w:rsid w:val="006C1343"/>
    <w:rsid w:val="006C1474"/>
    <w:rsid w:val="006C15BD"/>
    <w:rsid w:val="006C1745"/>
    <w:rsid w:val="006C1892"/>
    <w:rsid w:val="006C18AF"/>
    <w:rsid w:val="006C1A7B"/>
    <w:rsid w:val="006C1AA5"/>
    <w:rsid w:val="006C1B86"/>
    <w:rsid w:val="006C1B9C"/>
    <w:rsid w:val="006C1B9D"/>
    <w:rsid w:val="006C1BD1"/>
    <w:rsid w:val="006C1BE4"/>
    <w:rsid w:val="006C1C55"/>
    <w:rsid w:val="006C1CC8"/>
    <w:rsid w:val="006C1EAC"/>
    <w:rsid w:val="006C1EB4"/>
    <w:rsid w:val="006C1FA7"/>
    <w:rsid w:val="006C2081"/>
    <w:rsid w:val="006C209C"/>
    <w:rsid w:val="006C21E4"/>
    <w:rsid w:val="006C2269"/>
    <w:rsid w:val="006C22AA"/>
    <w:rsid w:val="006C2719"/>
    <w:rsid w:val="006C278B"/>
    <w:rsid w:val="006C27D1"/>
    <w:rsid w:val="006C2862"/>
    <w:rsid w:val="006C29E9"/>
    <w:rsid w:val="006C2ACE"/>
    <w:rsid w:val="006C2B11"/>
    <w:rsid w:val="006C2B54"/>
    <w:rsid w:val="006C2BF3"/>
    <w:rsid w:val="006C2E51"/>
    <w:rsid w:val="006C2F7D"/>
    <w:rsid w:val="006C2FEA"/>
    <w:rsid w:val="006C32C9"/>
    <w:rsid w:val="006C348B"/>
    <w:rsid w:val="006C34A2"/>
    <w:rsid w:val="006C3817"/>
    <w:rsid w:val="006C383E"/>
    <w:rsid w:val="006C38E5"/>
    <w:rsid w:val="006C3914"/>
    <w:rsid w:val="006C39B7"/>
    <w:rsid w:val="006C3A1A"/>
    <w:rsid w:val="006C3A1F"/>
    <w:rsid w:val="006C3AEC"/>
    <w:rsid w:val="006C3B95"/>
    <w:rsid w:val="006C3C46"/>
    <w:rsid w:val="006C3DD2"/>
    <w:rsid w:val="006C3EF8"/>
    <w:rsid w:val="006C3F1D"/>
    <w:rsid w:val="006C3F26"/>
    <w:rsid w:val="006C4003"/>
    <w:rsid w:val="006C4030"/>
    <w:rsid w:val="006C4032"/>
    <w:rsid w:val="006C410B"/>
    <w:rsid w:val="006C4138"/>
    <w:rsid w:val="006C414F"/>
    <w:rsid w:val="006C4184"/>
    <w:rsid w:val="006C41B0"/>
    <w:rsid w:val="006C44FB"/>
    <w:rsid w:val="006C450D"/>
    <w:rsid w:val="006C45F4"/>
    <w:rsid w:val="006C46D4"/>
    <w:rsid w:val="006C46DE"/>
    <w:rsid w:val="006C4804"/>
    <w:rsid w:val="006C480D"/>
    <w:rsid w:val="006C4895"/>
    <w:rsid w:val="006C4A9E"/>
    <w:rsid w:val="006C4AD5"/>
    <w:rsid w:val="006C4B80"/>
    <w:rsid w:val="006C4BAA"/>
    <w:rsid w:val="006C4BE4"/>
    <w:rsid w:val="006C4C2C"/>
    <w:rsid w:val="006C4E28"/>
    <w:rsid w:val="006C4E5F"/>
    <w:rsid w:val="006C4E70"/>
    <w:rsid w:val="006C51A3"/>
    <w:rsid w:val="006C52F4"/>
    <w:rsid w:val="006C53E7"/>
    <w:rsid w:val="006C5628"/>
    <w:rsid w:val="006C5870"/>
    <w:rsid w:val="006C5920"/>
    <w:rsid w:val="006C5A4A"/>
    <w:rsid w:val="006C5B67"/>
    <w:rsid w:val="006C5B73"/>
    <w:rsid w:val="006C5BAB"/>
    <w:rsid w:val="006C5C13"/>
    <w:rsid w:val="006C5C63"/>
    <w:rsid w:val="006C5DD4"/>
    <w:rsid w:val="006C5E7C"/>
    <w:rsid w:val="006C5EE5"/>
    <w:rsid w:val="006C5F2F"/>
    <w:rsid w:val="006C6080"/>
    <w:rsid w:val="006C6194"/>
    <w:rsid w:val="006C61AA"/>
    <w:rsid w:val="006C645D"/>
    <w:rsid w:val="006C647A"/>
    <w:rsid w:val="006C64BF"/>
    <w:rsid w:val="006C65F2"/>
    <w:rsid w:val="006C66FF"/>
    <w:rsid w:val="006C6741"/>
    <w:rsid w:val="006C68E4"/>
    <w:rsid w:val="006C69B6"/>
    <w:rsid w:val="006C6BAF"/>
    <w:rsid w:val="006C6BC4"/>
    <w:rsid w:val="006C6C79"/>
    <w:rsid w:val="006C6EA3"/>
    <w:rsid w:val="006C6EA5"/>
    <w:rsid w:val="006C6EF8"/>
    <w:rsid w:val="006C6F79"/>
    <w:rsid w:val="006C72C2"/>
    <w:rsid w:val="006C72F0"/>
    <w:rsid w:val="006C7448"/>
    <w:rsid w:val="006C74DD"/>
    <w:rsid w:val="006C7504"/>
    <w:rsid w:val="006C7515"/>
    <w:rsid w:val="006C7599"/>
    <w:rsid w:val="006C76E0"/>
    <w:rsid w:val="006C78BF"/>
    <w:rsid w:val="006C78FE"/>
    <w:rsid w:val="006C7A73"/>
    <w:rsid w:val="006C7B6F"/>
    <w:rsid w:val="006C7BFB"/>
    <w:rsid w:val="006C7E69"/>
    <w:rsid w:val="006C7E74"/>
    <w:rsid w:val="006C7F35"/>
    <w:rsid w:val="006D02B5"/>
    <w:rsid w:val="006D02C3"/>
    <w:rsid w:val="006D0320"/>
    <w:rsid w:val="006D0340"/>
    <w:rsid w:val="006D039E"/>
    <w:rsid w:val="006D042C"/>
    <w:rsid w:val="006D0494"/>
    <w:rsid w:val="006D065A"/>
    <w:rsid w:val="006D069B"/>
    <w:rsid w:val="006D0709"/>
    <w:rsid w:val="006D094B"/>
    <w:rsid w:val="006D09CE"/>
    <w:rsid w:val="006D09DC"/>
    <w:rsid w:val="006D0A94"/>
    <w:rsid w:val="006D1056"/>
    <w:rsid w:val="006D1253"/>
    <w:rsid w:val="006D12BB"/>
    <w:rsid w:val="006D1364"/>
    <w:rsid w:val="006D13AC"/>
    <w:rsid w:val="006D140A"/>
    <w:rsid w:val="006D1537"/>
    <w:rsid w:val="006D15E2"/>
    <w:rsid w:val="006D161E"/>
    <w:rsid w:val="006D168B"/>
    <w:rsid w:val="006D16F1"/>
    <w:rsid w:val="006D1707"/>
    <w:rsid w:val="006D179B"/>
    <w:rsid w:val="006D18EC"/>
    <w:rsid w:val="006D1957"/>
    <w:rsid w:val="006D1989"/>
    <w:rsid w:val="006D199A"/>
    <w:rsid w:val="006D1AEB"/>
    <w:rsid w:val="006D1B7F"/>
    <w:rsid w:val="006D1C5A"/>
    <w:rsid w:val="006D1CC6"/>
    <w:rsid w:val="006D1D36"/>
    <w:rsid w:val="006D1DFA"/>
    <w:rsid w:val="006D1DFE"/>
    <w:rsid w:val="006D1E7C"/>
    <w:rsid w:val="006D21CD"/>
    <w:rsid w:val="006D2214"/>
    <w:rsid w:val="006D2299"/>
    <w:rsid w:val="006D2353"/>
    <w:rsid w:val="006D23A5"/>
    <w:rsid w:val="006D23E0"/>
    <w:rsid w:val="006D27CA"/>
    <w:rsid w:val="006D2A5D"/>
    <w:rsid w:val="006D2BB4"/>
    <w:rsid w:val="006D2C5C"/>
    <w:rsid w:val="006D2D10"/>
    <w:rsid w:val="006D2E08"/>
    <w:rsid w:val="006D2E8F"/>
    <w:rsid w:val="006D2EB1"/>
    <w:rsid w:val="006D2EFC"/>
    <w:rsid w:val="006D2F74"/>
    <w:rsid w:val="006D2FE7"/>
    <w:rsid w:val="006D31D3"/>
    <w:rsid w:val="006D3308"/>
    <w:rsid w:val="006D347C"/>
    <w:rsid w:val="006D367B"/>
    <w:rsid w:val="006D36B2"/>
    <w:rsid w:val="006D37F7"/>
    <w:rsid w:val="006D38D5"/>
    <w:rsid w:val="006D39A0"/>
    <w:rsid w:val="006D3A55"/>
    <w:rsid w:val="006D3AAA"/>
    <w:rsid w:val="006D3BAF"/>
    <w:rsid w:val="006D3D38"/>
    <w:rsid w:val="006D3D52"/>
    <w:rsid w:val="006D3ED1"/>
    <w:rsid w:val="006D3F3F"/>
    <w:rsid w:val="006D4027"/>
    <w:rsid w:val="006D4259"/>
    <w:rsid w:val="006D433E"/>
    <w:rsid w:val="006D435F"/>
    <w:rsid w:val="006D453F"/>
    <w:rsid w:val="006D4580"/>
    <w:rsid w:val="006D45E1"/>
    <w:rsid w:val="006D4AB9"/>
    <w:rsid w:val="006D4ABC"/>
    <w:rsid w:val="006D4BE8"/>
    <w:rsid w:val="006D4C1E"/>
    <w:rsid w:val="006D4C8F"/>
    <w:rsid w:val="006D4D50"/>
    <w:rsid w:val="006D4E7B"/>
    <w:rsid w:val="006D4EC3"/>
    <w:rsid w:val="006D4EE6"/>
    <w:rsid w:val="006D4FA3"/>
    <w:rsid w:val="006D503C"/>
    <w:rsid w:val="006D5155"/>
    <w:rsid w:val="006D51AD"/>
    <w:rsid w:val="006D51C5"/>
    <w:rsid w:val="006D51E5"/>
    <w:rsid w:val="006D5350"/>
    <w:rsid w:val="006D54CD"/>
    <w:rsid w:val="006D5703"/>
    <w:rsid w:val="006D5737"/>
    <w:rsid w:val="006D577D"/>
    <w:rsid w:val="006D5801"/>
    <w:rsid w:val="006D58E2"/>
    <w:rsid w:val="006D5947"/>
    <w:rsid w:val="006D5A5E"/>
    <w:rsid w:val="006D5ACF"/>
    <w:rsid w:val="006D5B7C"/>
    <w:rsid w:val="006D5BF3"/>
    <w:rsid w:val="006D5CFB"/>
    <w:rsid w:val="006D5D12"/>
    <w:rsid w:val="006D5DFA"/>
    <w:rsid w:val="006D5E8F"/>
    <w:rsid w:val="006D5ECF"/>
    <w:rsid w:val="006D5EE1"/>
    <w:rsid w:val="006D608D"/>
    <w:rsid w:val="006D629A"/>
    <w:rsid w:val="006D6366"/>
    <w:rsid w:val="006D6370"/>
    <w:rsid w:val="006D6768"/>
    <w:rsid w:val="006D686A"/>
    <w:rsid w:val="006D6AFE"/>
    <w:rsid w:val="006D6BAE"/>
    <w:rsid w:val="006D6E66"/>
    <w:rsid w:val="006D6E89"/>
    <w:rsid w:val="006D6F62"/>
    <w:rsid w:val="006D7059"/>
    <w:rsid w:val="006D7248"/>
    <w:rsid w:val="006D72A6"/>
    <w:rsid w:val="006D73A2"/>
    <w:rsid w:val="006D744C"/>
    <w:rsid w:val="006D7761"/>
    <w:rsid w:val="006D796E"/>
    <w:rsid w:val="006D7989"/>
    <w:rsid w:val="006D7C1A"/>
    <w:rsid w:val="006D7CD3"/>
    <w:rsid w:val="006D7CE9"/>
    <w:rsid w:val="006D7CF8"/>
    <w:rsid w:val="006D7E56"/>
    <w:rsid w:val="006D7EE5"/>
    <w:rsid w:val="006D7F6A"/>
    <w:rsid w:val="006D7F7F"/>
    <w:rsid w:val="006E00D8"/>
    <w:rsid w:val="006E014D"/>
    <w:rsid w:val="006E017F"/>
    <w:rsid w:val="006E0191"/>
    <w:rsid w:val="006E01A3"/>
    <w:rsid w:val="006E01D8"/>
    <w:rsid w:val="006E0207"/>
    <w:rsid w:val="006E02BD"/>
    <w:rsid w:val="006E04AC"/>
    <w:rsid w:val="006E0596"/>
    <w:rsid w:val="006E05EB"/>
    <w:rsid w:val="006E063E"/>
    <w:rsid w:val="006E073B"/>
    <w:rsid w:val="006E0770"/>
    <w:rsid w:val="006E0816"/>
    <w:rsid w:val="006E082A"/>
    <w:rsid w:val="006E0869"/>
    <w:rsid w:val="006E086B"/>
    <w:rsid w:val="006E08D0"/>
    <w:rsid w:val="006E08E0"/>
    <w:rsid w:val="006E0982"/>
    <w:rsid w:val="006E0A5A"/>
    <w:rsid w:val="006E0B16"/>
    <w:rsid w:val="006E0D0A"/>
    <w:rsid w:val="006E0D62"/>
    <w:rsid w:val="006E0F3E"/>
    <w:rsid w:val="006E1027"/>
    <w:rsid w:val="006E152B"/>
    <w:rsid w:val="006E1536"/>
    <w:rsid w:val="006E1A93"/>
    <w:rsid w:val="006E1C0C"/>
    <w:rsid w:val="006E230B"/>
    <w:rsid w:val="006E232E"/>
    <w:rsid w:val="006E234D"/>
    <w:rsid w:val="006E2516"/>
    <w:rsid w:val="006E25CC"/>
    <w:rsid w:val="006E25CD"/>
    <w:rsid w:val="006E267F"/>
    <w:rsid w:val="006E2909"/>
    <w:rsid w:val="006E294C"/>
    <w:rsid w:val="006E29F6"/>
    <w:rsid w:val="006E2A18"/>
    <w:rsid w:val="006E2B86"/>
    <w:rsid w:val="006E2D2A"/>
    <w:rsid w:val="006E2D46"/>
    <w:rsid w:val="006E2D93"/>
    <w:rsid w:val="006E2E00"/>
    <w:rsid w:val="006E2E1D"/>
    <w:rsid w:val="006E30D2"/>
    <w:rsid w:val="006E30FC"/>
    <w:rsid w:val="006E31B2"/>
    <w:rsid w:val="006E3269"/>
    <w:rsid w:val="006E3283"/>
    <w:rsid w:val="006E32FB"/>
    <w:rsid w:val="006E3334"/>
    <w:rsid w:val="006E348F"/>
    <w:rsid w:val="006E368F"/>
    <w:rsid w:val="006E3847"/>
    <w:rsid w:val="006E3855"/>
    <w:rsid w:val="006E392F"/>
    <w:rsid w:val="006E3AD6"/>
    <w:rsid w:val="006E3CB4"/>
    <w:rsid w:val="006E3CC3"/>
    <w:rsid w:val="006E3E5A"/>
    <w:rsid w:val="006E40CB"/>
    <w:rsid w:val="006E41F2"/>
    <w:rsid w:val="006E4246"/>
    <w:rsid w:val="006E4259"/>
    <w:rsid w:val="006E4274"/>
    <w:rsid w:val="006E42F8"/>
    <w:rsid w:val="006E460B"/>
    <w:rsid w:val="006E464E"/>
    <w:rsid w:val="006E46EF"/>
    <w:rsid w:val="006E47ED"/>
    <w:rsid w:val="006E4C1B"/>
    <w:rsid w:val="006E4D43"/>
    <w:rsid w:val="006E4D98"/>
    <w:rsid w:val="006E4FB4"/>
    <w:rsid w:val="006E4FD5"/>
    <w:rsid w:val="006E5369"/>
    <w:rsid w:val="006E5391"/>
    <w:rsid w:val="006E5615"/>
    <w:rsid w:val="006E562B"/>
    <w:rsid w:val="006E567D"/>
    <w:rsid w:val="006E56CA"/>
    <w:rsid w:val="006E5734"/>
    <w:rsid w:val="006E58E6"/>
    <w:rsid w:val="006E5C71"/>
    <w:rsid w:val="006E5CA9"/>
    <w:rsid w:val="006E5D30"/>
    <w:rsid w:val="006E5ECE"/>
    <w:rsid w:val="006E5F08"/>
    <w:rsid w:val="006E5F15"/>
    <w:rsid w:val="006E60C5"/>
    <w:rsid w:val="006E60C8"/>
    <w:rsid w:val="006E60C9"/>
    <w:rsid w:val="006E60F8"/>
    <w:rsid w:val="006E612E"/>
    <w:rsid w:val="006E61DC"/>
    <w:rsid w:val="006E6447"/>
    <w:rsid w:val="006E6449"/>
    <w:rsid w:val="006E6625"/>
    <w:rsid w:val="006E6769"/>
    <w:rsid w:val="006E687B"/>
    <w:rsid w:val="006E689C"/>
    <w:rsid w:val="006E698A"/>
    <w:rsid w:val="006E6A52"/>
    <w:rsid w:val="006E6B0D"/>
    <w:rsid w:val="006E6B31"/>
    <w:rsid w:val="006E6BFC"/>
    <w:rsid w:val="006E6C26"/>
    <w:rsid w:val="006E6C59"/>
    <w:rsid w:val="006E7228"/>
    <w:rsid w:val="006E7237"/>
    <w:rsid w:val="006E733E"/>
    <w:rsid w:val="006E7391"/>
    <w:rsid w:val="006E742C"/>
    <w:rsid w:val="006E765B"/>
    <w:rsid w:val="006E789A"/>
    <w:rsid w:val="006E7966"/>
    <w:rsid w:val="006E798F"/>
    <w:rsid w:val="006E799C"/>
    <w:rsid w:val="006E7A35"/>
    <w:rsid w:val="006E7B69"/>
    <w:rsid w:val="006E7B6B"/>
    <w:rsid w:val="006E7BD0"/>
    <w:rsid w:val="006E7C10"/>
    <w:rsid w:val="006E7CA7"/>
    <w:rsid w:val="006E7CB7"/>
    <w:rsid w:val="006E7CD3"/>
    <w:rsid w:val="006E7E0C"/>
    <w:rsid w:val="006E7E46"/>
    <w:rsid w:val="006E7F49"/>
    <w:rsid w:val="006F0041"/>
    <w:rsid w:val="006F0146"/>
    <w:rsid w:val="006F0250"/>
    <w:rsid w:val="006F02A5"/>
    <w:rsid w:val="006F0379"/>
    <w:rsid w:val="006F03B3"/>
    <w:rsid w:val="006F059C"/>
    <w:rsid w:val="006F07D5"/>
    <w:rsid w:val="006F08AC"/>
    <w:rsid w:val="006F0904"/>
    <w:rsid w:val="006F0A84"/>
    <w:rsid w:val="006F0C0B"/>
    <w:rsid w:val="006F0C11"/>
    <w:rsid w:val="006F0C33"/>
    <w:rsid w:val="006F0D73"/>
    <w:rsid w:val="006F0DA0"/>
    <w:rsid w:val="006F0E1D"/>
    <w:rsid w:val="006F0F51"/>
    <w:rsid w:val="006F1026"/>
    <w:rsid w:val="006F1035"/>
    <w:rsid w:val="006F115E"/>
    <w:rsid w:val="006F1233"/>
    <w:rsid w:val="006F132D"/>
    <w:rsid w:val="006F1469"/>
    <w:rsid w:val="006F15E6"/>
    <w:rsid w:val="006F18D2"/>
    <w:rsid w:val="006F1B72"/>
    <w:rsid w:val="006F1BBD"/>
    <w:rsid w:val="006F1D0C"/>
    <w:rsid w:val="006F1E64"/>
    <w:rsid w:val="006F1F0D"/>
    <w:rsid w:val="006F2162"/>
    <w:rsid w:val="006F22A1"/>
    <w:rsid w:val="006F246C"/>
    <w:rsid w:val="006F24E7"/>
    <w:rsid w:val="006F256F"/>
    <w:rsid w:val="006F25E1"/>
    <w:rsid w:val="006F26F5"/>
    <w:rsid w:val="006F27DD"/>
    <w:rsid w:val="006F2893"/>
    <w:rsid w:val="006F289A"/>
    <w:rsid w:val="006F2925"/>
    <w:rsid w:val="006F29BC"/>
    <w:rsid w:val="006F2A4E"/>
    <w:rsid w:val="006F2D29"/>
    <w:rsid w:val="006F2DC1"/>
    <w:rsid w:val="006F2ED1"/>
    <w:rsid w:val="006F30A4"/>
    <w:rsid w:val="006F30FC"/>
    <w:rsid w:val="006F311A"/>
    <w:rsid w:val="006F31B1"/>
    <w:rsid w:val="006F31FC"/>
    <w:rsid w:val="006F32B4"/>
    <w:rsid w:val="006F32C3"/>
    <w:rsid w:val="006F32E8"/>
    <w:rsid w:val="006F3323"/>
    <w:rsid w:val="006F3425"/>
    <w:rsid w:val="006F3497"/>
    <w:rsid w:val="006F359B"/>
    <w:rsid w:val="006F368B"/>
    <w:rsid w:val="006F376F"/>
    <w:rsid w:val="006F38AD"/>
    <w:rsid w:val="006F3906"/>
    <w:rsid w:val="006F395D"/>
    <w:rsid w:val="006F396B"/>
    <w:rsid w:val="006F3992"/>
    <w:rsid w:val="006F3A0A"/>
    <w:rsid w:val="006F3A3C"/>
    <w:rsid w:val="006F3A3E"/>
    <w:rsid w:val="006F3A83"/>
    <w:rsid w:val="006F3E0B"/>
    <w:rsid w:val="006F3E29"/>
    <w:rsid w:val="006F3E6C"/>
    <w:rsid w:val="006F3EC6"/>
    <w:rsid w:val="006F3EE8"/>
    <w:rsid w:val="006F3F4A"/>
    <w:rsid w:val="006F3FC6"/>
    <w:rsid w:val="006F4122"/>
    <w:rsid w:val="006F43CB"/>
    <w:rsid w:val="006F448D"/>
    <w:rsid w:val="006F454B"/>
    <w:rsid w:val="006F45B1"/>
    <w:rsid w:val="006F46BC"/>
    <w:rsid w:val="006F47F8"/>
    <w:rsid w:val="006F4925"/>
    <w:rsid w:val="006F4B02"/>
    <w:rsid w:val="006F4B4B"/>
    <w:rsid w:val="006F4D49"/>
    <w:rsid w:val="006F4ED0"/>
    <w:rsid w:val="006F4EFA"/>
    <w:rsid w:val="006F4F30"/>
    <w:rsid w:val="006F524D"/>
    <w:rsid w:val="006F545D"/>
    <w:rsid w:val="006F5572"/>
    <w:rsid w:val="006F5623"/>
    <w:rsid w:val="006F5704"/>
    <w:rsid w:val="006F5791"/>
    <w:rsid w:val="006F5A3D"/>
    <w:rsid w:val="006F5B2E"/>
    <w:rsid w:val="006F5B4A"/>
    <w:rsid w:val="006F5BB5"/>
    <w:rsid w:val="006F5BC6"/>
    <w:rsid w:val="006F5C07"/>
    <w:rsid w:val="006F5C1C"/>
    <w:rsid w:val="006F5EA3"/>
    <w:rsid w:val="006F5EDC"/>
    <w:rsid w:val="006F5F49"/>
    <w:rsid w:val="006F5FAE"/>
    <w:rsid w:val="006F6049"/>
    <w:rsid w:val="006F60C0"/>
    <w:rsid w:val="006F6145"/>
    <w:rsid w:val="006F629E"/>
    <w:rsid w:val="006F645B"/>
    <w:rsid w:val="006F646A"/>
    <w:rsid w:val="006F64CC"/>
    <w:rsid w:val="006F6508"/>
    <w:rsid w:val="006F6A19"/>
    <w:rsid w:val="006F6AC3"/>
    <w:rsid w:val="006F6B57"/>
    <w:rsid w:val="006F6CAE"/>
    <w:rsid w:val="006F72DE"/>
    <w:rsid w:val="006F730D"/>
    <w:rsid w:val="006F760D"/>
    <w:rsid w:val="006F7642"/>
    <w:rsid w:val="006F769F"/>
    <w:rsid w:val="006F76E0"/>
    <w:rsid w:val="006F76E1"/>
    <w:rsid w:val="006F7735"/>
    <w:rsid w:val="006F77C4"/>
    <w:rsid w:val="006F77DC"/>
    <w:rsid w:val="006F795F"/>
    <w:rsid w:val="006F79BA"/>
    <w:rsid w:val="006F7E52"/>
    <w:rsid w:val="006F7EBE"/>
    <w:rsid w:val="006F7EC9"/>
    <w:rsid w:val="006F7F3A"/>
    <w:rsid w:val="0070004D"/>
    <w:rsid w:val="00700062"/>
    <w:rsid w:val="00700164"/>
    <w:rsid w:val="007001E9"/>
    <w:rsid w:val="0070032D"/>
    <w:rsid w:val="00700404"/>
    <w:rsid w:val="007006EE"/>
    <w:rsid w:val="00700726"/>
    <w:rsid w:val="0070079B"/>
    <w:rsid w:val="00700806"/>
    <w:rsid w:val="00700863"/>
    <w:rsid w:val="0070086E"/>
    <w:rsid w:val="007008F7"/>
    <w:rsid w:val="00700B1F"/>
    <w:rsid w:val="00700E37"/>
    <w:rsid w:val="00701281"/>
    <w:rsid w:val="007012D7"/>
    <w:rsid w:val="007012FE"/>
    <w:rsid w:val="0070132C"/>
    <w:rsid w:val="007014F3"/>
    <w:rsid w:val="0070154E"/>
    <w:rsid w:val="007016DE"/>
    <w:rsid w:val="00701792"/>
    <w:rsid w:val="00701858"/>
    <w:rsid w:val="00701894"/>
    <w:rsid w:val="007019B7"/>
    <w:rsid w:val="00701A2D"/>
    <w:rsid w:val="00701C1B"/>
    <w:rsid w:val="00701C3E"/>
    <w:rsid w:val="00701CCD"/>
    <w:rsid w:val="00701D93"/>
    <w:rsid w:val="00701DB3"/>
    <w:rsid w:val="00701E16"/>
    <w:rsid w:val="00701F06"/>
    <w:rsid w:val="00702121"/>
    <w:rsid w:val="00702224"/>
    <w:rsid w:val="00702360"/>
    <w:rsid w:val="007023C7"/>
    <w:rsid w:val="00702597"/>
    <w:rsid w:val="007025D9"/>
    <w:rsid w:val="0070261D"/>
    <w:rsid w:val="00702853"/>
    <w:rsid w:val="007028EB"/>
    <w:rsid w:val="00702950"/>
    <w:rsid w:val="007029FB"/>
    <w:rsid w:val="00702AA6"/>
    <w:rsid w:val="00702C6E"/>
    <w:rsid w:val="00702FC7"/>
    <w:rsid w:val="00702FFC"/>
    <w:rsid w:val="0070307C"/>
    <w:rsid w:val="007030BC"/>
    <w:rsid w:val="007030D4"/>
    <w:rsid w:val="00703366"/>
    <w:rsid w:val="00703410"/>
    <w:rsid w:val="00703411"/>
    <w:rsid w:val="00703692"/>
    <w:rsid w:val="00703709"/>
    <w:rsid w:val="0070378A"/>
    <w:rsid w:val="00703849"/>
    <w:rsid w:val="0070388A"/>
    <w:rsid w:val="0070398B"/>
    <w:rsid w:val="00703A75"/>
    <w:rsid w:val="00703B46"/>
    <w:rsid w:val="00703BA4"/>
    <w:rsid w:val="00703BEF"/>
    <w:rsid w:val="00703D6A"/>
    <w:rsid w:val="00703DA3"/>
    <w:rsid w:val="00703EA4"/>
    <w:rsid w:val="00703EE5"/>
    <w:rsid w:val="00703F20"/>
    <w:rsid w:val="00703F2E"/>
    <w:rsid w:val="00703F90"/>
    <w:rsid w:val="00703FC6"/>
    <w:rsid w:val="007040D9"/>
    <w:rsid w:val="007041E9"/>
    <w:rsid w:val="0070432A"/>
    <w:rsid w:val="007043F4"/>
    <w:rsid w:val="00704475"/>
    <w:rsid w:val="00704480"/>
    <w:rsid w:val="00704937"/>
    <w:rsid w:val="00704A1A"/>
    <w:rsid w:val="00704ACE"/>
    <w:rsid w:val="00704C63"/>
    <w:rsid w:val="00704D69"/>
    <w:rsid w:val="00704D6B"/>
    <w:rsid w:val="00704E58"/>
    <w:rsid w:val="00704F44"/>
    <w:rsid w:val="00704F7C"/>
    <w:rsid w:val="00705108"/>
    <w:rsid w:val="0070524F"/>
    <w:rsid w:val="0070540F"/>
    <w:rsid w:val="0070552C"/>
    <w:rsid w:val="0070554F"/>
    <w:rsid w:val="007055AC"/>
    <w:rsid w:val="00705681"/>
    <w:rsid w:val="007056DD"/>
    <w:rsid w:val="00705750"/>
    <w:rsid w:val="00705959"/>
    <w:rsid w:val="00705D5B"/>
    <w:rsid w:val="00705E0A"/>
    <w:rsid w:val="00705E97"/>
    <w:rsid w:val="00705EB6"/>
    <w:rsid w:val="00705EDB"/>
    <w:rsid w:val="00705F0A"/>
    <w:rsid w:val="0070619F"/>
    <w:rsid w:val="007063CF"/>
    <w:rsid w:val="007063DE"/>
    <w:rsid w:val="00706484"/>
    <w:rsid w:val="007066D8"/>
    <w:rsid w:val="00706740"/>
    <w:rsid w:val="007067B5"/>
    <w:rsid w:val="00706D0F"/>
    <w:rsid w:val="00706E8E"/>
    <w:rsid w:val="00706FE1"/>
    <w:rsid w:val="00707514"/>
    <w:rsid w:val="007078D4"/>
    <w:rsid w:val="0070794B"/>
    <w:rsid w:val="0070798D"/>
    <w:rsid w:val="007079AB"/>
    <w:rsid w:val="00707DF0"/>
    <w:rsid w:val="00707DF7"/>
    <w:rsid w:val="00707E62"/>
    <w:rsid w:val="00707F37"/>
    <w:rsid w:val="00707F44"/>
    <w:rsid w:val="00710022"/>
    <w:rsid w:val="0071007A"/>
    <w:rsid w:val="007100A1"/>
    <w:rsid w:val="0071029E"/>
    <w:rsid w:val="007103E9"/>
    <w:rsid w:val="00710659"/>
    <w:rsid w:val="00710682"/>
    <w:rsid w:val="0071078B"/>
    <w:rsid w:val="007108D5"/>
    <w:rsid w:val="00710B03"/>
    <w:rsid w:val="00710B6B"/>
    <w:rsid w:val="00710C09"/>
    <w:rsid w:val="00710D0B"/>
    <w:rsid w:val="00710D4C"/>
    <w:rsid w:val="00710E3A"/>
    <w:rsid w:val="0071110E"/>
    <w:rsid w:val="007112F7"/>
    <w:rsid w:val="0071134E"/>
    <w:rsid w:val="007114E0"/>
    <w:rsid w:val="00711541"/>
    <w:rsid w:val="007115D7"/>
    <w:rsid w:val="0071173B"/>
    <w:rsid w:val="0071191C"/>
    <w:rsid w:val="00711B3A"/>
    <w:rsid w:val="00711BA7"/>
    <w:rsid w:val="00711F51"/>
    <w:rsid w:val="00711FBE"/>
    <w:rsid w:val="00711FD4"/>
    <w:rsid w:val="00712073"/>
    <w:rsid w:val="00712091"/>
    <w:rsid w:val="007120A0"/>
    <w:rsid w:val="0071228F"/>
    <w:rsid w:val="0071229C"/>
    <w:rsid w:val="007123CD"/>
    <w:rsid w:val="00712427"/>
    <w:rsid w:val="007124CB"/>
    <w:rsid w:val="007124DA"/>
    <w:rsid w:val="0071251C"/>
    <w:rsid w:val="007125F6"/>
    <w:rsid w:val="007127CF"/>
    <w:rsid w:val="00712829"/>
    <w:rsid w:val="00712947"/>
    <w:rsid w:val="007129B5"/>
    <w:rsid w:val="00712A52"/>
    <w:rsid w:val="00712BA0"/>
    <w:rsid w:val="00712C49"/>
    <w:rsid w:val="00712D0A"/>
    <w:rsid w:val="00712D3D"/>
    <w:rsid w:val="00712D82"/>
    <w:rsid w:val="00712DFC"/>
    <w:rsid w:val="00712F5F"/>
    <w:rsid w:val="00712F69"/>
    <w:rsid w:val="007130B1"/>
    <w:rsid w:val="00713182"/>
    <w:rsid w:val="007133EF"/>
    <w:rsid w:val="007136B6"/>
    <w:rsid w:val="007137AD"/>
    <w:rsid w:val="007137B2"/>
    <w:rsid w:val="007139A9"/>
    <w:rsid w:val="00713A18"/>
    <w:rsid w:val="00713BF9"/>
    <w:rsid w:val="00713C68"/>
    <w:rsid w:val="00713C8A"/>
    <w:rsid w:val="00713D02"/>
    <w:rsid w:val="00713E0E"/>
    <w:rsid w:val="00713F94"/>
    <w:rsid w:val="00714123"/>
    <w:rsid w:val="007141A7"/>
    <w:rsid w:val="007145A7"/>
    <w:rsid w:val="007145CF"/>
    <w:rsid w:val="007145D8"/>
    <w:rsid w:val="007148E9"/>
    <w:rsid w:val="00714ABC"/>
    <w:rsid w:val="00714B5E"/>
    <w:rsid w:val="00714BA2"/>
    <w:rsid w:val="00714BEC"/>
    <w:rsid w:val="00714BF0"/>
    <w:rsid w:val="00714D5B"/>
    <w:rsid w:val="00714DF6"/>
    <w:rsid w:val="00714E40"/>
    <w:rsid w:val="00714F96"/>
    <w:rsid w:val="00714F9F"/>
    <w:rsid w:val="0071514F"/>
    <w:rsid w:val="00715344"/>
    <w:rsid w:val="007153E2"/>
    <w:rsid w:val="0071542C"/>
    <w:rsid w:val="00715435"/>
    <w:rsid w:val="00715436"/>
    <w:rsid w:val="0071554A"/>
    <w:rsid w:val="007155AD"/>
    <w:rsid w:val="007155CE"/>
    <w:rsid w:val="007159A9"/>
    <w:rsid w:val="00715A29"/>
    <w:rsid w:val="00715AD5"/>
    <w:rsid w:val="00715B82"/>
    <w:rsid w:val="00715E5F"/>
    <w:rsid w:val="00715EF1"/>
    <w:rsid w:val="00716007"/>
    <w:rsid w:val="007160F4"/>
    <w:rsid w:val="007161D3"/>
    <w:rsid w:val="0071622C"/>
    <w:rsid w:val="00716230"/>
    <w:rsid w:val="007164F2"/>
    <w:rsid w:val="00716619"/>
    <w:rsid w:val="007166DF"/>
    <w:rsid w:val="00716728"/>
    <w:rsid w:val="007168E7"/>
    <w:rsid w:val="00716956"/>
    <w:rsid w:val="00716A40"/>
    <w:rsid w:val="00716A55"/>
    <w:rsid w:val="00716B06"/>
    <w:rsid w:val="00716BA8"/>
    <w:rsid w:val="00716C7B"/>
    <w:rsid w:val="00716D14"/>
    <w:rsid w:val="00716EA6"/>
    <w:rsid w:val="00716FBB"/>
    <w:rsid w:val="007173BF"/>
    <w:rsid w:val="00717456"/>
    <w:rsid w:val="00717551"/>
    <w:rsid w:val="0071762F"/>
    <w:rsid w:val="00717796"/>
    <w:rsid w:val="007178D9"/>
    <w:rsid w:val="007179F8"/>
    <w:rsid w:val="00717A6E"/>
    <w:rsid w:val="00717AE2"/>
    <w:rsid w:val="00717D18"/>
    <w:rsid w:val="00717E14"/>
    <w:rsid w:val="00717E5C"/>
    <w:rsid w:val="00717E62"/>
    <w:rsid w:val="00717FC4"/>
    <w:rsid w:val="0072005F"/>
    <w:rsid w:val="00720078"/>
    <w:rsid w:val="00720179"/>
    <w:rsid w:val="007201D9"/>
    <w:rsid w:val="007202D9"/>
    <w:rsid w:val="00720323"/>
    <w:rsid w:val="007203ED"/>
    <w:rsid w:val="0072041C"/>
    <w:rsid w:val="00720592"/>
    <w:rsid w:val="00720699"/>
    <w:rsid w:val="007206D1"/>
    <w:rsid w:val="007206D9"/>
    <w:rsid w:val="0072084C"/>
    <w:rsid w:val="00720892"/>
    <w:rsid w:val="00720C83"/>
    <w:rsid w:val="00720CD0"/>
    <w:rsid w:val="00720DF8"/>
    <w:rsid w:val="00720E78"/>
    <w:rsid w:val="00720E94"/>
    <w:rsid w:val="00720E9C"/>
    <w:rsid w:val="00720EDD"/>
    <w:rsid w:val="00720FBF"/>
    <w:rsid w:val="00721004"/>
    <w:rsid w:val="0072109E"/>
    <w:rsid w:val="0072125F"/>
    <w:rsid w:val="0072128D"/>
    <w:rsid w:val="007213DA"/>
    <w:rsid w:val="007213F3"/>
    <w:rsid w:val="0072159D"/>
    <w:rsid w:val="007215B8"/>
    <w:rsid w:val="00721666"/>
    <w:rsid w:val="0072166C"/>
    <w:rsid w:val="007216AE"/>
    <w:rsid w:val="00721743"/>
    <w:rsid w:val="00721870"/>
    <w:rsid w:val="00721895"/>
    <w:rsid w:val="007218AD"/>
    <w:rsid w:val="00721957"/>
    <w:rsid w:val="00721AA7"/>
    <w:rsid w:val="00721BAA"/>
    <w:rsid w:val="00721BB1"/>
    <w:rsid w:val="00721C91"/>
    <w:rsid w:val="00721CCC"/>
    <w:rsid w:val="00721D42"/>
    <w:rsid w:val="00721DD5"/>
    <w:rsid w:val="00721ECF"/>
    <w:rsid w:val="00721FB3"/>
    <w:rsid w:val="007223C1"/>
    <w:rsid w:val="007224AA"/>
    <w:rsid w:val="00722577"/>
    <w:rsid w:val="00722710"/>
    <w:rsid w:val="00722787"/>
    <w:rsid w:val="00722AD5"/>
    <w:rsid w:val="00722B11"/>
    <w:rsid w:val="00722B53"/>
    <w:rsid w:val="00722B64"/>
    <w:rsid w:val="00722BB4"/>
    <w:rsid w:val="00722C0B"/>
    <w:rsid w:val="00722D00"/>
    <w:rsid w:val="00722D1F"/>
    <w:rsid w:val="00722D48"/>
    <w:rsid w:val="00722FAE"/>
    <w:rsid w:val="00722FC4"/>
    <w:rsid w:val="00722FD6"/>
    <w:rsid w:val="0072308C"/>
    <w:rsid w:val="00723131"/>
    <w:rsid w:val="00723197"/>
    <w:rsid w:val="007231DF"/>
    <w:rsid w:val="007232D8"/>
    <w:rsid w:val="00723303"/>
    <w:rsid w:val="0072344B"/>
    <w:rsid w:val="007234E3"/>
    <w:rsid w:val="00723570"/>
    <w:rsid w:val="00723763"/>
    <w:rsid w:val="007237B6"/>
    <w:rsid w:val="00723901"/>
    <w:rsid w:val="00723B51"/>
    <w:rsid w:val="00723C8A"/>
    <w:rsid w:val="00723D55"/>
    <w:rsid w:val="00723DAF"/>
    <w:rsid w:val="00723F70"/>
    <w:rsid w:val="00723F9A"/>
    <w:rsid w:val="00724107"/>
    <w:rsid w:val="007241E4"/>
    <w:rsid w:val="0072420A"/>
    <w:rsid w:val="0072421E"/>
    <w:rsid w:val="00724459"/>
    <w:rsid w:val="007244A1"/>
    <w:rsid w:val="00724544"/>
    <w:rsid w:val="00724589"/>
    <w:rsid w:val="0072461C"/>
    <w:rsid w:val="007247D3"/>
    <w:rsid w:val="00724950"/>
    <w:rsid w:val="007249AC"/>
    <w:rsid w:val="00724A4F"/>
    <w:rsid w:val="00724C4D"/>
    <w:rsid w:val="00724C52"/>
    <w:rsid w:val="00725107"/>
    <w:rsid w:val="00725145"/>
    <w:rsid w:val="007251E8"/>
    <w:rsid w:val="00725432"/>
    <w:rsid w:val="0072544D"/>
    <w:rsid w:val="007254C3"/>
    <w:rsid w:val="00725675"/>
    <w:rsid w:val="007256DD"/>
    <w:rsid w:val="00725756"/>
    <w:rsid w:val="00725A54"/>
    <w:rsid w:val="00725BB1"/>
    <w:rsid w:val="00725BBC"/>
    <w:rsid w:val="00725D41"/>
    <w:rsid w:val="00725DD1"/>
    <w:rsid w:val="00725E52"/>
    <w:rsid w:val="00725E94"/>
    <w:rsid w:val="00725F8B"/>
    <w:rsid w:val="00725F8D"/>
    <w:rsid w:val="007260A4"/>
    <w:rsid w:val="00726304"/>
    <w:rsid w:val="00726448"/>
    <w:rsid w:val="007265EE"/>
    <w:rsid w:val="00726601"/>
    <w:rsid w:val="00726702"/>
    <w:rsid w:val="007267A3"/>
    <w:rsid w:val="007268BE"/>
    <w:rsid w:val="00726941"/>
    <w:rsid w:val="0072696B"/>
    <w:rsid w:val="007269AE"/>
    <w:rsid w:val="00726A70"/>
    <w:rsid w:val="00726E1E"/>
    <w:rsid w:val="00726F79"/>
    <w:rsid w:val="00727132"/>
    <w:rsid w:val="00727182"/>
    <w:rsid w:val="0072740C"/>
    <w:rsid w:val="007275ED"/>
    <w:rsid w:val="00727617"/>
    <w:rsid w:val="0072767C"/>
    <w:rsid w:val="007276EB"/>
    <w:rsid w:val="00727B84"/>
    <w:rsid w:val="00727CB1"/>
    <w:rsid w:val="00727D58"/>
    <w:rsid w:val="00727DDB"/>
    <w:rsid w:val="00730186"/>
    <w:rsid w:val="0073026D"/>
    <w:rsid w:val="0073030B"/>
    <w:rsid w:val="00730402"/>
    <w:rsid w:val="00730625"/>
    <w:rsid w:val="0073064F"/>
    <w:rsid w:val="007307BF"/>
    <w:rsid w:val="007308D4"/>
    <w:rsid w:val="00730970"/>
    <w:rsid w:val="00730A9C"/>
    <w:rsid w:val="00730B40"/>
    <w:rsid w:val="00730BE0"/>
    <w:rsid w:val="00730DF3"/>
    <w:rsid w:val="00730E07"/>
    <w:rsid w:val="00731065"/>
    <w:rsid w:val="00731307"/>
    <w:rsid w:val="0073151B"/>
    <w:rsid w:val="0073161C"/>
    <w:rsid w:val="0073168C"/>
    <w:rsid w:val="00731742"/>
    <w:rsid w:val="00731752"/>
    <w:rsid w:val="007317AC"/>
    <w:rsid w:val="00731AD8"/>
    <w:rsid w:val="00731B56"/>
    <w:rsid w:val="00731C62"/>
    <w:rsid w:val="00731C6E"/>
    <w:rsid w:val="00731C97"/>
    <w:rsid w:val="00731D0B"/>
    <w:rsid w:val="00731D92"/>
    <w:rsid w:val="00731EB3"/>
    <w:rsid w:val="00731FCB"/>
    <w:rsid w:val="00731FEA"/>
    <w:rsid w:val="00732267"/>
    <w:rsid w:val="00732270"/>
    <w:rsid w:val="007323DE"/>
    <w:rsid w:val="0073244D"/>
    <w:rsid w:val="007324A4"/>
    <w:rsid w:val="007324F3"/>
    <w:rsid w:val="00732541"/>
    <w:rsid w:val="00732590"/>
    <w:rsid w:val="00732595"/>
    <w:rsid w:val="007326D9"/>
    <w:rsid w:val="007327F3"/>
    <w:rsid w:val="0073283B"/>
    <w:rsid w:val="00732909"/>
    <w:rsid w:val="00732DDA"/>
    <w:rsid w:val="00732E35"/>
    <w:rsid w:val="00732F8D"/>
    <w:rsid w:val="00733004"/>
    <w:rsid w:val="00733351"/>
    <w:rsid w:val="0073343E"/>
    <w:rsid w:val="007335FE"/>
    <w:rsid w:val="007336BF"/>
    <w:rsid w:val="0073370C"/>
    <w:rsid w:val="007338A2"/>
    <w:rsid w:val="0073399C"/>
    <w:rsid w:val="00733A13"/>
    <w:rsid w:val="00733A4C"/>
    <w:rsid w:val="00733AD6"/>
    <w:rsid w:val="00733C1D"/>
    <w:rsid w:val="00733C70"/>
    <w:rsid w:val="00733CAE"/>
    <w:rsid w:val="00733ED5"/>
    <w:rsid w:val="00733FDE"/>
    <w:rsid w:val="00734088"/>
    <w:rsid w:val="007340A2"/>
    <w:rsid w:val="007340B4"/>
    <w:rsid w:val="0073411E"/>
    <w:rsid w:val="007341A5"/>
    <w:rsid w:val="00734358"/>
    <w:rsid w:val="007343A3"/>
    <w:rsid w:val="007343E4"/>
    <w:rsid w:val="007343E6"/>
    <w:rsid w:val="0073441A"/>
    <w:rsid w:val="0073442A"/>
    <w:rsid w:val="00734582"/>
    <w:rsid w:val="0073458A"/>
    <w:rsid w:val="007347E2"/>
    <w:rsid w:val="0073497A"/>
    <w:rsid w:val="00734987"/>
    <w:rsid w:val="00734B99"/>
    <w:rsid w:val="00734C44"/>
    <w:rsid w:val="00734C88"/>
    <w:rsid w:val="00734D06"/>
    <w:rsid w:val="00734D0B"/>
    <w:rsid w:val="00734D16"/>
    <w:rsid w:val="00734DEC"/>
    <w:rsid w:val="00734DF0"/>
    <w:rsid w:val="00735002"/>
    <w:rsid w:val="0073501A"/>
    <w:rsid w:val="00735043"/>
    <w:rsid w:val="007351B1"/>
    <w:rsid w:val="00735232"/>
    <w:rsid w:val="00735395"/>
    <w:rsid w:val="007357A5"/>
    <w:rsid w:val="007357C2"/>
    <w:rsid w:val="007358F2"/>
    <w:rsid w:val="00735982"/>
    <w:rsid w:val="00735B39"/>
    <w:rsid w:val="00735B3A"/>
    <w:rsid w:val="00735B5D"/>
    <w:rsid w:val="00735C0D"/>
    <w:rsid w:val="00735C20"/>
    <w:rsid w:val="00736044"/>
    <w:rsid w:val="00736353"/>
    <w:rsid w:val="007365F2"/>
    <w:rsid w:val="0073686E"/>
    <w:rsid w:val="007369D2"/>
    <w:rsid w:val="00736C1D"/>
    <w:rsid w:val="00736D74"/>
    <w:rsid w:val="00736F29"/>
    <w:rsid w:val="00736FDD"/>
    <w:rsid w:val="007370C2"/>
    <w:rsid w:val="0073721C"/>
    <w:rsid w:val="00737251"/>
    <w:rsid w:val="00737303"/>
    <w:rsid w:val="00737335"/>
    <w:rsid w:val="007376B5"/>
    <w:rsid w:val="00737793"/>
    <w:rsid w:val="0073782C"/>
    <w:rsid w:val="0073795E"/>
    <w:rsid w:val="00737977"/>
    <w:rsid w:val="00737A04"/>
    <w:rsid w:val="00737B79"/>
    <w:rsid w:val="00737C7A"/>
    <w:rsid w:val="00737C8E"/>
    <w:rsid w:val="00737D8C"/>
    <w:rsid w:val="00737DA8"/>
    <w:rsid w:val="00737DAA"/>
    <w:rsid w:val="00737FA9"/>
    <w:rsid w:val="00740089"/>
    <w:rsid w:val="00740269"/>
    <w:rsid w:val="0074028E"/>
    <w:rsid w:val="007403EB"/>
    <w:rsid w:val="007404D4"/>
    <w:rsid w:val="007405ED"/>
    <w:rsid w:val="00740614"/>
    <w:rsid w:val="00740925"/>
    <w:rsid w:val="0074099E"/>
    <w:rsid w:val="007409BA"/>
    <w:rsid w:val="00740CAC"/>
    <w:rsid w:val="00740D20"/>
    <w:rsid w:val="00740DFA"/>
    <w:rsid w:val="00740EBA"/>
    <w:rsid w:val="00740F9A"/>
    <w:rsid w:val="007410CA"/>
    <w:rsid w:val="0074115B"/>
    <w:rsid w:val="00741179"/>
    <w:rsid w:val="007412C3"/>
    <w:rsid w:val="0074147D"/>
    <w:rsid w:val="007416F5"/>
    <w:rsid w:val="00741907"/>
    <w:rsid w:val="0074196F"/>
    <w:rsid w:val="00741977"/>
    <w:rsid w:val="00741B4B"/>
    <w:rsid w:val="00741C46"/>
    <w:rsid w:val="00741CF2"/>
    <w:rsid w:val="00741D8D"/>
    <w:rsid w:val="00741D9B"/>
    <w:rsid w:val="00741DA0"/>
    <w:rsid w:val="00741E2B"/>
    <w:rsid w:val="00741E9B"/>
    <w:rsid w:val="00741ECE"/>
    <w:rsid w:val="007420A9"/>
    <w:rsid w:val="00742138"/>
    <w:rsid w:val="00742366"/>
    <w:rsid w:val="007425BA"/>
    <w:rsid w:val="00742634"/>
    <w:rsid w:val="00742903"/>
    <w:rsid w:val="00742BE6"/>
    <w:rsid w:val="00742C98"/>
    <w:rsid w:val="00742DB2"/>
    <w:rsid w:val="00742E41"/>
    <w:rsid w:val="00742EA3"/>
    <w:rsid w:val="0074322F"/>
    <w:rsid w:val="0074325B"/>
    <w:rsid w:val="0074326C"/>
    <w:rsid w:val="007432FA"/>
    <w:rsid w:val="00743402"/>
    <w:rsid w:val="00743427"/>
    <w:rsid w:val="007434D0"/>
    <w:rsid w:val="0074351C"/>
    <w:rsid w:val="007435C4"/>
    <w:rsid w:val="007436FC"/>
    <w:rsid w:val="00743725"/>
    <w:rsid w:val="007438A2"/>
    <w:rsid w:val="00743A00"/>
    <w:rsid w:val="00743A0D"/>
    <w:rsid w:val="00743A68"/>
    <w:rsid w:val="00743DED"/>
    <w:rsid w:val="00743E90"/>
    <w:rsid w:val="00743ED8"/>
    <w:rsid w:val="00743F53"/>
    <w:rsid w:val="00743FFC"/>
    <w:rsid w:val="007440C2"/>
    <w:rsid w:val="00744214"/>
    <w:rsid w:val="00744357"/>
    <w:rsid w:val="0074440A"/>
    <w:rsid w:val="00744484"/>
    <w:rsid w:val="007447CF"/>
    <w:rsid w:val="007447EC"/>
    <w:rsid w:val="007447ED"/>
    <w:rsid w:val="0074494C"/>
    <w:rsid w:val="00744C22"/>
    <w:rsid w:val="00744DB4"/>
    <w:rsid w:val="00744EEC"/>
    <w:rsid w:val="00744F72"/>
    <w:rsid w:val="00744FB4"/>
    <w:rsid w:val="00744FFB"/>
    <w:rsid w:val="007450E4"/>
    <w:rsid w:val="00745217"/>
    <w:rsid w:val="007452EC"/>
    <w:rsid w:val="00745340"/>
    <w:rsid w:val="007459BD"/>
    <w:rsid w:val="00745A63"/>
    <w:rsid w:val="00745AC2"/>
    <w:rsid w:val="00745C31"/>
    <w:rsid w:val="00745D5B"/>
    <w:rsid w:val="00745E7A"/>
    <w:rsid w:val="0074612B"/>
    <w:rsid w:val="007461EE"/>
    <w:rsid w:val="00746232"/>
    <w:rsid w:val="007462D4"/>
    <w:rsid w:val="00746334"/>
    <w:rsid w:val="00746475"/>
    <w:rsid w:val="007464B6"/>
    <w:rsid w:val="0074676A"/>
    <w:rsid w:val="007467EE"/>
    <w:rsid w:val="00746AC0"/>
    <w:rsid w:val="00746BCF"/>
    <w:rsid w:val="00746D26"/>
    <w:rsid w:val="00746DF9"/>
    <w:rsid w:val="00746E49"/>
    <w:rsid w:val="00746FCE"/>
    <w:rsid w:val="00746FFF"/>
    <w:rsid w:val="00747236"/>
    <w:rsid w:val="00747372"/>
    <w:rsid w:val="0074737E"/>
    <w:rsid w:val="007474EB"/>
    <w:rsid w:val="00747606"/>
    <w:rsid w:val="00747996"/>
    <w:rsid w:val="00747AE6"/>
    <w:rsid w:val="00747C56"/>
    <w:rsid w:val="00747D03"/>
    <w:rsid w:val="00750136"/>
    <w:rsid w:val="00750281"/>
    <w:rsid w:val="00750351"/>
    <w:rsid w:val="00750588"/>
    <w:rsid w:val="00750642"/>
    <w:rsid w:val="007506F7"/>
    <w:rsid w:val="007508E2"/>
    <w:rsid w:val="007509DD"/>
    <w:rsid w:val="007509ED"/>
    <w:rsid w:val="00750ADA"/>
    <w:rsid w:val="00750B49"/>
    <w:rsid w:val="00750D01"/>
    <w:rsid w:val="00750DF0"/>
    <w:rsid w:val="00751040"/>
    <w:rsid w:val="007512CB"/>
    <w:rsid w:val="007514FA"/>
    <w:rsid w:val="007515FE"/>
    <w:rsid w:val="007517CF"/>
    <w:rsid w:val="007518B8"/>
    <w:rsid w:val="00751B7B"/>
    <w:rsid w:val="00751BDA"/>
    <w:rsid w:val="00751C09"/>
    <w:rsid w:val="00751CFE"/>
    <w:rsid w:val="00751D2E"/>
    <w:rsid w:val="00751D9A"/>
    <w:rsid w:val="00751F61"/>
    <w:rsid w:val="00752033"/>
    <w:rsid w:val="00752151"/>
    <w:rsid w:val="007523CF"/>
    <w:rsid w:val="00752513"/>
    <w:rsid w:val="007525FC"/>
    <w:rsid w:val="0075278A"/>
    <w:rsid w:val="00752A36"/>
    <w:rsid w:val="00752BD9"/>
    <w:rsid w:val="00752CF9"/>
    <w:rsid w:val="00752E4C"/>
    <w:rsid w:val="00753105"/>
    <w:rsid w:val="00753117"/>
    <w:rsid w:val="007531B1"/>
    <w:rsid w:val="00753437"/>
    <w:rsid w:val="0075343F"/>
    <w:rsid w:val="00753448"/>
    <w:rsid w:val="00753482"/>
    <w:rsid w:val="007534E4"/>
    <w:rsid w:val="0075387A"/>
    <w:rsid w:val="00753AC1"/>
    <w:rsid w:val="00753B42"/>
    <w:rsid w:val="00753C2D"/>
    <w:rsid w:val="00753CD6"/>
    <w:rsid w:val="00753CDE"/>
    <w:rsid w:val="00753CEB"/>
    <w:rsid w:val="00753D8B"/>
    <w:rsid w:val="00753DF0"/>
    <w:rsid w:val="00753E1E"/>
    <w:rsid w:val="0075403A"/>
    <w:rsid w:val="00754284"/>
    <w:rsid w:val="007544DA"/>
    <w:rsid w:val="00754555"/>
    <w:rsid w:val="0075463E"/>
    <w:rsid w:val="007547E7"/>
    <w:rsid w:val="007548AB"/>
    <w:rsid w:val="007548E7"/>
    <w:rsid w:val="00754937"/>
    <w:rsid w:val="00754A1C"/>
    <w:rsid w:val="00754A71"/>
    <w:rsid w:val="00755169"/>
    <w:rsid w:val="007551C8"/>
    <w:rsid w:val="0075529C"/>
    <w:rsid w:val="00755330"/>
    <w:rsid w:val="007556DD"/>
    <w:rsid w:val="00755752"/>
    <w:rsid w:val="007557A3"/>
    <w:rsid w:val="0075589F"/>
    <w:rsid w:val="00755B4F"/>
    <w:rsid w:val="00755BB0"/>
    <w:rsid w:val="00755C77"/>
    <w:rsid w:val="00755D02"/>
    <w:rsid w:val="00755D6C"/>
    <w:rsid w:val="00755E59"/>
    <w:rsid w:val="00755FCE"/>
    <w:rsid w:val="00756090"/>
    <w:rsid w:val="0075609D"/>
    <w:rsid w:val="00756158"/>
    <w:rsid w:val="007563EB"/>
    <w:rsid w:val="0075640F"/>
    <w:rsid w:val="007564D4"/>
    <w:rsid w:val="007564DF"/>
    <w:rsid w:val="00756543"/>
    <w:rsid w:val="0075659F"/>
    <w:rsid w:val="00756700"/>
    <w:rsid w:val="0075677A"/>
    <w:rsid w:val="00756839"/>
    <w:rsid w:val="00756862"/>
    <w:rsid w:val="00756875"/>
    <w:rsid w:val="00756906"/>
    <w:rsid w:val="0075690F"/>
    <w:rsid w:val="00756973"/>
    <w:rsid w:val="007569A4"/>
    <w:rsid w:val="00756A3C"/>
    <w:rsid w:val="00756B68"/>
    <w:rsid w:val="00756DC3"/>
    <w:rsid w:val="00756E03"/>
    <w:rsid w:val="007572DA"/>
    <w:rsid w:val="007574DB"/>
    <w:rsid w:val="007575F4"/>
    <w:rsid w:val="00757662"/>
    <w:rsid w:val="0075766D"/>
    <w:rsid w:val="0075772A"/>
    <w:rsid w:val="0075784B"/>
    <w:rsid w:val="0075796B"/>
    <w:rsid w:val="007579D6"/>
    <w:rsid w:val="00757B29"/>
    <w:rsid w:val="00757B2A"/>
    <w:rsid w:val="00757B94"/>
    <w:rsid w:val="00757CC4"/>
    <w:rsid w:val="00757D55"/>
    <w:rsid w:val="00757E08"/>
    <w:rsid w:val="00757EF3"/>
    <w:rsid w:val="00757F15"/>
    <w:rsid w:val="00760097"/>
    <w:rsid w:val="007601F6"/>
    <w:rsid w:val="00760362"/>
    <w:rsid w:val="007604C4"/>
    <w:rsid w:val="007605F0"/>
    <w:rsid w:val="00760935"/>
    <w:rsid w:val="00760945"/>
    <w:rsid w:val="00760D13"/>
    <w:rsid w:val="0076100E"/>
    <w:rsid w:val="007610AC"/>
    <w:rsid w:val="0076120D"/>
    <w:rsid w:val="0076143F"/>
    <w:rsid w:val="007615BB"/>
    <w:rsid w:val="00761792"/>
    <w:rsid w:val="007617B1"/>
    <w:rsid w:val="00761858"/>
    <w:rsid w:val="00761A4D"/>
    <w:rsid w:val="00761B3E"/>
    <w:rsid w:val="00761B6D"/>
    <w:rsid w:val="00761D1E"/>
    <w:rsid w:val="00761E86"/>
    <w:rsid w:val="00761EF6"/>
    <w:rsid w:val="00762015"/>
    <w:rsid w:val="0076225D"/>
    <w:rsid w:val="00762288"/>
    <w:rsid w:val="007625A0"/>
    <w:rsid w:val="0076263C"/>
    <w:rsid w:val="00762664"/>
    <w:rsid w:val="00762727"/>
    <w:rsid w:val="00762758"/>
    <w:rsid w:val="007629F7"/>
    <w:rsid w:val="00762A87"/>
    <w:rsid w:val="00762A9E"/>
    <w:rsid w:val="00762B6A"/>
    <w:rsid w:val="00762CA9"/>
    <w:rsid w:val="0076312F"/>
    <w:rsid w:val="00763149"/>
    <w:rsid w:val="0076316D"/>
    <w:rsid w:val="007632DF"/>
    <w:rsid w:val="007632E8"/>
    <w:rsid w:val="00763374"/>
    <w:rsid w:val="007633E8"/>
    <w:rsid w:val="00763474"/>
    <w:rsid w:val="007634D0"/>
    <w:rsid w:val="00763711"/>
    <w:rsid w:val="00763966"/>
    <w:rsid w:val="007639BA"/>
    <w:rsid w:val="007639E0"/>
    <w:rsid w:val="007639F4"/>
    <w:rsid w:val="00763A4B"/>
    <w:rsid w:val="00763EA2"/>
    <w:rsid w:val="007640AF"/>
    <w:rsid w:val="007640B2"/>
    <w:rsid w:val="007641D1"/>
    <w:rsid w:val="007643C6"/>
    <w:rsid w:val="00764436"/>
    <w:rsid w:val="007644B4"/>
    <w:rsid w:val="00764552"/>
    <w:rsid w:val="007645A7"/>
    <w:rsid w:val="0076463A"/>
    <w:rsid w:val="007647A6"/>
    <w:rsid w:val="007647EA"/>
    <w:rsid w:val="007648A0"/>
    <w:rsid w:val="007648A9"/>
    <w:rsid w:val="00764C91"/>
    <w:rsid w:val="00764E8D"/>
    <w:rsid w:val="00764FD1"/>
    <w:rsid w:val="0076507A"/>
    <w:rsid w:val="007650CA"/>
    <w:rsid w:val="0076516F"/>
    <w:rsid w:val="007653E7"/>
    <w:rsid w:val="007654AA"/>
    <w:rsid w:val="0076550A"/>
    <w:rsid w:val="00765653"/>
    <w:rsid w:val="00765691"/>
    <w:rsid w:val="007658BB"/>
    <w:rsid w:val="007658DB"/>
    <w:rsid w:val="007658DF"/>
    <w:rsid w:val="00765930"/>
    <w:rsid w:val="0076595D"/>
    <w:rsid w:val="007659E4"/>
    <w:rsid w:val="00765A77"/>
    <w:rsid w:val="00765A8D"/>
    <w:rsid w:val="00765AB6"/>
    <w:rsid w:val="00765B1C"/>
    <w:rsid w:val="00765BB2"/>
    <w:rsid w:val="00765BC5"/>
    <w:rsid w:val="00765E9D"/>
    <w:rsid w:val="00765EE0"/>
    <w:rsid w:val="00765EED"/>
    <w:rsid w:val="00765FF6"/>
    <w:rsid w:val="0076608F"/>
    <w:rsid w:val="00766184"/>
    <w:rsid w:val="007662C0"/>
    <w:rsid w:val="007663B2"/>
    <w:rsid w:val="00766406"/>
    <w:rsid w:val="00766527"/>
    <w:rsid w:val="0076662A"/>
    <w:rsid w:val="007668C7"/>
    <w:rsid w:val="00766AB0"/>
    <w:rsid w:val="00766B74"/>
    <w:rsid w:val="00766C08"/>
    <w:rsid w:val="00766C88"/>
    <w:rsid w:val="00766CB9"/>
    <w:rsid w:val="00766EBF"/>
    <w:rsid w:val="00766F22"/>
    <w:rsid w:val="00766F49"/>
    <w:rsid w:val="00766FC0"/>
    <w:rsid w:val="007671ED"/>
    <w:rsid w:val="00767261"/>
    <w:rsid w:val="0076726E"/>
    <w:rsid w:val="007672A4"/>
    <w:rsid w:val="0076746D"/>
    <w:rsid w:val="0076748B"/>
    <w:rsid w:val="007674DF"/>
    <w:rsid w:val="0076757A"/>
    <w:rsid w:val="007675AE"/>
    <w:rsid w:val="00767631"/>
    <w:rsid w:val="00767633"/>
    <w:rsid w:val="0076764E"/>
    <w:rsid w:val="007676C3"/>
    <w:rsid w:val="007676E3"/>
    <w:rsid w:val="00767723"/>
    <w:rsid w:val="00767910"/>
    <w:rsid w:val="00767940"/>
    <w:rsid w:val="00767C1A"/>
    <w:rsid w:val="00767DED"/>
    <w:rsid w:val="00767F0F"/>
    <w:rsid w:val="00767FE6"/>
    <w:rsid w:val="00770000"/>
    <w:rsid w:val="00770158"/>
    <w:rsid w:val="00770177"/>
    <w:rsid w:val="00770249"/>
    <w:rsid w:val="007702B4"/>
    <w:rsid w:val="007703D3"/>
    <w:rsid w:val="00770455"/>
    <w:rsid w:val="00770532"/>
    <w:rsid w:val="0077076D"/>
    <w:rsid w:val="007707A8"/>
    <w:rsid w:val="007707C5"/>
    <w:rsid w:val="00770804"/>
    <w:rsid w:val="0077086F"/>
    <w:rsid w:val="007708A4"/>
    <w:rsid w:val="007708A5"/>
    <w:rsid w:val="00770950"/>
    <w:rsid w:val="007709EE"/>
    <w:rsid w:val="00770A35"/>
    <w:rsid w:val="00770AC0"/>
    <w:rsid w:val="00770AF5"/>
    <w:rsid w:val="00770C4C"/>
    <w:rsid w:val="00770D6F"/>
    <w:rsid w:val="00770EBC"/>
    <w:rsid w:val="00770F33"/>
    <w:rsid w:val="00771201"/>
    <w:rsid w:val="007712E6"/>
    <w:rsid w:val="00771450"/>
    <w:rsid w:val="0077152C"/>
    <w:rsid w:val="007715EC"/>
    <w:rsid w:val="0077171C"/>
    <w:rsid w:val="00771825"/>
    <w:rsid w:val="007718C4"/>
    <w:rsid w:val="007718CC"/>
    <w:rsid w:val="007718FC"/>
    <w:rsid w:val="00771922"/>
    <w:rsid w:val="00771958"/>
    <w:rsid w:val="00771A84"/>
    <w:rsid w:val="00771B6C"/>
    <w:rsid w:val="00771B91"/>
    <w:rsid w:val="00771CDF"/>
    <w:rsid w:val="00771CEC"/>
    <w:rsid w:val="00771D60"/>
    <w:rsid w:val="00771E02"/>
    <w:rsid w:val="00771F42"/>
    <w:rsid w:val="00771FA9"/>
    <w:rsid w:val="00771FF6"/>
    <w:rsid w:val="00772061"/>
    <w:rsid w:val="007720DF"/>
    <w:rsid w:val="007720F6"/>
    <w:rsid w:val="00772129"/>
    <w:rsid w:val="007721AC"/>
    <w:rsid w:val="007721B6"/>
    <w:rsid w:val="0077220E"/>
    <w:rsid w:val="007724BD"/>
    <w:rsid w:val="007724E7"/>
    <w:rsid w:val="00772560"/>
    <w:rsid w:val="00772735"/>
    <w:rsid w:val="007727CC"/>
    <w:rsid w:val="007727E3"/>
    <w:rsid w:val="00772859"/>
    <w:rsid w:val="00772891"/>
    <w:rsid w:val="0077290D"/>
    <w:rsid w:val="007729BF"/>
    <w:rsid w:val="00772C9F"/>
    <w:rsid w:val="00772CCA"/>
    <w:rsid w:val="00772EF3"/>
    <w:rsid w:val="007731FB"/>
    <w:rsid w:val="007733E7"/>
    <w:rsid w:val="00773442"/>
    <w:rsid w:val="00773518"/>
    <w:rsid w:val="007735DE"/>
    <w:rsid w:val="00773622"/>
    <w:rsid w:val="00773660"/>
    <w:rsid w:val="00773BAA"/>
    <w:rsid w:val="00773C53"/>
    <w:rsid w:val="00773ED2"/>
    <w:rsid w:val="00773F2E"/>
    <w:rsid w:val="00773F43"/>
    <w:rsid w:val="00773F49"/>
    <w:rsid w:val="00773FAF"/>
    <w:rsid w:val="0077400E"/>
    <w:rsid w:val="0077420C"/>
    <w:rsid w:val="00774230"/>
    <w:rsid w:val="00774570"/>
    <w:rsid w:val="00774671"/>
    <w:rsid w:val="007746B1"/>
    <w:rsid w:val="00774709"/>
    <w:rsid w:val="0077486E"/>
    <w:rsid w:val="0077493E"/>
    <w:rsid w:val="00774B13"/>
    <w:rsid w:val="00774B66"/>
    <w:rsid w:val="00774D22"/>
    <w:rsid w:val="00774D4B"/>
    <w:rsid w:val="00774E99"/>
    <w:rsid w:val="00774FC7"/>
    <w:rsid w:val="00774FF0"/>
    <w:rsid w:val="00775001"/>
    <w:rsid w:val="00775087"/>
    <w:rsid w:val="00775101"/>
    <w:rsid w:val="007751B1"/>
    <w:rsid w:val="0077523D"/>
    <w:rsid w:val="007755D9"/>
    <w:rsid w:val="00775613"/>
    <w:rsid w:val="0077576B"/>
    <w:rsid w:val="00775878"/>
    <w:rsid w:val="00775B78"/>
    <w:rsid w:val="00775BB5"/>
    <w:rsid w:val="00775BE0"/>
    <w:rsid w:val="00775FE0"/>
    <w:rsid w:val="0077641B"/>
    <w:rsid w:val="00776436"/>
    <w:rsid w:val="007766AB"/>
    <w:rsid w:val="007767D7"/>
    <w:rsid w:val="00776886"/>
    <w:rsid w:val="007768BD"/>
    <w:rsid w:val="00776972"/>
    <w:rsid w:val="007769E2"/>
    <w:rsid w:val="00776B25"/>
    <w:rsid w:val="00776CA2"/>
    <w:rsid w:val="00776E87"/>
    <w:rsid w:val="00776F3E"/>
    <w:rsid w:val="00776FD9"/>
    <w:rsid w:val="007770D5"/>
    <w:rsid w:val="00777195"/>
    <w:rsid w:val="00777290"/>
    <w:rsid w:val="007773F4"/>
    <w:rsid w:val="00777446"/>
    <w:rsid w:val="007774C4"/>
    <w:rsid w:val="00777523"/>
    <w:rsid w:val="00777592"/>
    <w:rsid w:val="0077760E"/>
    <w:rsid w:val="00777771"/>
    <w:rsid w:val="00777986"/>
    <w:rsid w:val="00777A13"/>
    <w:rsid w:val="00777AB6"/>
    <w:rsid w:val="00777AC8"/>
    <w:rsid w:val="00777AD4"/>
    <w:rsid w:val="00777BF8"/>
    <w:rsid w:val="00777DF1"/>
    <w:rsid w:val="00780028"/>
    <w:rsid w:val="0078022D"/>
    <w:rsid w:val="007803D0"/>
    <w:rsid w:val="00780431"/>
    <w:rsid w:val="00780461"/>
    <w:rsid w:val="007804B2"/>
    <w:rsid w:val="007804EC"/>
    <w:rsid w:val="007805E0"/>
    <w:rsid w:val="00780867"/>
    <w:rsid w:val="00780A40"/>
    <w:rsid w:val="00780A7E"/>
    <w:rsid w:val="00780ADB"/>
    <w:rsid w:val="00780BBD"/>
    <w:rsid w:val="00780BE2"/>
    <w:rsid w:val="00780C05"/>
    <w:rsid w:val="00780C87"/>
    <w:rsid w:val="00780CFC"/>
    <w:rsid w:val="00780D02"/>
    <w:rsid w:val="00780D94"/>
    <w:rsid w:val="00780DF4"/>
    <w:rsid w:val="00780E05"/>
    <w:rsid w:val="00780F08"/>
    <w:rsid w:val="00780F55"/>
    <w:rsid w:val="00780F58"/>
    <w:rsid w:val="0078132C"/>
    <w:rsid w:val="007814F0"/>
    <w:rsid w:val="007815B1"/>
    <w:rsid w:val="00781773"/>
    <w:rsid w:val="007818D4"/>
    <w:rsid w:val="00781A4D"/>
    <w:rsid w:val="00781B8C"/>
    <w:rsid w:val="00781C02"/>
    <w:rsid w:val="00781C72"/>
    <w:rsid w:val="00781CA3"/>
    <w:rsid w:val="00781D95"/>
    <w:rsid w:val="00781E52"/>
    <w:rsid w:val="00781FA2"/>
    <w:rsid w:val="00782114"/>
    <w:rsid w:val="007822F1"/>
    <w:rsid w:val="0078237A"/>
    <w:rsid w:val="007823E9"/>
    <w:rsid w:val="0078249B"/>
    <w:rsid w:val="0078257B"/>
    <w:rsid w:val="007827EA"/>
    <w:rsid w:val="00782810"/>
    <w:rsid w:val="00782836"/>
    <w:rsid w:val="0078287E"/>
    <w:rsid w:val="00782901"/>
    <w:rsid w:val="0078295D"/>
    <w:rsid w:val="00782AF2"/>
    <w:rsid w:val="00782B65"/>
    <w:rsid w:val="00782D7A"/>
    <w:rsid w:val="00782DF8"/>
    <w:rsid w:val="00782E57"/>
    <w:rsid w:val="00782FB0"/>
    <w:rsid w:val="00783091"/>
    <w:rsid w:val="00783375"/>
    <w:rsid w:val="00783391"/>
    <w:rsid w:val="00783B12"/>
    <w:rsid w:val="00783D2C"/>
    <w:rsid w:val="00783D75"/>
    <w:rsid w:val="00783DAE"/>
    <w:rsid w:val="00783FDA"/>
    <w:rsid w:val="00784057"/>
    <w:rsid w:val="00784063"/>
    <w:rsid w:val="0078428D"/>
    <w:rsid w:val="007842D2"/>
    <w:rsid w:val="0078431A"/>
    <w:rsid w:val="007843C0"/>
    <w:rsid w:val="0078445F"/>
    <w:rsid w:val="007844FF"/>
    <w:rsid w:val="00784538"/>
    <w:rsid w:val="007845A2"/>
    <w:rsid w:val="007845A8"/>
    <w:rsid w:val="007845F9"/>
    <w:rsid w:val="00784721"/>
    <w:rsid w:val="007847F9"/>
    <w:rsid w:val="00784824"/>
    <w:rsid w:val="0078482D"/>
    <w:rsid w:val="00784928"/>
    <w:rsid w:val="007849CD"/>
    <w:rsid w:val="00784A7C"/>
    <w:rsid w:val="00784A92"/>
    <w:rsid w:val="00784B79"/>
    <w:rsid w:val="00784C0A"/>
    <w:rsid w:val="00784C55"/>
    <w:rsid w:val="00784CC7"/>
    <w:rsid w:val="00784E17"/>
    <w:rsid w:val="00784ECC"/>
    <w:rsid w:val="00784ED7"/>
    <w:rsid w:val="0078518A"/>
    <w:rsid w:val="007853A6"/>
    <w:rsid w:val="007853C0"/>
    <w:rsid w:val="0078543B"/>
    <w:rsid w:val="007854E2"/>
    <w:rsid w:val="00785505"/>
    <w:rsid w:val="007855D6"/>
    <w:rsid w:val="00785632"/>
    <w:rsid w:val="007856C1"/>
    <w:rsid w:val="0078571B"/>
    <w:rsid w:val="00785844"/>
    <w:rsid w:val="00785847"/>
    <w:rsid w:val="00785890"/>
    <w:rsid w:val="007859EC"/>
    <w:rsid w:val="00785A8E"/>
    <w:rsid w:val="00785BB1"/>
    <w:rsid w:val="00785BBE"/>
    <w:rsid w:val="00785C39"/>
    <w:rsid w:val="00785C89"/>
    <w:rsid w:val="00785D34"/>
    <w:rsid w:val="00785DEB"/>
    <w:rsid w:val="00785ED1"/>
    <w:rsid w:val="00785F91"/>
    <w:rsid w:val="00786039"/>
    <w:rsid w:val="00786050"/>
    <w:rsid w:val="007860B5"/>
    <w:rsid w:val="0078621E"/>
    <w:rsid w:val="007862DA"/>
    <w:rsid w:val="007862E1"/>
    <w:rsid w:val="0078642B"/>
    <w:rsid w:val="007864B0"/>
    <w:rsid w:val="0078672C"/>
    <w:rsid w:val="00786750"/>
    <w:rsid w:val="00786A3B"/>
    <w:rsid w:val="00786ADB"/>
    <w:rsid w:val="00786E13"/>
    <w:rsid w:val="00786F39"/>
    <w:rsid w:val="00786FB7"/>
    <w:rsid w:val="007870D9"/>
    <w:rsid w:val="007870DE"/>
    <w:rsid w:val="00787137"/>
    <w:rsid w:val="0078728A"/>
    <w:rsid w:val="0078730D"/>
    <w:rsid w:val="00787346"/>
    <w:rsid w:val="0078736E"/>
    <w:rsid w:val="007873FE"/>
    <w:rsid w:val="007874D0"/>
    <w:rsid w:val="007875BF"/>
    <w:rsid w:val="007875D9"/>
    <w:rsid w:val="00787704"/>
    <w:rsid w:val="00787946"/>
    <w:rsid w:val="007879D3"/>
    <w:rsid w:val="007879F8"/>
    <w:rsid w:val="00787A22"/>
    <w:rsid w:val="00787A25"/>
    <w:rsid w:val="00787A2F"/>
    <w:rsid w:val="00787B05"/>
    <w:rsid w:val="00787CBC"/>
    <w:rsid w:val="00787CD2"/>
    <w:rsid w:val="00787D68"/>
    <w:rsid w:val="00787E73"/>
    <w:rsid w:val="00787FD8"/>
    <w:rsid w:val="00790002"/>
    <w:rsid w:val="007900E7"/>
    <w:rsid w:val="00790290"/>
    <w:rsid w:val="00790447"/>
    <w:rsid w:val="00790930"/>
    <w:rsid w:val="00790C5C"/>
    <w:rsid w:val="00790E2C"/>
    <w:rsid w:val="00790FD2"/>
    <w:rsid w:val="0079111E"/>
    <w:rsid w:val="00791245"/>
    <w:rsid w:val="00791306"/>
    <w:rsid w:val="0079163E"/>
    <w:rsid w:val="00791698"/>
    <w:rsid w:val="00791737"/>
    <w:rsid w:val="0079182F"/>
    <w:rsid w:val="0079185E"/>
    <w:rsid w:val="00791929"/>
    <w:rsid w:val="0079194D"/>
    <w:rsid w:val="00791A43"/>
    <w:rsid w:val="00791A68"/>
    <w:rsid w:val="00791BF9"/>
    <w:rsid w:val="00791C84"/>
    <w:rsid w:val="00791CC7"/>
    <w:rsid w:val="00791D65"/>
    <w:rsid w:val="00791E13"/>
    <w:rsid w:val="00791F8F"/>
    <w:rsid w:val="00791FA2"/>
    <w:rsid w:val="00792133"/>
    <w:rsid w:val="007921A8"/>
    <w:rsid w:val="00792246"/>
    <w:rsid w:val="00792298"/>
    <w:rsid w:val="00792452"/>
    <w:rsid w:val="00792520"/>
    <w:rsid w:val="00792638"/>
    <w:rsid w:val="007926CB"/>
    <w:rsid w:val="0079279E"/>
    <w:rsid w:val="0079282D"/>
    <w:rsid w:val="007928F7"/>
    <w:rsid w:val="00792C7E"/>
    <w:rsid w:val="00792CDB"/>
    <w:rsid w:val="00792D08"/>
    <w:rsid w:val="00792F6C"/>
    <w:rsid w:val="00793083"/>
    <w:rsid w:val="007931D5"/>
    <w:rsid w:val="007934DD"/>
    <w:rsid w:val="00793728"/>
    <w:rsid w:val="00793757"/>
    <w:rsid w:val="007938B3"/>
    <w:rsid w:val="007938C5"/>
    <w:rsid w:val="007938C8"/>
    <w:rsid w:val="0079392B"/>
    <w:rsid w:val="007939CC"/>
    <w:rsid w:val="00793A1E"/>
    <w:rsid w:val="00793A26"/>
    <w:rsid w:val="00793A7C"/>
    <w:rsid w:val="00793AC6"/>
    <w:rsid w:val="00793B27"/>
    <w:rsid w:val="00793B63"/>
    <w:rsid w:val="00793B90"/>
    <w:rsid w:val="00793C74"/>
    <w:rsid w:val="00793EE5"/>
    <w:rsid w:val="00793F00"/>
    <w:rsid w:val="00793F59"/>
    <w:rsid w:val="00793F63"/>
    <w:rsid w:val="00794476"/>
    <w:rsid w:val="007944E8"/>
    <w:rsid w:val="00794958"/>
    <w:rsid w:val="00794AF2"/>
    <w:rsid w:val="00794B40"/>
    <w:rsid w:val="00794EAE"/>
    <w:rsid w:val="00794F24"/>
    <w:rsid w:val="007950A6"/>
    <w:rsid w:val="00795121"/>
    <w:rsid w:val="00795339"/>
    <w:rsid w:val="0079539E"/>
    <w:rsid w:val="00795445"/>
    <w:rsid w:val="00795489"/>
    <w:rsid w:val="0079556A"/>
    <w:rsid w:val="00795727"/>
    <w:rsid w:val="00795AC0"/>
    <w:rsid w:val="00795B5B"/>
    <w:rsid w:val="00795BED"/>
    <w:rsid w:val="00795CE8"/>
    <w:rsid w:val="00795F59"/>
    <w:rsid w:val="00796112"/>
    <w:rsid w:val="0079613F"/>
    <w:rsid w:val="00796144"/>
    <w:rsid w:val="00796148"/>
    <w:rsid w:val="007961ED"/>
    <w:rsid w:val="007962B6"/>
    <w:rsid w:val="00796489"/>
    <w:rsid w:val="0079658E"/>
    <w:rsid w:val="007966F1"/>
    <w:rsid w:val="0079674F"/>
    <w:rsid w:val="007967A2"/>
    <w:rsid w:val="007967A3"/>
    <w:rsid w:val="007968F5"/>
    <w:rsid w:val="00796B50"/>
    <w:rsid w:val="00796D9D"/>
    <w:rsid w:val="00796E26"/>
    <w:rsid w:val="00796E7B"/>
    <w:rsid w:val="00796F22"/>
    <w:rsid w:val="00796F51"/>
    <w:rsid w:val="00796F5C"/>
    <w:rsid w:val="00796F88"/>
    <w:rsid w:val="00796F89"/>
    <w:rsid w:val="007972FD"/>
    <w:rsid w:val="00797349"/>
    <w:rsid w:val="00797574"/>
    <w:rsid w:val="0079764C"/>
    <w:rsid w:val="00797691"/>
    <w:rsid w:val="007977ED"/>
    <w:rsid w:val="00797879"/>
    <w:rsid w:val="007979B9"/>
    <w:rsid w:val="00797C79"/>
    <w:rsid w:val="00797D11"/>
    <w:rsid w:val="00797E13"/>
    <w:rsid w:val="00797E6B"/>
    <w:rsid w:val="00797E87"/>
    <w:rsid w:val="00797F89"/>
    <w:rsid w:val="00797FF5"/>
    <w:rsid w:val="007A0079"/>
    <w:rsid w:val="007A008B"/>
    <w:rsid w:val="007A00AE"/>
    <w:rsid w:val="007A00BD"/>
    <w:rsid w:val="007A01E9"/>
    <w:rsid w:val="007A02E5"/>
    <w:rsid w:val="007A03A2"/>
    <w:rsid w:val="007A0452"/>
    <w:rsid w:val="007A0532"/>
    <w:rsid w:val="007A0598"/>
    <w:rsid w:val="007A059A"/>
    <w:rsid w:val="007A0709"/>
    <w:rsid w:val="007A0860"/>
    <w:rsid w:val="007A08AA"/>
    <w:rsid w:val="007A08CF"/>
    <w:rsid w:val="007A097B"/>
    <w:rsid w:val="007A09EF"/>
    <w:rsid w:val="007A0B22"/>
    <w:rsid w:val="007A0BE3"/>
    <w:rsid w:val="007A0CAD"/>
    <w:rsid w:val="007A0D4E"/>
    <w:rsid w:val="007A0DBF"/>
    <w:rsid w:val="007A0EB0"/>
    <w:rsid w:val="007A0ED5"/>
    <w:rsid w:val="007A0F6C"/>
    <w:rsid w:val="007A0FB0"/>
    <w:rsid w:val="007A1079"/>
    <w:rsid w:val="007A1145"/>
    <w:rsid w:val="007A1500"/>
    <w:rsid w:val="007A1612"/>
    <w:rsid w:val="007A1811"/>
    <w:rsid w:val="007A1960"/>
    <w:rsid w:val="007A1A54"/>
    <w:rsid w:val="007A1A7A"/>
    <w:rsid w:val="007A1C6F"/>
    <w:rsid w:val="007A1EE8"/>
    <w:rsid w:val="007A21CF"/>
    <w:rsid w:val="007A239F"/>
    <w:rsid w:val="007A2410"/>
    <w:rsid w:val="007A2431"/>
    <w:rsid w:val="007A262F"/>
    <w:rsid w:val="007A28D4"/>
    <w:rsid w:val="007A2954"/>
    <w:rsid w:val="007A2BE6"/>
    <w:rsid w:val="007A2F3B"/>
    <w:rsid w:val="007A2FEB"/>
    <w:rsid w:val="007A331D"/>
    <w:rsid w:val="007A332B"/>
    <w:rsid w:val="007A3402"/>
    <w:rsid w:val="007A344F"/>
    <w:rsid w:val="007A3536"/>
    <w:rsid w:val="007A36FD"/>
    <w:rsid w:val="007A37D5"/>
    <w:rsid w:val="007A385A"/>
    <w:rsid w:val="007A391E"/>
    <w:rsid w:val="007A39C9"/>
    <w:rsid w:val="007A3ABE"/>
    <w:rsid w:val="007A3AF0"/>
    <w:rsid w:val="007A3AFF"/>
    <w:rsid w:val="007A3BE0"/>
    <w:rsid w:val="007A3BF3"/>
    <w:rsid w:val="007A40C8"/>
    <w:rsid w:val="007A4135"/>
    <w:rsid w:val="007A41A1"/>
    <w:rsid w:val="007A4370"/>
    <w:rsid w:val="007A444C"/>
    <w:rsid w:val="007A466E"/>
    <w:rsid w:val="007A4934"/>
    <w:rsid w:val="007A4935"/>
    <w:rsid w:val="007A496D"/>
    <w:rsid w:val="007A4A0D"/>
    <w:rsid w:val="007A4CBF"/>
    <w:rsid w:val="007A4D2E"/>
    <w:rsid w:val="007A4D34"/>
    <w:rsid w:val="007A5008"/>
    <w:rsid w:val="007A5651"/>
    <w:rsid w:val="007A58B8"/>
    <w:rsid w:val="007A5A30"/>
    <w:rsid w:val="007A5A9C"/>
    <w:rsid w:val="007A5ABF"/>
    <w:rsid w:val="007A5BD4"/>
    <w:rsid w:val="007A5CF5"/>
    <w:rsid w:val="007A5EA1"/>
    <w:rsid w:val="007A5F9B"/>
    <w:rsid w:val="007A5FDA"/>
    <w:rsid w:val="007A5FED"/>
    <w:rsid w:val="007A61BC"/>
    <w:rsid w:val="007A632D"/>
    <w:rsid w:val="007A63E8"/>
    <w:rsid w:val="007A63F0"/>
    <w:rsid w:val="007A6612"/>
    <w:rsid w:val="007A6640"/>
    <w:rsid w:val="007A6660"/>
    <w:rsid w:val="007A66CF"/>
    <w:rsid w:val="007A671B"/>
    <w:rsid w:val="007A675B"/>
    <w:rsid w:val="007A6855"/>
    <w:rsid w:val="007A69B0"/>
    <w:rsid w:val="007A6B0F"/>
    <w:rsid w:val="007A6B76"/>
    <w:rsid w:val="007A6C18"/>
    <w:rsid w:val="007A6C6D"/>
    <w:rsid w:val="007A6F4A"/>
    <w:rsid w:val="007A6F73"/>
    <w:rsid w:val="007A6FE3"/>
    <w:rsid w:val="007A6FEF"/>
    <w:rsid w:val="007A70A4"/>
    <w:rsid w:val="007A70C4"/>
    <w:rsid w:val="007A7299"/>
    <w:rsid w:val="007A729A"/>
    <w:rsid w:val="007A73A2"/>
    <w:rsid w:val="007A745B"/>
    <w:rsid w:val="007A74C3"/>
    <w:rsid w:val="007A7520"/>
    <w:rsid w:val="007A765F"/>
    <w:rsid w:val="007A76C5"/>
    <w:rsid w:val="007A7964"/>
    <w:rsid w:val="007A7AB0"/>
    <w:rsid w:val="007A7B30"/>
    <w:rsid w:val="007A7B58"/>
    <w:rsid w:val="007A7B6B"/>
    <w:rsid w:val="007A7C0B"/>
    <w:rsid w:val="007A7D61"/>
    <w:rsid w:val="007A7D87"/>
    <w:rsid w:val="007A7E2F"/>
    <w:rsid w:val="007A7E7B"/>
    <w:rsid w:val="007A7F54"/>
    <w:rsid w:val="007B008F"/>
    <w:rsid w:val="007B01CE"/>
    <w:rsid w:val="007B01DB"/>
    <w:rsid w:val="007B0284"/>
    <w:rsid w:val="007B02EB"/>
    <w:rsid w:val="007B03D9"/>
    <w:rsid w:val="007B0445"/>
    <w:rsid w:val="007B05EB"/>
    <w:rsid w:val="007B075D"/>
    <w:rsid w:val="007B083E"/>
    <w:rsid w:val="007B090E"/>
    <w:rsid w:val="007B091F"/>
    <w:rsid w:val="007B09DC"/>
    <w:rsid w:val="007B0A5C"/>
    <w:rsid w:val="007B0B7D"/>
    <w:rsid w:val="007B0B87"/>
    <w:rsid w:val="007B0D40"/>
    <w:rsid w:val="007B0EA9"/>
    <w:rsid w:val="007B0EF1"/>
    <w:rsid w:val="007B0FA9"/>
    <w:rsid w:val="007B1003"/>
    <w:rsid w:val="007B106F"/>
    <w:rsid w:val="007B1190"/>
    <w:rsid w:val="007B1334"/>
    <w:rsid w:val="007B13B3"/>
    <w:rsid w:val="007B14C0"/>
    <w:rsid w:val="007B14D5"/>
    <w:rsid w:val="007B15CC"/>
    <w:rsid w:val="007B1756"/>
    <w:rsid w:val="007B17D3"/>
    <w:rsid w:val="007B188F"/>
    <w:rsid w:val="007B1B24"/>
    <w:rsid w:val="007B1BA8"/>
    <w:rsid w:val="007B1C75"/>
    <w:rsid w:val="007B2039"/>
    <w:rsid w:val="007B2088"/>
    <w:rsid w:val="007B2157"/>
    <w:rsid w:val="007B2217"/>
    <w:rsid w:val="007B24B1"/>
    <w:rsid w:val="007B2677"/>
    <w:rsid w:val="007B2742"/>
    <w:rsid w:val="007B2813"/>
    <w:rsid w:val="007B2896"/>
    <w:rsid w:val="007B29A9"/>
    <w:rsid w:val="007B29C4"/>
    <w:rsid w:val="007B2A42"/>
    <w:rsid w:val="007B2A80"/>
    <w:rsid w:val="007B2DDC"/>
    <w:rsid w:val="007B2F1D"/>
    <w:rsid w:val="007B2F3B"/>
    <w:rsid w:val="007B3053"/>
    <w:rsid w:val="007B30AC"/>
    <w:rsid w:val="007B30AF"/>
    <w:rsid w:val="007B3183"/>
    <w:rsid w:val="007B325E"/>
    <w:rsid w:val="007B3477"/>
    <w:rsid w:val="007B34A1"/>
    <w:rsid w:val="007B3603"/>
    <w:rsid w:val="007B362B"/>
    <w:rsid w:val="007B36E9"/>
    <w:rsid w:val="007B39D4"/>
    <w:rsid w:val="007B3A60"/>
    <w:rsid w:val="007B3AC0"/>
    <w:rsid w:val="007B3C18"/>
    <w:rsid w:val="007B3C4C"/>
    <w:rsid w:val="007B3C7B"/>
    <w:rsid w:val="007B3E8B"/>
    <w:rsid w:val="007B40C1"/>
    <w:rsid w:val="007B419D"/>
    <w:rsid w:val="007B41B2"/>
    <w:rsid w:val="007B4221"/>
    <w:rsid w:val="007B4247"/>
    <w:rsid w:val="007B4328"/>
    <w:rsid w:val="007B4524"/>
    <w:rsid w:val="007B4718"/>
    <w:rsid w:val="007B479E"/>
    <w:rsid w:val="007B47DD"/>
    <w:rsid w:val="007B4875"/>
    <w:rsid w:val="007B48A8"/>
    <w:rsid w:val="007B4A09"/>
    <w:rsid w:val="007B4A22"/>
    <w:rsid w:val="007B4C92"/>
    <w:rsid w:val="007B4CE9"/>
    <w:rsid w:val="007B4D03"/>
    <w:rsid w:val="007B4FA7"/>
    <w:rsid w:val="007B5003"/>
    <w:rsid w:val="007B5014"/>
    <w:rsid w:val="007B5438"/>
    <w:rsid w:val="007B54A6"/>
    <w:rsid w:val="007B54DA"/>
    <w:rsid w:val="007B54E4"/>
    <w:rsid w:val="007B58B3"/>
    <w:rsid w:val="007B58C8"/>
    <w:rsid w:val="007B58E6"/>
    <w:rsid w:val="007B5908"/>
    <w:rsid w:val="007B59B2"/>
    <w:rsid w:val="007B5B0A"/>
    <w:rsid w:val="007B5B18"/>
    <w:rsid w:val="007B5B8D"/>
    <w:rsid w:val="007B5B9B"/>
    <w:rsid w:val="007B5D21"/>
    <w:rsid w:val="007B5DC0"/>
    <w:rsid w:val="007B5E2F"/>
    <w:rsid w:val="007B5EEE"/>
    <w:rsid w:val="007B601E"/>
    <w:rsid w:val="007B6104"/>
    <w:rsid w:val="007B61C2"/>
    <w:rsid w:val="007B6257"/>
    <w:rsid w:val="007B657C"/>
    <w:rsid w:val="007B6646"/>
    <w:rsid w:val="007B6748"/>
    <w:rsid w:val="007B69E1"/>
    <w:rsid w:val="007B6A76"/>
    <w:rsid w:val="007B6AD7"/>
    <w:rsid w:val="007B6BD8"/>
    <w:rsid w:val="007B6C0A"/>
    <w:rsid w:val="007B6D83"/>
    <w:rsid w:val="007B6DD1"/>
    <w:rsid w:val="007B6EA7"/>
    <w:rsid w:val="007B6EAE"/>
    <w:rsid w:val="007B6F0E"/>
    <w:rsid w:val="007B700D"/>
    <w:rsid w:val="007B71FB"/>
    <w:rsid w:val="007B7273"/>
    <w:rsid w:val="007B72B1"/>
    <w:rsid w:val="007B7548"/>
    <w:rsid w:val="007B76AB"/>
    <w:rsid w:val="007B791A"/>
    <w:rsid w:val="007B7938"/>
    <w:rsid w:val="007B79D3"/>
    <w:rsid w:val="007B79ED"/>
    <w:rsid w:val="007B7CB7"/>
    <w:rsid w:val="007B7D12"/>
    <w:rsid w:val="007B7D1F"/>
    <w:rsid w:val="007B7DE5"/>
    <w:rsid w:val="007B7E75"/>
    <w:rsid w:val="007B7F49"/>
    <w:rsid w:val="007C0031"/>
    <w:rsid w:val="007C01E3"/>
    <w:rsid w:val="007C0222"/>
    <w:rsid w:val="007C0308"/>
    <w:rsid w:val="007C03BE"/>
    <w:rsid w:val="007C040B"/>
    <w:rsid w:val="007C0572"/>
    <w:rsid w:val="007C05B4"/>
    <w:rsid w:val="007C0629"/>
    <w:rsid w:val="007C0974"/>
    <w:rsid w:val="007C0A0C"/>
    <w:rsid w:val="007C0A93"/>
    <w:rsid w:val="007C0B1C"/>
    <w:rsid w:val="007C0C14"/>
    <w:rsid w:val="007C0D1E"/>
    <w:rsid w:val="007C0D23"/>
    <w:rsid w:val="007C0DC9"/>
    <w:rsid w:val="007C0DDD"/>
    <w:rsid w:val="007C0E08"/>
    <w:rsid w:val="007C0F07"/>
    <w:rsid w:val="007C10F9"/>
    <w:rsid w:val="007C111F"/>
    <w:rsid w:val="007C121C"/>
    <w:rsid w:val="007C1228"/>
    <w:rsid w:val="007C136C"/>
    <w:rsid w:val="007C1380"/>
    <w:rsid w:val="007C13DF"/>
    <w:rsid w:val="007C142C"/>
    <w:rsid w:val="007C14CD"/>
    <w:rsid w:val="007C157E"/>
    <w:rsid w:val="007C1631"/>
    <w:rsid w:val="007C1646"/>
    <w:rsid w:val="007C176D"/>
    <w:rsid w:val="007C17AC"/>
    <w:rsid w:val="007C18B8"/>
    <w:rsid w:val="007C18C9"/>
    <w:rsid w:val="007C194C"/>
    <w:rsid w:val="007C1A6F"/>
    <w:rsid w:val="007C1ACC"/>
    <w:rsid w:val="007C1C9B"/>
    <w:rsid w:val="007C1CDD"/>
    <w:rsid w:val="007C1CE9"/>
    <w:rsid w:val="007C1DF0"/>
    <w:rsid w:val="007C1E38"/>
    <w:rsid w:val="007C1EC0"/>
    <w:rsid w:val="007C1F13"/>
    <w:rsid w:val="007C1F94"/>
    <w:rsid w:val="007C208C"/>
    <w:rsid w:val="007C20E0"/>
    <w:rsid w:val="007C2136"/>
    <w:rsid w:val="007C2281"/>
    <w:rsid w:val="007C22EC"/>
    <w:rsid w:val="007C232B"/>
    <w:rsid w:val="007C23CE"/>
    <w:rsid w:val="007C2477"/>
    <w:rsid w:val="007C24FE"/>
    <w:rsid w:val="007C2545"/>
    <w:rsid w:val="007C2562"/>
    <w:rsid w:val="007C26C3"/>
    <w:rsid w:val="007C26CB"/>
    <w:rsid w:val="007C2A29"/>
    <w:rsid w:val="007C2B4F"/>
    <w:rsid w:val="007C2B6A"/>
    <w:rsid w:val="007C2C5A"/>
    <w:rsid w:val="007C2ECE"/>
    <w:rsid w:val="007C2F24"/>
    <w:rsid w:val="007C2F6E"/>
    <w:rsid w:val="007C3059"/>
    <w:rsid w:val="007C308F"/>
    <w:rsid w:val="007C3190"/>
    <w:rsid w:val="007C31F8"/>
    <w:rsid w:val="007C32E6"/>
    <w:rsid w:val="007C34F0"/>
    <w:rsid w:val="007C3865"/>
    <w:rsid w:val="007C39E5"/>
    <w:rsid w:val="007C3AD9"/>
    <w:rsid w:val="007C3C69"/>
    <w:rsid w:val="007C3D1A"/>
    <w:rsid w:val="007C3E56"/>
    <w:rsid w:val="007C3ECE"/>
    <w:rsid w:val="007C3F7B"/>
    <w:rsid w:val="007C417D"/>
    <w:rsid w:val="007C4185"/>
    <w:rsid w:val="007C4244"/>
    <w:rsid w:val="007C44E4"/>
    <w:rsid w:val="007C47BC"/>
    <w:rsid w:val="007C480A"/>
    <w:rsid w:val="007C485A"/>
    <w:rsid w:val="007C4865"/>
    <w:rsid w:val="007C48ED"/>
    <w:rsid w:val="007C4A1B"/>
    <w:rsid w:val="007C4A5D"/>
    <w:rsid w:val="007C4A6D"/>
    <w:rsid w:val="007C4B20"/>
    <w:rsid w:val="007C4C64"/>
    <w:rsid w:val="007C4E47"/>
    <w:rsid w:val="007C4EC4"/>
    <w:rsid w:val="007C504C"/>
    <w:rsid w:val="007C50B8"/>
    <w:rsid w:val="007C513F"/>
    <w:rsid w:val="007C51A7"/>
    <w:rsid w:val="007C520C"/>
    <w:rsid w:val="007C5382"/>
    <w:rsid w:val="007C5393"/>
    <w:rsid w:val="007C5410"/>
    <w:rsid w:val="007C551C"/>
    <w:rsid w:val="007C55F1"/>
    <w:rsid w:val="007C575F"/>
    <w:rsid w:val="007C577B"/>
    <w:rsid w:val="007C5910"/>
    <w:rsid w:val="007C5E37"/>
    <w:rsid w:val="007C5E3B"/>
    <w:rsid w:val="007C5ED2"/>
    <w:rsid w:val="007C60E6"/>
    <w:rsid w:val="007C61F1"/>
    <w:rsid w:val="007C61F5"/>
    <w:rsid w:val="007C6326"/>
    <w:rsid w:val="007C6605"/>
    <w:rsid w:val="007C660C"/>
    <w:rsid w:val="007C664D"/>
    <w:rsid w:val="007C67D7"/>
    <w:rsid w:val="007C67E3"/>
    <w:rsid w:val="007C68E9"/>
    <w:rsid w:val="007C6941"/>
    <w:rsid w:val="007C6C1B"/>
    <w:rsid w:val="007C6C60"/>
    <w:rsid w:val="007C6FB4"/>
    <w:rsid w:val="007C7141"/>
    <w:rsid w:val="007C7224"/>
    <w:rsid w:val="007C72CF"/>
    <w:rsid w:val="007C7359"/>
    <w:rsid w:val="007C7519"/>
    <w:rsid w:val="007C751D"/>
    <w:rsid w:val="007C770D"/>
    <w:rsid w:val="007C7A0B"/>
    <w:rsid w:val="007C7A25"/>
    <w:rsid w:val="007C7B3C"/>
    <w:rsid w:val="007C7ED8"/>
    <w:rsid w:val="007C7F46"/>
    <w:rsid w:val="007D000A"/>
    <w:rsid w:val="007D01B2"/>
    <w:rsid w:val="007D01CC"/>
    <w:rsid w:val="007D0460"/>
    <w:rsid w:val="007D04C2"/>
    <w:rsid w:val="007D065A"/>
    <w:rsid w:val="007D06E8"/>
    <w:rsid w:val="007D0917"/>
    <w:rsid w:val="007D0982"/>
    <w:rsid w:val="007D0AC3"/>
    <w:rsid w:val="007D0BA6"/>
    <w:rsid w:val="007D0BAD"/>
    <w:rsid w:val="007D0C42"/>
    <w:rsid w:val="007D0CA1"/>
    <w:rsid w:val="007D0DE4"/>
    <w:rsid w:val="007D0E7E"/>
    <w:rsid w:val="007D0FF4"/>
    <w:rsid w:val="007D1065"/>
    <w:rsid w:val="007D12BC"/>
    <w:rsid w:val="007D12C8"/>
    <w:rsid w:val="007D12E3"/>
    <w:rsid w:val="007D147E"/>
    <w:rsid w:val="007D1480"/>
    <w:rsid w:val="007D1643"/>
    <w:rsid w:val="007D1670"/>
    <w:rsid w:val="007D1680"/>
    <w:rsid w:val="007D1686"/>
    <w:rsid w:val="007D1788"/>
    <w:rsid w:val="007D181E"/>
    <w:rsid w:val="007D184B"/>
    <w:rsid w:val="007D1874"/>
    <w:rsid w:val="007D18B3"/>
    <w:rsid w:val="007D1A3C"/>
    <w:rsid w:val="007D1A47"/>
    <w:rsid w:val="007D1BC2"/>
    <w:rsid w:val="007D1C3D"/>
    <w:rsid w:val="007D1E5C"/>
    <w:rsid w:val="007D1ECD"/>
    <w:rsid w:val="007D1F3C"/>
    <w:rsid w:val="007D2157"/>
    <w:rsid w:val="007D216F"/>
    <w:rsid w:val="007D22BC"/>
    <w:rsid w:val="007D22DF"/>
    <w:rsid w:val="007D23D1"/>
    <w:rsid w:val="007D2520"/>
    <w:rsid w:val="007D28DA"/>
    <w:rsid w:val="007D2B25"/>
    <w:rsid w:val="007D2CB7"/>
    <w:rsid w:val="007D2D28"/>
    <w:rsid w:val="007D2F6A"/>
    <w:rsid w:val="007D2FA4"/>
    <w:rsid w:val="007D2FCC"/>
    <w:rsid w:val="007D34EB"/>
    <w:rsid w:val="007D350D"/>
    <w:rsid w:val="007D3561"/>
    <w:rsid w:val="007D3664"/>
    <w:rsid w:val="007D36D9"/>
    <w:rsid w:val="007D394E"/>
    <w:rsid w:val="007D39EF"/>
    <w:rsid w:val="007D3AB0"/>
    <w:rsid w:val="007D3D88"/>
    <w:rsid w:val="007D3E8D"/>
    <w:rsid w:val="007D3F0D"/>
    <w:rsid w:val="007D4046"/>
    <w:rsid w:val="007D4253"/>
    <w:rsid w:val="007D426E"/>
    <w:rsid w:val="007D428E"/>
    <w:rsid w:val="007D42FA"/>
    <w:rsid w:val="007D438A"/>
    <w:rsid w:val="007D43F9"/>
    <w:rsid w:val="007D4424"/>
    <w:rsid w:val="007D44DB"/>
    <w:rsid w:val="007D461B"/>
    <w:rsid w:val="007D4643"/>
    <w:rsid w:val="007D48A2"/>
    <w:rsid w:val="007D48CA"/>
    <w:rsid w:val="007D4A8B"/>
    <w:rsid w:val="007D4B89"/>
    <w:rsid w:val="007D4C11"/>
    <w:rsid w:val="007D4C56"/>
    <w:rsid w:val="007D4D64"/>
    <w:rsid w:val="007D4DB8"/>
    <w:rsid w:val="007D4E56"/>
    <w:rsid w:val="007D53AB"/>
    <w:rsid w:val="007D5401"/>
    <w:rsid w:val="007D54C6"/>
    <w:rsid w:val="007D55AB"/>
    <w:rsid w:val="007D55CF"/>
    <w:rsid w:val="007D56CE"/>
    <w:rsid w:val="007D57DA"/>
    <w:rsid w:val="007D592B"/>
    <w:rsid w:val="007D5991"/>
    <w:rsid w:val="007D5AA6"/>
    <w:rsid w:val="007D5B1D"/>
    <w:rsid w:val="007D5BB6"/>
    <w:rsid w:val="007D5CAB"/>
    <w:rsid w:val="007D5D6C"/>
    <w:rsid w:val="007D5D8D"/>
    <w:rsid w:val="007D5E03"/>
    <w:rsid w:val="007D608F"/>
    <w:rsid w:val="007D6165"/>
    <w:rsid w:val="007D6379"/>
    <w:rsid w:val="007D64AD"/>
    <w:rsid w:val="007D654C"/>
    <w:rsid w:val="007D668A"/>
    <w:rsid w:val="007D66A3"/>
    <w:rsid w:val="007D67FB"/>
    <w:rsid w:val="007D682D"/>
    <w:rsid w:val="007D6965"/>
    <w:rsid w:val="007D6A0F"/>
    <w:rsid w:val="007D6B31"/>
    <w:rsid w:val="007D6BF3"/>
    <w:rsid w:val="007D6BFE"/>
    <w:rsid w:val="007D6C57"/>
    <w:rsid w:val="007D6C7B"/>
    <w:rsid w:val="007D6CD0"/>
    <w:rsid w:val="007D6CFE"/>
    <w:rsid w:val="007D6D7A"/>
    <w:rsid w:val="007D6ED3"/>
    <w:rsid w:val="007D6F3F"/>
    <w:rsid w:val="007D7340"/>
    <w:rsid w:val="007D7346"/>
    <w:rsid w:val="007D75D6"/>
    <w:rsid w:val="007D7657"/>
    <w:rsid w:val="007D76A6"/>
    <w:rsid w:val="007D76DD"/>
    <w:rsid w:val="007D7895"/>
    <w:rsid w:val="007D78A4"/>
    <w:rsid w:val="007D78E8"/>
    <w:rsid w:val="007D7A91"/>
    <w:rsid w:val="007D7AEE"/>
    <w:rsid w:val="007D7B50"/>
    <w:rsid w:val="007D7C21"/>
    <w:rsid w:val="007D7C22"/>
    <w:rsid w:val="007D7DE6"/>
    <w:rsid w:val="007D7F4B"/>
    <w:rsid w:val="007D7FBC"/>
    <w:rsid w:val="007E006F"/>
    <w:rsid w:val="007E010A"/>
    <w:rsid w:val="007E0148"/>
    <w:rsid w:val="007E01D7"/>
    <w:rsid w:val="007E029F"/>
    <w:rsid w:val="007E02FD"/>
    <w:rsid w:val="007E04A9"/>
    <w:rsid w:val="007E05C1"/>
    <w:rsid w:val="007E05FC"/>
    <w:rsid w:val="007E0626"/>
    <w:rsid w:val="007E0653"/>
    <w:rsid w:val="007E068D"/>
    <w:rsid w:val="007E07BA"/>
    <w:rsid w:val="007E088A"/>
    <w:rsid w:val="007E08CA"/>
    <w:rsid w:val="007E090A"/>
    <w:rsid w:val="007E0AC7"/>
    <w:rsid w:val="007E0AD3"/>
    <w:rsid w:val="007E0C9D"/>
    <w:rsid w:val="007E0D8F"/>
    <w:rsid w:val="007E0E15"/>
    <w:rsid w:val="007E0E3F"/>
    <w:rsid w:val="007E0E52"/>
    <w:rsid w:val="007E0E84"/>
    <w:rsid w:val="007E0EF0"/>
    <w:rsid w:val="007E0F44"/>
    <w:rsid w:val="007E0FA3"/>
    <w:rsid w:val="007E132E"/>
    <w:rsid w:val="007E1332"/>
    <w:rsid w:val="007E142D"/>
    <w:rsid w:val="007E1577"/>
    <w:rsid w:val="007E1737"/>
    <w:rsid w:val="007E1964"/>
    <w:rsid w:val="007E1973"/>
    <w:rsid w:val="007E19A7"/>
    <w:rsid w:val="007E1C3E"/>
    <w:rsid w:val="007E1C7C"/>
    <w:rsid w:val="007E1CA1"/>
    <w:rsid w:val="007E2190"/>
    <w:rsid w:val="007E235F"/>
    <w:rsid w:val="007E2483"/>
    <w:rsid w:val="007E259D"/>
    <w:rsid w:val="007E26B1"/>
    <w:rsid w:val="007E26B6"/>
    <w:rsid w:val="007E26DC"/>
    <w:rsid w:val="007E2764"/>
    <w:rsid w:val="007E27B2"/>
    <w:rsid w:val="007E2BF5"/>
    <w:rsid w:val="007E2C79"/>
    <w:rsid w:val="007E2CA6"/>
    <w:rsid w:val="007E2CFB"/>
    <w:rsid w:val="007E2D86"/>
    <w:rsid w:val="007E2DA2"/>
    <w:rsid w:val="007E2DB9"/>
    <w:rsid w:val="007E3189"/>
    <w:rsid w:val="007E31C4"/>
    <w:rsid w:val="007E3305"/>
    <w:rsid w:val="007E3355"/>
    <w:rsid w:val="007E3423"/>
    <w:rsid w:val="007E35C9"/>
    <w:rsid w:val="007E379D"/>
    <w:rsid w:val="007E3819"/>
    <w:rsid w:val="007E3824"/>
    <w:rsid w:val="007E3900"/>
    <w:rsid w:val="007E3974"/>
    <w:rsid w:val="007E39AD"/>
    <w:rsid w:val="007E39C7"/>
    <w:rsid w:val="007E3A0D"/>
    <w:rsid w:val="007E3B00"/>
    <w:rsid w:val="007E3C46"/>
    <w:rsid w:val="007E3DC1"/>
    <w:rsid w:val="007E3F65"/>
    <w:rsid w:val="007E4041"/>
    <w:rsid w:val="007E409D"/>
    <w:rsid w:val="007E40C1"/>
    <w:rsid w:val="007E40C8"/>
    <w:rsid w:val="007E4256"/>
    <w:rsid w:val="007E4356"/>
    <w:rsid w:val="007E4480"/>
    <w:rsid w:val="007E44BD"/>
    <w:rsid w:val="007E44BF"/>
    <w:rsid w:val="007E461C"/>
    <w:rsid w:val="007E462C"/>
    <w:rsid w:val="007E474D"/>
    <w:rsid w:val="007E4871"/>
    <w:rsid w:val="007E48C9"/>
    <w:rsid w:val="007E4B1E"/>
    <w:rsid w:val="007E4B31"/>
    <w:rsid w:val="007E4B7D"/>
    <w:rsid w:val="007E4CC6"/>
    <w:rsid w:val="007E4CD3"/>
    <w:rsid w:val="007E4DA7"/>
    <w:rsid w:val="007E4FC5"/>
    <w:rsid w:val="007E505F"/>
    <w:rsid w:val="007E50E9"/>
    <w:rsid w:val="007E545C"/>
    <w:rsid w:val="007E547B"/>
    <w:rsid w:val="007E552D"/>
    <w:rsid w:val="007E5544"/>
    <w:rsid w:val="007E5A45"/>
    <w:rsid w:val="007E5C50"/>
    <w:rsid w:val="007E5C6D"/>
    <w:rsid w:val="007E5CF2"/>
    <w:rsid w:val="007E5D1C"/>
    <w:rsid w:val="007E5FF2"/>
    <w:rsid w:val="007E623F"/>
    <w:rsid w:val="007E6250"/>
    <w:rsid w:val="007E6456"/>
    <w:rsid w:val="007E66D6"/>
    <w:rsid w:val="007E674E"/>
    <w:rsid w:val="007E6AD9"/>
    <w:rsid w:val="007E6B72"/>
    <w:rsid w:val="007E6BC5"/>
    <w:rsid w:val="007E6E47"/>
    <w:rsid w:val="007E7016"/>
    <w:rsid w:val="007E7056"/>
    <w:rsid w:val="007E7132"/>
    <w:rsid w:val="007E73A4"/>
    <w:rsid w:val="007E73CA"/>
    <w:rsid w:val="007E7464"/>
    <w:rsid w:val="007E74FE"/>
    <w:rsid w:val="007E7551"/>
    <w:rsid w:val="007E75C4"/>
    <w:rsid w:val="007E7695"/>
    <w:rsid w:val="007E7781"/>
    <w:rsid w:val="007E788C"/>
    <w:rsid w:val="007E7942"/>
    <w:rsid w:val="007E7959"/>
    <w:rsid w:val="007E7B56"/>
    <w:rsid w:val="007E7C50"/>
    <w:rsid w:val="007E7D41"/>
    <w:rsid w:val="007E7D6B"/>
    <w:rsid w:val="007E7E71"/>
    <w:rsid w:val="007E7E77"/>
    <w:rsid w:val="007E7EE8"/>
    <w:rsid w:val="007F000C"/>
    <w:rsid w:val="007F002B"/>
    <w:rsid w:val="007F0166"/>
    <w:rsid w:val="007F0179"/>
    <w:rsid w:val="007F01AA"/>
    <w:rsid w:val="007F01F2"/>
    <w:rsid w:val="007F0273"/>
    <w:rsid w:val="007F0324"/>
    <w:rsid w:val="007F0364"/>
    <w:rsid w:val="007F03BD"/>
    <w:rsid w:val="007F0591"/>
    <w:rsid w:val="007F061E"/>
    <w:rsid w:val="007F0724"/>
    <w:rsid w:val="007F0757"/>
    <w:rsid w:val="007F082D"/>
    <w:rsid w:val="007F0F4F"/>
    <w:rsid w:val="007F0F79"/>
    <w:rsid w:val="007F1136"/>
    <w:rsid w:val="007F12C0"/>
    <w:rsid w:val="007F12CA"/>
    <w:rsid w:val="007F1400"/>
    <w:rsid w:val="007F144A"/>
    <w:rsid w:val="007F1848"/>
    <w:rsid w:val="007F1954"/>
    <w:rsid w:val="007F1984"/>
    <w:rsid w:val="007F1AE5"/>
    <w:rsid w:val="007F1AF4"/>
    <w:rsid w:val="007F1B01"/>
    <w:rsid w:val="007F1D7B"/>
    <w:rsid w:val="007F1E3B"/>
    <w:rsid w:val="007F1F67"/>
    <w:rsid w:val="007F208B"/>
    <w:rsid w:val="007F2143"/>
    <w:rsid w:val="007F240B"/>
    <w:rsid w:val="007F246A"/>
    <w:rsid w:val="007F2478"/>
    <w:rsid w:val="007F247F"/>
    <w:rsid w:val="007F25BB"/>
    <w:rsid w:val="007F268A"/>
    <w:rsid w:val="007F2690"/>
    <w:rsid w:val="007F26DD"/>
    <w:rsid w:val="007F27EE"/>
    <w:rsid w:val="007F2A44"/>
    <w:rsid w:val="007F2BA8"/>
    <w:rsid w:val="007F2CF1"/>
    <w:rsid w:val="007F2D3C"/>
    <w:rsid w:val="007F2E18"/>
    <w:rsid w:val="007F2E6B"/>
    <w:rsid w:val="007F2FF6"/>
    <w:rsid w:val="007F301D"/>
    <w:rsid w:val="007F3090"/>
    <w:rsid w:val="007F3106"/>
    <w:rsid w:val="007F322B"/>
    <w:rsid w:val="007F352D"/>
    <w:rsid w:val="007F3857"/>
    <w:rsid w:val="007F3A5D"/>
    <w:rsid w:val="007F3B2A"/>
    <w:rsid w:val="007F3D25"/>
    <w:rsid w:val="007F4066"/>
    <w:rsid w:val="007F42CE"/>
    <w:rsid w:val="007F4380"/>
    <w:rsid w:val="007F43BE"/>
    <w:rsid w:val="007F43EA"/>
    <w:rsid w:val="007F4463"/>
    <w:rsid w:val="007F4490"/>
    <w:rsid w:val="007F48BB"/>
    <w:rsid w:val="007F4B1F"/>
    <w:rsid w:val="007F4B29"/>
    <w:rsid w:val="007F4B69"/>
    <w:rsid w:val="007F4CBD"/>
    <w:rsid w:val="007F4CFE"/>
    <w:rsid w:val="007F4DF8"/>
    <w:rsid w:val="007F4F78"/>
    <w:rsid w:val="007F4FA0"/>
    <w:rsid w:val="007F4FB8"/>
    <w:rsid w:val="007F505A"/>
    <w:rsid w:val="007F51C4"/>
    <w:rsid w:val="007F5206"/>
    <w:rsid w:val="007F53C7"/>
    <w:rsid w:val="007F5427"/>
    <w:rsid w:val="007F556B"/>
    <w:rsid w:val="007F5965"/>
    <w:rsid w:val="007F59C3"/>
    <w:rsid w:val="007F5B06"/>
    <w:rsid w:val="007F5C33"/>
    <w:rsid w:val="007F5E0E"/>
    <w:rsid w:val="007F5E50"/>
    <w:rsid w:val="007F5F4C"/>
    <w:rsid w:val="007F601E"/>
    <w:rsid w:val="007F6085"/>
    <w:rsid w:val="007F60B3"/>
    <w:rsid w:val="007F6164"/>
    <w:rsid w:val="007F6530"/>
    <w:rsid w:val="007F65A2"/>
    <w:rsid w:val="007F65CB"/>
    <w:rsid w:val="007F6617"/>
    <w:rsid w:val="007F664E"/>
    <w:rsid w:val="007F666B"/>
    <w:rsid w:val="007F688B"/>
    <w:rsid w:val="007F6A0B"/>
    <w:rsid w:val="007F6AF1"/>
    <w:rsid w:val="007F6B4E"/>
    <w:rsid w:val="007F6B68"/>
    <w:rsid w:val="007F6CA3"/>
    <w:rsid w:val="007F6CB2"/>
    <w:rsid w:val="007F6CD2"/>
    <w:rsid w:val="007F6EBF"/>
    <w:rsid w:val="007F7054"/>
    <w:rsid w:val="007F7236"/>
    <w:rsid w:val="007F7250"/>
    <w:rsid w:val="007F7558"/>
    <w:rsid w:val="007F77BF"/>
    <w:rsid w:val="007F782B"/>
    <w:rsid w:val="007F7A54"/>
    <w:rsid w:val="007F7E0A"/>
    <w:rsid w:val="007F7E6B"/>
    <w:rsid w:val="007F7F91"/>
    <w:rsid w:val="0080000F"/>
    <w:rsid w:val="0080004E"/>
    <w:rsid w:val="00800083"/>
    <w:rsid w:val="008000D2"/>
    <w:rsid w:val="008000E2"/>
    <w:rsid w:val="008001A8"/>
    <w:rsid w:val="00800248"/>
    <w:rsid w:val="0080036F"/>
    <w:rsid w:val="00800493"/>
    <w:rsid w:val="00800511"/>
    <w:rsid w:val="00800520"/>
    <w:rsid w:val="00800974"/>
    <w:rsid w:val="00800A54"/>
    <w:rsid w:val="00800C7C"/>
    <w:rsid w:val="00800CDB"/>
    <w:rsid w:val="00800CEF"/>
    <w:rsid w:val="00800D80"/>
    <w:rsid w:val="00800DFE"/>
    <w:rsid w:val="00800E68"/>
    <w:rsid w:val="00800ED9"/>
    <w:rsid w:val="00800F00"/>
    <w:rsid w:val="00800F9E"/>
    <w:rsid w:val="00800FE7"/>
    <w:rsid w:val="00801012"/>
    <w:rsid w:val="0080104F"/>
    <w:rsid w:val="00801334"/>
    <w:rsid w:val="008014D8"/>
    <w:rsid w:val="00801556"/>
    <w:rsid w:val="00801658"/>
    <w:rsid w:val="008018EC"/>
    <w:rsid w:val="008018F3"/>
    <w:rsid w:val="00801C3A"/>
    <w:rsid w:val="00801CF9"/>
    <w:rsid w:val="00801D41"/>
    <w:rsid w:val="00801F80"/>
    <w:rsid w:val="00801F9D"/>
    <w:rsid w:val="00801FA4"/>
    <w:rsid w:val="008021B3"/>
    <w:rsid w:val="00802274"/>
    <w:rsid w:val="00802314"/>
    <w:rsid w:val="00802379"/>
    <w:rsid w:val="0080260C"/>
    <w:rsid w:val="008026D8"/>
    <w:rsid w:val="00802775"/>
    <w:rsid w:val="00802A8D"/>
    <w:rsid w:val="00802B37"/>
    <w:rsid w:val="00802B51"/>
    <w:rsid w:val="00802D1F"/>
    <w:rsid w:val="00802D74"/>
    <w:rsid w:val="00802DBF"/>
    <w:rsid w:val="00802E40"/>
    <w:rsid w:val="00803183"/>
    <w:rsid w:val="0080339F"/>
    <w:rsid w:val="0080352E"/>
    <w:rsid w:val="00803537"/>
    <w:rsid w:val="00803542"/>
    <w:rsid w:val="0080360E"/>
    <w:rsid w:val="0080361E"/>
    <w:rsid w:val="008036AB"/>
    <w:rsid w:val="00803726"/>
    <w:rsid w:val="0080378D"/>
    <w:rsid w:val="008037B3"/>
    <w:rsid w:val="008038BE"/>
    <w:rsid w:val="008039FA"/>
    <w:rsid w:val="00803AEA"/>
    <w:rsid w:val="00803B74"/>
    <w:rsid w:val="00803C8D"/>
    <w:rsid w:val="00803CAA"/>
    <w:rsid w:val="00803E80"/>
    <w:rsid w:val="00803E9F"/>
    <w:rsid w:val="00803EE7"/>
    <w:rsid w:val="00803F3A"/>
    <w:rsid w:val="00804013"/>
    <w:rsid w:val="0080426B"/>
    <w:rsid w:val="008045E6"/>
    <w:rsid w:val="00804921"/>
    <w:rsid w:val="00804AAC"/>
    <w:rsid w:val="00804ADC"/>
    <w:rsid w:val="00804B61"/>
    <w:rsid w:val="00804C25"/>
    <w:rsid w:val="00804CE3"/>
    <w:rsid w:val="00804D02"/>
    <w:rsid w:val="008050D9"/>
    <w:rsid w:val="0080531D"/>
    <w:rsid w:val="008053EC"/>
    <w:rsid w:val="00805415"/>
    <w:rsid w:val="0080557E"/>
    <w:rsid w:val="0080584F"/>
    <w:rsid w:val="008058C6"/>
    <w:rsid w:val="00805B41"/>
    <w:rsid w:val="00805BA9"/>
    <w:rsid w:val="00805C33"/>
    <w:rsid w:val="00805D68"/>
    <w:rsid w:val="00805DAC"/>
    <w:rsid w:val="0080609D"/>
    <w:rsid w:val="008060CD"/>
    <w:rsid w:val="008060E6"/>
    <w:rsid w:val="00806102"/>
    <w:rsid w:val="0080633E"/>
    <w:rsid w:val="008063C8"/>
    <w:rsid w:val="00806636"/>
    <w:rsid w:val="008067B9"/>
    <w:rsid w:val="008067FB"/>
    <w:rsid w:val="00806A62"/>
    <w:rsid w:val="00806A9D"/>
    <w:rsid w:val="00806A9E"/>
    <w:rsid w:val="00806C16"/>
    <w:rsid w:val="00806DAE"/>
    <w:rsid w:val="00807140"/>
    <w:rsid w:val="008071C3"/>
    <w:rsid w:val="00807270"/>
    <w:rsid w:val="008072F9"/>
    <w:rsid w:val="008074EB"/>
    <w:rsid w:val="00807651"/>
    <w:rsid w:val="008077EE"/>
    <w:rsid w:val="008079A3"/>
    <w:rsid w:val="00807B6B"/>
    <w:rsid w:val="00807D15"/>
    <w:rsid w:val="00807D61"/>
    <w:rsid w:val="00807E3E"/>
    <w:rsid w:val="00807E9A"/>
    <w:rsid w:val="00807EBE"/>
    <w:rsid w:val="00807EF5"/>
    <w:rsid w:val="0081009D"/>
    <w:rsid w:val="00810254"/>
    <w:rsid w:val="008102BD"/>
    <w:rsid w:val="00810301"/>
    <w:rsid w:val="00810562"/>
    <w:rsid w:val="00810670"/>
    <w:rsid w:val="00810736"/>
    <w:rsid w:val="008107B5"/>
    <w:rsid w:val="00810980"/>
    <w:rsid w:val="008109FE"/>
    <w:rsid w:val="00810C8E"/>
    <w:rsid w:val="008111EE"/>
    <w:rsid w:val="008112BA"/>
    <w:rsid w:val="00811335"/>
    <w:rsid w:val="00811908"/>
    <w:rsid w:val="00811943"/>
    <w:rsid w:val="00811A3C"/>
    <w:rsid w:val="00811C5C"/>
    <w:rsid w:val="00811CBC"/>
    <w:rsid w:val="00811DB2"/>
    <w:rsid w:val="00811E3E"/>
    <w:rsid w:val="0081200A"/>
    <w:rsid w:val="0081202A"/>
    <w:rsid w:val="00812082"/>
    <w:rsid w:val="008121DD"/>
    <w:rsid w:val="00812317"/>
    <w:rsid w:val="0081246F"/>
    <w:rsid w:val="0081257E"/>
    <w:rsid w:val="00812589"/>
    <w:rsid w:val="00812657"/>
    <w:rsid w:val="008126E0"/>
    <w:rsid w:val="00812876"/>
    <w:rsid w:val="00812929"/>
    <w:rsid w:val="00812C6A"/>
    <w:rsid w:val="00812EA7"/>
    <w:rsid w:val="00812F12"/>
    <w:rsid w:val="00813039"/>
    <w:rsid w:val="008130AB"/>
    <w:rsid w:val="00813362"/>
    <w:rsid w:val="008133BA"/>
    <w:rsid w:val="008133E6"/>
    <w:rsid w:val="0081343B"/>
    <w:rsid w:val="008134FB"/>
    <w:rsid w:val="0081354C"/>
    <w:rsid w:val="00813639"/>
    <w:rsid w:val="0081364A"/>
    <w:rsid w:val="00813698"/>
    <w:rsid w:val="0081384A"/>
    <w:rsid w:val="00813C7E"/>
    <w:rsid w:val="00813E87"/>
    <w:rsid w:val="00813EE7"/>
    <w:rsid w:val="008140E8"/>
    <w:rsid w:val="008141B4"/>
    <w:rsid w:val="008141F8"/>
    <w:rsid w:val="008143E8"/>
    <w:rsid w:val="0081447B"/>
    <w:rsid w:val="0081448B"/>
    <w:rsid w:val="0081452E"/>
    <w:rsid w:val="00814609"/>
    <w:rsid w:val="00814801"/>
    <w:rsid w:val="00814940"/>
    <w:rsid w:val="00814A54"/>
    <w:rsid w:val="00814AB8"/>
    <w:rsid w:val="00814CAD"/>
    <w:rsid w:val="00814CAF"/>
    <w:rsid w:val="00814E9F"/>
    <w:rsid w:val="00814EB8"/>
    <w:rsid w:val="008150DE"/>
    <w:rsid w:val="0081518A"/>
    <w:rsid w:val="008151E8"/>
    <w:rsid w:val="00815241"/>
    <w:rsid w:val="00815474"/>
    <w:rsid w:val="008154A5"/>
    <w:rsid w:val="008154ED"/>
    <w:rsid w:val="0081551A"/>
    <w:rsid w:val="0081567D"/>
    <w:rsid w:val="00815695"/>
    <w:rsid w:val="0081584E"/>
    <w:rsid w:val="008159C8"/>
    <w:rsid w:val="00815A21"/>
    <w:rsid w:val="00815B31"/>
    <w:rsid w:val="00815C81"/>
    <w:rsid w:val="00815CE0"/>
    <w:rsid w:val="00815D2E"/>
    <w:rsid w:val="00815DB1"/>
    <w:rsid w:val="00815DC8"/>
    <w:rsid w:val="00815E6F"/>
    <w:rsid w:val="00816035"/>
    <w:rsid w:val="00816113"/>
    <w:rsid w:val="00816382"/>
    <w:rsid w:val="008163A8"/>
    <w:rsid w:val="0081654A"/>
    <w:rsid w:val="0081674B"/>
    <w:rsid w:val="008167E8"/>
    <w:rsid w:val="008168AA"/>
    <w:rsid w:val="0081695C"/>
    <w:rsid w:val="0081699A"/>
    <w:rsid w:val="00816B6C"/>
    <w:rsid w:val="00816BD6"/>
    <w:rsid w:val="00816DE1"/>
    <w:rsid w:val="00816E23"/>
    <w:rsid w:val="00816EC0"/>
    <w:rsid w:val="00816F44"/>
    <w:rsid w:val="0081712B"/>
    <w:rsid w:val="0081712F"/>
    <w:rsid w:val="0081714B"/>
    <w:rsid w:val="008172EF"/>
    <w:rsid w:val="00817341"/>
    <w:rsid w:val="008174E6"/>
    <w:rsid w:val="008175B8"/>
    <w:rsid w:val="00817627"/>
    <w:rsid w:val="008176CD"/>
    <w:rsid w:val="00817898"/>
    <w:rsid w:val="00817937"/>
    <w:rsid w:val="00817A11"/>
    <w:rsid w:val="00817A44"/>
    <w:rsid w:val="00817A94"/>
    <w:rsid w:val="00817AF6"/>
    <w:rsid w:val="00817B71"/>
    <w:rsid w:val="00817C06"/>
    <w:rsid w:val="00817EF3"/>
    <w:rsid w:val="00817EFD"/>
    <w:rsid w:val="00817F6C"/>
    <w:rsid w:val="0082006C"/>
    <w:rsid w:val="00820084"/>
    <w:rsid w:val="00820207"/>
    <w:rsid w:val="0082020C"/>
    <w:rsid w:val="008203FC"/>
    <w:rsid w:val="00820545"/>
    <w:rsid w:val="00820580"/>
    <w:rsid w:val="00820591"/>
    <w:rsid w:val="00820600"/>
    <w:rsid w:val="00820668"/>
    <w:rsid w:val="00820692"/>
    <w:rsid w:val="0082092A"/>
    <w:rsid w:val="00820B32"/>
    <w:rsid w:val="00820B58"/>
    <w:rsid w:val="00820CF2"/>
    <w:rsid w:val="00820E37"/>
    <w:rsid w:val="00821267"/>
    <w:rsid w:val="0082137E"/>
    <w:rsid w:val="008213E3"/>
    <w:rsid w:val="0082141F"/>
    <w:rsid w:val="0082149D"/>
    <w:rsid w:val="008215B1"/>
    <w:rsid w:val="008215C1"/>
    <w:rsid w:val="008216D0"/>
    <w:rsid w:val="0082175D"/>
    <w:rsid w:val="00821767"/>
    <w:rsid w:val="00821814"/>
    <w:rsid w:val="008219E1"/>
    <w:rsid w:val="00821AC8"/>
    <w:rsid w:val="00821AF1"/>
    <w:rsid w:val="00821B27"/>
    <w:rsid w:val="00821B95"/>
    <w:rsid w:val="00821D7F"/>
    <w:rsid w:val="00821DBF"/>
    <w:rsid w:val="00821E6A"/>
    <w:rsid w:val="00821F16"/>
    <w:rsid w:val="00822099"/>
    <w:rsid w:val="00822187"/>
    <w:rsid w:val="008221D4"/>
    <w:rsid w:val="0082221C"/>
    <w:rsid w:val="00822324"/>
    <w:rsid w:val="0082249D"/>
    <w:rsid w:val="00822675"/>
    <w:rsid w:val="008226A9"/>
    <w:rsid w:val="008227F8"/>
    <w:rsid w:val="00822884"/>
    <w:rsid w:val="00822891"/>
    <w:rsid w:val="008229C0"/>
    <w:rsid w:val="00822B15"/>
    <w:rsid w:val="00822BD4"/>
    <w:rsid w:val="00822E0E"/>
    <w:rsid w:val="00823017"/>
    <w:rsid w:val="00823083"/>
    <w:rsid w:val="00823240"/>
    <w:rsid w:val="00823404"/>
    <w:rsid w:val="00823595"/>
    <w:rsid w:val="00823636"/>
    <w:rsid w:val="008237A8"/>
    <w:rsid w:val="0082392C"/>
    <w:rsid w:val="00823AE1"/>
    <w:rsid w:val="00823CD4"/>
    <w:rsid w:val="00823E45"/>
    <w:rsid w:val="00823EED"/>
    <w:rsid w:val="00823FC8"/>
    <w:rsid w:val="00824032"/>
    <w:rsid w:val="008240FC"/>
    <w:rsid w:val="0082412A"/>
    <w:rsid w:val="008241CA"/>
    <w:rsid w:val="008241E0"/>
    <w:rsid w:val="0082424F"/>
    <w:rsid w:val="00824297"/>
    <w:rsid w:val="008242D5"/>
    <w:rsid w:val="00824401"/>
    <w:rsid w:val="008246E7"/>
    <w:rsid w:val="008247B1"/>
    <w:rsid w:val="0082485C"/>
    <w:rsid w:val="00824941"/>
    <w:rsid w:val="00824A0A"/>
    <w:rsid w:val="00824BEF"/>
    <w:rsid w:val="00824CFD"/>
    <w:rsid w:val="00824D0C"/>
    <w:rsid w:val="00824D24"/>
    <w:rsid w:val="00824D9F"/>
    <w:rsid w:val="0082513D"/>
    <w:rsid w:val="00825210"/>
    <w:rsid w:val="0082532D"/>
    <w:rsid w:val="008253A0"/>
    <w:rsid w:val="0082550C"/>
    <w:rsid w:val="00825677"/>
    <w:rsid w:val="008257C0"/>
    <w:rsid w:val="008257E1"/>
    <w:rsid w:val="008258C3"/>
    <w:rsid w:val="0082590A"/>
    <w:rsid w:val="0082592E"/>
    <w:rsid w:val="00825B13"/>
    <w:rsid w:val="00825CC1"/>
    <w:rsid w:val="00825CD3"/>
    <w:rsid w:val="00825DA9"/>
    <w:rsid w:val="00825E43"/>
    <w:rsid w:val="0082610F"/>
    <w:rsid w:val="008261BF"/>
    <w:rsid w:val="00826219"/>
    <w:rsid w:val="00826224"/>
    <w:rsid w:val="00826273"/>
    <w:rsid w:val="0082649E"/>
    <w:rsid w:val="008264E7"/>
    <w:rsid w:val="008264FC"/>
    <w:rsid w:val="008265BD"/>
    <w:rsid w:val="008265CC"/>
    <w:rsid w:val="008266A3"/>
    <w:rsid w:val="00826BCC"/>
    <w:rsid w:val="00826C7D"/>
    <w:rsid w:val="00826D2D"/>
    <w:rsid w:val="00826D5B"/>
    <w:rsid w:val="00826DFE"/>
    <w:rsid w:val="00826F62"/>
    <w:rsid w:val="0082703A"/>
    <w:rsid w:val="0082731B"/>
    <w:rsid w:val="00827526"/>
    <w:rsid w:val="00827586"/>
    <w:rsid w:val="008275F4"/>
    <w:rsid w:val="008279FA"/>
    <w:rsid w:val="00827B06"/>
    <w:rsid w:val="00827D1E"/>
    <w:rsid w:val="00827E57"/>
    <w:rsid w:val="00827F28"/>
    <w:rsid w:val="00827FC7"/>
    <w:rsid w:val="00830332"/>
    <w:rsid w:val="008304BA"/>
    <w:rsid w:val="00830633"/>
    <w:rsid w:val="008306B4"/>
    <w:rsid w:val="008306ED"/>
    <w:rsid w:val="00830880"/>
    <w:rsid w:val="00830A38"/>
    <w:rsid w:val="00830B54"/>
    <w:rsid w:val="00830C90"/>
    <w:rsid w:val="00830DE7"/>
    <w:rsid w:val="00830E75"/>
    <w:rsid w:val="00830EF1"/>
    <w:rsid w:val="0083102B"/>
    <w:rsid w:val="008311B8"/>
    <w:rsid w:val="0083120E"/>
    <w:rsid w:val="00831224"/>
    <w:rsid w:val="0083125F"/>
    <w:rsid w:val="008313B1"/>
    <w:rsid w:val="0083143E"/>
    <w:rsid w:val="0083151F"/>
    <w:rsid w:val="008315C6"/>
    <w:rsid w:val="00831625"/>
    <w:rsid w:val="00831635"/>
    <w:rsid w:val="00831669"/>
    <w:rsid w:val="00831753"/>
    <w:rsid w:val="00831BE1"/>
    <w:rsid w:val="00831F44"/>
    <w:rsid w:val="00832090"/>
    <w:rsid w:val="00832535"/>
    <w:rsid w:val="00832624"/>
    <w:rsid w:val="008326D6"/>
    <w:rsid w:val="00832813"/>
    <w:rsid w:val="008328EF"/>
    <w:rsid w:val="008329CD"/>
    <w:rsid w:val="00832A62"/>
    <w:rsid w:val="00832E05"/>
    <w:rsid w:val="00832E66"/>
    <w:rsid w:val="00832EF3"/>
    <w:rsid w:val="00832EF8"/>
    <w:rsid w:val="00832F22"/>
    <w:rsid w:val="008331EC"/>
    <w:rsid w:val="008332AE"/>
    <w:rsid w:val="008332B5"/>
    <w:rsid w:val="00833505"/>
    <w:rsid w:val="00833521"/>
    <w:rsid w:val="008335EC"/>
    <w:rsid w:val="00833613"/>
    <w:rsid w:val="00833806"/>
    <w:rsid w:val="00833812"/>
    <w:rsid w:val="0083386A"/>
    <w:rsid w:val="00833D40"/>
    <w:rsid w:val="00833E38"/>
    <w:rsid w:val="00833E94"/>
    <w:rsid w:val="00833F06"/>
    <w:rsid w:val="00833F25"/>
    <w:rsid w:val="00833F2A"/>
    <w:rsid w:val="00833F56"/>
    <w:rsid w:val="00834049"/>
    <w:rsid w:val="008340CD"/>
    <w:rsid w:val="00834201"/>
    <w:rsid w:val="00834243"/>
    <w:rsid w:val="008342B6"/>
    <w:rsid w:val="00834483"/>
    <w:rsid w:val="0083450D"/>
    <w:rsid w:val="0083462B"/>
    <w:rsid w:val="0083479D"/>
    <w:rsid w:val="008348B9"/>
    <w:rsid w:val="00834954"/>
    <w:rsid w:val="008349ED"/>
    <w:rsid w:val="00834B1A"/>
    <w:rsid w:val="00834B4E"/>
    <w:rsid w:val="00834C80"/>
    <w:rsid w:val="00834E29"/>
    <w:rsid w:val="00834EB0"/>
    <w:rsid w:val="00834FAD"/>
    <w:rsid w:val="00835068"/>
    <w:rsid w:val="008350C2"/>
    <w:rsid w:val="008350D7"/>
    <w:rsid w:val="008350FF"/>
    <w:rsid w:val="0083511F"/>
    <w:rsid w:val="00835201"/>
    <w:rsid w:val="0083522F"/>
    <w:rsid w:val="00835296"/>
    <w:rsid w:val="008353B2"/>
    <w:rsid w:val="00835466"/>
    <w:rsid w:val="008354A6"/>
    <w:rsid w:val="008355BD"/>
    <w:rsid w:val="00835615"/>
    <w:rsid w:val="00835636"/>
    <w:rsid w:val="008356BB"/>
    <w:rsid w:val="008357D6"/>
    <w:rsid w:val="0083583D"/>
    <w:rsid w:val="00835A0A"/>
    <w:rsid w:val="00835A49"/>
    <w:rsid w:val="00835B25"/>
    <w:rsid w:val="00835C52"/>
    <w:rsid w:val="00835E93"/>
    <w:rsid w:val="00835F4C"/>
    <w:rsid w:val="0083603C"/>
    <w:rsid w:val="0083632D"/>
    <w:rsid w:val="0083647C"/>
    <w:rsid w:val="00836554"/>
    <w:rsid w:val="00836619"/>
    <w:rsid w:val="00836789"/>
    <w:rsid w:val="0083678F"/>
    <w:rsid w:val="008369FC"/>
    <w:rsid w:val="00836A24"/>
    <w:rsid w:val="00836AC0"/>
    <w:rsid w:val="00836E1D"/>
    <w:rsid w:val="00836E27"/>
    <w:rsid w:val="00836F2A"/>
    <w:rsid w:val="008371DD"/>
    <w:rsid w:val="008372F4"/>
    <w:rsid w:val="008373AC"/>
    <w:rsid w:val="00837401"/>
    <w:rsid w:val="0083749D"/>
    <w:rsid w:val="008374AE"/>
    <w:rsid w:val="008374C4"/>
    <w:rsid w:val="00837585"/>
    <w:rsid w:val="00837591"/>
    <w:rsid w:val="008375AC"/>
    <w:rsid w:val="00837749"/>
    <w:rsid w:val="00837836"/>
    <w:rsid w:val="0083786B"/>
    <w:rsid w:val="00837872"/>
    <w:rsid w:val="008379A1"/>
    <w:rsid w:val="00837B6A"/>
    <w:rsid w:val="00837D41"/>
    <w:rsid w:val="00837DC6"/>
    <w:rsid w:val="00840096"/>
    <w:rsid w:val="008402D9"/>
    <w:rsid w:val="00840359"/>
    <w:rsid w:val="008404BA"/>
    <w:rsid w:val="00840667"/>
    <w:rsid w:val="00840699"/>
    <w:rsid w:val="0084070B"/>
    <w:rsid w:val="00840716"/>
    <w:rsid w:val="00840781"/>
    <w:rsid w:val="00840886"/>
    <w:rsid w:val="00840AF4"/>
    <w:rsid w:val="00840B97"/>
    <w:rsid w:val="00840B9A"/>
    <w:rsid w:val="00840BD8"/>
    <w:rsid w:val="00840D08"/>
    <w:rsid w:val="00840DD1"/>
    <w:rsid w:val="00840EF9"/>
    <w:rsid w:val="00840FA7"/>
    <w:rsid w:val="008412F5"/>
    <w:rsid w:val="008413CC"/>
    <w:rsid w:val="00841573"/>
    <w:rsid w:val="008415A9"/>
    <w:rsid w:val="008419AD"/>
    <w:rsid w:val="008419BA"/>
    <w:rsid w:val="00841B60"/>
    <w:rsid w:val="00841B73"/>
    <w:rsid w:val="00841C8F"/>
    <w:rsid w:val="00841CF2"/>
    <w:rsid w:val="00841D3E"/>
    <w:rsid w:val="00841F1C"/>
    <w:rsid w:val="00841F1D"/>
    <w:rsid w:val="00841F63"/>
    <w:rsid w:val="0084202E"/>
    <w:rsid w:val="0084211B"/>
    <w:rsid w:val="00842195"/>
    <w:rsid w:val="008421C0"/>
    <w:rsid w:val="00842411"/>
    <w:rsid w:val="008426BE"/>
    <w:rsid w:val="00842744"/>
    <w:rsid w:val="00842787"/>
    <w:rsid w:val="008428DF"/>
    <w:rsid w:val="008429EE"/>
    <w:rsid w:val="00842BD7"/>
    <w:rsid w:val="00842C71"/>
    <w:rsid w:val="0084303D"/>
    <w:rsid w:val="0084314D"/>
    <w:rsid w:val="00843155"/>
    <w:rsid w:val="0084318F"/>
    <w:rsid w:val="008431F1"/>
    <w:rsid w:val="00843215"/>
    <w:rsid w:val="00843288"/>
    <w:rsid w:val="008432F1"/>
    <w:rsid w:val="008433A6"/>
    <w:rsid w:val="00843434"/>
    <w:rsid w:val="0084345F"/>
    <w:rsid w:val="00843809"/>
    <w:rsid w:val="00843852"/>
    <w:rsid w:val="008438CA"/>
    <w:rsid w:val="00843953"/>
    <w:rsid w:val="008439D5"/>
    <w:rsid w:val="00843B0F"/>
    <w:rsid w:val="00843B24"/>
    <w:rsid w:val="00843B2B"/>
    <w:rsid w:val="00843BFF"/>
    <w:rsid w:val="00843DAD"/>
    <w:rsid w:val="00843F6A"/>
    <w:rsid w:val="008440FD"/>
    <w:rsid w:val="0084439E"/>
    <w:rsid w:val="008443A7"/>
    <w:rsid w:val="008443E3"/>
    <w:rsid w:val="0084456D"/>
    <w:rsid w:val="0084467D"/>
    <w:rsid w:val="008446A4"/>
    <w:rsid w:val="00844720"/>
    <w:rsid w:val="0084479A"/>
    <w:rsid w:val="00844836"/>
    <w:rsid w:val="00844DD3"/>
    <w:rsid w:val="00844F1B"/>
    <w:rsid w:val="00845055"/>
    <w:rsid w:val="008451A1"/>
    <w:rsid w:val="008452B4"/>
    <w:rsid w:val="0084536A"/>
    <w:rsid w:val="008453EB"/>
    <w:rsid w:val="00845819"/>
    <w:rsid w:val="00845957"/>
    <w:rsid w:val="008459D9"/>
    <w:rsid w:val="00845A3C"/>
    <w:rsid w:val="00845AD5"/>
    <w:rsid w:val="00845B9F"/>
    <w:rsid w:val="00845DA0"/>
    <w:rsid w:val="00845FF9"/>
    <w:rsid w:val="0084614C"/>
    <w:rsid w:val="00846160"/>
    <w:rsid w:val="0084629E"/>
    <w:rsid w:val="0084635A"/>
    <w:rsid w:val="0084647C"/>
    <w:rsid w:val="00846599"/>
    <w:rsid w:val="008465BA"/>
    <w:rsid w:val="00846643"/>
    <w:rsid w:val="00846665"/>
    <w:rsid w:val="00846688"/>
    <w:rsid w:val="008466C4"/>
    <w:rsid w:val="008468F8"/>
    <w:rsid w:val="0084697F"/>
    <w:rsid w:val="008469F2"/>
    <w:rsid w:val="00846AA6"/>
    <w:rsid w:val="00846C73"/>
    <w:rsid w:val="00846D13"/>
    <w:rsid w:val="00846EC7"/>
    <w:rsid w:val="00846F4A"/>
    <w:rsid w:val="00847049"/>
    <w:rsid w:val="00847134"/>
    <w:rsid w:val="0084727C"/>
    <w:rsid w:val="00847386"/>
    <w:rsid w:val="00847389"/>
    <w:rsid w:val="008473FB"/>
    <w:rsid w:val="0084744F"/>
    <w:rsid w:val="008475CA"/>
    <w:rsid w:val="00847743"/>
    <w:rsid w:val="0084785B"/>
    <w:rsid w:val="008479D3"/>
    <w:rsid w:val="00847A3A"/>
    <w:rsid w:val="00847AC7"/>
    <w:rsid w:val="00847AF0"/>
    <w:rsid w:val="00847B4E"/>
    <w:rsid w:val="00847B4F"/>
    <w:rsid w:val="00847B59"/>
    <w:rsid w:val="00847B6E"/>
    <w:rsid w:val="00847C6A"/>
    <w:rsid w:val="00847D58"/>
    <w:rsid w:val="00847E4B"/>
    <w:rsid w:val="00847EE6"/>
    <w:rsid w:val="00847F29"/>
    <w:rsid w:val="008500F3"/>
    <w:rsid w:val="008501FF"/>
    <w:rsid w:val="00850262"/>
    <w:rsid w:val="008502E5"/>
    <w:rsid w:val="00850419"/>
    <w:rsid w:val="00850422"/>
    <w:rsid w:val="00850481"/>
    <w:rsid w:val="00850635"/>
    <w:rsid w:val="008507A4"/>
    <w:rsid w:val="0085082D"/>
    <w:rsid w:val="008508B1"/>
    <w:rsid w:val="0085090C"/>
    <w:rsid w:val="00850A0E"/>
    <w:rsid w:val="00850A78"/>
    <w:rsid w:val="00850B23"/>
    <w:rsid w:val="00850B97"/>
    <w:rsid w:val="00850DE3"/>
    <w:rsid w:val="00850E60"/>
    <w:rsid w:val="00851049"/>
    <w:rsid w:val="00851094"/>
    <w:rsid w:val="008511E1"/>
    <w:rsid w:val="008512AE"/>
    <w:rsid w:val="008512C2"/>
    <w:rsid w:val="008512E6"/>
    <w:rsid w:val="008512FE"/>
    <w:rsid w:val="008513BA"/>
    <w:rsid w:val="0085149C"/>
    <w:rsid w:val="00851507"/>
    <w:rsid w:val="00851513"/>
    <w:rsid w:val="008515B1"/>
    <w:rsid w:val="00851844"/>
    <w:rsid w:val="0085198D"/>
    <w:rsid w:val="008519A5"/>
    <w:rsid w:val="00851BD0"/>
    <w:rsid w:val="00851C44"/>
    <w:rsid w:val="00851CB9"/>
    <w:rsid w:val="00851D64"/>
    <w:rsid w:val="00851ED0"/>
    <w:rsid w:val="00851F13"/>
    <w:rsid w:val="00851F76"/>
    <w:rsid w:val="00852117"/>
    <w:rsid w:val="0085219C"/>
    <w:rsid w:val="00852322"/>
    <w:rsid w:val="008523E0"/>
    <w:rsid w:val="00852459"/>
    <w:rsid w:val="0085261B"/>
    <w:rsid w:val="00852778"/>
    <w:rsid w:val="008527BE"/>
    <w:rsid w:val="008528B3"/>
    <w:rsid w:val="008528E5"/>
    <w:rsid w:val="00852911"/>
    <w:rsid w:val="0085295D"/>
    <w:rsid w:val="008529C0"/>
    <w:rsid w:val="00852AE9"/>
    <w:rsid w:val="00852BEC"/>
    <w:rsid w:val="00852C09"/>
    <w:rsid w:val="00852E73"/>
    <w:rsid w:val="00852EC7"/>
    <w:rsid w:val="00853098"/>
    <w:rsid w:val="008530BC"/>
    <w:rsid w:val="008530BE"/>
    <w:rsid w:val="00853172"/>
    <w:rsid w:val="00853271"/>
    <w:rsid w:val="00853273"/>
    <w:rsid w:val="00853463"/>
    <w:rsid w:val="008534DF"/>
    <w:rsid w:val="00853713"/>
    <w:rsid w:val="008537D2"/>
    <w:rsid w:val="00853894"/>
    <w:rsid w:val="0085390D"/>
    <w:rsid w:val="00853AA3"/>
    <w:rsid w:val="00853ACA"/>
    <w:rsid w:val="00853AE1"/>
    <w:rsid w:val="00853B59"/>
    <w:rsid w:val="00853BA4"/>
    <w:rsid w:val="00853C07"/>
    <w:rsid w:val="00853C18"/>
    <w:rsid w:val="00853DA9"/>
    <w:rsid w:val="00853DC7"/>
    <w:rsid w:val="00853E43"/>
    <w:rsid w:val="00853EA0"/>
    <w:rsid w:val="008540B8"/>
    <w:rsid w:val="00854152"/>
    <w:rsid w:val="008541DB"/>
    <w:rsid w:val="008542AC"/>
    <w:rsid w:val="008542C7"/>
    <w:rsid w:val="0085434F"/>
    <w:rsid w:val="0085436F"/>
    <w:rsid w:val="0085444F"/>
    <w:rsid w:val="0085449A"/>
    <w:rsid w:val="00854605"/>
    <w:rsid w:val="008548E0"/>
    <w:rsid w:val="0085497B"/>
    <w:rsid w:val="008549B9"/>
    <w:rsid w:val="00854CEF"/>
    <w:rsid w:val="00854D57"/>
    <w:rsid w:val="00854EF8"/>
    <w:rsid w:val="00854FB9"/>
    <w:rsid w:val="00854FF9"/>
    <w:rsid w:val="00855068"/>
    <w:rsid w:val="00855105"/>
    <w:rsid w:val="008551C5"/>
    <w:rsid w:val="00855288"/>
    <w:rsid w:val="008554D5"/>
    <w:rsid w:val="00855551"/>
    <w:rsid w:val="008556B6"/>
    <w:rsid w:val="008558DA"/>
    <w:rsid w:val="00855915"/>
    <w:rsid w:val="00855A18"/>
    <w:rsid w:val="00855A23"/>
    <w:rsid w:val="00855A75"/>
    <w:rsid w:val="00855AF6"/>
    <w:rsid w:val="00855B9C"/>
    <w:rsid w:val="00855C8A"/>
    <w:rsid w:val="00855D04"/>
    <w:rsid w:val="00855EB4"/>
    <w:rsid w:val="00855F0A"/>
    <w:rsid w:val="00855F15"/>
    <w:rsid w:val="00856000"/>
    <w:rsid w:val="00856022"/>
    <w:rsid w:val="00856159"/>
    <w:rsid w:val="008561E9"/>
    <w:rsid w:val="00856446"/>
    <w:rsid w:val="00856721"/>
    <w:rsid w:val="00856758"/>
    <w:rsid w:val="0085684B"/>
    <w:rsid w:val="008568B2"/>
    <w:rsid w:val="008568B7"/>
    <w:rsid w:val="008568C5"/>
    <w:rsid w:val="00856929"/>
    <w:rsid w:val="00856A6C"/>
    <w:rsid w:val="00856C46"/>
    <w:rsid w:val="00856CD7"/>
    <w:rsid w:val="00856D32"/>
    <w:rsid w:val="00856D9A"/>
    <w:rsid w:val="00856F6B"/>
    <w:rsid w:val="00857035"/>
    <w:rsid w:val="00857042"/>
    <w:rsid w:val="00857066"/>
    <w:rsid w:val="00857171"/>
    <w:rsid w:val="008571AA"/>
    <w:rsid w:val="0085741B"/>
    <w:rsid w:val="00857431"/>
    <w:rsid w:val="008574E7"/>
    <w:rsid w:val="0085755E"/>
    <w:rsid w:val="008576BE"/>
    <w:rsid w:val="00857720"/>
    <w:rsid w:val="0085792E"/>
    <w:rsid w:val="00857969"/>
    <w:rsid w:val="0085797B"/>
    <w:rsid w:val="008579E3"/>
    <w:rsid w:val="00857A04"/>
    <w:rsid w:val="00857A7B"/>
    <w:rsid w:val="00857A87"/>
    <w:rsid w:val="00857CA3"/>
    <w:rsid w:val="00857CE7"/>
    <w:rsid w:val="00857DEA"/>
    <w:rsid w:val="00857F3E"/>
    <w:rsid w:val="00857FE9"/>
    <w:rsid w:val="0086006E"/>
    <w:rsid w:val="008600D4"/>
    <w:rsid w:val="008601AF"/>
    <w:rsid w:val="00860249"/>
    <w:rsid w:val="0086037A"/>
    <w:rsid w:val="00860410"/>
    <w:rsid w:val="008605DA"/>
    <w:rsid w:val="00860604"/>
    <w:rsid w:val="0086065F"/>
    <w:rsid w:val="00860735"/>
    <w:rsid w:val="0086080B"/>
    <w:rsid w:val="008608E4"/>
    <w:rsid w:val="0086096D"/>
    <w:rsid w:val="0086098B"/>
    <w:rsid w:val="00860A46"/>
    <w:rsid w:val="00860B3A"/>
    <w:rsid w:val="00860B74"/>
    <w:rsid w:val="00860C1A"/>
    <w:rsid w:val="00860DA8"/>
    <w:rsid w:val="00860DB0"/>
    <w:rsid w:val="00860F35"/>
    <w:rsid w:val="00860FF0"/>
    <w:rsid w:val="00860FF2"/>
    <w:rsid w:val="0086101B"/>
    <w:rsid w:val="00861032"/>
    <w:rsid w:val="0086119C"/>
    <w:rsid w:val="0086120B"/>
    <w:rsid w:val="008612D5"/>
    <w:rsid w:val="00861300"/>
    <w:rsid w:val="008613D4"/>
    <w:rsid w:val="00861462"/>
    <w:rsid w:val="00861655"/>
    <w:rsid w:val="0086167B"/>
    <w:rsid w:val="00861707"/>
    <w:rsid w:val="00861769"/>
    <w:rsid w:val="00861777"/>
    <w:rsid w:val="00861806"/>
    <w:rsid w:val="008618AF"/>
    <w:rsid w:val="00861977"/>
    <w:rsid w:val="00861A05"/>
    <w:rsid w:val="00861A49"/>
    <w:rsid w:val="00861B85"/>
    <w:rsid w:val="00861C1B"/>
    <w:rsid w:val="00861CAC"/>
    <w:rsid w:val="00861CC0"/>
    <w:rsid w:val="00861D1B"/>
    <w:rsid w:val="00861F2E"/>
    <w:rsid w:val="00861FA9"/>
    <w:rsid w:val="00862047"/>
    <w:rsid w:val="008620B1"/>
    <w:rsid w:val="00862285"/>
    <w:rsid w:val="00862295"/>
    <w:rsid w:val="008622C1"/>
    <w:rsid w:val="008622F1"/>
    <w:rsid w:val="00862367"/>
    <w:rsid w:val="0086271E"/>
    <w:rsid w:val="00862758"/>
    <w:rsid w:val="0086295F"/>
    <w:rsid w:val="00862B4C"/>
    <w:rsid w:val="00862B9D"/>
    <w:rsid w:val="00862BAC"/>
    <w:rsid w:val="00862C1E"/>
    <w:rsid w:val="00862E1D"/>
    <w:rsid w:val="008632B1"/>
    <w:rsid w:val="008632C6"/>
    <w:rsid w:val="00863351"/>
    <w:rsid w:val="00863368"/>
    <w:rsid w:val="00863377"/>
    <w:rsid w:val="00863435"/>
    <w:rsid w:val="0086348C"/>
    <w:rsid w:val="00863706"/>
    <w:rsid w:val="00863842"/>
    <w:rsid w:val="00863849"/>
    <w:rsid w:val="0086393B"/>
    <w:rsid w:val="008639BD"/>
    <w:rsid w:val="008639C4"/>
    <w:rsid w:val="00863AB9"/>
    <w:rsid w:val="00863BEC"/>
    <w:rsid w:val="00863E0E"/>
    <w:rsid w:val="00863FB5"/>
    <w:rsid w:val="00863FE8"/>
    <w:rsid w:val="00864108"/>
    <w:rsid w:val="008641D4"/>
    <w:rsid w:val="0086423C"/>
    <w:rsid w:val="0086428F"/>
    <w:rsid w:val="008642B4"/>
    <w:rsid w:val="0086434A"/>
    <w:rsid w:val="0086455C"/>
    <w:rsid w:val="008646C9"/>
    <w:rsid w:val="008647AE"/>
    <w:rsid w:val="008647D3"/>
    <w:rsid w:val="008648CD"/>
    <w:rsid w:val="00864963"/>
    <w:rsid w:val="008649A4"/>
    <w:rsid w:val="00864A62"/>
    <w:rsid w:val="00864BDC"/>
    <w:rsid w:val="00864C2E"/>
    <w:rsid w:val="00864D69"/>
    <w:rsid w:val="00864DCC"/>
    <w:rsid w:val="00864DEB"/>
    <w:rsid w:val="00864E02"/>
    <w:rsid w:val="00864F44"/>
    <w:rsid w:val="00864FF4"/>
    <w:rsid w:val="008652A8"/>
    <w:rsid w:val="008652B6"/>
    <w:rsid w:val="008657AD"/>
    <w:rsid w:val="00865801"/>
    <w:rsid w:val="00865815"/>
    <w:rsid w:val="008658A7"/>
    <w:rsid w:val="00865968"/>
    <w:rsid w:val="00865A78"/>
    <w:rsid w:val="00865A8A"/>
    <w:rsid w:val="00865AA7"/>
    <w:rsid w:val="00865BB7"/>
    <w:rsid w:val="00865C7A"/>
    <w:rsid w:val="00865D32"/>
    <w:rsid w:val="008661D1"/>
    <w:rsid w:val="00866219"/>
    <w:rsid w:val="0086646A"/>
    <w:rsid w:val="008666B3"/>
    <w:rsid w:val="00866962"/>
    <w:rsid w:val="00866A2F"/>
    <w:rsid w:val="00866E09"/>
    <w:rsid w:val="00866E5B"/>
    <w:rsid w:val="00866E71"/>
    <w:rsid w:val="00866EF7"/>
    <w:rsid w:val="0086703F"/>
    <w:rsid w:val="00867048"/>
    <w:rsid w:val="00867247"/>
    <w:rsid w:val="0086726F"/>
    <w:rsid w:val="0086729C"/>
    <w:rsid w:val="00867336"/>
    <w:rsid w:val="00867422"/>
    <w:rsid w:val="00867BB7"/>
    <w:rsid w:val="00867DD2"/>
    <w:rsid w:val="00867E68"/>
    <w:rsid w:val="00867F17"/>
    <w:rsid w:val="00870009"/>
    <w:rsid w:val="00870152"/>
    <w:rsid w:val="0087027E"/>
    <w:rsid w:val="00870382"/>
    <w:rsid w:val="00870394"/>
    <w:rsid w:val="0087065D"/>
    <w:rsid w:val="00870684"/>
    <w:rsid w:val="008707AC"/>
    <w:rsid w:val="008707C3"/>
    <w:rsid w:val="00870B5C"/>
    <w:rsid w:val="00870C87"/>
    <w:rsid w:val="00870CEA"/>
    <w:rsid w:val="00870DE6"/>
    <w:rsid w:val="00870F22"/>
    <w:rsid w:val="008711FF"/>
    <w:rsid w:val="0087124A"/>
    <w:rsid w:val="00871372"/>
    <w:rsid w:val="008713D7"/>
    <w:rsid w:val="00871493"/>
    <w:rsid w:val="0087154D"/>
    <w:rsid w:val="00871583"/>
    <w:rsid w:val="0087167A"/>
    <w:rsid w:val="00871AA0"/>
    <w:rsid w:val="00871B4D"/>
    <w:rsid w:val="00871B7E"/>
    <w:rsid w:val="00871B94"/>
    <w:rsid w:val="00871BC2"/>
    <w:rsid w:val="00871D4C"/>
    <w:rsid w:val="00871DCB"/>
    <w:rsid w:val="00871E21"/>
    <w:rsid w:val="00871EE8"/>
    <w:rsid w:val="00871F1A"/>
    <w:rsid w:val="008720A8"/>
    <w:rsid w:val="0087233E"/>
    <w:rsid w:val="00872415"/>
    <w:rsid w:val="0087242B"/>
    <w:rsid w:val="00872556"/>
    <w:rsid w:val="008725B8"/>
    <w:rsid w:val="008727F6"/>
    <w:rsid w:val="008727FE"/>
    <w:rsid w:val="00872B43"/>
    <w:rsid w:val="00872C25"/>
    <w:rsid w:val="00873640"/>
    <w:rsid w:val="008736CD"/>
    <w:rsid w:val="0087370D"/>
    <w:rsid w:val="00873733"/>
    <w:rsid w:val="00873853"/>
    <w:rsid w:val="008738AB"/>
    <w:rsid w:val="008738B1"/>
    <w:rsid w:val="008738FD"/>
    <w:rsid w:val="00873C48"/>
    <w:rsid w:val="00873DF8"/>
    <w:rsid w:val="00873EBB"/>
    <w:rsid w:val="008740E5"/>
    <w:rsid w:val="008741A0"/>
    <w:rsid w:val="008741A8"/>
    <w:rsid w:val="00874222"/>
    <w:rsid w:val="00874269"/>
    <w:rsid w:val="00874376"/>
    <w:rsid w:val="00874429"/>
    <w:rsid w:val="0087456E"/>
    <w:rsid w:val="008745D6"/>
    <w:rsid w:val="00874603"/>
    <w:rsid w:val="00874697"/>
    <w:rsid w:val="008746F0"/>
    <w:rsid w:val="008746F1"/>
    <w:rsid w:val="008748DE"/>
    <w:rsid w:val="00874A6B"/>
    <w:rsid w:val="00874B05"/>
    <w:rsid w:val="00874B68"/>
    <w:rsid w:val="00874BEB"/>
    <w:rsid w:val="00874C98"/>
    <w:rsid w:val="00874DFF"/>
    <w:rsid w:val="00874E82"/>
    <w:rsid w:val="00874F03"/>
    <w:rsid w:val="00874F5A"/>
    <w:rsid w:val="008750B5"/>
    <w:rsid w:val="008750D6"/>
    <w:rsid w:val="00875280"/>
    <w:rsid w:val="008752B8"/>
    <w:rsid w:val="008753D2"/>
    <w:rsid w:val="0087541E"/>
    <w:rsid w:val="008756EC"/>
    <w:rsid w:val="008756F6"/>
    <w:rsid w:val="008758A1"/>
    <w:rsid w:val="00875ACD"/>
    <w:rsid w:val="00875B43"/>
    <w:rsid w:val="00875C85"/>
    <w:rsid w:val="00875C9D"/>
    <w:rsid w:val="00875F84"/>
    <w:rsid w:val="00875FDF"/>
    <w:rsid w:val="0087625D"/>
    <w:rsid w:val="00876349"/>
    <w:rsid w:val="008763EA"/>
    <w:rsid w:val="00876441"/>
    <w:rsid w:val="008764EC"/>
    <w:rsid w:val="00876AE9"/>
    <w:rsid w:val="00876C12"/>
    <w:rsid w:val="00876CD9"/>
    <w:rsid w:val="00876E61"/>
    <w:rsid w:val="00876FA1"/>
    <w:rsid w:val="0087712B"/>
    <w:rsid w:val="008771BD"/>
    <w:rsid w:val="00877271"/>
    <w:rsid w:val="00877297"/>
    <w:rsid w:val="008772C3"/>
    <w:rsid w:val="0087732D"/>
    <w:rsid w:val="008773C7"/>
    <w:rsid w:val="0087758E"/>
    <w:rsid w:val="0087764B"/>
    <w:rsid w:val="008777CC"/>
    <w:rsid w:val="00877AA6"/>
    <w:rsid w:val="00877BE1"/>
    <w:rsid w:val="00877BE9"/>
    <w:rsid w:val="00877BF4"/>
    <w:rsid w:val="00880043"/>
    <w:rsid w:val="008801EF"/>
    <w:rsid w:val="0088046F"/>
    <w:rsid w:val="00880554"/>
    <w:rsid w:val="008806CB"/>
    <w:rsid w:val="0088094E"/>
    <w:rsid w:val="008809ED"/>
    <w:rsid w:val="00880B18"/>
    <w:rsid w:val="00880B2B"/>
    <w:rsid w:val="00880BA5"/>
    <w:rsid w:val="00880CEE"/>
    <w:rsid w:val="00880EC9"/>
    <w:rsid w:val="00880EDD"/>
    <w:rsid w:val="00880F95"/>
    <w:rsid w:val="00880FE3"/>
    <w:rsid w:val="00881023"/>
    <w:rsid w:val="008811A1"/>
    <w:rsid w:val="0088127E"/>
    <w:rsid w:val="0088147A"/>
    <w:rsid w:val="008814EF"/>
    <w:rsid w:val="00881715"/>
    <w:rsid w:val="0088178C"/>
    <w:rsid w:val="00881A54"/>
    <w:rsid w:val="00881BAF"/>
    <w:rsid w:val="00881BB5"/>
    <w:rsid w:val="00881C5F"/>
    <w:rsid w:val="00881C73"/>
    <w:rsid w:val="00881CAF"/>
    <w:rsid w:val="00881F7D"/>
    <w:rsid w:val="0088201F"/>
    <w:rsid w:val="00882081"/>
    <w:rsid w:val="008821C3"/>
    <w:rsid w:val="00882260"/>
    <w:rsid w:val="008822E6"/>
    <w:rsid w:val="008822F0"/>
    <w:rsid w:val="008822F1"/>
    <w:rsid w:val="008823C4"/>
    <w:rsid w:val="008823CD"/>
    <w:rsid w:val="0088248D"/>
    <w:rsid w:val="008824A0"/>
    <w:rsid w:val="008825C0"/>
    <w:rsid w:val="008826A0"/>
    <w:rsid w:val="00882885"/>
    <w:rsid w:val="00882C2F"/>
    <w:rsid w:val="00882CC4"/>
    <w:rsid w:val="00882D82"/>
    <w:rsid w:val="00882D8A"/>
    <w:rsid w:val="00882DCF"/>
    <w:rsid w:val="008830D9"/>
    <w:rsid w:val="008836F6"/>
    <w:rsid w:val="00883759"/>
    <w:rsid w:val="00883762"/>
    <w:rsid w:val="0088379B"/>
    <w:rsid w:val="008838E8"/>
    <w:rsid w:val="0088396F"/>
    <w:rsid w:val="00883A4C"/>
    <w:rsid w:val="00883C4B"/>
    <w:rsid w:val="00883DC5"/>
    <w:rsid w:val="00883DD2"/>
    <w:rsid w:val="00883EE6"/>
    <w:rsid w:val="00883F96"/>
    <w:rsid w:val="00884122"/>
    <w:rsid w:val="0088412F"/>
    <w:rsid w:val="008841C4"/>
    <w:rsid w:val="008841ED"/>
    <w:rsid w:val="008843CB"/>
    <w:rsid w:val="008843EF"/>
    <w:rsid w:val="008844AC"/>
    <w:rsid w:val="00884593"/>
    <w:rsid w:val="00884696"/>
    <w:rsid w:val="008846C1"/>
    <w:rsid w:val="00884722"/>
    <w:rsid w:val="00884926"/>
    <w:rsid w:val="00884A00"/>
    <w:rsid w:val="00884A56"/>
    <w:rsid w:val="00884B11"/>
    <w:rsid w:val="00884B8B"/>
    <w:rsid w:val="00884C06"/>
    <w:rsid w:val="00884C6A"/>
    <w:rsid w:val="00884D25"/>
    <w:rsid w:val="0088508C"/>
    <w:rsid w:val="008851CE"/>
    <w:rsid w:val="008851DE"/>
    <w:rsid w:val="008852E4"/>
    <w:rsid w:val="0088548E"/>
    <w:rsid w:val="0088553D"/>
    <w:rsid w:val="00885561"/>
    <w:rsid w:val="0088562B"/>
    <w:rsid w:val="008856FA"/>
    <w:rsid w:val="0088573E"/>
    <w:rsid w:val="00885790"/>
    <w:rsid w:val="008857F7"/>
    <w:rsid w:val="0088593C"/>
    <w:rsid w:val="00885A2F"/>
    <w:rsid w:val="00885BC0"/>
    <w:rsid w:val="00885BEC"/>
    <w:rsid w:val="00885C32"/>
    <w:rsid w:val="00885CCB"/>
    <w:rsid w:val="00885F2E"/>
    <w:rsid w:val="00885FBB"/>
    <w:rsid w:val="00886270"/>
    <w:rsid w:val="00886345"/>
    <w:rsid w:val="00886422"/>
    <w:rsid w:val="0088666B"/>
    <w:rsid w:val="00886781"/>
    <w:rsid w:val="008868C5"/>
    <w:rsid w:val="008868D7"/>
    <w:rsid w:val="00886B2A"/>
    <w:rsid w:val="00886BDD"/>
    <w:rsid w:val="00886DD1"/>
    <w:rsid w:val="00886DFF"/>
    <w:rsid w:val="008870CC"/>
    <w:rsid w:val="00887227"/>
    <w:rsid w:val="00887351"/>
    <w:rsid w:val="00887479"/>
    <w:rsid w:val="008874C8"/>
    <w:rsid w:val="008874F0"/>
    <w:rsid w:val="008875A5"/>
    <w:rsid w:val="008875D6"/>
    <w:rsid w:val="008876E3"/>
    <w:rsid w:val="00887BF5"/>
    <w:rsid w:val="00887BF8"/>
    <w:rsid w:val="00887CA3"/>
    <w:rsid w:val="00887CAC"/>
    <w:rsid w:val="00887CD2"/>
    <w:rsid w:val="00887D73"/>
    <w:rsid w:val="00887FA4"/>
    <w:rsid w:val="00887FB4"/>
    <w:rsid w:val="00887FDF"/>
    <w:rsid w:val="008901F5"/>
    <w:rsid w:val="00890313"/>
    <w:rsid w:val="008906FE"/>
    <w:rsid w:val="0089071C"/>
    <w:rsid w:val="0089071E"/>
    <w:rsid w:val="008907EF"/>
    <w:rsid w:val="008907F9"/>
    <w:rsid w:val="00890900"/>
    <w:rsid w:val="00890960"/>
    <w:rsid w:val="0089099B"/>
    <w:rsid w:val="008909E8"/>
    <w:rsid w:val="00890C55"/>
    <w:rsid w:val="00890C5F"/>
    <w:rsid w:val="00890C7A"/>
    <w:rsid w:val="00890CAB"/>
    <w:rsid w:val="00890DEC"/>
    <w:rsid w:val="008910F1"/>
    <w:rsid w:val="00891146"/>
    <w:rsid w:val="00891599"/>
    <w:rsid w:val="00891615"/>
    <w:rsid w:val="0089172A"/>
    <w:rsid w:val="00891839"/>
    <w:rsid w:val="00891BC7"/>
    <w:rsid w:val="00891C47"/>
    <w:rsid w:val="00891E0D"/>
    <w:rsid w:val="00891E6A"/>
    <w:rsid w:val="00891F5D"/>
    <w:rsid w:val="00891F61"/>
    <w:rsid w:val="0089219E"/>
    <w:rsid w:val="00892423"/>
    <w:rsid w:val="00892472"/>
    <w:rsid w:val="0089255E"/>
    <w:rsid w:val="0089273A"/>
    <w:rsid w:val="00892746"/>
    <w:rsid w:val="00892758"/>
    <w:rsid w:val="00892817"/>
    <w:rsid w:val="00892A78"/>
    <w:rsid w:val="00892C01"/>
    <w:rsid w:val="00892D02"/>
    <w:rsid w:val="00892D50"/>
    <w:rsid w:val="00892D57"/>
    <w:rsid w:val="00892DD1"/>
    <w:rsid w:val="008930EA"/>
    <w:rsid w:val="00893435"/>
    <w:rsid w:val="0089354B"/>
    <w:rsid w:val="008935F8"/>
    <w:rsid w:val="008935FA"/>
    <w:rsid w:val="008935FF"/>
    <w:rsid w:val="008936AC"/>
    <w:rsid w:val="00893B59"/>
    <w:rsid w:val="00893C6C"/>
    <w:rsid w:val="00893E48"/>
    <w:rsid w:val="008940FB"/>
    <w:rsid w:val="008941A2"/>
    <w:rsid w:val="00894227"/>
    <w:rsid w:val="0089428F"/>
    <w:rsid w:val="00894436"/>
    <w:rsid w:val="008944EE"/>
    <w:rsid w:val="008945F1"/>
    <w:rsid w:val="008946D4"/>
    <w:rsid w:val="00894701"/>
    <w:rsid w:val="00894927"/>
    <w:rsid w:val="00894973"/>
    <w:rsid w:val="00894B37"/>
    <w:rsid w:val="00894BA4"/>
    <w:rsid w:val="00894E07"/>
    <w:rsid w:val="00894E08"/>
    <w:rsid w:val="008950DF"/>
    <w:rsid w:val="00895136"/>
    <w:rsid w:val="008951CE"/>
    <w:rsid w:val="0089521A"/>
    <w:rsid w:val="00895434"/>
    <w:rsid w:val="008954AD"/>
    <w:rsid w:val="0089550E"/>
    <w:rsid w:val="0089554D"/>
    <w:rsid w:val="008955B0"/>
    <w:rsid w:val="008955C2"/>
    <w:rsid w:val="0089562C"/>
    <w:rsid w:val="00895665"/>
    <w:rsid w:val="0089566A"/>
    <w:rsid w:val="008956FA"/>
    <w:rsid w:val="00895834"/>
    <w:rsid w:val="00895883"/>
    <w:rsid w:val="00895A42"/>
    <w:rsid w:val="00895A61"/>
    <w:rsid w:val="00895B11"/>
    <w:rsid w:val="00895C03"/>
    <w:rsid w:val="00895CBE"/>
    <w:rsid w:val="00895D92"/>
    <w:rsid w:val="00895EFE"/>
    <w:rsid w:val="00896023"/>
    <w:rsid w:val="0089609C"/>
    <w:rsid w:val="00896233"/>
    <w:rsid w:val="00896347"/>
    <w:rsid w:val="0089636A"/>
    <w:rsid w:val="008964D0"/>
    <w:rsid w:val="00896552"/>
    <w:rsid w:val="00896558"/>
    <w:rsid w:val="008966E7"/>
    <w:rsid w:val="00896710"/>
    <w:rsid w:val="0089680E"/>
    <w:rsid w:val="00896978"/>
    <w:rsid w:val="00896C6B"/>
    <w:rsid w:val="00896E88"/>
    <w:rsid w:val="00896EBD"/>
    <w:rsid w:val="008970A6"/>
    <w:rsid w:val="00897149"/>
    <w:rsid w:val="0089738E"/>
    <w:rsid w:val="008974AA"/>
    <w:rsid w:val="008974BC"/>
    <w:rsid w:val="008974F1"/>
    <w:rsid w:val="00897591"/>
    <w:rsid w:val="008975DF"/>
    <w:rsid w:val="00897683"/>
    <w:rsid w:val="0089784B"/>
    <w:rsid w:val="00897B0D"/>
    <w:rsid w:val="00897B53"/>
    <w:rsid w:val="00897CED"/>
    <w:rsid w:val="00897E88"/>
    <w:rsid w:val="00897F46"/>
    <w:rsid w:val="00897FA6"/>
    <w:rsid w:val="008A00D9"/>
    <w:rsid w:val="008A0122"/>
    <w:rsid w:val="008A0210"/>
    <w:rsid w:val="008A025B"/>
    <w:rsid w:val="008A028A"/>
    <w:rsid w:val="008A05B5"/>
    <w:rsid w:val="008A06E1"/>
    <w:rsid w:val="008A06FB"/>
    <w:rsid w:val="008A0820"/>
    <w:rsid w:val="008A086F"/>
    <w:rsid w:val="008A095D"/>
    <w:rsid w:val="008A0D42"/>
    <w:rsid w:val="008A0DFB"/>
    <w:rsid w:val="008A0E88"/>
    <w:rsid w:val="008A0F6E"/>
    <w:rsid w:val="008A1182"/>
    <w:rsid w:val="008A11AE"/>
    <w:rsid w:val="008A1430"/>
    <w:rsid w:val="008A14BA"/>
    <w:rsid w:val="008A1508"/>
    <w:rsid w:val="008A1691"/>
    <w:rsid w:val="008A1745"/>
    <w:rsid w:val="008A1839"/>
    <w:rsid w:val="008A1ADE"/>
    <w:rsid w:val="008A1B2D"/>
    <w:rsid w:val="008A1B79"/>
    <w:rsid w:val="008A1BD8"/>
    <w:rsid w:val="008A1BF5"/>
    <w:rsid w:val="008A1C16"/>
    <w:rsid w:val="008A1C4D"/>
    <w:rsid w:val="008A1F3C"/>
    <w:rsid w:val="008A2097"/>
    <w:rsid w:val="008A20F3"/>
    <w:rsid w:val="008A2126"/>
    <w:rsid w:val="008A22D2"/>
    <w:rsid w:val="008A232E"/>
    <w:rsid w:val="008A2546"/>
    <w:rsid w:val="008A25E6"/>
    <w:rsid w:val="008A26AA"/>
    <w:rsid w:val="008A2752"/>
    <w:rsid w:val="008A2836"/>
    <w:rsid w:val="008A2A1A"/>
    <w:rsid w:val="008A2BA8"/>
    <w:rsid w:val="008A2CB7"/>
    <w:rsid w:val="008A2DE0"/>
    <w:rsid w:val="008A2EA3"/>
    <w:rsid w:val="008A2ECD"/>
    <w:rsid w:val="008A2F0B"/>
    <w:rsid w:val="008A3165"/>
    <w:rsid w:val="008A3225"/>
    <w:rsid w:val="008A32D3"/>
    <w:rsid w:val="008A3353"/>
    <w:rsid w:val="008A33B1"/>
    <w:rsid w:val="008A350C"/>
    <w:rsid w:val="008A3875"/>
    <w:rsid w:val="008A3881"/>
    <w:rsid w:val="008A3941"/>
    <w:rsid w:val="008A3B75"/>
    <w:rsid w:val="008A3C03"/>
    <w:rsid w:val="008A3D0D"/>
    <w:rsid w:val="008A3DE4"/>
    <w:rsid w:val="008A3E42"/>
    <w:rsid w:val="008A3E4C"/>
    <w:rsid w:val="008A3EF5"/>
    <w:rsid w:val="008A3F57"/>
    <w:rsid w:val="008A4080"/>
    <w:rsid w:val="008A41D5"/>
    <w:rsid w:val="008A45A1"/>
    <w:rsid w:val="008A4696"/>
    <w:rsid w:val="008A4786"/>
    <w:rsid w:val="008A48D4"/>
    <w:rsid w:val="008A49F9"/>
    <w:rsid w:val="008A4BBC"/>
    <w:rsid w:val="008A4EBB"/>
    <w:rsid w:val="008A4F47"/>
    <w:rsid w:val="008A4F91"/>
    <w:rsid w:val="008A50E6"/>
    <w:rsid w:val="008A5183"/>
    <w:rsid w:val="008A5398"/>
    <w:rsid w:val="008A5435"/>
    <w:rsid w:val="008A579A"/>
    <w:rsid w:val="008A5839"/>
    <w:rsid w:val="008A592F"/>
    <w:rsid w:val="008A5944"/>
    <w:rsid w:val="008A5974"/>
    <w:rsid w:val="008A59BA"/>
    <w:rsid w:val="008A5BC7"/>
    <w:rsid w:val="008A5C6B"/>
    <w:rsid w:val="008A5CE5"/>
    <w:rsid w:val="008A5D9F"/>
    <w:rsid w:val="008A5E6B"/>
    <w:rsid w:val="008A5F1D"/>
    <w:rsid w:val="008A5F58"/>
    <w:rsid w:val="008A5F97"/>
    <w:rsid w:val="008A5FA4"/>
    <w:rsid w:val="008A610D"/>
    <w:rsid w:val="008A62BC"/>
    <w:rsid w:val="008A62E6"/>
    <w:rsid w:val="008A6346"/>
    <w:rsid w:val="008A6429"/>
    <w:rsid w:val="008A6448"/>
    <w:rsid w:val="008A6672"/>
    <w:rsid w:val="008A66AC"/>
    <w:rsid w:val="008A67D0"/>
    <w:rsid w:val="008A68C8"/>
    <w:rsid w:val="008A69D6"/>
    <w:rsid w:val="008A6ACB"/>
    <w:rsid w:val="008A6AE0"/>
    <w:rsid w:val="008A6B38"/>
    <w:rsid w:val="008A6B81"/>
    <w:rsid w:val="008A6B97"/>
    <w:rsid w:val="008A6BD1"/>
    <w:rsid w:val="008A6DF1"/>
    <w:rsid w:val="008A6E4D"/>
    <w:rsid w:val="008A6E59"/>
    <w:rsid w:val="008A6EA3"/>
    <w:rsid w:val="008A6FDF"/>
    <w:rsid w:val="008A70FE"/>
    <w:rsid w:val="008A710C"/>
    <w:rsid w:val="008A7127"/>
    <w:rsid w:val="008A71D2"/>
    <w:rsid w:val="008A726E"/>
    <w:rsid w:val="008A7391"/>
    <w:rsid w:val="008A7431"/>
    <w:rsid w:val="008A7433"/>
    <w:rsid w:val="008A7449"/>
    <w:rsid w:val="008A787E"/>
    <w:rsid w:val="008A79D0"/>
    <w:rsid w:val="008A7AF9"/>
    <w:rsid w:val="008A7B1B"/>
    <w:rsid w:val="008A7C39"/>
    <w:rsid w:val="008A7C47"/>
    <w:rsid w:val="008A7C96"/>
    <w:rsid w:val="008A7FD3"/>
    <w:rsid w:val="008B002F"/>
    <w:rsid w:val="008B00F6"/>
    <w:rsid w:val="008B0172"/>
    <w:rsid w:val="008B0188"/>
    <w:rsid w:val="008B0190"/>
    <w:rsid w:val="008B021B"/>
    <w:rsid w:val="008B0377"/>
    <w:rsid w:val="008B03B4"/>
    <w:rsid w:val="008B03DA"/>
    <w:rsid w:val="008B03F1"/>
    <w:rsid w:val="008B0421"/>
    <w:rsid w:val="008B04FF"/>
    <w:rsid w:val="008B056A"/>
    <w:rsid w:val="008B0635"/>
    <w:rsid w:val="008B095F"/>
    <w:rsid w:val="008B0996"/>
    <w:rsid w:val="008B0BD4"/>
    <w:rsid w:val="008B0DF7"/>
    <w:rsid w:val="008B0EA3"/>
    <w:rsid w:val="008B0EFC"/>
    <w:rsid w:val="008B103F"/>
    <w:rsid w:val="008B125F"/>
    <w:rsid w:val="008B1335"/>
    <w:rsid w:val="008B1460"/>
    <w:rsid w:val="008B163D"/>
    <w:rsid w:val="008B1762"/>
    <w:rsid w:val="008B17FE"/>
    <w:rsid w:val="008B1856"/>
    <w:rsid w:val="008B192E"/>
    <w:rsid w:val="008B1AB9"/>
    <w:rsid w:val="008B1BA0"/>
    <w:rsid w:val="008B1C12"/>
    <w:rsid w:val="008B1ED5"/>
    <w:rsid w:val="008B1FD6"/>
    <w:rsid w:val="008B203D"/>
    <w:rsid w:val="008B2074"/>
    <w:rsid w:val="008B2082"/>
    <w:rsid w:val="008B211C"/>
    <w:rsid w:val="008B211F"/>
    <w:rsid w:val="008B2139"/>
    <w:rsid w:val="008B21CD"/>
    <w:rsid w:val="008B23DB"/>
    <w:rsid w:val="008B255F"/>
    <w:rsid w:val="008B2690"/>
    <w:rsid w:val="008B275F"/>
    <w:rsid w:val="008B2965"/>
    <w:rsid w:val="008B2969"/>
    <w:rsid w:val="008B2A71"/>
    <w:rsid w:val="008B2ADC"/>
    <w:rsid w:val="008B2C90"/>
    <w:rsid w:val="008B2CC6"/>
    <w:rsid w:val="008B2E5E"/>
    <w:rsid w:val="008B3003"/>
    <w:rsid w:val="008B3030"/>
    <w:rsid w:val="008B30F6"/>
    <w:rsid w:val="008B30F7"/>
    <w:rsid w:val="008B3101"/>
    <w:rsid w:val="008B3129"/>
    <w:rsid w:val="008B316F"/>
    <w:rsid w:val="008B3320"/>
    <w:rsid w:val="008B35A9"/>
    <w:rsid w:val="008B36C8"/>
    <w:rsid w:val="008B3895"/>
    <w:rsid w:val="008B397D"/>
    <w:rsid w:val="008B3A40"/>
    <w:rsid w:val="008B3C6F"/>
    <w:rsid w:val="008B3EA6"/>
    <w:rsid w:val="008B47E6"/>
    <w:rsid w:val="008B4B0D"/>
    <w:rsid w:val="008B4B52"/>
    <w:rsid w:val="008B4CBA"/>
    <w:rsid w:val="008B4D50"/>
    <w:rsid w:val="008B4F3F"/>
    <w:rsid w:val="008B4FF1"/>
    <w:rsid w:val="008B51D3"/>
    <w:rsid w:val="008B51E1"/>
    <w:rsid w:val="008B5306"/>
    <w:rsid w:val="008B53AE"/>
    <w:rsid w:val="008B5450"/>
    <w:rsid w:val="008B550F"/>
    <w:rsid w:val="008B5512"/>
    <w:rsid w:val="008B55B9"/>
    <w:rsid w:val="008B55EE"/>
    <w:rsid w:val="008B59E5"/>
    <w:rsid w:val="008B5B7E"/>
    <w:rsid w:val="008B5BF1"/>
    <w:rsid w:val="008B5C9F"/>
    <w:rsid w:val="008B5CEB"/>
    <w:rsid w:val="008B5E23"/>
    <w:rsid w:val="008B5EE8"/>
    <w:rsid w:val="008B5FD5"/>
    <w:rsid w:val="008B600A"/>
    <w:rsid w:val="008B60EC"/>
    <w:rsid w:val="008B6330"/>
    <w:rsid w:val="008B63FE"/>
    <w:rsid w:val="008B648B"/>
    <w:rsid w:val="008B64E5"/>
    <w:rsid w:val="008B64ED"/>
    <w:rsid w:val="008B65A1"/>
    <w:rsid w:val="008B679F"/>
    <w:rsid w:val="008B6835"/>
    <w:rsid w:val="008B6908"/>
    <w:rsid w:val="008B693A"/>
    <w:rsid w:val="008B6CA6"/>
    <w:rsid w:val="008B6CD6"/>
    <w:rsid w:val="008B6EC4"/>
    <w:rsid w:val="008B6FAD"/>
    <w:rsid w:val="008B701E"/>
    <w:rsid w:val="008B706D"/>
    <w:rsid w:val="008B715C"/>
    <w:rsid w:val="008B71C3"/>
    <w:rsid w:val="008B7221"/>
    <w:rsid w:val="008B72FB"/>
    <w:rsid w:val="008B74D8"/>
    <w:rsid w:val="008B7514"/>
    <w:rsid w:val="008B75E5"/>
    <w:rsid w:val="008B78C4"/>
    <w:rsid w:val="008B7902"/>
    <w:rsid w:val="008B7978"/>
    <w:rsid w:val="008B7C3E"/>
    <w:rsid w:val="008B7D96"/>
    <w:rsid w:val="008B7DCD"/>
    <w:rsid w:val="008B7E14"/>
    <w:rsid w:val="008B7ED0"/>
    <w:rsid w:val="008B7FA7"/>
    <w:rsid w:val="008C007B"/>
    <w:rsid w:val="008C00ED"/>
    <w:rsid w:val="008C0132"/>
    <w:rsid w:val="008C025D"/>
    <w:rsid w:val="008C02AC"/>
    <w:rsid w:val="008C04CB"/>
    <w:rsid w:val="008C056F"/>
    <w:rsid w:val="008C078A"/>
    <w:rsid w:val="008C0925"/>
    <w:rsid w:val="008C0AC5"/>
    <w:rsid w:val="008C0CBB"/>
    <w:rsid w:val="008C0D4F"/>
    <w:rsid w:val="008C0E01"/>
    <w:rsid w:val="008C0F13"/>
    <w:rsid w:val="008C0FAA"/>
    <w:rsid w:val="008C100F"/>
    <w:rsid w:val="008C10E0"/>
    <w:rsid w:val="008C1158"/>
    <w:rsid w:val="008C1174"/>
    <w:rsid w:val="008C11D6"/>
    <w:rsid w:val="008C1291"/>
    <w:rsid w:val="008C12E7"/>
    <w:rsid w:val="008C1313"/>
    <w:rsid w:val="008C1343"/>
    <w:rsid w:val="008C13A9"/>
    <w:rsid w:val="008C14C0"/>
    <w:rsid w:val="008C1643"/>
    <w:rsid w:val="008C166E"/>
    <w:rsid w:val="008C16EC"/>
    <w:rsid w:val="008C172A"/>
    <w:rsid w:val="008C191B"/>
    <w:rsid w:val="008C1987"/>
    <w:rsid w:val="008C19A7"/>
    <w:rsid w:val="008C1B72"/>
    <w:rsid w:val="008C1C8F"/>
    <w:rsid w:val="008C1CCD"/>
    <w:rsid w:val="008C1D36"/>
    <w:rsid w:val="008C1F90"/>
    <w:rsid w:val="008C1FB4"/>
    <w:rsid w:val="008C2006"/>
    <w:rsid w:val="008C245B"/>
    <w:rsid w:val="008C250D"/>
    <w:rsid w:val="008C2527"/>
    <w:rsid w:val="008C255D"/>
    <w:rsid w:val="008C26AA"/>
    <w:rsid w:val="008C26E8"/>
    <w:rsid w:val="008C282F"/>
    <w:rsid w:val="008C28C4"/>
    <w:rsid w:val="008C28E0"/>
    <w:rsid w:val="008C28F0"/>
    <w:rsid w:val="008C28F5"/>
    <w:rsid w:val="008C2934"/>
    <w:rsid w:val="008C294B"/>
    <w:rsid w:val="008C2B4D"/>
    <w:rsid w:val="008C2C04"/>
    <w:rsid w:val="008C2C5A"/>
    <w:rsid w:val="008C3003"/>
    <w:rsid w:val="008C331A"/>
    <w:rsid w:val="008C3528"/>
    <w:rsid w:val="008C3544"/>
    <w:rsid w:val="008C3612"/>
    <w:rsid w:val="008C37E1"/>
    <w:rsid w:val="008C3820"/>
    <w:rsid w:val="008C383D"/>
    <w:rsid w:val="008C38C6"/>
    <w:rsid w:val="008C39EC"/>
    <w:rsid w:val="008C3B22"/>
    <w:rsid w:val="008C3BC5"/>
    <w:rsid w:val="008C3CAD"/>
    <w:rsid w:val="008C3D0F"/>
    <w:rsid w:val="008C3D80"/>
    <w:rsid w:val="008C3D89"/>
    <w:rsid w:val="008C3F22"/>
    <w:rsid w:val="008C3FA9"/>
    <w:rsid w:val="008C4119"/>
    <w:rsid w:val="008C425F"/>
    <w:rsid w:val="008C43BF"/>
    <w:rsid w:val="008C44E9"/>
    <w:rsid w:val="008C4605"/>
    <w:rsid w:val="008C46D9"/>
    <w:rsid w:val="008C471D"/>
    <w:rsid w:val="008C47D3"/>
    <w:rsid w:val="008C48D8"/>
    <w:rsid w:val="008C48FA"/>
    <w:rsid w:val="008C4979"/>
    <w:rsid w:val="008C49E6"/>
    <w:rsid w:val="008C4A72"/>
    <w:rsid w:val="008C4AD0"/>
    <w:rsid w:val="008C4AD3"/>
    <w:rsid w:val="008C4B22"/>
    <w:rsid w:val="008C4CF8"/>
    <w:rsid w:val="008C4E42"/>
    <w:rsid w:val="008C4EF3"/>
    <w:rsid w:val="008C4FE5"/>
    <w:rsid w:val="008C5053"/>
    <w:rsid w:val="008C5180"/>
    <w:rsid w:val="008C5189"/>
    <w:rsid w:val="008C52A0"/>
    <w:rsid w:val="008C52D5"/>
    <w:rsid w:val="008C5336"/>
    <w:rsid w:val="008C56B2"/>
    <w:rsid w:val="008C56FF"/>
    <w:rsid w:val="008C58E0"/>
    <w:rsid w:val="008C5A3A"/>
    <w:rsid w:val="008C5BCD"/>
    <w:rsid w:val="008C5BF0"/>
    <w:rsid w:val="008C5CA8"/>
    <w:rsid w:val="008C5DF9"/>
    <w:rsid w:val="008C5F38"/>
    <w:rsid w:val="008C5FA7"/>
    <w:rsid w:val="008C60EE"/>
    <w:rsid w:val="008C6176"/>
    <w:rsid w:val="008C61E8"/>
    <w:rsid w:val="008C62A6"/>
    <w:rsid w:val="008C63D2"/>
    <w:rsid w:val="008C63E1"/>
    <w:rsid w:val="008C63E5"/>
    <w:rsid w:val="008C6455"/>
    <w:rsid w:val="008C650D"/>
    <w:rsid w:val="008C66AC"/>
    <w:rsid w:val="008C698C"/>
    <w:rsid w:val="008C699A"/>
    <w:rsid w:val="008C6B4D"/>
    <w:rsid w:val="008C6B7B"/>
    <w:rsid w:val="008C6C19"/>
    <w:rsid w:val="008C6D5D"/>
    <w:rsid w:val="008C6DF3"/>
    <w:rsid w:val="008C6E18"/>
    <w:rsid w:val="008C6EA3"/>
    <w:rsid w:val="008C70F7"/>
    <w:rsid w:val="008C7166"/>
    <w:rsid w:val="008C729C"/>
    <w:rsid w:val="008C7342"/>
    <w:rsid w:val="008C739D"/>
    <w:rsid w:val="008C7405"/>
    <w:rsid w:val="008C7471"/>
    <w:rsid w:val="008C7620"/>
    <w:rsid w:val="008C780E"/>
    <w:rsid w:val="008C7824"/>
    <w:rsid w:val="008C78AC"/>
    <w:rsid w:val="008C7C31"/>
    <w:rsid w:val="008C7D94"/>
    <w:rsid w:val="008C7DAA"/>
    <w:rsid w:val="008C7F71"/>
    <w:rsid w:val="008C7FDE"/>
    <w:rsid w:val="008D00E9"/>
    <w:rsid w:val="008D01C4"/>
    <w:rsid w:val="008D0205"/>
    <w:rsid w:val="008D0243"/>
    <w:rsid w:val="008D026F"/>
    <w:rsid w:val="008D027B"/>
    <w:rsid w:val="008D0357"/>
    <w:rsid w:val="008D0557"/>
    <w:rsid w:val="008D0976"/>
    <w:rsid w:val="008D0EDD"/>
    <w:rsid w:val="008D1202"/>
    <w:rsid w:val="008D1328"/>
    <w:rsid w:val="008D1531"/>
    <w:rsid w:val="008D17F7"/>
    <w:rsid w:val="008D185F"/>
    <w:rsid w:val="008D1B2D"/>
    <w:rsid w:val="008D1CB6"/>
    <w:rsid w:val="008D1CDD"/>
    <w:rsid w:val="008D1D13"/>
    <w:rsid w:val="008D1DB5"/>
    <w:rsid w:val="008D1FC2"/>
    <w:rsid w:val="008D20CA"/>
    <w:rsid w:val="008D238F"/>
    <w:rsid w:val="008D248F"/>
    <w:rsid w:val="008D26E8"/>
    <w:rsid w:val="008D26F4"/>
    <w:rsid w:val="008D2796"/>
    <w:rsid w:val="008D27A5"/>
    <w:rsid w:val="008D284A"/>
    <w:rsid w:val="008D28D0"/>
    <w:rsid w:val="008D29C6"/>
    <w:rsid w:val="008D2A94"/>
    <w:rsid w:val="008D2B58"/>
    <w:rsid w:val="008D339F"/>
    <w:rsid w:val="008D34DA"/>
    <w:rsid w:val="008D35C5"/>
    <w:rsid w:val="008D3664"/>
    <w:rsid w:val="008D3682"/>
    <w:rsid w:val="008D36F2"/>
    <w:rsid w:val="008D3731"/>
    <w:rsid w:val="008D373A"/>
    <w:rsid w:val="008D3768"/>
    <w:rsid w:val="008D37DB"/>
    <w:rsid w:val="008D3A62"/>
    <w:rsid w:val="008D3AFD"/>
    <w:rsid w:val="008D3B95"/>
    <w:rsid w:val="008D3DA1"/>
    <w:rsid w:val="008D3F1D"/>
    <w:rsid w:val="008D3F3F"/>
    <w:rsid w:val="008D4127"/>
    <w:rsid w:val="008D41FE"/>
    <w:rsid w:val="008D42B5"/>
    <w:rsid w:val="008D43B4"/>
    <w:rsid w:val="008D4687"/>
    <w:rsid w:val="008D4704"/>
    <w:rsid w:val="008D475D"/>
    <w:rsid w:val="008D4929"/>
    <w:rsid w:val="008D49DE"/>
    <w:rsid w:val="008D4C6D"/>
    <w:rsid w:val="008D4C8F"/>
    <w:rsid w:val="008D4EAE"/>
    <w:rsid w:val="008D4FC7"/>
    <w:rsid w:val="008D4FF7"/>
    <w:rsid w:val="008D50E6"/>
    <w:rsid w:val="008D512B"/>
    <w:rsid w:val="008D54AA"/>
    <w:rsid w:val="008D5520"/>
    <w:rsid w:val="008D5673"/>
    <w:rsid w:val="008D56FC"/>
    <w:rsid w:val="008D57BE"/>
    <w:rsid w:val="008D57DA"/>
    <w:rsid w:val="008D589C"/>
    <w:rsid w:val="008D58D2"/>
    <w:rsid w:val="008D5A35"/>
    <w:rsid w:val="008D5ACD"/>
    <w:rsid w:val="008D5AF7"/>
    <w:rsid w:val="008D5B8B"/>
    <w:rsid w:val="008D5BBD"/>
    <w:rsid w:val="008D5C2F"/>
    <w:rsid w:val="008D5CA9"/>
    <w:rsid w:val="008D5CE0"/>
    <w:rsid w:val="008D5E0A"/>
    <w:rsid w:val="008D5E6C"/>
    <w:rsid w:val="008D617F"/>
    <w:rsid w:val="008D61B1"/>
    <w:rsid w:val="008D642E"/>
    <w:rsid w:val="008D6457"/>
    <w:rsid w:val="008D6741"/>
    <w:rsid w:val="008D67C6"/>
    <w:rsid w:val="008D6810"/>
    <w:rsid w:val="008D6857"/>
    <w:rsid w:val="008D6958"/>
    <w:rsid w:val="008D6A12"/>
    <w:rsid w:val="008D6B2E"/>
    <w:rsid w:val="008D6C5D"/>
    <w:rsid w:val="008D6EC2"/>
    <w:rsid w:val="008D6F2C"/>
    <w:rsid w:val="008D6F73"/>
    <w:rsid w:val="008D7006"/>
    <w:rsid w:val="008D705A"/>
    <w:rsid w:val="008D710E"/>
    <w:rsid w:val="008D72EE"/>
    <w:rsid w:val="008D7313"/>
    <w:rsid w:val="008D73B0"/>
    <w:rsid w:val="008D7442"/>
    <w:rsid w:val="008D7507"/>
    <w:rsid w:val="008D75ED"/>
    <w:rsid w:val="008D770A"/>
    <w:rsid w:val="008D7776"/>
    <w:rsid w:val="008D77E1"/>
    <w:rsid w:val="008D786F"/>
    <w:rsid w:val="008D78E0"/>
    <w:rsid w:val="008D798C"/>
    <w:rsid w:val="008D7993"/>
    <w:rsid w:val="008D7AAD"/>
    <w:rsid w:val="008D7AC0"/>
    <w:rsid w:val="008D7AF6"/>
    <w:rsid w:val="008D7B45"/>
    <w:rsid w:val="008D7CFB"/>
    <w:rsid w:val="008D7F3E"/>
    <w:rsid w:val="008E00D2"/>
    <w:rsid w:val="008E00FB"/>
    <w:rsid w:val="008E0279"/>
    <w:rsid w:val="008E02BE"/>
    <w:rsid w:val="008E02D5"/>
    <w:rsid w:val="008E0462"/>
    <w:rsid w:val="008E059C"/>
    <w:rsid w:val="008E05AD"/>
    <w:rsid w:val="008E067E"/>
    <w:rsid w:val="008E06F9"/>
    <w:rsid w:val="008E079F"/>
    <w:rsid w:val="008E08A4"/>
    <w:rsid w:val="008E0929"/>
    <w:rsid w:val="008E0BC5"/>
    <w:rsid w:val="008E0C22"/>
    <w:rsid w:val="008E0C7C"/>
    <w:rsid w:val="008E0CFE"/>
    <w:rsid w:val="008E0E62"/>
    <w:rsid w:val="008E0EAB"/>
    <w:rsid w:val="008E11DC"/>
    <w:rsid w:val="008E121D"/>
    <w:rsid w:val="008E1242"/>
    <w:rsid w:val="008E166C"/>
    <w:rsid w:val="008E177B"/>
    <w:rsid w:val="008E17C5"/>
    <w:rsid w:val="008E17CB"/>
    <w:rsid w:val="008E1A16"/>
    <w:rsid w:val="008E1C72"/>
    <w:rsid w:val="008E1CCF"/>
    <w:rsid w:val="008E1D1E"/>
    <w:rsid w:val="008E1D66"/>
    <w:rsid w:val="008E1DBC"/>
    <w:rsid w:val="008E1DC1"/>
    <w:rsid w:val="008E1E4E"/>
    <w:rsid w:val="008E1EAC"/>
    <w:rsid w:val="008E1F59"/>
    <w:rsid w:val="008E1F64"/>
    <w:rsid w:val="008E1FC4"/>
    <w:rsid w:val="008E2039"/>
    <w:rsid w:val="008E2077"/>
    <w:rsid w:val="008E223D"/>
    <w:rsid w:val="008E23F0"/>
    <w:rsid w:val="008E244B"/>
    <w:rsid w:val="008E24A1"/>
    <w:rsid w:val="008E2566"/>
    <w:rsid w:val="008E2590"/>
    <w:rsid w:val="008E25ED"/>
    <w:rsid w:val="008E2606"/>
    <w:rsid w:val="008E267F"/>
    <w:rsid w:val="008E2842"/>
    <w:rsid w:val="008E28D8"/>
    <w:rsid w:val="008E2980"/>
    <w:rsid w:val="008E2A28"/>
    <w:rsid w:val="008E2A3E"/>
    <w:rsid w:val="008E2B1D"/>
    <w:rsid w:val="008E2B26"/>
    <w:rsid w:val="008E2D4E"/>
    <w:rsid w:val="008E2DDA"/>
    <w:rsid w:val="008E2E28"/>
    <w:rsid w:val="008E2E5E"/>
    <w:rsid w:val="008E2E72"/>
    <w:rsid w:val="008E2EF6"/>
    <w:rsid w:val="008E2F54"/>
    <w:rsid w:val="008E300E"/>
    <w:rsid w:val="008E30FE"/>
    <w:rsid w:val="008E321A"/>
    <w:rsid w:val="008E339C"/>
    <w:rsid w:val="008E3433"/>
    <w:rsid w:val="008E3693"/>
    <w:rsid w:val="008E38D0"/>
    <w:rsid w:val="008E39D0"/>
    <w:rsid w:val="008E3B01"/>
    <w:rsid w:val="008E3B21"/>
    <w:rsid w:val="008E3B58"/>
    <w:rsid w:val="008E3BE1"/>
    <w:rsid w:val="008E3D96"/>
    <w:rsid w:val="008E3E06"/>
    <w:rsid w:val="008E3E70"/>
    <w:rsid w:val="008E3EF1"/>
    <w:rsid w:val="008E40E2"/>
    <w:rsid w:val="008E410F"/>
    <w:rsid w:val="008E4110"/>
    <w:rsid w:val="008E4130"/>
    <w:rsid w:val="008E4145"/>
    <w:rsid w:val="008E416E"/>
    <w:rsid w:val="008E4210"/>
    <w:rsid w:val="008E428D"/>
    <w:rsid w:val="008E4418"/>
    <w:rsid w:val="008E44E0"/>
    <w:rsid w:val="008E454F"/>
    <w:rsid w:val="008E4581"/>
    <w:rsid w:val="008E45C4"/>
    <w:rsid w:val="008E45D7"/>
    <w:rsid w:val="008E4623"/>
    <w:rsid w:val="008E46B2"/>
    <w:rsid w:val="008E4905"/>
    <w:rsid w:val="008E4AF7"/>
    <w:rsid w:val="008E4CF8"/>
    <w:rsid w:val="008E4DBF"/>
    <w:rsid w:val="008E4F05"/>
    <w:rsid w:val="008E5459"/>
    <w:rsid w:val="008E55F6"/>
    <w:rsid w:val="008E5741"/>
    <w:rsid w:val="008E57B5"/>
    <w:rsid w:val="008E59F2"/>
    <w:rsid w:val="008E5BA1"/>
    <w:rsid w:val="008E5CF0"/>
    <w:rsid w:val="008E5CF1"/>
    <w:rsid w:val="008E5D15"/>
    <w:rsid w:val="008E5D82"/>
    <w:rsid w:val="008E5E1C"/>
    <w:rsid w:val="008E5ED8"/>
    <w:rsid w:val="008E5FEC"/>
    <w:rsid w:val="008E60CF"/>
    <w:rsid w:val="008E6292"/>
    <w:rsid w:val="008E635F"/>
    <w:rsid w:val="008E654C"/>
    <w:rsid w:val="008E6689"/>
    <w:rsid w:val="008E669D"/>
    <w:rsid w:val="008E6B3F"/>
    <w:rsid w:val="008E6BC9"/>
    <w:rsid w:val="008E6D25"/>
    <w:rsid w:val="008E6FE9"/>
    <w:rsid w:val="008E702C"/>
    <w:rsid w:val="008E70C1"/>
    <w:rsid w:val="008E7134"/>
    <w:rsid w:val="008E7288"/>
    <w:rsid w:val="008E72F7"/>
    <w:rsid w:val="008E74A4"/>
    <w:rsid w:val="008E752A"/>
    <w:rsid w:val="008E7701"/>
    <w:rsid w:val="008E7789"/>
    <w:rsid w:val="008E7818"/>
    <w:rsid w:val="008E788E"/>
    <w:rsid w:val="008E79B0"/>
    <w:rsid w:val="008E7CF4"/>
    <w:rsid w:val="008E7D70"/>
    <w:rsid w:val="008E7D7E"/>
    <w:rsid w:val="008E7E39"/>
    <w:rsid w:val="008E7ED9"/>
    <w:rsid w:val="008F0024"/>
    <w:rsid w:val="008F00CA"/>
    <w:rsid w:val="008F0134"/>
    <w:rsid w:val="008F03B2"/>
    <w:rsid w:val="008F06A4"/>
    <w:rsid w:val="008F06D0"/>
    <w:rsid w:val="008F0715"/>
    <w:rsid w:val="008F087E"/>
    <w:rsid w:val="008F0924"/>
    <w:rsid w:val="008F0A51"/>
    <w:rsid w:val="008F0AE6"/>
    <w:rsid w:val="008F0B89"/>
    <w:rsid w:val="008F0C29"/>
    <w:rsid w:val="008F0D2B"/>
    <w:rsid w:val="008F0D8F"/>
    <w:rsid w:val="008F0F34"/>
    <w:rsid w:val="008F0FA4"/>
    <w:rsid w:val="008F0FB8"/>
    <w:rsid w:val="008F119A"/>
    <w:rsid w:val="008F1435"/>
    <w:rsid w:val="008F14BA"/>
    <w:rsid w:val="008F1628"/>
    <w:rsid w:val="008F1648"/>
    <w:rsid w:val="008F1681"/>
    <w:rsid w:val="008F16EA"/>
    <w:rsid w:val="008F17AC"/>
    <w:rsid w:val="008F17BE"/>
    <w:rsid w:val="008F17BF"/>
    <w:rsid w:val="008F18D9"/>
    <w:rsid w:val="008F1961"/>
    <w:rsid w:val="008F1995"/>
    <w:rsid w:val="008F19A5"/>
    <w:rsid w:val="008F1A39"/>
    <w:rsid w:val="008F1CF9"/>
    <w:rsid w:val="008F1D74"/>
    <w:rsid w:val="008F1D8D"/>
    <w:rsid w:val="008F1E9F"/>
    <w:rsid w:val="008F1EFE"/>
    <w:rsid w:val="008F1F75"/>
    <w:rsid w:val="008F2016"/>
    <w:rsid w:val="008F2273"/>
    <w:rsid w:val="008F2277"/>
    <w:rsid w:val="008F22D5"/>
    <w:rsid w:val="008F2391"/>
    <w:rsid w:val="008F23EB"/>
    <w:rsid w:val="008F23FD"/>
    <w:rsid w:val="008F2473"/>
    <w:rsid w:val="008F2625"/>
    <w:rsid w:val="008F263C"/>
    <w:rsid w:val="008F2931"/>
    <w:rsid w:val="008F293A"/>
    <w:rsid w:val="008F2971"/>
    <w:rsid w:val="008F297C"/>
    <w:rsid w:val="008F2984"/>
    <w:rsid w:val="008F2A0A"/>
    <w:rsid w:val="008F2C0E"/>
    <w:rsid w:val="008F2D14"/>
    <w:rsid w:val="008F2D70"/>
    <w:rsid w:val="008F2D89"/>
    <w:rsid w:val="008F2DDA"/>
    <w:rsid w:val="008F2DDD"/>
    <w:rsid w:val="008F2E9F"/>
    <w:rsid w:val="008F2EE5"/>
    <w:rsid w:val="008F2F1D"/>
    <w:rsid w:val="008F308B"/>
    <w:rsid w:val="008F310E"/>
    <w:rsid w:val="008F314A"/>
    <w:rsid w:val="008F31B6"/>
    <w:rsid w:val="008F31E7"/>
    <w:rsid w:val="008F3214"/>
    <w:rsid w:val="008F3342"/>
    <w:rsid w:val="008F340E"/>
    <w:rsid w:val="008F35C5"/>
    <w:rsid w:val="008F35E8"/>
    <w:rsid w:val="008F383E"/>
    <w:rsid w:val="008F3A20"/>
    <w:rsid w:val="008F3C67"/>
    <w:rsid w:val="008F3CED"/>
    <w:rsid w:val="008F3E15"/>
    <w:rsid w:val="008F3FA6"/>
    <w:rsid w:val="008F3FD2"/>
    <w:rsid w:val="008F417B"/>
    <w:rsid w:val="008F42F8"/>
    <w:rsid w:val="008F45DB"/>
    <w:rsid w:val="008F462A"/>
    <w:rsid w:val="008F4710"/>
    <w:rsid w:val="008F475C"/>
    <w:rsid w:val="008F4859"/>
    <w:rsid w:val="008F4915"/>
    <w:rsid w:val="008F4A16"/>
    <w:rsid w:val="008F4A30"/>
    <w:rsid w:val="008F4A5F"/>
    <w:rsid w:val="008F4A81"/>
    <w:rsid w:val="008F4C8C"/>
    <w:rsid w:val="008F4E3E"/>
    <w:rsid w:val="008F4EE1"/>
    <w:rsid w:val="008F50E7"/>
    <w:rsid w:val="008F50E9"/>
    <w:rsid w:val="008F517D"/>
    <w:rsid w:val="008F5379"/>
    <w:rsid w:val="008F53D8"/>
    <w:rsid w:val="008F5655"/>
    <w:rsid w:val="008F580C"/>
    <w:rsid w:val="008F580F"/>
    <w:rsid w:val="008F58E4"/>
    <w:rsid w:val="008F5BD7"/>
    <w:rsid w:val="008F5C7F"/>
    <w:rsid w:val="008F5C81"/>
    <w:rsid w:val="008F5D0B"/>
    <w:rsid w:val="008F5D8F"/>
    <w:rsid w:val="008F5EAB"/>
    <w:rsid w:val="008F5ECE"/>
    <w:rsid w:val="008F5F56"/>
    <w:rsid w:val="008F600E"/>
    <w:rsid w:val="008F6018"/>
    <w:rsid w:val="008F6048"/>
    <w:rsid w:val="008F611F"/>
    <w:rsid w:val="008F6136"/>
    <w:rsid w:val="008F6176"/>
    <w:rsid w:val="008F61D3"/>
    <w:rsid w:val="008F6395"/>
    <w:rsid w:val="008F6399"/>
    <w:rsid w:val="008F663F"/>
    <w:rsid w:val="008F67AB"/>
    <w:rsid w:val="008F67C7"/>
    <w:rsid w:val="008F6882"/>
    <w:rsid w:val="008F6888"/>
    <w:rsid w:val="008F689B"/>
    <w:rsid w:val="008F6916"/>
    <w:rsid w:val="008F6A5E"/>
    <w:rsid w:val="008F6B92"/>
    <w:rsid w:val="008F6DA4"/>
    <w:rsid w:val="008F6E63"/>
    <w:rsid w:val="008F6EB3"/>
    <w:rsid w:val="008F6F25"/>
    <w:rsid w:val="008F7068"/>
    <w:rsid w:val="008F7109"/>
    <w:rsid w:val="008F72A1"/>
    <w:rsid w:val="008F74DC"/>
    <w:rsid w:val="008F768D"/>
    <w:rsid w:val="008F7703"/>
    <w:rsid w:val="008F7832"/>
    <w:rsid w:val="008F7A65"/>
    <w:rsid w:val="008F7CA1"/>
    <w:rsid w:val="008F7DA1"/>
    <w:rsid w:val="008F7E4B"/>
    <w:rsid w:val="008F7E88"/>
    <w:rsid w:val="00900049"/>
    <w:rsid w:val="00900105"/>
    <w:rsid w:val="00900131"/>
    <w:rsid w:val="00900132"/>
    <w:rsid w:val="00900284"/>
    <w:rsid w:val="009002B2"/>
    <w:rsid w:val="0090036E"/>
    <w:rsid w:val="009003A6"/>
    <w:rsid w:val="009004DC"/>
    <w:rsid w:val="00900689"/>
    <w:rsid w:val="009006C8"/>
    <w:rsid w:val="00900716"/>
    <w:rsid w:val="0090087A"/>
    <w:rsid w:val="009008F6"/>
    <w:rsid w:val="009009AE"/>
    <w:rsid w:val="00900AC0"/>
    <w:rsid w:val="00900DB3"/>
    <w:rsid w:val="00900E47"/>
    <w:rsid w:val="00900E56"/>
    <w:rsid w:val="00900EDD"/>
    <w:rsid w:val="0090104B"/>
    <w:rsid w:val="009012F4"/>
    <w:rsid w:val="0090130C"/>
    <w:rsid w:val="0090139B"/>
    <w:rsid w:val="009013F1"/>
    <w:rsid w:val="009015E2"/>
    <w:rsid w:val="009016F2"/>
    <w:rsid w:val="0090177B"/>
    <w:rsid w:val="0090181E"/>
    <w:rsid w:val="0090193D"/>
    <w:rsid w:val="00901ABF"/>
    <w:rsid w:val="00901AE9"/>
    <w:rsid w:val="00901B94"/>
    <w:rsid w:val="00901CD9"/>
    <w:rsid w:val="00901D1A"/>
    <w:rsid w:val="00901DB0"/>
    <w:rsid w:val="00901DBB"/>
    <w:rsid w:val="00901F11"/>
    <w:rsid w:val="00901FA3"/>
    <w:rsid w:val="0090225D"/>
    <w:rsid w:val="00902303"/>
    <w:rsid w:val="00902391"/>
    <w:rsid w:val="00902393"/>
    <w:rsid w:val="00902421"/>
    <w:rsid w:val="00902424"/>
    <w:rsid w:val="009026AE"/>
    <w:rsid w:val="00902898"/>
    <w:rsid w:val="00902999"/>
    <w:rsid w:val="009029E4"/>
    <w:rsid w:val="00902A9D"/>
    <w:rsid w:val="00902B02"/>
    <w:rsid w:val="00902B8A"/>
    <w:rsid w:val="00902D22"/>
    <w:rsid w:val="00902D26"/>
    <w:rsid w:val="00902FA3"/>
    <w:rsid w:val="009030CC"/>
    <w:rsid w:val="00903142"/>
    <w:rsid w:val="00903185"/>
    <w:rsid w:val="009031DD"/>
    <w:rsid w:val="00903264"/>
    <w:rsid w:val="009033E7"/>
    <w:rsid w:val="009034C9"/>
    <w:rsid w:val="0090357C"/>
    <w:rsid w:val="00903596"/>
    <w:rsid w:val="009036D6"/>
    <w:rsid w:val="00903751"/>
    <w:rsid w:val="0090392C"/>
    <w:rsid w:val="0090395C"/>
    <w:rsid w:val="00903967"/>
    <w:rsid w:val="0090398E"/>
    <w:rsid w:val="009039A4"/>
    <w:rsid w:val="00903AB0"/>
    <w:rsid w:val="00903B3D"/>
    <w:rsid w:val="00903C58"/>
    <w:rsid w:val="009040BA"/>
    <w:rsid w:val="009040D4"/>
    <w:rsid w:val="0090415D"/>
    <w:rsid w:val="00904516"/>
    <w:rsid w:val="0090483C"/>
    <w:rsid w:val="009049F6"/>
    <w:rsid w:val="00904A61"/>
    <w:rsid w:val="00904AE8"/>
    <w:rsid w:val="00904BCF"/>
    <w:rsid w:val="00904CD3"/>
    <w:rsid w:val="00904E18"/>
    <w:rsid w:val="00904E58"/>
    <w:rsid w:val="00904E93"/>
    <w:rsid w:val="009051C3"/>
    <w:rsid w:val="009052DD"/>
    <w:rsid w:val="00905488"/>
    <w:rsid w:val="0090553A"/>
    <w:rsid w:val="0090553F"/>
    <w:rsid w:val="00905711"/>
    <w:rsid w:val="00905768"/>
    <w:rsid w:val="009057E9"/>
    <w:rsid w:val="009058DE"/>
    <w:rsid w:val="0090593B"/>
    <w:rsid w:val="009059FF"/>
    <w:rsid w:val="00905B5A"/>
    <w:rsid w:val="00905BD2"/>
    <w:rsid w:val="00905E70"/>
    <w:rsid w:val="00905EA5"/>
    <w:rsid w:val="00905FA9"/>
    <w:rsid w:val="00905FDF"/>
    <w:rsid w:val="00905FF3"/>
    <w:rsid w:val="00906061"/>
    <w:rsid w:val="0090612D"/>
    <w:rsid w:val="0090629B"/>
    <w:rsid w:val="009062C0"/>
    <w:rsid w:val="0090644A"/>
    <w:rsid w:val="009064BA"/>
    <w:rsid w:val="0090661F"/>
    <w:rsid w:val="00906627"/>
    <w:rsid w:val="00906636"/>
    <w:rsid w:val="00906723"/>
    <w:rsid w:val="00906752"/>
    <w:rsid w:val="00906863"/>
    <w:rsid w:val="00906983"/>
    <w:rsid w:val="0090699D"/>
    <w:rsid w:val="009069F3"/>
    <w:rsid w:val="00906A82"/>
    <w:rsid w:val="00906AC4"/>
    <w:rsid w:val="00906BF8"/>
    <w:rsid w:val="00906D38"/>
    <w:rsid w:val="00906D3C"/>
    <w:rsid w:val="00906DCC"/>
    <w:rsid w:val="00906E0B"/>
    <w:rsid w:val="00906E61"/>
    <w:rsid w:val="00907067"/>
    <w:rsid w:val="00907091"/>
    <w:rsid w:val="00907229"/>
    <w:rsid w:val="009073AF"/>
    <w:rsid w:val="009073CB"/>
    <w:rsid w:val="00907574"/>
    <w:rsid w:val="009075FF"/>
    <w:rsid w:val="0090766C"/>
    <w:rsid w:val="00907699"/>
    <w:rsid w:val="009078F9"/>
    <w:rsid w:val="00907937"/>
    <w:rsid w:val="009079BC"/>
    <w:rsid w:val="009079FB"/>
    <w:rsid w:val="00907AE7"/>
    <w:rsid w:val="00907AEE"/>
    <w:rsid w:val="00907B04"/>
    <w:rsid w:val="00907B92"/>
    <w:rsid w:val="00907BB9"/>
    <w:rsid w:val="00907C13"/>
    <w:rsid w:val="00907C6C"/>
    <w:rsid w:val="00907D8F"/>
    <w:rsid w:val="00907E07"/>
    <w:rsid w:val="00907E40"/>
    <w:rsid w:val="00907E7E"/>
    <w:rsid w:val="00907F3E"/>
    <w:rsid w:val="00910032"/>
    <w:rsid w:val="00910218"/>
    <w:rsid w:val="00910252"/>
    <w:rsid w:val="00910469"/>
    <w:rsid w:val="009105EA"/>
    <w:rsid w:val="00910719"/>
    <w:rsid w:val="009109BD"/>
    <w:rsid w:val="00910A7E"/>
    <w:rsid w:val="00910B31"/>
    <w:rsid w:val="00910CA5"/>
    <w:rsid w:val="00910DD0"/>
    <w:rsid w:val="00910F6E"/>
    <w:rsid w:val="009110DD"/>
    <w:rsid w:val="009111EC"/>
    <w:rsid w:val="0091125C"/>
    <w:rsid w:val="009113EA"/>
    <w:rsid w:val="0091146F"/>
    <w:rsid w:val="009114C4"/>
    <w:rsid w:val="009114F1"/>
    <w:rsid w:val="0091168A"/>
    <w:rsid w:val="00911721"/>
    <w:rsid w:val="00911728"/>
    <w:rsid w:val="0091188A"/>
    <w:rsid w:val="00911A27"/>
    <w:rsid w:val="00911AFE"/>
    <w:rsid w:val="00911C4C"/>
    <w:rsid w:val="00911EB6"/>
    <w:rsid w:val="00911F67"/>
    <w:rsid w:val="00911FC2"/>
    <w:rsid w:val="009121D0"/>
    <w:rsid w:val="00912343"/>
    <w:rsid w:val="00912559"/>
    <w:rsid w:val="009126A5"/>
    <w:rsid w:val="00912808"/>
    <w:rsid w:val="00912962"/>
    <w:rsid w:val="00912A04"/>
    <w:rsid w:val="00912A1B"/>
    <w:rsid w:val="00912AF9"/>
    <w:rsid w:val="00912E50"/>
    <w:rsid w:val="009130B1"/>
    <w:rsid w:val="00913158"/>
    <w:rsid w:val="009131AC"/>
    <w:rsid w:val="00913219"/>
    <w:rsid w:val="0091335A"/>
    <w:rsid w:val="0091341F"/>
    <w:rsid w:val="0091345B"/>
    <w:rsid w:val="00913491"/>
    <w:rsid w:val="009134D0"/>
    <w:rsid w:val="00913595"/>
    <w:rsid w:val="0091364C"/>
    <w:rsid w:val="009136E4"/>
    <w:rsid w:val="0091388A"/>
    <w:rsid w:val="009139C6"/>
    <w:rsid w:val="00913B92"/>
    <w:rsid w:val="00913BAC"/>
    <w:rsid w:val="00913C37"/>
    <w:rsid w:val="00913CD2"/>
    <w:rsid w:val="00913F0C"/>
    <w:rsid w:val="00913F91"/>
    <w:rsid w:val="009141E8"/>
    <w:rsid w:val="00914291"/>
    <w:rsid w:val="009143E6"/>
    <w:rsid w:val="009144C6"/>
    <w:rsid w:val="00914565"/>
    <w:rsid w:val="00914750"/>
    <w:rsid w:val="00914857"/>
    <w:rsid w:val="00914890"/>
    <w:rsid w:val="00914AB5"/>
    <w:rsid w:val="00914BF6"/>
    <w:rsid w:val="00914CAA"/>
    <w:rsid w:val="00914D32"/>
    <w:rsid w:val="00914F52"/>
    <w:rsid w:val="00914F79"/>
    <w:rsid w:val="00915019"/>
    <w:rsid w:val="009150B7"/>
    <w:rsid w:val="009150F1"/>
    <w:rsid w:val="00915237"/>
    <w:rsid w:val="0091533A"/>
    <w:rsid w:val="0091539E"/>
    <w:rsid w:val="0091539F"/>
    <w:rsid w:val="009156A8"/>
    <w:rsid w:val="00915703"/>
    <w:rsid w:val="00915707"/>
    <w:rsid w:val="0091588A"/>
    <w:rsid w:val="009159C9"/>
    <w:rsid w:val="00915AE5"/>
    <w:rsid w:val="00915B36"/>
    <w:rsid w:val="00915C72"/>
    <w:rsid w:val="00915CAC"/>
    <w:rsid w:val="00915E28"/>
    <w:rsid w:val="00915E32"/>
    <w:rsid w:val="00915EEE"/>
    <w:rsid w:val="00915F62"/>
    <w:rsid w:val="009161AA"/>
    <w:rsid w:val="00916272"/>
    <w:rsid w:val="0091627F"/>
    <w:rsid w:val="009162B0"/>
    <w:rsid w:val="0091648D"/>
    <w:rsid w:val="009164D4"/>
    <w:rsid w:val="00916602"/>
    <w:rsid w:val="009166E1"/>
    <w:rsid w:val="0091674B"/>
    <w:rsid w:val="00916A8B"/>
    <w:rsid w:val="00916A99"/>
    <w:rsid w:val="00916BF8"/>
    <w:rsid w:val="00916D39"/>
    <w:rsid w:val="00916DCF"/>
    <w:rsid w:val="00916E61"/>
    <w:rsid w:val="00916FD5"/>
    <w:rsid w:val="00916FEB"/>
    <w:rsid w:val="00917102"/>
    <w:rsid w:val="009171B9"/>
    <w:rsid w:val="009174D3"/>
    <w:rsid w:val="00917649"/>
    <w:rsid w:val="00917832"/>
    <w:rsid w:val="00917965"/>
    <w:rsid w:val="009179D2"/>
    <w:rsid w:val="00917AC3"/>
    <w:rsid w:val="00917AE2"/>
    <w:rsid w:val="00917CC1"/>
    <w:rsid w:val="00917D37"/>
    <w:rsid w:val="00917E1D"/>
    <w:rsid w:val="00917E20"/>
    <w:rsid w:val="00917E28"/>
    <w:rsid w:val="00917E41"/>
    <w:rsid w:val="00917EC9"/>
    <w:rsid w:val="00917F36"/>
    <w:rsid w:val="00917F52"/>
    <w:rsid w:val="00917FAF"/>
    <w:rsid w:val="00917FCC"/>
    <w:rsid w:val="009201C8"/>
    <w:rsid w:val="009202CA"/>
    <w:rsid w:val="00920333"/>
    <w:rsid w:val="009204E0"/>
    <w:rsid w:val="00920505"/>
    <w:rsid w:val="00920661"/>
    <w:rsid w:val="009207FE"/>
    <w:rsid w:val="00920A59"/>
    <w:rsid w:val="00920E06"/>
    <w:rsid w:val="00921018"/>
    <w:rsid w:val="0092109C"/>
    <w:rsid w:val="00921152"/>
    <w:rsid w:val="0092127D"/>
    <w:rsid w:val="009213CB"/>
    <w:rsid w:val="00921431"/>
    <w:rsid w:val="0092162C"/>
    <w:rsid w:val="00921829"/>
    <w:rsid w:val="0092189E"/>
    <w:rsid w:val="0092190F"/>
    <w:rsid w:val="00921919"/>
    <w:rsid w:val="00921925"/>
    <w:rsid w:val="00921A98"/>
    <w:rsid w:val="00921B26"/>
    <w:rsid w:val="00921BA1"/>
    <w:rsid w:val="00921BC8"/>
    <w:rsid w:val="00921C61"/>
    <w:rsid w:val="00921D7A"/>
    <w:rsid w:val="00921D80"/>
    <w:rsid w:val="00921DFA"/>
    <w:rsid w:val="00921E81"/>
    <w:rsid w:val="00922483"/>
    <w:rsid w:val="00922597"/>
    <w:rsid w:val="00922662"/>
    <w:rsid w:val="0092275C"/>
    <w:rsid w:val="00922B23"/>
    <w:rsid w:val="00922B47"/>
    <w:rsid w:val="00922DEE"/>
    <w:rsid w:val="00922F12"/>
    <w:rsid w:val="00922F61"/>
    <w:rsid w:val="00922F94"/>
    <w:rsid w:val="009230D8"/>
    <w:rsid w:val="00923111"/>
    <w:rsid w:val="00923120"/>
    <w:rsid w:val="00923187"/>
    <w:rsid w:val="0092319E"/>
    <w:rsid w:val="00923246"/>
    <w:rsid w:val="009232B9"/>
    <w:rsid w:val="00923747"/>
    <w:rsid w:val="00923806"/>
    <w:rsid w:val="009239C6"/>
    <w:rsid w:val="00923AC4"/>
    <w:rsid w:val="00923AF3"/>
    <w:rsid w:val="00923AFA"/>
    <w:rsid w:val="00923BD1"/>
    <w:rsid w:val="00923BE6"/>
    <w:rsid w:val="00923BFD"/>
    <w:rsid w:val="00923EA3"/>
    <w:rsid w:val="00923F6E"/>
    <w:rsid w:val="00924084"/>
    <w:rsid w:val="009240BC"/>
    <w:rsid w:val="00924143"/>
    <w:rsid w:val="0092418F"/>
    <w:rsid w:val="009241F9"/>
    <w:rsid w:val="00924233"/>
    <w:rsid w:val="00924375"/>
    <w:rsid w:val="009245ED"/>
    <w:rsid w:val="0092467F"/>
    <w:rsid w:val="00924685"/>
    <w:rsid w:val="00924888"/>
    <w:rsid w:val="00924ABB"/>
    <w:rsid w:val="00924B53"/>
    <w:rsid w:val="00924C1D"/>
    <w:rsid w:val="00924CFA"/>
    <w:rsid w:val="00924E47"/>
    <w:rsid w:val="00924E9E"/>
    <w:rsid w:val="00924F47"/>
    <w:rsid w:val="00924FE0"/>
    <w:rsid w:val="009250E6"/>
    <w:rsid w:val="009252EE"/>
    <w:rsid w:val="0092532E"/>
    <w:rsid w:val="009257B6"/>
    <w:rsid w:val="009257BC"/>
    <w:rsid w:val="009258E8"/>
    <w:rsid w:val="0092595D"/>
    <w:rsid w:val="00925A59"/>
    <w:rsid w:val="00925AA5"/>
    <w:rsid w:val="00925AEB"/>
    <w:rsid w:val="00925B62"/>
    <w:rsid w:val="00925B80"/>
    <w:rsid w:val="00925D31"/>
    <w:rsid w:val="00925D50"/>
    <w:rsid w:val="00925EC1"/>
    <w:rsid w:val="00925F2A"/>
    <w:rsid w:val="00925F57"/>
    <w:rsid w:val="00926066"/>
    <w:rsid w:val="009260F6"/>
    <w:rsid w:val="0092615D"/>
    <w:rsid w:val="009261FB"/>
    <w:rsid w:val="0092644E"/>
    <w:rsid w:val="009264DB"/>
    <w:rsid w:val="00926642"/>
    <w:rsid w:val="009266A7"/>
    <w:rsid w:val="00926774"/>
    <w:rsid w:val="0092677B"/>
    <w:rsid w:val="0092689A"/>
    <w:rsid w:val="009268CB"/>
    <w:rsid w:val="009268D8"/>
    <w:rsid w:val="00926965"/>
    <w:rsid w:val="00926A3C"/>
    <w:rsid w:val="00926B16"/>
    <w:rsid w:val="00926B3F"/>
    <w:rsid w:val="00926BED"/>
    <w:rsid w:val="00926C41"/>
    <w:rsid w:val="00926DC1"/>
    <w:rsid w:val="00926DDB"/>
    <w:rsid w:val="00926F31"/>
    <w:rsid w:val="00926F96"/>
    <w:rsid w:val="00926FC7"/>
    <w:rsid w:val="00926FD0"/>
    <w:rsid w:val="0092711A"/>
    <w:rsid w:val="009273AF"/>
    <w:rsid w:val="009273F3"/>
    <w:rsid w:val="00927422"/>
    <w:rsid w:val="00927467"/>
    <w:rsid w:val="0092755F"/>
    <w:rsid w:val="00927591"/>
    <w:rsid w:val="009275BD"/>
    <w:rsid w:val="00927791"/>
    <w:rsid w:val="009278C0"/>
    <w:rsid w:val="00927CD3"/>
    <w:rsid w:val="00927D03"/>
    <w:rsid w:val="00927D47"/>
    <w:rsid w:val="00927DBB"/>
    <w:rsid w:val="00927E6B"/>
    <w:rsid w:val="00927EC4"/>
    <w:rsid w:val="00927ED5"/>
    <w:rsid w:val="00927F41"/>
    <w:rsid w:val="00927FC2"/>
    <w:rsid w:val="009300A7"/>
    <w:rsid w:val="00930153"/>
    <w:rsid w:val="00930339"/>
    <w:rsid w:val="0093033A"/>
    <w:rsid w:val="009303DD"/>
    <w:rsid w:val="009304B3"/>
    <w:rsid w:val="0093055F"/>
    <w:rsid w:val="009307F0"/>
    <w:rsid w:val="009309D6"/>
    <w:rsid w:val="00930AB1"/>
    <w:rsid w:val="00930C06"/>
    <w:rsid w:val="00930E4F"/>
    <w:rsid w:val="009311CB"/>
    <w:rsid w:val="009312FB"/>
    <w:rsid w:val="0093133B"/>
    <w:rsid w:val="009313A8"/>
    <w:rsid w:val="00931409"/>
    <w:rsid w:val="00931540"/>
    <w:rsid w:val="00931597"/>
    <w:rsid w:val="0093164D"/>
    <w:rsid w:val="009316D4"/>
    <w:rsid w:val="00931826"/>
    <w:rsid w:val="009318D6"/>
    <w:rsid w:val="00931AE7"/>
    <w:rsid w:val="00931B51"/>
    <w:rsid w:val="00931E43"/>
    <w:rsid w:val="00931ECE"/>
    <w:rsid w:val="0093244E"/>
    <w:rsid w:val="00932486"/>
    <w:rsid w:val="00932504"/>
    <w:rsid w:val="009325BB"/>
    <w:rsid w:val="0093277B"/>
    <w:rsid w:val="009328B5"/>
    <w:rsid w:val="009328B6"/>
    <w:rsid w:val="009329C0"/>
    <w:rsid w:val="00932A9D"/>
    <w:rsid w:val="00932B0E"/>
    <w:rsid w:val="00932C40"/>
    <w:rsid w:val="00932D48"/>
    <w:rsid w:val="009330B9"/>
    <w:rsid w:val="0093316F"/>
    <w:rsid w:val="0093327D"/>
    <w:rsid w:val="009332BC"/>
    <w:rsid w:val="009334A5"/>
    <w:rsid w:val="009334F0"/>
    <w:rsid w:val="009337F8"/>
    <w:rsid w:val="0093390A"/>
    <w:rsid w:val="00933A6B"/>
    <w:rsid w:val="00933A89"/>
    <w:rsid w:val="00933AD2"/>
    <w:rsid w:val="00933B19"/>
    <w:rsid w:val="00933B48"/>
    <w:rsid w:val="00933B81"/>
    <w:rsid w:val="00933C04"/>
    <w:rsid w:val="00933C91"/>
    <w:rsid w:val="00933C93"/>
    <w:rsid w:val="00933E2A"/>
    <w:rsid w:val="00933F0C"/>
    <w:rsid w:val="00934110"/>
    <w:rsid w:val="0093425A"/>
    <w:rsid w:val="009343C3"/>
    <w:rsid w:val="009346F3"/>
    <w:rsid w:val="00934794"/>
    <w:rsid w:val="009347F7"/>
    <w:rsid w:val="009348F2"/>
    <w:rsid w:val="0093494E"/>
    <w:rsid w:val="0093496E"/>
    <w:rsid w:val="009349DF"/>
    <w:rsid w:val="00934B2E"/>
    <w:rsid w:val="00934B51"/>
    <w:rsid w:val="00934B76"/>
    <w:rsid w:val="00934D12"/>
    <w:rsid w:val="00934DA6"/>
    <w:rsid w:val="00934EC5"/>
    <w:rsid w:val="00934F67"/>
    <w:rsid w:val="0093500E"/>
    <w:rsid w:val="009351CE"/>
    <w:rsid w:val="009351DC"/>
    <w:rsid w:val="0093524D"/>
    <w:rsid w:val="009353DB"/>
    <w:rsid w:val="0093540D"/>
    <w:rsid w:val="00935452"/>
    <w:rsid w:val="00935503"/>
    <w:rsid w:val="00935738"/>
    <w:rsid w:val="009357BA"/>
    <w:rsid w:val="00935A85"/>
    <w:rsid w:val="00935B82"/>
    <w:rsid w:val="00935BF4"/>
    <w:rsid w:val="00935C87"/>
    <w:rsid w:val="00935E42"/>
    <w:rsid w:val="00935EF1"/>
    <w:rsid w:val="00936056"/>
    <w:rsid w:val="009360C5"/>
    <w:rsid w:val="00936156"/>
    <w:rsid w:val="009361C0"/>
    <w:rsid w:val="009361F1"/>
    <w:rsid w:val="00936202"/>
    <w:rsid w:val="0093649A"/>
    <w:rsid w:val="00936599"/>
    <w:rsid w:val="0093666F"/>
    <w:rsid w:val="00936BE9"/>
    <w:rsid w:val="00936C2A"/>
    <w:rsid w:val="00936C94"/>
    <w:rsid w:val="00936E37"/>
    <w:rsid w:val="00936F49"/>
    <w:rsid w:val="00936FAF"/>
    <w:rsid w:val="00936FC7"/>
    <w:rsid w:val="00937013"/>
    <w:rsid w:val="00937018"/>
    <w:rsid w:val="00937021"/>
    <w:rsid w:val="009371A9"/>
    <w:rsid w:val="00937346"/>
    <w:rsid w:val="0093736E"/>
    <w:rsid w:val="0093747C"/>
    <w:rsid w:val="009374DD"/>
    <w:rsid w:val="00937753"/>
    <w:rsid w:val="00937821"/>
    <w:rsid w:val="00937822"/>
    <w:rsid w:val="009378E8"/>
    <w:rsid w:val="00937B31"/>
    <w:rsid w:val="00937C32"/>
    <w:rsid w:val="00937C33"/>
    <w:rsid w:val="00937C66"/>
    <w:rsid w:val="00937D5E"/>
    <w:rsid w:val="00937E63"/>
    <w:rsid w:val="00937E6F"/>
    <w:rsid w:val="00937FA3"/>
    <w:rsid w:val="00940080"/>
    <w:rsid w:val="0094019D"/>
    <w:rsid w:val="009401D7"/>
    <w:rsid w:val="00940270"/>
    <w:rsid w:val="00940416"/>
    <w:rsid w:val="00940812"/>
    <w:rsid w:val="00940864"/>
    <w:rsid w:val="009408E1"/>
    <w:rsid w:val="009408E3"/>
    <w:rsid w:val="00940A0F"/>
    <w:rsid w:val="00940BF4"/>
    <w:rsid w:val="00940C12"/>
    <w:rsid w:val="00940E1A"/>
    <w:rsid w:val="00940F6C"/>
    <w:rsid w:val="00941214"/>
    <w:rsid w:val="00941225"/>
    <w:rsid w:val="00941288"/>
    <w:rsid w:val="00941300"/>
    <w:rsid w:val="0094140D"/>
    <w:rsid w:val="00941432"/>
    <w:rsid w:val="0094150E"/>
    <w:rsid w:val="009415F6"/>
    <w:rsid w:val="00941603"/>
    <w:rsid w:val="00941830"/>
    <w:rsid w:val="0094189A"/>
    <w:rsid w:val="00941937"/>
    <w:rsid w:val="00941A17"/>
    <w:rsid w:val="00941ACD"/>
    <w:rsid w:val="00941AF0"/>
    <w:rsid w:val="00941B78"/>
    <w:rsid w:val="00941BF5"/>
    <w:rsid w:val="00941CD8"/>
    <w:rsid w:val="00941D4D"/>
    <w:rsid w:val="00941DD1"/>
    <w:rsid w:val="00941E22"/>
    <w:rsid w:val="00941E99"/>
    <w:rsid w:val="00941F42"/>
    <w:rsid w:val="00942500"/>
    <w:rsid w:val="00942747"/>
    <w:rsid w:val="009429A0"/>
    <w:rsid w:val="00942A8F"/>
    <w:rsid w:val="00942C11"/>
    <w:rsid w:val="00942C50"/>
    <w:rsid w:val="00942FDB"/>
    <w:rsid w:val="009430EA"/>
    <w:rsid w:val="0094312E"/>
    <w:rsid w:val="009432F9"/>
    <w:rsid w:val="00943337"/>
    <w:rsid w:val="0094351F"/>
    <w:rsid w:val="00943545"/>
    <w:rsid w:val="009435A5"/>
    <w:rsid w:val="0094361C"/>
    <w:rsid w:val="00943852"/>
    <w:rsid w:val="009438C2"/>
    <w:rsid w:val="00943911"/>
    <w:rsid w:val="00943956"/>
    <w:rsid w:val="00943A14"/>
    <w:rsid w:val="00943A43"/>
    <w:rsid w:val="00943E32"/>
    <w:rsid w:val="00944216"/>
    <w:rsid w:val="00944232"/>
    <w:rsid w:val="0094447C"/>
    <w:rsid w:val="0094452F"/>
    <w:rsid w:val="00944587"/>
    <w:rsid w:val="00944753"/>
    <w:rsid w:val="00944B8D"/>
    <w:rsid w:val="00944BCB"/>
    <w:rsid w:val="00944C89"/>
    <w:rsid w:val="00944D25"/>
    <w:rsid w:val="00944E1E"/>
    <w:rsid w:val="00944E82"/>
    <w:rsid w:val="00944F44"/>
    <w:rsid w:val="00944F8F"/>
    <w:rsid w:val="00945040"/>
    <w:rsid w:val="009451A2"/>
    <w:rsid w:val="009452F4"/>
    <w:rsid w:val="009452FC"/>
    <w:rsid w:val="0094530A"/>
    <w:rsid w:val="009454AA"/>
    <w:rsid w:val="009454E8"/>
    <w:rsid w:val="009455AB"/>
    <w:rsid w:val="009455ED"/>
    <w:rsid w:val="0094589A"/>
    <w:rsid w:val="00945912"/>
    <w:rsid w:val="00945978"/>
    <w:rsid w:val="009459F5"/>
    <w:rsid w:val="00945A7B"/>
    <w:rsid w:val="00945A81"/>
    <w:rsid w:val="00945B48"/>
    <w:rsid w:val="00945BDC"/>
    <w:rsid w:val="00945C85"/>
    <w:rsid w:val="00945D96"/>
    <w:rsid w:val="00945E8D"/>
    <w:rsid w:val="00945F76"/>
    <w:rsid w:val="00945F7C"/>
    <w:rsid w:val="00945FCB"/>
    <w:rsid w:val="00946093"/>
    <w:rsid w:val="009460F8"/>
    <w:rsid w:val="009462D6"/>
    <w:rsid w:val="009463DB"/>
    <w:rsid w:val="00946455"/>
    <w:rsid w:val="0094682E"/>
    <w:rsid w:val="009468C8"/>
    <w:rsid w:val="00946926"/>
    <w:rsid w:val="009469B8"/>
    <w:rsid w:val="00946C04"/>
    <w:rsid w:val="00946C89"/>
    <w:rsid w:val="00946D95"/>
    <w:rsid w:val="00946FFF"/>
    <w:rsid w:val="0094705B"/>
    <w:rsid w:val="009470A7"/>
    <w:rsid w:val="009474D0"/>
    <w:rsid w:val="0094757F"/>
    <w:rsid w:val="0094758C"/>
    <w:rsid w:val="00947700"/>
    <w:rsid w:val="0094776D"/>
    <w:rsid w:val="00947CA7"/>
    <w:rsid w:val="00947D07"/>
    <w:rsid w:val="00947DB2"/>
    <w:rsid w:val="00947F61"/>
    <w:rsid w:val="00947FCE"/>
    <w:rsid w:val="0095042C"/>
    <w:rsid w:val="009505FE"/>
    <w:rsid w:val="0095067D"/>
    <w:rsid w:val="00950777"/>
    <w:rsid w:val="0095079F"/>
    <w:rsid w:val="0095095C"/>
    <w:rsid w:val="009509D7"/>
    <w:rsid w:val="00950AC3"/>
    <w:rsid w:val="00950B48"/>
    <w:rsid w:val="00950B7A"/>
    <w:rsid w:val="00950C33"/>
    <w:rsid w:val="00950C8A"/>
    <w:rsid w:val="00950DBC"/>
    <w:rsid w:val="00950DED"/>
    <w:rsid w:val="00950FC3"/>
    <w:rsid w:val="00951047"/>
    <w:rsid w:val="009510C4"/>
    <w:rsid w:val="0095156D"/>
    <w:rsid w:val="0095159C"/>
    <w:rsid w:val="00951612"/>
    <w:rsid w:val="0095167D"/>
    <w:rsid w:val="009516B4"/>
    <w:rsid w:val="0095188A"/>
    <w:rsid w:val="00951A00"/>
    <w:rsid w:val="00951ADA"/>
    <w:rsid w:val="00951B0F"/>
    <w:rsid w:val="00951B3E"/>
    <w:rsid w:val="00951CD2"/>
    <w:rsid w:val="00951E0D"/>
    <w:rsid w:val="00952089"/>
    <w:rsid w:val="009520FA"/>
    <w:rsid w:val="009521D0"/>
    <w:rsid w:val="0095236C"/>
    <w:rsid w:val="00952393"/>
    <w:rsid w:val="00952727"/>
    <w:rsid w:val="00952776"/>
    <w:rsid w:val="00952AF1"/>
    <w:rsid w:val="00952BBB"/>
    <w:rsid w:val="00952C3B"/>
    <w:rsid w:val="00952C4B"/>
    <w:rsid w:val="00952D3A"/>
    <w:rsid w:val="00952EFC"/>
    <w:rsid w:val="00952FC2"/>
    <w:rsid w:val="00952FD9"/>
    <w:rsid w:val="009531F4"/>
    <w:rsid w:val="00953280"/>
    <w:rsid w:val="009532A1"/>
    <w:rsid w:val="009533F9"/>
    <w:rsid w:val="00953421"/>
    <w:rsid w:val="009534BB"/>
    <w:rsid w:val="00953606"/>
    <w:rsid w:val="00953607"/>
    <w:rsid w:val="009538B3"/>
    <w:rsid w:val="0095394D"/>
    <w:rsid w:val="009539BD"/>
    <w:rsid w:val="009539C3"/>
    <w:rsid w:val="009539E8"/>
    <w:rsid w:val="00953A35"/>
    <w:rsid w:val="00953A55"/>
    <w:rsid w:val="00953B27"/>
    <w:rsid w:val="00953B31"/>
    <w:rsid w:val="00953B94"/>
    <w:rsid w:val="00953BC9"/>
    <w:rsid w:val="00953E37"/>
    <w:rsid w:val="00953F0D"/>
    <w:rsid w:val="00953F4C"/>
    <w:rsid w:val="00953FE9"/>
    <w:rsid w:val="00953FFD"/>
    <w:rsid w:val="00954089"/>
    <w:rsid w:val="00954160"/>
    <w:rsid w:val="0095421E"/>
    <w:rsid w:val="0095425F"/>
    <w:rsid w:val="00954320"/>
    <w:rsid w:val="009543A7"/>
    <w:rsid w:val="009544CC"/>
    <w:rsid w:val="0095457A"/>
    <w:rsid w:val="0095465E"/>
    <w:rsid w:val="009546AF"/>
    <w:rsid w:val="00954783"/>
    <w:rsid w:val="009547B7"/>
    <w:rsid w:val="009547E4"/>
    <w:rsid w:val="009547F8"/>
    <w:rsid w:val="00954904"/>
    <w:rsid w:val="00954912"/>
    <w:rsid w:val="00954AF9"/>
    <w:rsid w:val="00954C4A"/>
    <w:rsid w:val="00954C92"/>
    <w:rsid w:val="00954D0D"/>
    <w:rsid w:val="0095516D"/>
    <w:rsid w:val="00955226"/>
    <w:rsid w:val="009552E3"/>
    <w:rsid w:val="009553B2"/>
    <w:rsid w:val="009554EA"/>
    <w:rsid w:val="009556E1"/>
    <w:rsid w:val="0095581B"/>
    <w:rsid w:val="00955877"/>
    <w:rsid w:val="009558D1"/>
    <w:rsid w:val="009558F6"/>
    <w:rsid w:val="00955992"/>
    <w:rsid w:val="009559B1"/>
    <w:rsid w:val="00955A7D"/>
    <w:rsid w:val="00955B25"/>
    <w:rsid w:val="00955D5B"/>
    <w:rsid w:val="00955D6F"/>
    <w:rsid w:val="00955DEB"/>
    <w:rsid w:val="00955FB9"/>
    <w:rsid w:val="00956157"/>
    <w:rsid w:val="0095621B"/>
    <w:rsid w:val="00956233"/>
    <w:rsid w:val="00956427"/>
    <w:rsid w:val="009564A1"/>
    <w:rsid w:val="0095667C"/>
    <w:rsid w:val="0095674D"/>
    <w:rsid w:val="00956862"/>
    <w:rsid w:val="00956864"/>
    <w:rsid w:val="009569E8"/>
    <w:rsid w:val="00956C1D"/>
    <w:rsid w:val="00956EFA"/>
    <w:rsid w:val="00956F96"/>
    <w:rsid w:val="009570C9"/>
    <w:rsid w:val="009570F3"/>
    <w:rsid w:val="009573BE"/>
    <w:rsid w:val="009573D2"/>
    <w:rsid w:val="009574F8"/>
    <w:rsid w:val="0095753B"/>
    <w:rsid w:val="00957541"/>
    <w:rsid w:val="009575C1"/>
    <w:rsid w:val="009576C5"/>
    <w:rsid w:val="0095786B"/>
    <w:rsid w:val="009578E9"/>
    <w:rsid w:val="00957933"/>
    <w:rsid w:val="009579A7"/>
    <w:rsid w:val="00957B28"/>
    <w:rsid w:val="00957CA6"/>
    <w:rsid w:val="00957DB7"/>
    <w:rsid w:val="00957E71"/>
    <w:rsid w:val="0096007D"/>
    <w:rsid w:val="00960140"/>
    <w:rsid w:val="009602E9"/>
    <w:rsid w:val="0096063B"/>
    <w:rsid w:val="00960709"/>
    <w:rsid w:val="0096096E"/>
    <w:rsid w:val="00960A62"/>
    <w:rsid w:val="00960A85"/>
    <w:rsid w:val="00960C2D"/>
    <w:rsid w:val="00960C75"/>
    <w:rsid w:val="00960E0C"/>
    <w:rsid w:val="00960E3F"/>
    <w:rsid w:val="00960EDD"/>
    <w:rsid w:val="009610EE"/>
    <w:rsid w:val="0096112F"/>
    <w:rsid w:val="00961223"/>
    <w:rsid w:val="00961248"/>
    <w:rsid w:val="00961413"/>
    <w:rsid w:val="009616C7"/>
    <w:rsid w:val="009616DD"/>
    <w:rsid w:val="009617A1"/>
    <w:rsid w:val="00961879"/>
    <w:rsid w:val="00961935"/>
    <w:rsid w:val="00961A65"/>
    <w:rsid w:val="00961C38"/>
    <w:rsid w:val="00961C51"/>
    <w:rsid w:val="00961C77"/>
    <w:rsid w:val="00961EF6"/>
    <w:rsid w:val="00961F02"/>
    <w:rsid w:val="00961FC9"/>
    <w:rsid w:val="0096200C"/>
    <w:rsid w:val="009620CB"/>
    <w:rsid w:val="0096212C"/>
    <w:rsid w:val="009621A9"/>
    <w:rsid w:val="009621F2"/>
    <w:rsid w:val="0096223C"/>
    <w:rsid w:val="0096231F"/>
    <w:rsid w:val="009623F9"/>
    <w:rsid w:val="00962439"/>
    <w:rsid w:val="00962588"/>
    <w:rsid w:val="009625D3"/>
    <w:rsid w:val="009625DE"/>
    <w:rsid w:val="0096261C"/>
    <w:rsid w:val="009627AD"/>
    <w:rsid w:val="009628A8"/>
    <w:rsid w:val="009628A9"/>
    <w:rsid w:val="009628B4"/>
    <w:rsid w:val="009629B6"/>
    <w:rsid w:val="009629E9"/>
    <w:rsid w:val="00962ACF"/>
    <w:rsid w:val="00962C71"/>
    <w:rsid w:val="00962E0C"/>
    <w:rsid w:val="00962E87"/>
    <w:rsid w:val="00962FEC"/>
    <w:rsid w:val="00963074"/>
    <w:rsid w:val="0096308E"/>
    <w:rsid w:val="00963090"/>
    <w:rsid w:val="0096319F"/>
    <w:rsid w:val="009631C8"/>
    <w:rsid w:val="009632F2"/>
    <w:rsid w:val="00963309"/>
    <w:rsid w:val="0096334C"/>
    <w:rsid w:val="00963359"/>
    <w:rsid w:val="00963577"/>
    <w:rsid w:val="00963677"/>
    <w:rsid w:val="009636DD"/>
    <w:rsid w:val="0096379E"/>
    <w:rsid w:val="00963836"/>
    <w:rsid w:val="009638AB"/>
    <w:rsid w:val="009638FD"/>
    <w:rsid w:val="009639A3"/>
    <w:rsid w:val="00963B9F"/>
    <w:rsid w:val="00963C8A"/>
    <w:rsid w:val="00963CD5"/>
    <w:rsid w:val="00963DC6"/>
    <w:rsid w:val="00963E86"/>
    <w:rsid w:val="009640A6"/>
    <w:rsid w:val="009640E4"/>
    <w:rsid w:val="00964163"/>
    <w:rsid w:val="00964262"/>
    <w:rsid w:val="0096431B"/>
    <w:rsid w:val="0096462D"/>
    <w:rsid w:val="00964637"/>
    <w:rsid w:val="00964690"/>
    <w:rsid w:val="00964838"/>
    <w:rsid w:val="0096486D"/>
    <w:rsid w:val="0096489B"/>
    <w:rsid w:val="009648CF"/>
    <w:rsid w:val="009649E0"/>
    <w:rsid w:val="00964ACA"/>
    <w:rsid w:val="00964ACE"/>
    <w:rsid w:val="00964DE1"/>
    <w:rsid w:val="00964F31"/>
    <w:rsid w:val="00964F32"/>
    <w:rsid w:val="0096504F"/>
    <w:rsid w:val="0096507E"/>
    <w:rsid w:val="00965138"/>
    <w:rsid w:val="00965159"/>
    <w:rsid w:val="009652D0"/>
    <w:rsid w:val="0096535E"/>
    <w:rsid w:val="009653CB"/>
    <w:rsid w:val="00965404"/>
    <w:rsid w:val="0096568A"/>
    <w:rsid w:val="00965700"/>
    <w:rsid w:val="00965A24"/>
    <w:rsid w:val="00965DB8"/>
    <w:rsid w:val="00965E1A"/>
    <w:rsid w:val="00965E38"/>
    <w:rsid w:val="00965E65"/>
    <w:rsid w:val="00965F9E"/>
    <w:rsid w:val="00966030"/>
    <w:rsid w:val="00966057"/>
    <w:rsid w:val="0096614E"/>
    <w:rsid w:val="0096615B"/>
    <w:rsid w:val="0096615E"/>
    <w:rsid w:val="009661AE"/>
    <w:rsid w:val="009661BD"/>
    <w:rsid w:val="009661DF"/>
    <w:rsid w:val="0096631E"/>
    <w:rsid w:val="0096636A"/>
    <w:rsid w:val="0096637B"/>
    <w:rsid w:val="009663D1"/>
    <w:rsid w:val="009663EA"/>
    <w:rsid w:val="0096642A"/>
    <w:rsid w:val="0096644C"/>
    <w:rsid w:val="00966545"/>
    <w:rsid w:val="009666A3"/>
    <w:rsid w:val="00966725"/>
    <w:rsid w:val="00966886"/>
    <w:rsid w:val="00966917"/>
    <w:rsid w:val="009669F0"/>
    <w:rsid w:val="00966B03"/>
    <w:rsid w:val="00966B76"/>
    <w:rsid w:val="00966D1F"/>
    <w:rsid w:val="00966D57"/>
    <w:rsid w:val="00966FC4"/>
    <w:rsid w:val="00967007"/>
    <w:rsid w:val="00967196"/>
    <w:rsid w:val="00967274"/>
    <w:rsid w:val="009673FF"/>
    <w:rsid w:val="00967602"/>
    <w:rsid w:val="0096765A"/>
    <w:rsid w:val="0096769A"/>
    <w:rsid w:val="00967708"/>
    <w:rsid w:val="00967746"/>
    <w:rsid w:val="00967986"/>
    <w:rsid w:val="00967B00"/>
    <w:rsid w:val="00967B0F"/>
    <w:rsid w:val="00967C5F"/>
    <w:rsid w:val="00967DF6"/>
    <w:rsid w:val="00967F0A"/>
    <w:rsid w:val="00967F2D"/>
    <w:rsid w:val="00967F5A"/>
    <w:rsid w:val="0097008E"/>
    <w:rsid w:val="009700EC"/>
    <w:rsid w:val="009701F8"/>
    <w:rsid w:val="00970253"/>
    <w:rsid w:val="00970275"/>
    <w:rsid w:val="0097031D"/>
    <w:rsid w:val="009703AE"/>
    <w:rsid w:val="0097040E"/>
    <w:rsid w:val="009707A5"/>
    <w:rsid w:val="009707FC"/>
    <w:rsid w:val="00970A29"/>
    <w:rsid w:val="00970A4B"/>
    <w:rsid w:val="00970BA3"/>
    <w:rsid w:val="00970BC1"/>
    <w:rsid w:val="00970BF5"/>
    <w:rsid w:val="00970CCD"/>
    <w:rsid w:val="00970E92"/>
    <w:rsid w:val="00970EBF"/>
    <w:rsid w:val="00971193"/>
    <w:rsid w:val="009711D8"/>
    <w:rsid w:val="009711E9"/>
    <w:rsid w:val="00971353"/>
    <w:rsid w:val="009713D6"/>
    <w:rsid w:val="009714A6"/>
    <w:rsid w:val="00971566"/>
    <w:rsid w:val="0097167C"/>
    <w:rsid w:val="00971834"/>
    <w:rsid w:val="0097196E"/>
    <w:rsid w:val="00971AB1"/>
    <w:rsid w:val="00971AE9"/>
    <w:rsid w:val="00971AEE"/>
    <w:rsid w:val="00971AF5"/>
    <w:rsid w:val="00971C5D"/>
    <w:rsid w:val="00971D9E"/>
    <w:rsid w:val="00971EA1"/>
    <w:rsid w:val="0097218C"/>
    <w:rsid w:val="0097223C"/>
    <w:rsid w:val="0097226B"/>
    <w:rsid w:val="0097233C"/>
    <w:rsid w:val="00972656"/>
    <w:rsid w:val="009726FD"/>
    <w:rsid w:val="00972912"/>
    <w:rsid w:val="009729D4"/>
    <w:rsid w:val="00972B16"/>
    <w:rsid w:val="00972B22"/>
    <w:rsid w:val="00972C24"/>
    <w:rsid w:val="00972CD2"/>
    <w:rsid w:val="00972D11"/>
    <w:rsid w:val="00972D15"/>
    <w:rsid w:val="00972DF7"/>
    <w:rsid w:val="00972E86"/>
    <w:rsid w:val="00972FA9"/>
    <w:rsid w:val="00973408"/>
    <w:rsid w:val="00973429"/>
    <w:rsid w:val="0097360F"/>
    <w:rsid w:val="00973636"/>
    <w:rsid w:val="009736FF"/>
    <w:rsid w:val="009737C1"/>
    <w:rsid w:val="009737FB"/>
    <w:rsid w:val="009739D3"/>
    <w:rsid w:val="00973AD8"/>
    <w:rsid w:val="00973BDE"/>
    <w:rsid w:val="00973DBB"/>
    <w:rsid w:val="00973E46"/>
    <w:rsid w:val="00973EC9"/>
    <w:rsid w:val="00973F83"/>
    <w:rsid w:val="00973FCC"/>
    <w:rsid w:val="0097409E"/>
    <w:rsid w:val="009742EC"/>
    <w:rsid w:val="0097439C"/>
    <w:rsid w:val="00974624"/>
    <w:rsid w:val="0097463D"/>
    <w:rsid w:val="0097464B"/>
    <w:rsid w:val="0097490C"/>
    <w:rsid w:val="00974BE6"/>
    <w:rsid w:val="00974CD5"/>
    <w:rsid w:val="00974D7D"/>
    <w:rsid w:val="00974DFE"/>
    <w:rsid w:val="00974E39"/>
    <w:rsid w:val="00974EBF"/>
    <w:rsid w:val="00974EF2"/>
    <w:rsid w:val="00974F46"/>
    <w:rsid w:val="009750DC"/>
    <w:rsid w:val="0097513D"/>
    <w:rsid w:val="009754F2"/>
    <w:rsid w:val="009756D0"/>
    <w:rsid w:val="009756ED"/>
    <w:rsid w:val="009757C5"/>
    <w:rsid w:val="009757F5"/>
    <w:rsid w:val="00975863"/>
    <w:rsid w:val="00975938"/>
    <w:rsid w:val="00975B0F"/>
    <w:rsid w:val="00975BB0"/>
    <w:rsid w:val="00975C4F"/>
    <w:rsid w:val="00975CC0"/>
    <w:rsid w:val="00975CF8"/>
    <w:rsid w:val="00975D50"/>
    <w:rsid w:val="00975E86"/>
    <w:rsid w:val="00975F2B"/>
    <w:rsid w:val="009762B6"/>
    <w:rsid w:val="00976409"/>
    <w:rsid w:val="0097668E"/>
    <w:rsid w:val="00976697"/>
    <w:rsid w:val="009767CE"/>
    <w:rsid w:val="00976886"/>
    <w:rsid w:val="0097691C"/>
    <w:rsid w:val="00976C18"/>
    <w:rsid w:val="00976C32"/>
    <w:rsid w:val="00976CBF"/>
    <w:rsid w:val="00976E8D"/>
    <w:rsid w:val="0097701B"/>
    <w:rsid w:val="00977141"/>
    <w:rsid w:val="00977305"/>
    <w:rsid w:val="009774CC"/>
    <w:rsid w:val="0097750F"/>
    <w:rsid w:val="009775CE"/>
    <w:rsid w:val="00977641"/>
    <w:rsid w:val="00977833"/>
    <w:rsid w:val="0097794C"/>
    <w:rsid w:val="00977B0F"/>
    <w:rsid w:val="00977B4F"/>
    <w:rsid w:val="00977BA6"/>
    <w:rsid w:val="00977D75"/>
    <w:rsid w:val="00977FFC"/>
    <w:rsid w:val="00980257"/>
    <w:rsid w:val="009802F3"/>
    <w:rsid w:val="0098038F"/>
    <w:rsid w:val="0098046F"/>
    <w:rsid w:val="0098057D"/>
    <w:rsid w:val="009805B7"/>
    <w:rsid w:val="009805E5"/>
    <w:rsid w:val="009805FD"/>
    <w:rsid w:val="00980759"/>
    <w:rsid w:val="0098077E"/>
    <w:rsid w:val="00980976"/>
    <w:rsid w:val="00980A07"/>
    <w:rsid w:val="00980A46"/>
    <w:rsid w:val="00980A62"/>
    <w:rsid w:val="00980A7A"/>
    <w:rsid w:val="00980D1F"/>
    <w:rsid w:val="00980DC2"/>
    <w:rsid w:val="00980EB0"/>
    <w:rsid w:val="00980F4D"/>
    <w:rsid w:val="009811B5"/>
    <w:rsid w:val="009813AA"/>
    <w:rsid w:val="0098159B"/>
    <w:rsid w:val="009816F9"/>
    <w:rsid w:val="009817B0"/>
    <w:rsid w:val="00981B1A"/>
    <w:rsid w:val="00981D8F"/>
    <w:rsid w:val="00981DAE"/>
    <w:rsid w:val="00981E39"/>
    <w:rsid w:val="00981FA0"/>
    <w:rsid w:val="009820E9"/>
    <w:rsid w:val="0098214E"/>
    <w:rsid w:val="0098214F"/>
    <w:rsid w:val="009821CE"/>
    <w:rsid w:val="00982295"/>
    <w:rsid w:val="00982315"/>
    <w:rsid w:val="00982324"/>
    <w:rsid w:val="009825A3"/>
    <w:rsid w:val="0098262A"/>
    <w:rsid w:val="0098280B"/>
    <w:rsid w:val="0098284A"/>
    <w:rsid w:val="0098288E"/>
    <w:rsid w:val="00982967"/>
    <w:rsid w:val="009829FA"/>
    <w:rsid w:val="00982A9A"/>
    <w:rsid w:val="00982B61"/>
    <w:rsid w:val="00982BC5"/>
    <w:rsid w:val="00982C4A"/>
    <w:rsid w:val="00982C6F"/>
    <w:rsid w:val="00982F8E"/>
    <w:rsid w:val="009830BE"/>
    <w:rsid w:val="009830E0"/>
    <w:rsid w:val="0098325D"/>
    <w:rsid w:val="009832D1"/>
    <w:rsid w:val="0098366C"/>
    <w:rsid w:val="0098371C"/>
    <w:rsid w:val="009837B8"/>
    <w:rsid w:val="009837E1"/>
    <w:rsid w:val="00983809"/>
    <w:rsid w:val="0098386E"/>
    <w:rsid w:val="009838CF"/>
    <w:rsid w:val="00983981"/>
    <w:rsid w:val="00983AAF"/>
    <w:rsid w:val="00983AC3"/>
    <w:rsid w:val="00983C2D"/>
    <w:rsid w:val="00983D21"/>
    <w:rsid w:val="00983DC8"/>
    <w:rsid w:val="00983DF3"/>
    <w:rsid w:val="00983E48"/>
    <w:rsid w:val="00983F1E"/>
    <w:rsid w:val="0098429D"/>
    <w:rsid w:val="009843B2"/>
    <w:rsid w:val="009843EF"/>
    <w:rsid w:val="00984404"/>
    <w:rsid w:val="00984538"/>
    <w:rsid w:val="0098457F"/>
    <w:rsid w:val="009845C3"/>
    <w:rsid w:val="009846DC"/>
    <w:rsid w:val="009847B7"/>
    <w:rsid w:val="00984816"/>
    <w:rsid w:val="00984845"/>
    <w:rsid w:val="00984887"/>
    <w:rsid w:val="00984996"/>
    <w:rsid w:val="00984A43"/>
    <w:rsid w:val="00984A99"/>
    <w:rsid w:val="00984B3E"/>
    <w:rsid w:val="00984D16"/>
    <w:rsid w:val="00984D58"/>
    <w:rsid w:val="00984E56"/>
    <w:rsid w:val="00984E80"/>
    <w:rsid w:val="0098506C"/>
    <w:rsid w:val="00985111"/>
    <w:rsid w:val="0098513A"/>
    <w:rsid w:val="0098515C"/>
    <w:rsid w:val="00985256"/>
    <w:rsid w:val="00985275"/>
    <w:rsid w:val="009852F4"/>
    <w:rsid w:val="00985323"/>
    <w:rsid w:val="009853D7"/>
    <w:rsid w:val="00985430"/>
    <w:rsid w:val="00985437"/>
    <w:rsid w:val="00985442"/>
    <w:rsid w:val="009856E7"/>
    <w:rsid w:val="009857BA"/>
    <w:rsid w:val="009859F4"/>
    <w:rsid w:val="00985C13"/>
    <w:rsid w:val="00985D22"/>
    <w:rsid w:val="00985D63"/>
    <w:rsid w:val="00985E68"/>
    <w:rsid w:val="00985F5F"/>
    <w:rsid w:val="00985FD6"/>
    <w:rsid w:val="00985FDE"/>
    <w:rsid w:val="00985FEA"/>
    <w:rsid w:val="0098611F"/>
    <w:rsid w:val="00986156"/>
    <w:rsid w:val="00986196"/>
    <w:rsid w:val="00986332"/>
    <w:rsid w:val="0098652C"/>
    <w:rsid w:val="009865FE"/>
    <w:rsid w:val="00986609"/>
    <w:rsid w:val="009866A3"/>
    <w:rsid w:val="00986703"/>
    <w:rsid w:val="009867BF"/>
    <w:rsid w:val="00986C2A"/>
    <w:rsid w:val="00986E1F"/>
    <w:rsid w:val="00986F63"/>
    <w:rsid w:val="00987190"/>
    <w:rsid w:val="00987438"/>
    <w:rsid w:val="009874EB"/>
    <w:rsid w:val="00987651"/>
    <w:rsid w:val="0098775E"/>
    <w:rsid w:val="00987848"/>
    <w:rsid w:val="009878F8"/>
    <w:rsid w:val="00987D1F"/>
    <w:rsid w:val="00987F4C"/>
    <w:rsid w:val="00990014"/>
    <w:rsid w:val="009901D5"/>
    <w:rsid w:val="0099028D"/>
    <w:rsid w:val="009902A4"/>
    <w:rsid w:val="00990401"/>
    <w:rsid w:val="0099064F"/>
    <w:rsid w:val="009906E0"/>
    <w:rsid w:val="00990833"/>
    <w:rsid w:val="00990914"/>
    <w:rsid w:val="00990A67"/>
    <w:rsid w:val="00990BFA"/>
    <w:rsid w:val="00990C8B"/>
    <w:rsid w:val="00990E6E"/>
    <w:rsid w:val="00990F79"/>
    <w:rsid w:val="0099114D"/>
    <w:rsid w:val="00991172"/>
    <w:rsid w:val="009912A5"/>
    <w:rsid w:val="00991311"/>
    <w:rsid w:val="00991599"/>
    <w:rsid w:val="0099162B"/>
    <w:rsid w:val="00991667"/>
    <w:rsid w:val="0099166F"/>
    <w:rsid w:val="00991983"/>
    <w:rsid w:val="00991992"/>
    <w:rsid w:val="00991A5A"/>
    <w:rsid w:val="00991A9A"/>
    <w:rsid w:val="00991C59"/>
    <w:rsid w:val="00991F99"/>
    <w:rsid w:val="00991FCF"/>
    <w:rsid w:val="00992287"/>
    <w:rsid w:val="009922A0"/>
    <w:rsid w:val="009922AB"/>
    <w:rsid w:val="00992471"/>
    <w:rsid w:val="009924E2"/>
    <w:rsid w:val="00992736"/>
    <w:rsid w:val="009927E3"/>
    <w:rsid w:val="009927E9"/>
    <w:rsid w:val="00992A72"/>
    <w:rsid w:val="00992A97"/>
    <w:rsid w:val="00992ADF"/>
    <w:rsid w:val="00992B2B"/>
    <w:rsid w:val="00992CFE"/>
    <w:rsid w:val="00992D7C"/>
    <w:rsid w:val="00992E09"/>
    <w:rsid w:val="00992E77"/>
    <w:rsid w:val="0099303B"/>
    <w:rsid w:val="009931BE"/>
    <w:rsid w:val="00993242"/>
    <w:rsid w:val="0099326B"/>
    <w:rsid w:val="009932D4"/>
    <w:rsid w:val="0099331C"/>
    <w:rsid w:val="00993419"/>
    <w:rsid w:val="0099349A"/>
    <w:rsid w:val="009934A1"/>
    <w:rsid w:val="00993513"/>
    <w:rsid w:val="00993514"/>
    <w:rsid w:val="00993529"/>
    <w:rsid w:val="009935A3"/>
    <w:rsid w:val="009935D9"/>
    <w:rsid w:val="0099370C"/>
    <w:rsid w:val="009937FF"/>
    <w:rsid w:val="00993846"/>
    <w:rsid w:val="009938E6"/>
    <w:rsid w:val="009939AA"/>
    <w:rsid w:val="00993A34"/>
    <w:rsid w:val="00993AAD"/>
    <w:rsid w:val="00993C67"/>
    <w:rsid w:val="00993F02"/>
    <w:rsid w:val="00994076"/>
    <w:rsid w:val="009940CF"/>
    <w:rsid w:val="00994188"/>
    <w:rsid w:val="00994349"/>
    <w:rsid w:val="00994468"/>
    <w:rsid w:val="0099450B"/>
    <w:rsid w:val="0099459F"/>
    <w:rsid w:val="00994665"/>
    <w:rsid w:val="00994675"/>
    <w:rsid w:val="00994700"/>
    <w:rsid w:val="00994742"/>
    <w:rsid w:val="00994B0D"/>
    <w:rsid w:val="00994E52"/>
    <w:rsid w:val="00994FE3"/>
    <w:rsid w:val="0099500B"/>
    <w:rsid w:val="00995189"/>
    <w:rsid w:val="0099520D"/>
    <w:rsid w:val="009952ED"/>
    <w:rsid w:val="00995319"/>
    <w:rsid w:val="00995486"/>
    <w:rsid w:val="009955A1"/>
    <w:rsid w:val="009956DC"/>
    <w:rsid w:val="009957A8"/>
    <w:rsid w:val="009957B1"/>
    <w:rsid w:val="00995AE3"/>
    <w:rsid w:val="00995AF6"/>
    <w:rsid w:val="00995DA9"/>
    <w:rsid w:val="00995E74"/>
    <w:rsid w:val="00996078"/>
    <w:rsid w:val="00996110"/>
    <w:rsid w:val="009961BD"/>
    <w:rsid w:val="00996203"/>
    <w:rsid w:val="00996212"/>
    <w:rsid w:val="00996214"/>
    <w:rsid w:val="00996242"/>
    <w:rsid w:val="00996253"/>
    <w:rsid w:val="0099626A"/>
    <w:rsid w:val="0099637B"/>
    <w:rsid w:val="0099667C"/>
    <w:rsid w:val="00996727"/>
    <w:rsid w:val="00996807"/>
    <w:rsid w:val="00996AE1"/>
    <w:rsid w:val="00996AE6"/>
    <w:rsid w:val="00996B6D"/>
    <w:rsid w:val="00996BCF"/>
    <w:rsid w:val="00996BF3"/>
    <w:rsid w:val="00996C52"/>
    <w:rsid w:val="00996DBA"/>
    <w:rsid w:val="00996DBD"/>
    <w:rsid w:val="0099705D"/>
    <w:rsid w:val="009970D1"/>
    <w:rsid w:val="0099720B"/>
    <w:rsid w:val="00997231"/>
    <w:rsid w:val="00997266"/>
    <w:rsid w:val="009972C4"/>
    <w:rsid w:val="009972DE"/>
    <w:rsid w:val="0099736B"/>
    <w:rsid w:val="009973CA"/>
    <w:rsid w:val="009976D4"/>
    <w:rsid w:val="009979C1"/>
    <w:rsid w:val="009979FE"/>
    <w:rsid w:val="00997ADD"/>
    <w:rsid w:val="00997AF7"/>
    <w:rsid w:val="00997BB8"/>
    <w:rsid w:val="00997BFD"/>
    <w:rsid w:val="00997C36"/>
    <w:rsid w:val="00997DE6"/>
    <w:rsid w:val="00997E28"/>
    <w:rsid w:val="009A0087"/>
    <w:rsid w:val="009A01C9"/>
    <w:rsid w:val="009A0265"/>
    <w:rsid w:val="009A0276"/>
    <w:rsid w:val="009A0341"/>
    <w:rsid w:val="009A0363"/>
    <w:rsid w:val="009A039D"/>
    <w:rsid w:val="009A043C"/>
    <w:rsid w:val="009A0454"/>
    <w:rsid w:val="009A050C"/>
    <w:rsid w:val="009A0663"/>
    <w:rsid w:val="009A071F"/>
    <w:rsid w:val="009A07AD"/>
    <w:rsid w:val="009A07E8"/>
    <w:rsid w:val="009A0914"/>
    <w:rsid w:val="009A0BDD"/>
    <w:rsid w:val="009A0DF4"/>
    <w:rsid w:val="009A0DFD"/>
    <w:rsid w:val="009A0F69"/>
    <w:rsid w:val="009A10CC"/>
    <w:rsid w:val="009A1130"/>
    <w:rsid w:val="009A11D2"/>
    <w:rsid w:val="009A11D8"/>
    <w:rsid w:val="009A1205"/>
    <w:rsid w:val="009A1244"/>
    <w:rsid w:val="009A13D1"/>
    <w:rsid w:val="009A151D"/>
    <w:rsid w:val="009A1534"/>
    <w:rsid w:val="009A178D"/>
    <w:rsid w:val="009A1815"/>
    <w:rsid w:val="009A1B1E"/>
    <w:rsid w:val="009A1B2B"/>
    <w:rsid w:val="009A1CCD"/>
    <w:rsid w:val="009A1D2E"/>
    <w:rsid w:val="009A1DE7"/>
    <w:rsid w:val="009A1E11"/>
    <w:rsid w:val="009A1F66"/>
    <w:rsid w:val="009A216A"/>
    <w:rsid w:val="009A2203"/>
    <w:rsid w:val="009A221D"/>
    <w:rsid w:val="009A2444"/>
    <w:rsid w:val="009A2502"/>
    <w:rsid w:val="009A2544"/>
    <w:rsid w:val="009A2575"/>
    <w:rsid w:val="009A258A"/>
    <w:rsid w:val="009A26FD"/>
    <w:rsid w:val="009A276C"/>
    <w:rsid w:val="009A277C"/>
    <w:rsid w:val="009A27BF"/>
    <w:rsid w:val="009A28A7"/>
    <w:rsid w:val="009A28EC"/>
    <w:rsid w:val="009A2993"/>
    <w:rsid w:val="009A29ED"/>
    <w:rsid w:val="009A2CAA"/>
    <w:rsid w:val="009A2DA6"/>
    <w:rsid w:val="009A2E27"/>
    <w:rsid w:val="009A2E55"/>
    <w:rsid w:val="009A2F41"/>
    <w:rsid w:val="009A2F86"/>
    <w:rsid w:val="009A2FC4"/>
    <w:rsid w:val="009A3147"/>
    <w:rsid w:val="009A315D"/>
    <w:rsid w:val="009A3409"/>
    <w:rsid w:val="009A3774"/>
    <w:rsid w:val="009A37AD"/>
    <w:rsid w:val="009A380E"/>
    <w:rsid w:val="009A3853"/>
    <w:rsid w:val="009A38A0"/>
    <w:rsid w:val="009A393B"/>
    <w:rsid w:val="009A39C4"/>
    <w:rsid w:val="009A3AB5"/>
    <w:rsid w:val="009A3B90"/>
    <w:rsid w:val="009A3BCC"/>
    <w:rsid w:val="009A3CC8"/>
    <w:rsid w:val="009A3E32"/>
    <w:rsid w:val="009A41AC"/>
    <w:rsid w:val="009A41D2"/>
    <w:rsid w:val="009A4268"/>
    <w:rsid w:val="009A431D"/>
    <w:rsid w:val="009A4328"/>
    <w:rsid w:val="009A4341"/>
    <w:rsid w:val="009A4602"/>
    <w:rsid w:val="009A4615"/>
    <w:rsid w:val="009A4A64"/>
    <w:rsid w:val="009A4A86"/>
    <w:rsid w:val="009A4C66"/>
    <w:rsid w:val="009A4C93"/>
    <w:rsid w:val="009A4CD3"/>
    <w:rsid w:val="009A4DA8"/>
    <w:rsid w:val="009A4DFB"/>
    <w:rsid w:val="009A4E13"/>
    <w:rsid w:val="009A4E68"/>
    <w:rsid w:val="009A4EAD"/>
    <w:rsid w:val="009A4F1E"/>
    <w:rsid w:val="009A5138"/>
    <w:rsid w:val="009A519D"/>
    <w:rsid w:val="009A5395"/>
    <w:rsid w:val="009A53B5"/>
    <w:rsid w:val="009A55A9"/>
    <w:rsid w:val="009A5795"/>
    <w:rsid w:val="009A580D"/>
    <w:rsid w:val="009A58FE"/>
    <w:rsid w:val="009A59B4"/>
    <w:rsid w:val="009A5B1B"/>
    <w:rsid w:val="009A5B57"/>
    <w:rsid w:val="009A5C47"/>
    <w:rsid w:val="009A5C83"/>
    <w:rsid w:val="009A5D1A"/>
    <w:rsid w:val="009A5D62"/>
    <w:rsid w:val="009A5D8E"/>
    <w:rsid w:val="009A5F1F"/>
    <w:rsid w:val="009A5F48"/>
    <w:rsid w:val="009A5FB2"/>
    <w:rsid w:val="009A618B"/>
    <w:rsid w:val="009A6205"/>
    <w:rsid w:val="009A62D7"/>
    <w:rsid w:val="009A62F8"/>
    <w:rsid w:val="009A6424"/>
    <w:rsid w:val="009A6458"/>
    <w:rsid w:val="009A6514"/>
    <w:rsid w:val="009A658F"/>
    <w:rsid w:val="009A65C5"/>
    <w:rsid w:val="009A65CD"/>
    <w:rsid w:val="009A67BA"/>
    <w:rsid w:val="009A6910"/>
    <w:rsid w:val="009A6A65"/>
    <w:rsid w:val="009A6AF2"/>
    <w:rsid w:val="009A6BB0"/>
    <w:rsid w:val="009A6DEA"/>
    <w:rsid w:val="009A6EFE"/>
    <w:rsid w:val="009A6F0D"/>
    <w:rsid w:val="009A709B"/>
    <w:rsid w:val="009A7126"/>
    <w:rsid w:val="009A717B"/>
    <w:rsid w:val="009A733B"/>
    <w:rsid w:val="009A7451"/>
    <w:rsid w:val="009A74AF"/>
    <w:rsid w:val="009A75A9"/>
    <w:rsid w:val="009A75E2"/>
    <w:rsid w:val="009A75EB"/>
    <w:rsid w:val="009A775D"/>
    <w:rsid w:val="009A789E"/>
    <w:rsid w:val="009A7911"/>
    <w:rsid w:val="009A7A31"/>
    <w:rsid w:val="009A7B46"/>
    <w:rsid w:val="009A7C67"/>
    <w:rsid w:val="009A7D2C"/>
    <w:rsid w:val="009A7F40"/>
    <w:rsid w:val="009A7FFA"/>
    <w:rsid w:val="009B0067"/>
    <w:rsid w:val="009B0122"/>
    <w:rsid w:val="009B0199"/>
    <w:rsid w:val="009B0201"/>
    <w:rsid w:val="009B02FC"/>
    <w:rsid w:val="009B05D7"/>
    <w:rsid w:val="009B0607"/>
    <w:rsid w:val="009B0727"/>
    <w:rsid w:val="009B0838"/>
    <w:rsid w:val="009B0882"/>
    <w:rsid w:val="009B088F"/>
    <w:rsid w:val="009B0A34"/>
    <w:rsid w:val="009B0A49"/>
    <w:rsid w:val="009B0AD1"/>
    <w:rsid w:val="009B0AFC"/>
    <w:rsid w:val="009B0BE2"/>
    <w:rsid w:val="009B0C51"/>
    <w:rsid w:val="009B10D8"/>
    <w:rsid w:val="009B13AE"/>
    <w:rsid w:val="009B1491"/>
    <w:rsid w:val="009B160C"/>
    <w:rsid w:val="009B1632"/>
    <w:rsid w:val="009B17C0"/>
    <w:rsid w:val="009B18A5"/>
    <w:rsid w:val="009B18F2"/>
    <w:rsid w:val="009B1938"/>
    <w:rsid w:val="009B19B0"/>
    <w:rsid w:val="009B1A8C"/>
    <w:rsid w:val="009B1B71"/>
    <w:rsid w:val="009B1B9E"/>
    <w:rsid w:val="009B1C5F"/>
    <w:rsid w:val="009B2249"/>
    <w:rsid w:val="009B240E"/>
    <w:rsid w:val="009B24EB"/>
    <w:rsid w:val="009B24F2"/>
    <w:rsid w:val="009B2524"/>
    <w:rsid w:val="009B2528"/>
    <w:rsid w:val="009B2614"/>
    <w:rsid w:val="009B265C"/>
    <w:rsid w:val="009B26A5"/>
    <w:rsid w:val="009B283D"/>
    <w:rsid w:val="009B2939"/>
    <w:rsid w:val="009B29DA"/>
    <w:rsid w:val="009B29E3"/>
    <w:rsid w:val="009B2A31"/>
    <w:rsid w:val="009B2A5B"/>
    <w:rsid w:val="009B2CDB"/>
    <w:rsid w:val="009B2F38"/>
    <w:rsid w:val="009B2FE4"/>
    <w:rsid w:val="009B317A"/>
    <w:rsid w:val="009B3269"/>
    <w:rsid w:val="009B3424"/>
    <w:rsid w:val="009B3458"/>
    <w:rsid w:val="009B3615"/>
    <w:rsid w:val="009B375D"/>
    <w:rsid w:val="009B37C6"/>
    <w:rsid w:val="009B3AEE"/>
    <w:rsid w:val="009B3B1A"/>
    <w:rsid w:val="009B3BDE"/>
    <w:rsid w:val="009B3C4E"/>
    <w:rsid w:val="009B3DE1"/>
    <w:rsid w:val="009B3ED5"/>
    <w:rsid w:val="009B4169"/>
    <w:rsid w:val="009B4231"/>
    <w:rsid w:val="009B4297"/>
    <w:rsid w:val="009B4303"/>
    <w:rsid w:val="009B43BB"/>
    <w:rsid w:val="009B44C6"/>
    <w:rsid w:val="009B4577"/>
    <w:rsid w:val="009B45FF"/>
    <w:rsid w:val="009B460B"/>
    <w:rsid w:val="009B4945"/>
    <w:rsid w:val="009B49BB"/>
    <w:rsid w:val="009B4AA6"/>
    <w:rsid w:val="009B4ABE"/>
    <w:rsid w:val="009B4B21"/>
    <w:rsid w:val="009B4B60"/>
    <w:rsid w:val="009B4DF1"/>
    <w:rsid w:val="009B4FB2"/>
    <w:rsid w:val="009B502D"/>
    <w:rsid w:val="009B50DE"/>
    <w:rsid w:val="009B50FC"/>
    <w:rsid w:val="009B512C"/>
    <w:rsid w:val="009B5275"/>
    <w:rsid w:val="009B527F"/>
    <w:rsid w:val="009B52F9"/>
    <w:rsid w:val="009B531B"/>
    <w:rsid w:val="009B5329"/>
    <w:rsid w:val="009B54D7"/>
    <w:rsid w:val="009B5506"/>
    <w:rsid w:val="009B5566"/>
    <w:rsid w:val="009B56E2"/>
    <w:rsid w:val="009B5742"/>
    <w:rsid w:val="009B589A"/>
    <w:rsid w:val="009B58B1"/>
    <w:rsid w:val="009B58CF"/>
    <w:rsid w:val="009B5A15"/>
    <w:rsid w:val="009B5AA5"/>
    <w:rsid w:val="009B5AFC"/>
    <w:rsid w:val="009B5B60"/>
    <w:rsid w:val="009B5B85"/>
    <w:rsid w:val="009B5F02"/>
    <w:rsid w:val="009B60D5"/>
    <w:rsid w:val="009B6214"/>
    <w:rsid w:val="009B69BC"/>
    <w:rsid w:val="009B6A15"/>
    <w:rsid w:val="009B6A5C"/>
    <w:rsid w:val="009B6AE2"/>
    <w:rsid w:val="009B6B08"/>
    <w:rsid w:val="009B6BB9"/>
    <w:rsid w:val="009B6BD0"/>
    <w:rsid w:val="009B6BE4"/>
    <w:rsid w:val="009B6C34"/>
    <w:rsid w:val="009B6CBA"/>
    <w:rsid w:val="009B6D2F"/>
    <w:rsid w:val="009B6F4F"/>
    <w:rsid w:val="009B6F66"/>
    <w:rsid w:val="009B7262"/>
    <w:rsid w:val="009B73B4"/>
    <w:rsid w:val="009B749C"/>
    <w:rsid w:val="009B752B"/>
    <w:rsid w:val="009B760B"/>
    <w:rsid w:val="009B7636"/>
    <w:rsid w:val="009B7684"/>
    <w:rsid w:val="009B76E6"/>
    <w:rsid w:val="009B7783"/>
    <w:rsid w:val="009B77E5"/>
    <w:rsid w:val="009B78F0"/>
    <w:rsid w:val="009B793A"/>
    <w:rsid w:val="009B7994"/>
    <w:rsid w:val="009B7B2C"/>
    <w:rsid w:val="009B7C1E"/>
    <w:rsid w:val="009B7C52"/>
    <w:rsid w:val="009B7CD3"/>
    <w:rsid w:val="009B7CE1"/>
    <w:rsid w:val="009B7DD2"/>
    <w:rsid w:val="009B7EEE"/>
    <w:rsid w:val="009B7EFC"/>
    <w:rsid w:val="009C0038"/>
    <w:rsid w:val="009C0275"/>
    <w:rsid w:val="009C03B7"/>
    <w:rsid w:val="009C0431"/>
    <w:rsid w:val="009C085D"/>
    <w:rsid w:val="009C0881"/>
    <w:rsid w:val="009C0987"/>
    <w:rsid w:val="009C098E"/>
    <w:rsid w:val="009C0A63"/>
    <w:rsid w:val="009C0C26"/>
    <w:rsid w:val="009C0C65"/>
    <w:rsid w:val="009C0D0F"/>
    <w:rsid w:val="009C0F91"/>
    <w:rsid w:val="009C0FF5"/>
    <w:rsid w:val="009C1022"/>
    <w:rsid w:val="009C10E2"/>
    <w:rsid w:val="009C114B"/>
    <w:rsid w:val="009C129C"/>
    <w:rsid w:val="009C1364"/>
    <w:rsid w:val="009C13B0"/>
    <w:rsid w:val="009C1803"/>
    <w:rsid w:val="009C19DE"/>
    <w:rsid w:val="009C19E2"/>
    <w:rsid w:val="009C1AB3"/>
    <w:rsid w:val="009C1ADF"/>
    <w:rsid w:val="009C1C37"/>
    <w:rsid w:val="009C1C86"/>
    <w:rsid w:val="009C1DBE"/>
    <w:rsid w:val="009C1DC9"/>
    <w:rsid w:val="009C1E21"/>
    <w:rsid w:val="009C1EE4"/>
    <w:rsid w:val="009C2002"/>
    <w:rsid w:val="009C203A"/>
    <w:rsid w:val="009C225E"/>
    <w:rsid w:val="009C289E"/>
    <w:rsid w:val="009C2921"/>
    <w:rsid w:val="009C2A05"/>
    <w:rsid w:val="009C2A66"/>
    <w:rsid w:val="009C2C1C"/>
    <w:rsid w:val="009C2D17"/>
    <w:rsid w:val="009C2E5F"/>
    <w:rsid w:val="009C2F7A"/>
    <w:rsid w:val="009C30D0"/>
    <w:rsid w:val="009C3113"/>
    <w:rsid w:val="009C3174"/>
    <w:rsid w:val="009C31F0"/>
    <w:rsid w:val="009C3235"/>
    <w:rsid w:val="009C336B"/>
    <w:rsid w:val="009C34AB"/>
    <w:rsid w:val="009C3514"/>
    <w:rsid w:val="009C36B4"/>
    <w:rsid w:val="009C36F8"/>
    <w:rsid w:val="009C3708"/>
    <w:rsid w:val="009C371B"/>
    <w:rsid w:val="009C374A"/>
    <w:rsid w:val="009C380D"/>
    <w:rsid w:val="009C386B"/>
    <w:rsid w:val="009C3922"/>
    <w:rsid w:val="009C39D8"/>
    <w:rsid w:val="009C3A62"/>
    <w:rsid w:val="009C3A7A"/>
    <w:rsid w:val="009C3B48"/>
    <w:rsid w:val="009C3BAC"/>
    <w:rsid w:val="009C3CD2"/>
    <w:rsid w:val="009C3D05"/>
    <w:rsid w:val="009C3D87"/>
    <w:rsid w:val="009C3F32"/>
    <w:rsid w:val="009C438C"/>
    <w:rsid w:val="009C4498"/>
    <w:rsid w:val="009C4527"/>
    <w:rsid w:val="009C463B"/>
    <w:rsid w:val="009C4692"/>
    <w:rsid w:val="009C48E0"/>
    <w:rsid w:val="009C49EC"/>
    <w:rsid w:val="009C49ED"/>
    <w:rsid w:val="009C4ADF"/>
    <w:rsid w:val="009C4BC5"/>
    <w:rsid w:val="009C4C41"/>
    <w:rsid w:val="009C4E5D"/>
    <w:rsid w:val="009C4F49"/>
    <w:rsid w:val="009C5027"/>
    <w:rsid w:val="009C5095"/>
    <w:rsid w:val="009C511F"/>
    <w:rsid w:val="009C5168"/>
    <w:rsid w:val="009C5395"/>
    <w:rsid w:val="009C5564"/>
    <w:rsid w:val="009C5629"/>
    <w:rsid w:val="009C5681"/>
    <w:rsid w:val="009C569F"/>
    <w:rsid w:val="009C56A2"/>
    <w:rsid w:val="009C56B2"/>
    <w:rsid w:val="009C56EC"/>
    <w:rsid w:val="009C571C"/>
    <w:rsid w:val="009C586A"/>
    <w:rsid w:val="009C592A"/>
    <w:rsid w:val="009C599F"/>
    <w:rsid w:val="009C5BF9"/>
    <w:rsid w:val="009C5D70"/>
    <w:rsid w:val="009C5F78"/>
    <w:rsid w:val="009C6170"/>
    <w:rsid w:val="009C6500"/>
    <w:rsid w:val="009C6514"/>
    <w:rsid w:val="009C6580"/>
    <w:rsid w:val="009C6636"/>
    <w:rsid w:val="009C67EE"/>
    <w:rsid w:val="009C6809"/>
    <w:rsid w:val="009C684C"/>
    <w:rsid w:val="009C6946"/>
    <w:rsid w:val="009C6A9E"/>
    <w:rsid w:val="009C6B73"/>
    <w:rsid w:val="009C6CF2"/>
    <w:rsid w:val="009C6D25"/>
    <w:rsid w:val="009C6D4C"/>
    <w:rsid w:val="009C7016"/>
    <w:rsid w:val="009C7080"/>
    <w:rsid w:val="009C709E"/>
    <w:rsid w:val="009C712E"/>
    <w:rsid w:val="009C7227"/>
    <w:rsid w:val="009C72C2"/>
    <w:rsid w:val="009C7597"/>
    <w:rsid w:val="009C75B1"/>
    <w:rsid w:val="009C7667"/>
    <w:rsid w:val="009C767F"/>
    <w:rsid w:val="009C7692"/>
    <w:rsid w:val="009C77E8"/>
    <w:rsid w:val="009C784D"/>
    <w:rsid w:val="009C78C2"/>
    <w:rsid w:val="009C78E3"/>
    <w:rsid w:val="009C78EB"/>
    <w:rsid w:val="009C7BEE"/>
    <w:rsid w:val="009C7D89"/>
    <w:rsid w:val="009C7E95"/>
    <w:rsid w:val="009C7ECF"/>
    <w:rsid w:val="009C7F00"/>
    <w:rsid w:val="009C7FB3"/>
    <w:rsid w:val="009C7FEE"/>
    <w:rsid w:val="009D0000"/>
    <w:rsid w:val="009D00EE"/>
    <w:rsid w:val="009D021F"/>
    <w:rsid w:val="009D0269"/>
    <w:rsid w:val="009D0521"/>
    <w:rsid w:val="009D0570"/>
    <w:rsid w:val="009D0881"/>
    <w:rsid w:val="009D0906"/>
    <w:rsid w:val="009D092B"/>
    <w:rsid w:val="009D0B11"/>
    <w:rsid w:val="009D0D76"/>
    <w:rsid w:val="009D0D9B"/>
    <w:rsid w:val="009D0E21"/>
    <w:rsid w:val="009D0E24"/>
    <w:rsid w:val="009D0E53"/>
    <w:rsid w:val="009D0E57"/>
    <w:rsid w:val="009D111A"/>
    <w:rsid w:val="009D12AA"/>
    <w:rsid w:val="009D12C2"/>
    <w:rsid w:val="009D12D9"/>
    <w:rsid w:val="009D1315"/>
    <w:rsid w:val="009D1534"/>
    <w:rsid w:val="009D1732"/>
    <w:rsid w:val="009D17E4"/>
    <w:rsid w:val="009D1845"/>
    <w:rsid w:val="009D1ACB"/>
    <w:rsid w:val="009D1B10"/>
    <w:rsid w:val="009D1C26"/>
    <w:rsid w:val="009D1F20"/>
    <w:rsid w:val="009D1F59"/>
    <w:rsid w:val="009D1F77"/>
    <w:rsid w:val="009D21C9"/>
    <w:rsid w:val="009D21E1"/>
    <w:rsid w:val="009D220D"/>
    <w:rsid w:val="009D222D"/>
    <w:rsid w:val="009D2405"/>
    <w:rsid w:val="009D245A"/>
    <w:rsid w:val="009D258A"/>
    <w:rsid w:val="009D2624"/>
    <w:rsid w:val="009D2762"/>
    <w:rsid w:val="009D27D1"/>
    <w:rsid w:val="009D2911"/>
    <w:rsid w:val="009D291F"/>
    <w:rsid w:val="009D2937"/>
    <w:rsid w:val="009D29DC"/>
    <w:rsid w:val="009D2B85"/>
    <w:rsid w:val="009D2C2B"/>
    <w:rsid w:val="009D2C3D"/>
    <w:rsid w:val="009D2CFF"/>
    <w:rsid w:val="009D2D30"/>
    <w:rsid w:val="009D3032"/>
    <w:rsid w:val="009D3067"/>
    <w:rsid w:val="009D30A7"/>
    <w:rsid w:val="009D30B4"/>
    <w:rsid w:val="009D30C3"/>
    <w:rsid w:val="009D31FB"/>
    <w:rsid w:val="009D323F"/>
    <w:rsid w:val="009D3270"/>
    <w:rsid w:val="009D3730"/>
    <w:rsid w:val="009D38C4"/>
    <w:rsid w:val="009D38C7"/>
    <w:rsid w:val="009D399E"/>
    <w:rsid w:val="009D39F6"/>
    <w:rsid w:val="009D3BFE"/>
    <w:rsid w:val="009D3C39"/>
    <w:rsid w:val="009D3C64"/>
    <w:rsid w:val="009D3D28"/>
    <w:rsid w:val="009D3F04"/>
    <w:rsid w:val="009D3F61"/>
    <w:rsid w:val="009D3F97"/>
    <w:rsid w:val="009D3FDF"/>
    <w:rsid w:val="009D40B6"/>
    <w:rsid w:val="009D40BC"/>
    <w:rsid w:val="009D40E5"/>
    <w:rsid w:val="009D41C1"/>
    <w:rsid w:val="009D4204"/>
    <w:rsid w:val="009D4214"/>
    <w:rsid w:val="009D4243"/>
    <w:rsid w:val="009D432A"/>
    <w:rsid w:val="009D4378"/>
    <w:rsid w:val="009D4450"/>
    <w:rsid w:val="009D4559"/>
    <w:rsid w:val="009D45D2"/>
    <w:rsid w:val="009D4910"/>
    <w:rsid w:val="009D4943"/>
    <w:rsid w:val="009D497E"/>
    <w:rsid w:val="009D4A28"/>
    <w:rsid w:val="009D4AC3"/>
    <w:rsid w:val="009D4CC5"/>
    <w:rsid w:val="009D4D05"/>
    <w:rsid w:val="009D4DE5"/>
    <w:rsid w:val="009D4DF6"/>
    <w:rsid w:val="009D4ECB"/>
    <w:rsid w:val="009D4EF9"/>
    <w:rsid w:val="009D4F51"/>
    <w:rsid w:val="009D5032"/>
    <w:rsid w:val="009D507B"/>
    <w:rsid w:val="009D5224"/>
    <w:rsid w:val="009D522B"/>
    <w:rsid w:val="009D54D8"/>
    <w:rsid w:val="009D5936"/>
    <w:rsid w:val="009D5B42"/>
    <w:rsid w:val="009D5B62"/>
    <w:rsid w:val="009D5D0E"/>
    <w:rsid w:val="009D5DC8"/>
    <w:rsid w:val="009D5DDD"/>
    <w:rsid w:val="009D5EE7"/>
    <w:rsid w:val="009D5F0A"/>
    <w:rsid w:val="009D5F29"/>
    <w:rsid w:val="009D604E"/>
    <w:rsid w:val="009D6192"/>
    <w:rsid w:val="009D61C6"/>
    <w:rsid w:val="009D637D"/>
    <w:rsid w:val="009D63E6"/>
    <w:rsid w:val="009D63E7"/>
    <w:rsid w:val="009D65D4"/>
    <w:rsid w:val="009D65F0"/>
    <w:rsid w:val="009D66B8"/>
    <w:rsid w:val="009D6946"/>
    <w:rsid w:val="009D6995"/>
    <w:rsid w:val="009D699B"/>
    <w:rsid w:val="009D69AB"/>
    <w:rsid w:val="009D69F2"/>
    <w:rsid w:val="009D6A45"/>
    <w:rsid w:val="009D6A49"/>
    <w:rsid w:val="009D6AD8"/>
    <w:rsid w:val="009D6AFA"/>
    <w:rsid w:val="009D6B97"/>
    <w:rsid w:val="009D6D97"/>
    <w:rsid w:val="009D6E77"/>
    <w:rsid w:val="009D714C"/>
    <w:rsid w:val="009D733B"/>
    <w:rsid w:val="009D75FA"/>
    <w:rsid w:val="009D7663"/>
    <w:rsid w:val="009D7678"/>
    <w:rsid w:val="009D7694"/>
    <w:rsid w:val="009D772E"/>
    <w:rsid w:val="009D77FF"/>
    <w:rsid w:val="009D78E6"/>
    <w:rsid w:val="009D7980"/>
    <w:rsid w:val="009D7D4D"/>
    <w:rsid w:val="009D7F62"/>
    <w:rsid w:val="009E008C"/>
    <w:rsid w:val="009E011D"/>
    <w:rsid w:val="009E02B1"/>
    <w:rsid w:val="009E03FF"/>
    <w:rsid w:val="009E040B"/>
    <w:rsid w:val="009E042F"/>
    <w:rsid w:val="009E04E4"/>
    <w:rsid w:val="009E0516"/>
    <w:rsid w:val="009E066C"/>
    <w:rsid w:val="009E068F"/>
    <w:rsid w:val="009E06F0"/>
    <w:rsid w:val="009E094A"/>
    <w:rsid w:val="009E0981"/>
    <w:rsid w:val="009E0AEC"/>
    <w:rsid w:val="009E0B62"/>
    <w:rsid w:val="009E0B63"/>
    <w:rsid w:val="009E0CA5"/>
    <w:rsid w:val="009E0D96"/>
    <w:rsid w:val="009E0F87"/>
    <w:rsid w:val="009E0F95"/>
    <w:rsid w:val="009E0FC2"/>
    <w:rsid w:val="009E1031"/>
    <w:rsid w:val="009E1103"/>
    <w:rsid w:val="009E119D"/>
    <w:rsid w:val="009E11C3"/>
    <w:rsid w:val="009E121F"/>
    <w:rsid w:val="009E1506"/>
    <w:rsid w:val="009E1533"/>
    <w:rsid w:val="009E162F"/>
    <w:rsid w:val="009E171B"/>
    <w:rsid w:val="009E194F"/>
    <w:rsid w:val="009E1A79"/>
    <w:rsid w:val="009E1C27"/>
    <w:rsid w:val="009E1C4C"/>
    <w:rsid w:val="009E1C69"/>
    <w:rsid w:val="009E1E17"/>
    <w:rsid w:val="009E1E4D"/>
    <w:rsid w:val="009E2092"/>
    <w:rsid w:val="009E20B2"/>
    <w:rsid w:val="009E20DA"/>
    <w:rsid w:val="009E2150"/>
    <w:rsid w:val="009E22C3"/>
    <w:rsid w:val="009E2393"/>
    <w:rsid w:val="009E2475"/>
    <w:rsid w:val="009E2487"/>
    <w:rsid w:val="009E252E"/>
    <w:rsid w:val="009E2544"/>
    <w:rsid w:val="009E25BF"/>
    <w:rsid w:val="009E2621"/>
    <w:rsid w:val="009E291F"/>
    <w:rsid w:val="009E2951"/>
    <w:rsid w:val="009E299D"/>
    <w:rsid w:val="009E2B88"/>
    <w:rsid w:val="009E2D22"/>
    <w:rsid w:val="009E2D4B"/>
    <w:rsid w:val="009E2DAD"/>
    <w:rsid w:val="009E2DDA"/>
    <w:rsid w:val="009E2E6B"/>
    <w:rsid w:val="009E3021"/>
    <w:rsid w:val="009E3098"/>
    <w:rsid w:val="009E31A6"/>
    <w:rsid w:val="009E31CB"/>
    <w:rsid w:val="009E3249"/>
    <w:rsid w:val="009E325D"/>
    <w:rsid w:val="009E3383"/>
    <w:rsid w:val="009E354F"/>
    <w:rsid w:val="009E3594"/>
    <w:rsid w:val="009E3615"/>
    <w:rsid w:val="009E38F2"/>
    <w:rsid w:val="009E3A07"/>
    <w:rsid w:val="009E3B0B"/>
    <w:rsid w:val="009E3D22"/>
    <w:rsid w:val="009E4212"/>
    <w:rsid w:val="009E4257"/>
    <w:rsid w:val="009E426E"/>
    <w:rsid w:val="009E428C"/>
    <w:rsid w:val="009E42A8"/>
    <w:rsid w:val="009E42F2"/>
    <w:rsid w:val="009E4409"/>
    <w:rsid w:val="009E4494"/>
    <w:rsid w:val="009E4560"/>
    <w:rsid w:val="009E458E"/>
    <w:rsid w:val="009E463A"/>
    <w:rsid w:val="009E46C3"/>
    <w:rsid w:val="009E470A"/>
    <w:rsid w:val="009E483D"/>
    <w:rsid w:val="009E48E1"/>
    <w:rsid w:val="009E49CC"/>
    <w:rsid w:val="009E4A6F"/>
    <w:rsid w:val="009E4B71"/>
    <w:rsid w:val="009E4BB9"/>
    <w:rsid w:val="009E4CA8"/>
    <w:rsid w:val="009E4D4F"/>
    <w:rsid w:val="009E4E4E"/>
    <w:rsid w:val="009E4FB3"/>
    <w:rsid w:val="009E50DB"/>
    <w:rsid w:val="009E51E4"/>
    <w:rsid w:val="009E5317"/>
    <w:rsid w:val="009E5567"/>
    <w:rsid w:val="009E56CA"/>
    <w:rsid w:val="009E5783"/>
    <w:rsid w:val="009E5919"/>
    <w:rsid w:val="009E5962"/>
    <w:rsid w:val="009E5A90"/>
    <w:rsid w:val="009E5C30"/>
    <w:rsid w:val="009E5CA7"/>
    <w:rsid w:val="009E5CD5"/>
    <w:rsid w:val="009E5D37"/>
    <w:rsid w:val="009E5D63"/>
    <w:rsid w:val="009E5E9E"/>
    <w:rsid w:val="009E5EBF"/>
    <w:rsid w:val="009E5ECA"/>
    <w:rsid w:val="009E5F44"/>
    <w:rsid w:val="009E5F46"/>
    <w:rsid w:val="009E5FC6"/>
    <w:rsid w:val="009E6059"/>
    <w:rsid w:val="009E610C"/>
    <w:rsid w:val="009E6268"/>
    <w:rsid w:val="009E6404"/>
    <w:rsid w:val="009E66F8"/>
    <w:rsid w:val="009E689F"/>
    <w:rsid w:val="009E6935"/>
    <w:rsid w:val="009E694D"/>
    <w:rsid w:val="009E6BD6"/>
    <w:rsid w:val="009E6C07"/>
    <w:rsid w:val="009E700D"/>
    <w:rsid w:val="009E701D"/>
    <w:rsid w:val="009E7091"/>
    <w:rsid w:val="009E70DF"/>
    <w:rsid w:val="009E7741"/>
    <w:rsid w:val="009E785E"/>
    <w:rsid w:val="009E78FD"/>
    <w:rsid w:val="009E79CF"/>
    <w:rsid w:val="009E7A16"/>
    <w:rsid w:val="009E7A7C"/>
    <w:rsid w:val="009E7AD0"/>
    <w:rsid w:val="009E7CCA"/>
    <w:rsid w:val="009E7D27"/>
    <w:rsid w:val="009E7FCB"/>
    <w:rsid w:val="009F0089"/>
    <w:rsid w:val="009F025C"/>
    <w:rsid w:val="009F02F7"/>
    <w:rsid w:val="009F0520"/>
    <w:rsid w:val="009F0644"/>
    <w:rsid w:val="009F0794"/>
    <w:rsid w:val="009F085E"/>
    <w:rsid w:val="009F08EF"/>
    <w:rsid w:val="009F0ACA"/>
    <w:rsid w:val="009F0C12"/>
    <w:rsid w:val="009F0CD5"/>
    <w:rsid w:val="009F0D6C"/>
    <w:rsid w:val="009F0DDF"/>
    <w:rsid w:val="009F0F35"/>
    <w:rsid w:val="009F0FA1"/>
    <w:rsid w:val="009F11C7"/>
    <w:rsid w:val="009F1277"/>
    <w:rsid w:val="009F128D"/>
    <w:rsid w:val="009F1344"/>
    <w:rsid w:val="009F1423"/>
    <w:rsid w:val="009F146A"/>
    <w:rsid w:val="009F14D4"/>
    <w:rsid w:val="009F1583"/>
    <w:rsid w:val="009F16A6"/>
    <w:rsid w:val="009F16E0"/>
    <w:rsid w:val="009F18B7"/>
    <w:rsid w:val="009F19D0"/>
    <w:rsid w:val="009F1C79"/>
    <w:rsid w:val="009F1CC2"/>
    <w:rsid w:val="009F1D2F"/>
    <w:rsid w:val="009F1DBE"/>
    <w:rsid w:val="009F1DC3"/>
    <w:rsid w:val="009F2089"/>
    <w:rsid w:val="009F217B"/>
    <w:rsid w:val="009F2361"/>
    <w:rsid w:val="009F243E"/>
    <w:rsid w:val="009F244B"/>
    <w:rsid w:val="009F27A4"/>
    <w:rsid w:val="009F27B2"/>
    <w:rsid w:val="009F27D4"/>
    <w:rsid w:val="009F2855"/>
    <w:rsid w:val="009F2920"/>
    <w:rsid w:val="009F29DB"/>
    <w:rsid w:val="009F29E6"/>
    <w:rsid w:val="009F2BD3"/>
    <w:rsid w:val="009F2D0C"/>
    <w:rsid w:val="009F31A0"/>
    <w:rsid w:val="009F3325"/>
    <w:rsid w:val="009F336A"/>
    <w:rsid w:val="009F33F0"/>
    <w:rsid w:val="009F355F"/>
    <w:rsid w:val="009F37DA"/>
    <w:rsid w:val="009F37EF"/>
    <w:rsid w:val="009F38F3"/>
    <w:rsid w:val="009F3ACB"/>
    <w:rsid w:val="009F3BBB"/>
    <w:rsid w:val="009F3D03"/>
    <w:rsid w:val="009F3DA6"/>
    <w:rsid w:val="009F3EF5"/>
    <w:rsid w:val="009F3FAC"/>
    <w:rsid w:val="009F4316"/>
    <w:rsid w:val="009F4376"/>
    <w:rsid w:val="009F4428"/>
    <w:rsid w:val="009F451F"/>
    <w:rsid w:val="009F4A1F"/>
    <w:rsid w:val="009F4B22"/>
    <w:rsid w:val="009F4BFC"/>
    <w:rsid w:val="009F4C01"/>
    <w:rsid w:val="009F4DC1"/>
    <w:rsid w:val="009F4DFF"/>
    <w:rsid w:val="009F4F92"/>
    <w:rsid w:val="009F51FD"/>
    <w:rsid w:val="009F550F"/>
    <w:rsid w:val="009F55C7"/>
    <w:rsid w:val="009F5638"/>
    <w:rsid w:val="009F57C4"/>
    <w:rsid w:val="009F590A"/>
    <w:rsid w:val="009F59B5"/>
    <w:rsid w:val="009F5A6C"/>
    <w:rsid w:val="009F5A85"/>
    <w:rsid w:val="009F5D63"/>
    <w:rsid w:val="009F5DE5"/>
    <w:rsid w:val="009F5E8C"/>
    <w:rsid w:val="009F5ECF"/>
    <w:rsid w:val="009F6105"/>
    <w:rsid w:val="009F6204"/>
    <w:rsid w:val="009F6229"/>
    <w:rsid w:val="009F6328"/>
    <w:rsid w:val="009F63CF"/>
    <w:rsid w:val="009F6407"/>
    <w:rsid w:val="009F6426"/>
    <w:rsid w:val="009F646D"/>
    <w:rsid w:val="009F6595"/>
    <w:rsid w:val="009F65B1"/>
    <w:rsid w:val="009F66CF"/>
    <w:rsid w:val="009F690A"/>
    <w:rsid w:val="009F6A3F"/>
    <w:rsid w:val="009F6AB0"/>
    <w:rsid w:val="009F6ADE"/>
    <w:rsid w:val="009F6B4E"/>
    <w:rsid w:val="009F6D35"/>
    <w:rsid w:val="009F6F8A"/>
    <w:rsid w:val="009F6FBA"/>
    <w:rsid w:val="009F6FE8"/>
    <w:rsid w:val="009F70E6"/>
    <w:rsid w:val="009F7198"/>
    <w:rsid w:val="009F7351"/>
    <w:rsid w:val="009F75CB"/>
    <w:rsid w:val="009F7643"/>
    <w:rsid w:val="009F7726"/>
    <w:rsid w:val="009F7902"/>
    <w:rsid w:val="009F7AF8"/>
    <w:rsid w:val="009F7C48"/>
    <w:rsid w:val="009F7D29"/>
    <w:rsid w:val="009F7E2F"/>
    <w:rsid w:val="009F7EB7"/>
    <w:rsid w:val="00A0016E"/>
    <w:rsid w:val="00A00221"/>
    <w:rsid w:val="00A0023B"/>
    <w:rsid w:val="00A00286"/>
    <w:rsid w:val="00A00327"/>
    <w:rsid w:val="00A003B8"/>
    <w:rsid w:val="00A003BD"/>
    <w:rsid w:val="00A00436"/>
    <w:rsid w:val="00A00443"/>
    <w:rsid w:val="00A00796"/>
    <w:rsid w:val="00A0092F"/>
    <w:rsid w:val="00A009C4"/>
    <w:rsid w:val="00A00AC3"/>
    <w:rsid w:val="00A00CAF"/>
    <w:rsid w:val="00A00DE2"/>
    <w:rsid w:val="00A00ED5"/>
    <w:rsid w:val="00A00EEE"/>
    <w:rsid w:val="00A00F68"/>
    <w:rsid w:val="00A0104B"/>
    <w:rsid w:val="00A011F0"/>
    <w:rsid w:val="00A012DC"/>
    <w:rsid w:val="00A0131D"/>
    <w:rsid w:val="00A0135C"/>
    <w:rsid w:val="00A01369"/>
    <w:rsid w:val="00A0143B"/>
    <w:rsid w:val="00A014B5"/>
    <w:rsid w:val="00A01527"/>
    <w:rsid w:val="00A0157F"/>
    <w:rsid w:val="00A015E8"/>
    <w:rsid w:val="00A01644"/>
    <w:rsid w:val="00A0164B"/>
    <w:rsid w:val="00A019F5"/>
    <w:rsid w:val="00A01A93"/>
    <w:rsid w:val="00A01B2F"/>
    <w:rsid w:val="00A01B62"/>
    <w:rsid w:val="00A01BAE"/>
    <w:rsid w:val="00A01CBB"/>
    <w:rsid w:val="00A01D19"/>
    <w:rsid w:val="00A01E32"/>
    <w:rsid w:val="00A01FBC"/>
    <w:rsid w:val="00A01FF7"/>
    <w:rsid w:val="00A02080"/>
    <w:rsid w:val="00A020C5"/>
    <w:rsid w:val="00A020DA"/>
    <w:rsid w:val="00A020EB"/>
    <w:rsid w:val="00A021CE"/>
    <w:rsid w:val="00A022AD"/>
    <w:rsid w:val="00A02311"/>
    <w:rsid w:val="00A02484"/>
    <w:rsid w:val="00A024C2"/>
    <w:rsid w:val="00A02559"/>
    <w:rsid w:val="00A02584"/>
    <w:rsid w:val="00A02603"/>
    <w:rsid w:val="00A02635"/>
    <w:rsid w:val="00A0270F"/>
    <w:rsid w:val="00A02D3B"/>
    <w:rsid w:val="00A02E9F"/>
    <w:rsid w:val="00A02ECC"/>
    <w:rsid w:val="00A02EE0"/>
    <w:rsid w:val="00A02F22"/>
    <w:rsid w:val="00A030AF"/>
    <w:rsid w:val="00A032C8"/>
    <w:rsid w:val="00A032EE"/>
    <w:rsid w:val="00A03433"/>
    <w:rsid w:val="00A0350A"/>
    <w:rsid w:val="00A036E2"/>
    <w:rsid w:val="00A0375D"/>
    <w:rsid w:val="00A03860"/>
    <w:rsid w:val="00A038EB"/>
    <w:rsid w:val="00A0394F"/>
    <w:rsid w:val="00A03A1D"/>
    <w:rsid w:val="00A03A3C"/>
    <w:rsid w:val="00A03A85"/>
    <w:rsid w:val="00A03AA0"/>
    <w:rsid w:val="00A03AF8"/>
    <w:rsid w:val="00A03BEA"/>
    <w:rsid w:val="00A03ED9"/>
    <w:rsid w:val="00A03F22"/>
    <w:rsid w:val="00A041C9"/>
    <w:rsid w:val="00A04218"/>
    <w:rsid w:val="00A04281"/>
    <w:rsid w:val="00A042FF"/>
    <w:rsid w:val="00A0430B"/>
    <w:rsid w:val="00A04384"/>
    <w:rsid w:val="00A04389"/>
    <w:rsid w:val="00A0439D"/>
    <w:rsid w:val="00A044AE"/>
    <w:rsid w:val="00A045B6"/>
    <w:rsid w:val="00A045BA"/>
    <w:rsid w:val="00A047AA"/>
    <w:rsid w:val="00A0493A"/>
    <w:rsid w:val="00A04A67"/>
    <w:rsid w:val="00A04BF1"/>
    <w:rsid w:val="00A04CE3"/>
    <w:rsid w:val="00A04D51"/>
    <w:rsid w:val="00A04E73"/>
    <w:rsid w:val="00A04ED0"/>
    <w:rsid w:val="00A04FDA"/>
    <w:rsid w:val="00A0528B"/>
    <w:rsid w:val="00A052B4"/>
    <w:rsid w:val="00A052C3"/>
    <w:rsid w:val="00A05364"/>
    <w:rsid w:val="00A054E5"/>
    <w:rsid w:val="00A05532"/>
    <w:rsid w:val="00A0556F"/>
    <w:rsid w:val="00A057C3"/>
    <w:rsid w:val="00A05812"/>
    <w:rsid w:val="00A05902"/>
    <w:rsid w:val="00A05A3D"/>
    <w:rsid w:val="00A05CA9"/>
    <w:rsid w:val="00A05FC3"/>
    <w:rsid w:val="00A0608B"/>
    <w:rsid w:val="00A060F5"/>
    <w:rsid w:val="00A061C0"/>
    <w:rsid w:val="00A06256"/>
    <w:rsid w:val="00A06507"/>
    <w:rsid w:val="00A06738"/>
    <w:rsid w:val="00A0691F"/>
    <w:rsid w:val="00A069A2"/>
    <w:rsid w:val="00A069F2"/>
    <w:rsid w:val="00A06A2C"/>
    <w:rsid w:val="00A06BCF"/>
    <w:rsid w:val="00A06BFF"/>
    <w:rsid w:val="00A06D59"/>
    <w:rsid w:val="00A06DD1"/>
    <w:rsid w:val="00A06F9F"/>
    <w:rsid w:val="00A06FC1"/>
    <w:rsid w:val="00A070AD"/>
    <w:rsid w:val="00A071CF"/>
    <w:rsid w:val="00A071E4"/>
    <w:rsid w:val="00A0727C"/>
    <w:rsid w:val="00A074DF"/>
    <w:rsid w:val="00A07596"/>
    <w:rsid w:val="00A0779D"/>
    <w:rsid w:val="00A077F9"/>
    <w:rsid w:val="00A079A4"/>
    <w:rsid w:val="00A07B96"/>
    <w:rsid w:val="00A07D47"/>
    <w:rsid w:val="00A07E0F"/>
    <w:rsid w:val="00A07F33"/>
    <w:rsid w:val="00A07F40"/>
    <w:rsid w:val="00A102B2"/>
    <w:rsid w:val="00A10316"/>
    <w:rsid w:val="00A10581"/>
    <w:rsid w:val="00A10593"/>
    <w:rsid w:val="00A105EC"/>
    <w:rsid w:val="00A10715"/>
    <w:rsid w:val="00A107A9"/>
    <w:rsid w:val="00A107B3"/>
    <w:rsid w:val="00A10808"/>
    <w:rsid w:val="00A10880"/>
    <w:rsid w:val="00A10B7A"/>
    <w:rsid w:val="00A10E58"/>
    <w:rsid w:val="00A10EB3"/>
    <w:rsid w:val="00A10F4A"/>
    <w:rsid w:val="00A110A4"/>
    <w:rsid w:val="00A111A6"/>
    <w:rsid w:val="00A111E9"/>
    <w:rsid w:val="00A113EA"/>
    <w:rsid w:val="00A11460"/>
    <w:rsid w:val="00A114C3"/>
    <w:rsid w:val="00A1153F"/>
    <w:rsid w:val="00A11553"/>
    <w:rsid w:val="00A115CA"/>
    <w:rsid w:val="00A11615"/>
    <w:rsid w:val="00A11699"/>
    <w:rsid w:val="00A11784"/>
    <w:rsid w:val="00A117F3"/>
    <w:rsid w:val="00A118EC"/>
    <w:rsid w:val="00A119E6"/>
    <w:rsid w:val="00A11AF6"/>
    <w:rsid w:val="00A11BAF"/>
    <w:rsid w:val="00A11C7F"/>
    <w:rsid w:val="00A11CA7"/>
    <w:rsid w:val="00A11FDB"/>
    <w:rsid w:val="00A1204D"/>
    <w:rsid w:val="00A120D6"/>
    <w:rsid w:val="00A12145"/>
    <w:rsid w:val="00A12182"/>
    <w:rsid w:val="00A121F0"/>
    <w:rsid w:val="00A1243E"/>
    <w:rsid w:val="00A12598"/>
    <w:rsid w:val="00A125DD"/>
    <w:rsid w:val="00A125F4"/>
    <w:rsid w:val="00A1274D"/>
    <w:rsid w:val="00A12759"/>
    <w:rsid w:val="00A1296D"/>
    <w:rsid w:val="00A12BF7"/>
    <w:rsid w:val="00A12C31"/>
    <w:rsid w:val="00A12D38"/>
    <w:rsid w:val="00A12F10"/>
    <w:rsid w:val="00A12F62"/>
    <w:rsid w:val="00A13041"/>
    <w:rsid w:val="00A13165"/>
    <w:rsid w:val="00A1316C"/>
    <w:rsid w:val="00A13203"/>
    <w:rsid w:val="00A13214"/>
    <w:rsid w:val="00A13222"/>
    <w:rsid w:val="00A1324B"/>
    <w:rsid w:val="00A13311"/>
    <w:rsid w:val="00A13365"/>
    <w:rsid w:val="00A13402"/>
    <w:rsid w:val="00A13438"/>
    <w:rsid w:val="00A1350A"/>
    <w:rsid w:val="00A13541"/>
    <w:rsid w:val="00A13555"/>
    <w:rsid w:val="00A135DD"/>
    <w:rsid w:val="00A135FC"/>
    <w:rsid w:val="00A13601"/>
    <w:rsid w:val="00A1366A"/>
    <w:rsid w:val="00A13678"/>
    <w:rsid w:val="00A13872"/>
    <w:rsid w:val="00A13A8F"/>
    <w:rsid w:val="00A13D62"/>
    <w:rsid w:val="00A13E04"/>
    <w:rsid w:val="00A140AD"/>
    <w:rsid w:val="00A1414F"/>
    <w:rsid w:val="00A141E8"/>
    <w:rsid w:val="00A1426E"/>
    <w:rsid w:val="00A14347"/>
    <w:rsid w:val="00A1456F"/>
    <w:rsid w:val="00A145AE"/>
    <w:rsid w:val="00A146A2"/>
    <w:rsid w:val="00A146A6"/>
    <w:rsid w:val="00A14712"/>
    <w:rsid w:val="00A1475E"/>
    <w:rsid w:val="00A14763"/>
    <w:rsid w:val="00A14AC8"/>
    <w:rsid w:val="00A14CCD"/>
    <w:rsid w:val="00A14F32"/>
    <w:rsid w:val="00A14FB3"/>
    <w:rsid w:val="00A14FDE"/>
    <w:rsid w:val="00A14FE9"/>
    <w:rsid w:val="00A154AB"/>
    <w:rsid w:val="00A15555"/>
    <w:rsid w:val="00A155B3"/>
    <w:rsid w:val="00A156FE"/>
    <w:rsid w:val="00A157C1"/>
    <w:rsid w:val="00A15967"/>
    <w:rsid w:val="00A15A60"/>
    <w:rsid w:val="00A15BAC"/>
    <w:rsid w:val="00A15C60"/>
    <w:rsid w:val="00A15C79"/>
    <w:rsid w:val="00A15C9F"/>
    <w:rsid w:val="00A15DE9"/>
    <w:rsid w:val="00A15E6F"/>
    <w:rsid w:val="00A15E8C"/>
    <w:rsid w:val="00A15E96"/>
    <w:rsid w:val="00A15EAB"/>
    <w:rsid w:val="00A15F77"/>
    <w:rsid w:val="00A16042"/>
    <w:rsid w:val="00A16167"/>
    <w:rsid w:val="00A161AE"/>
    <w:rsid w:val="00A1629D"/>
    <w:rsid w:val="00A163A4"/>
    <w:rsid w:val="00A1678E"/>
    <w:rsid w:val="00A16870"/>
    <w:rsid w:val="00A168E0"/>
    <w:rsid w:val="00A16A45"/>
    <w:rsid w:val="00A16A86"/>
    <w:rsid w:val="00A16BC7"/>
    <w:rsid w:val="00A16D5A"/>
    <w:rsid w:val="00A16DBD"/>
    <w:rsid w:val="00A16E35"/>
    <w:rsid w:val="00A16F52"/>
    <w:rsid w:val="00A16FAE"/>
    <w:rsid w:val="00A170BE"/>
    <w:rsid w:val="00A17317"/>
    <w:rsid w:val="00A17398"/>
    <w:rsid w:val="00A173D4"/>
    <w:rsid w:val="00A17428"/>
    <w:rsid w:val="00A176CD"/>
    <w:rsid w:val="00A176D5"/>
    <w:rsid w:val="00A177F7"/>
    <w:rsid w:val="00A1783F"/>
    <w:rsid w:val="00A17935"/>
    <w:rsid w:val="00A17998"/>
    <w:rsid w:val="00A179A5"/>
    <w:rsid w:val="00A179B7"/>
    <w:rsid w:val="00A179F3"/>
    <w:rsid w:val="00A17AB4"/>
    <w:rsid w:val="00A17BC5"/>
    <w:rsid w:val="00A17D58"/>
    <w:rsid w:val="00A17D74"/>
    <w:rsid w:val="00A17DCC"/>
    <w:rsid w:val="00A20138"/>
    <w:rsid w:val="00A201A8"/>
    <w:rsid w:val="00A202BA"/>
    <w:rsid w:val="00A2039B"/>
    <w:rsid w:val="00A204B2"/>
    <w:rsid w:val="00A205B2"/>
    <w:rsid w:val="00A205F0"/>
    <w:rsid w:val="00A2066D"/>
    <w:rsid w:val="00A20806"/>
    <w:rsid w:val="00A20818"/>
    <w:rsid w:val="00A20E0B"/>
    <w:rsid w:val="00A210C4"/>
    <w:rsid w:val="00A2114B"/>
    <w:rsid w:val="00A21235"/>
    <w:rsid w:val="00A21332"/>
    <w:rsid w:val="00A21343"/>
    <w:rsid w:val="00A21353"/>
    <w:rsid w:val="00A213E9"/>
    <w:rsid w:val="00A2153D"/>
    <w:rsid w:val="00A21565"/>
    <w:rsid w:val="00A21566"/>
    <w:rsid w:val="00A2161F"/>
    <w:rsid w:val="00A2192B"/>
    <w:rsid w:val="00A21A94"/>
    <w:rsid w:val="00A21B88"/>
    <w:rsid w:val="00A21E25"/>
    <w:rsid w:val="00A21E37"/>
    <w:rsid w:val="00A21E7E"/>
    <w:rsid w:val="00A21F4C"/>
    <w:rsid w:val="00A21F54"/>
    <w:rsid w:val="00A21F8B"/>
    <w:rsid w:val="00A21FC8"/>
    <w:rsid w:val="00A2201E"/>
    <w:rsid w:val="00A2205B"/>
    <w:rsid w:val="00A2220F"/>
    <w:rsid w:val="00A2228A"/>
    <w:rsid w:val="00A22312"/>
    <w:rsid w:val="00A22405"/>
    <w:rsid w:val="00A224D6"/>
    <w:rsid w:val="00A22528"/>
    <w:rsid w:val="00A2262D"/>
    <w:rsid w:val="00A2270E"/>
    <w:rsid w:val="00A2282C"/>
    <w:rsid w:val="00A22832"/>
    <w:rsid w:val="00A22CAF"/>
    <w:rsid w:val="00A22CD1"/>
    <w:rsid w:val="00A22D3B"/>
    <w:rsid w:val="00A22DAB"/>
    <w:rsid w:val="00A22E4E"/>
    <w:rsid w:val="00A232D1"/>
    <w:rsid w:val="00A23435"/>
    <w:rsid w:val="00A2355A"/>
    <w:rsid w:val="00A235AC"/>
    <w:rsid w:val="00A236E7"/>
    <w:rsid w:val="00A23888"/>
    <w:rsid w:val="00A2395C"/>
    <w:rsid w:val="00A239E2"/>
    <w:rsid w:val="00A23AB0"/>
    <w:rsid w:val="00A23BDC"/>
    <w:rsid w:val="00A23ED0"/>
    <w:rsid w:val="00A23F42"/>
    <w:rsid w:val="00A23F47"/>
    <w:rsid w:val="00A23F7B"/>
    <w:rsid w:val="00A240A2"/>
    <w:rsid w:val="00A2413A"/>
    <w:rsid w:val="00A24480"/>
    <w:rsid w:val="00A24509"/>
    <w:rsid w:val="00A245B2"/>
    <w:rsid w:val="00A245E4"/>
    <w:rsid w:val="00A246D6"/>
    <w:rsid w:val="00A247F3"/>
    <w:rsid w:val="00A24848"/>
    <w:rsid w:val="00A2484D"/>
    <w:rsid w:val="00A24853"/>
    <w:rsid w:val="00A24862"/>
    <w:rsid w:val="00A24911"/>
    <w:rsid w:val="00A249BC"/>
    <w:rsid w:val="00A24A2D"/>
    <w:rsid w:val="00A24ABF"/>
    <w:rsid w:val="00A24AFA"/>
    <w:rsid w:val="00A24C56"/>
    <w:rsid w:val="00A24EA1"/>
    <w:rsid w:val="00A24F52"/>
    <w:rsid w:val="00A24F72"/>
    <w:rsid w:val="00A25018"/>
    <w:rsid w:val="00A2506C"/>
    <w:rsid w:val="00A250AE"/>
    <w:rsid w:val="00A25229"/>
    <w:rsid w:val="00A253CA"/>
    <w:rsid w:val="00A255CB"/>
    <w:rsid w:val="00A256B8"/>
    <w:rsid w:val="00A25758"/>
    <w:rsid w:val="00A25827"/>
    <w:rsid w:val="00A25888"/>
    <w:rsid w:val="00A2596D"/>
    <w:rsid w:val="00A25B1F"/>
    <w:rsid w:val="00A25BC9"/>
    <w:rsid w:val="00A26078"/>
    <w:rsid w:val="00A26294"/>
    <w:rsid w:val="00A262BE"/>
    <w:rsid w:val="00A264EE"/>
    <w:rsid w:val="00A2653C"/>
    <w:rsid w:val="00A26679"/>
    <w:rsid w:val="00A266C0"/>
    <w:rsid w:val="00A266CA"/>
    <w:rsid w:val="00A266E4"/>
    <w:rsid w:val="00A266F9"/>
    <w:rsid w:val="00A26A61"/>
    <w:rsid w:val="00A26AAB"/>
    <w:rsid w:val="00A26C4E"/>
    <w:rsid w:val="00A26DCA"/>
    <w:rsid w:val="00A26EA1"/>
    <w:rsid w:val="00A26F33"/>
    <w:rsid w:val="00A26F5E"/>
    <w:rsid w:val="00A271AE"/>
    <w:rsid w:val="00A2729C"/>
    <w:rsid w:val="00A272B1"/>
    <w:rsid w:val="00A272C5"/>
    <w:rsid w:val="00A273BA"/>
    <w:rsid w:val="00A274D9"/>
    <w:rsid w:val="00A2751A"/>
    <w:rsid w:val="00A27521"/>
    <w:rsid w:val="00A27BAF"/>
    <w:rsid w:val="00A27BBE"/>
    <w:rsid w:val="00A27D95"/>
    <w:rsid w:val="00A27E03"/>
    <w:rsid w:val="00A27ECD"/>
    <w:rsid w:val="00A27F46"/>
    <w:rsid w:val="00A27F64"/>
    <w:rsid w:val="00A27FA2"/>
    <w:rsid w:val="00A30138"/>
    <w:rsid w:val="00A30272"/>
    <w:rsid w:val="00A3027B"/>
    <w:rsid w:val="00A303BA"/>
    <w:rsid w:val="00A3047C"/>
    <w:rsid w:val="00A30488"/>
    <w:rsid w:val="00A30632"/>
    <w:rsid w:val="00A30762"/>
    <w:rsid w:val="00A30917"/>
    <w:rsid w:val="00A309B9"/>
    <w:rsid w:val="00A30A19"/>
    <w:rsid w:val="00A30A46"/>
    <w:rsid w:val="00A30A4F"/>
    <w:rsid w:val="00A30A8A"/>
    <w:rsid w:val="00A30BC4"/>
    <w:rsid w:val="00A30BED"/>
    <w:rsid w:val="00A30EDB"/>
    <w:rsid w:val="00A30FF5"/>
    <w:rsid w:val="00A3122C"/>
    <w:rsid w:val="00A31250"/>
    <w:rsid w:val="00A312BA"/>
    <w:rsid w:val="00A313CB"/>
    <w:rsid w:val="00A31429"/>
    <w:rsid w:val="00A31475"/>
    <w:rsid w:val="00A315B0"/>
    <w:rsid w:val="00A31645"/>
    <w:rsid w:val="00A31773"/>
    <w:rsid w:val="00A317AF"/>
    <w:rsid w:val="00A31832"/>
    <w:rsid w:val="00A3193A"/>
    <w:rsid w:val="00A31BD4"/>
    <w:rsid w:val="00A31BF7"/>
    <w:rsid w:val="00A31E35"/>
    <w:rsid w:val="00A31E3B"/>
    <w:rsid w:val="00A3212A"/>
    <w:rsid w:val="00A32152"/>
    <w:rsid w:val="00A323D8"/>
    <w:rsid w:val="00A32448"/>
    <w:rsid w:val="00A324AD"/>
    <w:rsid w:val="00A324F2"/>
    <w:rsid w:val="00A3258A"/>
    <w:rsid w:val="00A326C3"/>
    <w:rsid w:val="00A3292D"/>
    <w:rsid w:val="00A3298F"/>
    <w:rsid w:val="00A32B06"/>
    <w:rsid w:val="00A32BCF"/>
    <w:rsid w:val="00A32BD4"/>
    <w:rsid w:val="00A32C31"/>
    <w:rsid w:val="00A32CFA"/>
    <w:rsid w:val="00A32DDA"/>
    <w:rsid w:val="00A33133"/>
    <w:rsid w:val="00A33351"/>
    <w:rsid w:val="00A334E1"/>
    <w:rsid w:val="00A335C2"/>
    <w:rsid w:val="00A335D0"/>
    <w:rsid w:val="00A338EC"/>
    <w:rsid w:val="00A33969"/>
    <w:rsid w:val="00A33970"/>
    <w:rsid w:val="00A339DF"/>
    <w:rsid w:val="00A33AAA"/>
    <w:rsid w:val="00A33B86"/>
    <w:rsid w:val="00A33C92"/>
    <w:rsid w:val="00A33CE5"/>
    <w:rsid w:val="00A33D7E"/>
    <w:rsid w:val="00A33F2A"/>
    <w:rsid w:val="00A33F39"/>
    <w:rsid w:val="00A33F57"/>
    <w:rsid w:val="00A33FBD"/>
    <w:rsid w:val="00A34048"/>
    <w:rsid w:val="00A340FF"/>
    <w:rsid w:val="00A343D0"/>
    <w:rsid w:val="00A344BB"/>
    <w:rsid w:val="00A34649"/>
    <w:rsid w:val="00A34668"/>
    <w:rsid w:val="00A346CA"/>
    <w:rsid w:val="00A349AA"/>
    <w:rsid w:val="00A34A12"/>
    <w:rsid w:val="00A34A25"/>
    <w:rsid w:val="00A34BED"/>
    <w:rsid w:val="00A34C2B"/>
    <w:rsid w:val="00A34D48"/>
    <w:rsid w:val="00A34D62"/>
    <w:rsid w:val="00A34D91"/>
    <w:rsid w:val="00A34FC6"/>
    <w:rsid w:val="00A34FE8"/>
    <w:rsid w:val="00A34FFE"/>
    <w:rsid w:val="00A350C7"/>
    <w:rsid w:val="00A351B8"/>
    <w:rsid w:val="00A35277"/>
    <w:rsid w:val="00A35596"/>
    <w:rsid w:val="00A35862"/>
    <w:rsid w:val="00A358FC"/>
    <w:rsid w:val="00A35AFB"/>
    <w:rsid w:val="00A35C17"/>
    <w:rsid w:val="00A35C1B"/>
    <w:rsid w:val="00A35CE3"/>
    <w:rsid w:val="00A35CE5"/>
    <w:rsid w:val="00A35DEB"/>
    <w:rsid w:val="00A361CB"/>
    <w:rsid w:val="00A36273"/>
    <w:rsid w:val="00A36469"/>
    <w:rsid w:val="00A3648D"/>
    <w:rsid w:val="00A365E1"/>
    <w:rsid w:val="00A36736"/>
    <w:rsid w:val="00A367CE"/>
    <w:rsid w:val="00A369DE"/>
    <w:rsid w:val="00A36ACD"/>
    <w:rsid w:val="00A36B9A"/>
    <w:rsid w:val="00A36BD5"/>
    <w:rsid w:val="00A36C16"/>
    <w:rsid w:val="00A36DA3"/>
    <w:rsid w:val="00A36E2F"/>
    <w:rsid w:val="00A36E59"/>
    <w:rsid w:val="00A36F77"/>
    <w:rsid w:val="00A36FDC"/>
    <w:rsid w:val="00A3707C"/>
    <w:rsid w:val="00A370FE"/>
    <w:rsid w:val="00A371DA"/>
    <w:rsid w:val="00A372C7"/>
    <w:rsid w:val="00A37364"/>
    <w:rsid w:val="00A373D7"/>
    <w:rsid w:val="00A3743E"/>
    <w:rsid w:val="00A3746B"/>
    <w:rsid w:val="00A3749B"/>
    <w:rsid w:val="00A37582"/>
    <w:rsid w:val="00A37629"/>
    <w:rsid w:val="00A37675"/>
    <w:rsid w:val="00A3769A"/>
    <w:rsid w:val="00A376C4"/>
    <w:rsid w:val="00A376D7"/>
    <w:rsid w:val="00A37732"/>
    <w:rsid w:val="00A378C2"/>
    <w:rsid w:val="00A3797C"/>
    <w:rsid w:val="00A37A34"/>
    <w:rsid w:val="00A37BA9"/>
    <w:rsid w:val="00A37C01"/>
    <w:rsid w:val="00A37C72"/>
    <w:rsid w:val="00A37C79"/>
    <w:rsid w:val="00A37D79"/>
    <w:rsid w:val="00A37D87"/>
    <w:rsid w:val="00A37EBF"/>
    <w:rsid w:val="00A400A9"/>
    <w:rsid w:val="00A4051E"/>
    <w:rsid w:val="00A4069F"/>
    <w:rsid w:val="00A407FD"/>
    <w:rsid w:val="00A40923"/>
    <w:rsid w:val="00A40970"/>
    <w:rsid w:val="00A40A11"/>
    <w:rsid w:val="00A40D62"/>
    <w:rsid w:val="00A40D64"/>
    <w:rsid w:val="00A40D78"/>
    <w:rsid w:val="00A40D97"/>
    <w:rsid w:val="00A40E19"/>
    <w:rsid w:val="00A41291"/>
    <w:rsid w:val="00A412BC"/>
    <w:rsid w:val="00A4147C"/>
    <w:rsid w:val="00A4148F"/>
    <w:rsid w:val="00A41601"/>
    <w:rsid w:val="00A41668"/>
    <w:rsid w:val="00A416D7"/>
    <w:rsid w:val="00A4177E"/>
    <w:rsid w:val="00A4181C"/>
    <w:rsid w:val="00A41929"/>
    <w:rsid w:val="00A41969"/>
    <w:rsid w:val="00A41A12"/>
    <w:rsid w:val="00A41A49"/>
    <w:rsid w:val="00A41B2A"/>
    <w:rsid w:val="00A41CDB"/>
    <w:rsid w:val="00A41D2F"/>
    <w:rsid w:val="00A41E16"/>
    <w:rsid w:val="00A41E35"/>
    <w:rsid w:val="00A41F8C"/>
    <w:rsid w:val="00A42014"/>
    <w:rsid w:val="00A42170"/>
    <w:rsid w:val="00A423F8"/>
    <w:rsid w:val="00A4245E"/>
    <w:rsid w:val="00A424DD"/>
    <w:rsid w:val="00A42683"/>
    <w:rsid w:val="00A42741"/>
    <w:rsid w:val="00A42899"/>
    <w:rsid w:val="00A428AD"/>
    <w:rsid w:val="00A428CD"/>
    <w:rsid w:val="00A4295D"/>
    <w:rsid w:val="00A4296B"/>
    <w:rsid w:val="00A42994"/>
    <w:rsid w:val="00A42A4A"/>
    <w:rsid w:val="00A42A73"/>
    <w:rsid w:val="00A42C25"/>
    <w:rsid w:val="00A42CB5"/>
    <w:rsid w:val="00A42D29"/>
    <w:rsid w:val="00A42D47"/>
    <w:rsid w:val="00A42DF3"/>
    <w:rsid w:val="00A42EFA"/>
    <w:rsid w:val="00A42F5B"/>
    <w:rsid w:val="00A43003"/>
    <w:rsid w:val="00A4304B"/>
    <w:rsid w:val="00A4318D"/>
    <w:rsid w:val="00A4328C"/>
    <w:rsid w:val="00A43317"/>
    <w:rsid w:val="00A4336A"/>
    <w:rsid w:val="00A433EF"/>
    <w:rsid w:val="00A43433"/>
    <w:rsid w:val="00A43487"/>
    <w:rsid w:val="00A435DF"/>
    <w:rsid w:val="00A437EB"/>
    <w:rsid w:val="00A43D9E"/>
    <w:rsid w:val="00A43DFC"/>
    <w:rsid w:val="00A43F35"/>
    <w:rsid w:val="00A43F62"/>
    <w:rsid w:val="00A43FD5"/>
    <w:rsid w:val="00A441AC"/>
    <w:rsid w:val="00A442F0"/>
    <w:rsid w:val="00A44324"/>
    <w:rsid w:val="00A443C3"/>
    <w:rsid w:val="00A443F5"/>
    <w:rsid w:val="00A44406"/>
    <w:rsid w:val="00A4446D"/>
    <w:rsid w:val="00A4449A"/>
    <w:rsid w:val="00A44527"/>
    <w:rsid w:val="00A4455E"/>
    <w:rsid w:val="00A44568"/>
    <w:rsid w:val="00A44631"/>
    <w:rsid w:val="00A4469B"/>
    <w:rsid w:val="00A446AA"/>
    <w:rsid w:val="00A446EB"/>
    <w:rsid w:val="00A44754"/>
    <w:rsid w:val="00A44833"/>
    <w:rsid w:val="00A448D3"/>
    <w:rsid w:val="00A44C7C"/>
    <w:rsid w:val="00A44D85"/>
    <w:rsid w:val="00A44E35"/>
    <w:rsid w:val="00A44F26"/>
    <w:rsid w:val="00A4505A"/>
    <w:rsid w:val="00A451B5"/>
    <w:rsid w:val="00A453A2"/>
    <w:rsid w:val="00A453FA"/>
    <w:rsid w:val="00A4543B"/>
    <w:rsid w:val="00A45543"/>
    <w:rsid w:val="00A45599"/>
    <w:rsid w:val="00A456A2"/>
    <w:rsid w:val="00A456F9"/>
    <w:rsid w:val="00A4585A"/>
    <w:rsid w:val="00A45928"/>
    <w:rsid w:val="00A4594D"/>
    <w:rsid w:val="00A4595E"/>
    <w:rsid w:val="00A45A12"/>
    <w:rsid w:val="00A45A6C"/>
    <w:rsid w:val="00A45D8E"/>
    <w:rsid w:val="00A45F3A"/>
    <w:rsid w:val="00A4600D"/>
    <w:rsid w:val="00A460A4"/>
    <w:rsid w:val="00A4632E"/>
    <w:rsid w:val="00A4632F"/>
    <w:rsid w:val="00A4635F"/>
    <w:rsid w:val="00A463DE"/>
    <w:rsid w:val="00A46504"/>
    <w:rsid w:val="00A46701"/>
    <w:rsid w:val="00A46787"/>
    <w:rsid w:val="00A467C0"/>
    <w:rsid w:val="00A467D9"/>
    <w:rsid w:val="00A467DD"/>
    <w:rsid w:val="00A46909"/>
    <w:rsid w:val="00A469E9"/>
    <w:rsid w:val="00A46A2B"/>
    <w:rsid w:val="00A46B28"/>
    <w:rsid w:val="00A46BBA"/>
    <w:rsid w:val="00A46E16"/>
    <w:rsid w:val="00A46F20"/>
    <w:rsid w:val="00A47017"/>
    <w:rsid w:val="00A47413"/>
    <w:rsid w:val="00A4743C"/>
    <w:rsid w:val="00A4773B"/>
    <w:rsid w:val="00A47C4E"/>
    <w:rsid w:val="00A47D7A"/>
    <w:rsid w:val="00A47DAE"/>
    <w:rsid w:val="00A47E6E"/>
    <w:rsid w:val="00A47E96"/>
    <w:rsid w:val="00A50063"/>
    <w:rsid w:val="00A501B3"/>
    <w:rsid w:val="00A5041F"/>
    <w:rsid w:val="00A504CD"/>
    <w:rsid w:val="00A5064A"/>
    <w:rsid w:val="00A50666"/>
    <w:rsid w:val="00A506BF"/>
    <w:rsid w:val="00A506DB"/>
    <w:rsid w:val="00A50736"/>
    <w:rsid w:val="00A507AD"/>
    <w:rsid w:val="00A507B5"/>
    <w:rsid w:val="00A50963"/>
    <w:rsid w:val="00A50D87"/>
    <w:rsid w:val="00A50D88"/>
    <w:rsid w:val="00A50FB8"/>
    <w:rsid w:val="00A50FCC"/>
    <w:rsid w:val="00A5103F"/>
    <w:rsid w:val="00A511F2"/>
    <w:rsid w:val="00A51414"/>
    <w:rsid w:val="00A51468"/>
    <w:rsid w:val="00A514A4"/>
    <w:rsid w:val="00A51514"/>
    <w:rsid w:val="00A5166C"/>
    <w:rsid w:val="00A5167F"/>
    <w:rsid w:val="00A517D2"/>
    <w:rsid w:val="00A51858"/>
    <w:rsid w:val="00A5185E"/>
    <w:rsid w:val="00A518EB"/>
    <w:rsid w:val="00A51934"/>
    <w:rsid w:val="00A519E0"/>
    <w:rsid w:val="00A51B0A"/>
    <w:rsid w:val="00A51B7F"/>
    <w:rsid w:val="00A51B9D"/>
    <w:rsid w:val="00A5200A"/>
    <w:rsid w:val="00A521DF"/>
    <w:rsid w:val="00A521E5"/>
    <w:rsid w:val="00A52259"/>
    <w:rsid w:val="00A522DA"/>
    <w:rsid w:val="00A52364"/>
    <w:rsid w:val="00A5238E"/>
    <w:rsid w:val="00A5239A"/>
    <w:rsid w:val="00A5245E"/>
    <w:rsid w:val="00A52483"/>
    <w:rsid w:val="00A5277D"/>
    <w:rsid w:val="00A529D7"/>
    <w:rsid w:val="00A52B0C"/>
    <w:rsid w:val="00A52C28"/>
    <w:rsid w:val="00A52C2F"/>
    <w:rsid w:val="00A52DBA"/>
    <w:rsid w:val="00A53340"/>
    <w:rsid w:val="00A533EA"/>
    <w:rsid w:val="00A53793"/>
    <w:rsid w:val="00A53BAD"/>
    <w:rsid w:val="00A53BFE"/>
    <w:rsid w:val="00A53C1E"/>
    <w:rsid w:val="00A5419B"/>
    <w:rsid w:val="00A541D7"/>
    <w:rsid w:val="00A541ED"/>
    <w:rsid w:val="00A5426B"/>
    <w:rsid w:val="00A544DC"/>
    <w:rsid w:val="00A54558"/>
    <w:rsid w:val="00A54566"/>
    <w:rsid w:val="00A54654"/>
    <w:rsid w:val="00A54683"/>
    <w:rsid w:val="00A54731"/>
    <w:rsid w:val="00A5479B"/>
    <w:rsid w:val="00A547CB"/>
    <w:rsid w:val="00A547FF"/>
    <w:rsid w:val="00A548E7"/>
    <w:rsid w:val="00A54A37"/>
    <w:rsid w:val="00A54C0B"/>
    <w:rsid w:val="00A54C97"/>
    <w:rsid w:val="00A54DBF"/>
    <w:rsid w:val="00A54ED9"/>
    <w:rsid w:val="00A5502A"/>
    <w:rsid w:val="00A5508B"/>
    <w:rsid w:val="00A552FC"/>
    <w:rsid w:val="00A55346"/>
    <w:rsid w:val="00A553DF"/>
    <w:rsid w:val="00A55491"/>
    <w:rsid w:val="00A554F5"/>
    <w:rsid w:val="00A555B6"/>
    <w:rsid w:val="00A55658"/>
    <w:rsid w:val="00A5579D"/>
    <w:rsid w:val="00A55A4F"/>
    <w:rsid w:val="00A55A85"/>
    <w:rsid w:val="00A55BB4"/>
    <w:rsid w:val="00A55BBC"/>
    <w:rsid w:val="00A55D61"/>
    <w:rsid w:val="00A55E2D"/>
    <w:rsid w:val="00A55E7F"/>
    <w:rsid w:val="00A55F63"/>
    <w:rsid w:val="00A55FDB"/>
    <w:rsid w:val="00A56270"/>
    <w:rsid w:val="00A562C4"/>
    <w:rsid w:val="00A5635E"/>
    <w:rsid w:val="00A564A6"/>
    <w:rsid w:val="00A564B9"/>
    <w:rsid w:val="00A565ED"/>
    <w:rsid w:val="00A56658"/>
    <w:rsid w:val="00A56766"/>
    <w:rsid w:val="00A56843"/>
    <w:rsid w:val="00A56923"/>
    <w:rsid w:val="00A56B68"/>
    <w:rsid w:val="00A56BBF"/>
    <w:rsid w:val="00A56CE9"/>
    <w:rsid w:val="00A56D10"/>
    <w:rsid w:val="00A56D9D"/>
    <w:rsid w:val="00A56E9F"/>
    <w:rsid w:val="00A56FB7"/>
    <w:rsid w:val="00A570F0"/>
    <w:rsid w:val="00A5710B"/>
    <w:rsid w:val="00A57134"/>
    <w:rsid w:val="00A5713C"/>
    <w:rsid w:val="00A57439"/>
    <w:rsid w:val="00A57483"/>
    <w:rsid w:val="00A57510"/>
    <w:rsid w:val="00A575D3"/>
    <w:rsid w:val="00A57645"/>
    <w:rsid w:val="00A57822"/>
    <w:rsid w:val="00A57AD9"/>
    <w:rsid w:val="00A57B6D"/>
    <w:rsid w:val="00A57B70"/>
    <w:rsid w:val="00A57BCC"/>
    <w:rsid w:val="00A57D1B"/>
    <w:rsid w:val="00A57F18"/>
    <w:rsid w:val="00A57FA4"/>
    <w:rsid w:val="00A6023B"/>
    <w:rsid w:val="00A602EC"/>
    <w:rsid w:val="00A6032E"/>
    <w:rsid w:val="00A6055E"/>
    <w:rsid w:val="00A6059B"/>
    <w:rsid w:val="00A6062F"/>
    <w:rsid w:val="00A60712"/>
    <w:rsid w:val="00A60956"/>
    <w:rsid w:val="00A60C70"/>
    <w:rsid w:val="00A60D77"/>
    <w:rsid w:val="00A60EB8"/>
    <w:rsid w:val="00A60EC4"/>
    <w:rsid w:val="00A60EC6"/>
    <w:rsid w:val="00A610B8"/>
    <w:rsid w:val="00A61112"/>
    <w:rsid w:val="00A61183"/>
    <w:rsid w:val="00A6119C"/>
    <w:rsid w:val="00A614BB"/>
    <w:rsid w:val="00A61691"/>
    <w:rsid w:val="00A617FE"/>
    <w:rsid w:val="00A61825"/>
    <w:rsid w:val="00A61866"/>
    <w:rsid w:val="00A61A6B"/>
    <w:rsid w:val="00A61B38"/>
    <w:rsid w:val="00A61CE0"/>
    <w:rsid w:val="00A61D24"/>
    <w:rsid w:val="00A622E4"/>
    <w:rsid w:val="00A623FD"/>
    <w:rsid w:val="00A62531"/>
    <w:rsid w:val="00A625F3"/>
    <w:rsid w:val="00A6273B"/>
    <w:rsid w:val="00A62B87"/>
    <w:rsid w:val="00A62C16"/>
    <w:rsid w:val="00A62D18"/>
    <w:rsid w:val="00A62D4C"/>
    <w:rsid w:val="00A62D9B"/>
    <w:rsid w:val="00A62E42"/>
    <w:rsid w:val="00A62F94"/>
    <w:rsid w:val="00A630E6"/>
    <w:rsid w:val="00A6335E"/>
    <w:rsid w:val="00A63360"/>
    <w:rsid w:val="00A63446"/>
    <w:rsid w:val="00A6367A"/>
    <w:rsid w:val="00A636D5"/>
    <w:rsid w:val="00A63706"/>
    <w:rsid w:val="00A63740"/>
    <w:rsid w:val="00A63912"/>
    <w:rsid w:val="00A63BB7"/>
    <w:rsid w:val="00A63BFE"/>
    <w:rsid w:val="00A63FC9"/>
    <w:rsid w:val="00A64163"/>
    <w:rsid w:val="00A6426B"/>
    <w:rsid w:val="00A6455A"/>
    <w:rsid w:val="00A647AF"/>
    <w:rsid w:val="00A64982"/>
    <w:rsid w:val="00A6498C"/>
    <w:rsid w:val="00A649BC"/>
    <w:rsid w:val="00A64A71"/>
    <w:rsid w:val="00A64B2C"/>
    <w:rsid w:val="00A64C29"/>
    <w:rsid w:val="00A64C5E"/>
    <w:rsid w:val="00A65016"/>
    <w:rsid w:val="00A65143"/>
    <w:rsid w:val="00A652DE"/>
    <w:rsid w:val="00A653D6"/>
    <w:rsid w:val="00A655CD"/>
    <w:rsid w:val="00A655FE"/>
    <w:rsid w:val="00A65899"/>
    <w:rsid w:val="00A65CD3"/>
    <w:rsid w:val="00A65CF4"/>
    <w:rsid w:val="00A65E26"/>
    <w:rsid w:val="00A65FAA"/>
    <w:rsid w:val="00A66323"/>
    <w:rsid w:val="00A6632C"/>
    <w:rsid w:val="00A6641C"/>
    <w:rsid w:val="00A665DE"/>
    <w:rsid w:val="00A669CC"/>
    <w:rsid w:val="00A66A4A"/>
    <w:rsid w:val="00A66BC7"/>
    <w:rsid w:val="00A66C6D"/>
    <w:rsid w:val="00A66DD2"/>
    <w:rsid w:val="00A67098"/>
    <w:rsid w:val="00A670FD"/>
    <w:rsid w:val="00A67127"/>
    <w:rsid w:val="00A6731F"/>
    <w:rsid w:val="00A6735E"/>
    <w:rsid w:val="00A674C3"/>
    <w:rsid w:val="00A6771A"/>
    <w:rsid w:val="00A677EB"/>
    <w:rsid w:val="00A67885"/>
    <w:rsid w:val="00A67A74"/>
    <w:rsid w:val="00A67B5B"/>
    <w:rsid w:val="00A67D85"/>
    <w:rsid w:val="00A67D9D"/>
    <w:rsid w:val="00A67F8E"/>
    <w:rsid w:val="00A67FC9"/>
    <w:rsid w:val="00A70009"/>
    <w:rsid w:val="00A70292"/>
    <w:rsid w:val="00A70335"/>
    <w:rsid w:val="00A7049C"/>
    <w:rsid w:val="00A7056C"/>
    <w:rsid w:val="00A705A0"/>
    <w:rsid w:val="00A70726"/>
    <w:rsid w:val="00A707DF"/>
    <w:rsid w:val="00A70A74"/>
    <w:rsid w:val="00A70A7C"/>
    <w:rsid w:val="00A70BE6"/>
    <w:rsid w:val="00A70C36"/>
    <w:rsid w:val="00A70C7D"/>
    <w:rsid w:val="00A70E72"/>
    <w:rsid w:val="00A70E99"/>
    <w:rsid w:val="00A70EFE"/>
    <w:rsid w:val="00A710BA"/>
    <w:rsid w:val="00A710DC"/>
    <w:rsid w:val="00A7114E"/>
    <w:rsid w:val="00A7118F"/>
    <w:rsid w:val="00A71269"/>
    <w:rsid w:val="00A71369"/>
    <w:rsid w:val="00A71448"/>
    <w:rsid w:val="00A71750"/>
    <w:rsid w:val="00A71784"/>
    <w:rsid w:val="00A717C0"/>
    <w:rsid w:val="00A71973"/>
    <w:rsid w:val="00A71A08"/>
    <w:rsid w:val="00A71BAC"/>
    <w:rsid w:val="00A71DCD"/>
    <w:rsid w:val="00A71E08"/>
    <w:rsid w:val="00A72119"/>
    <w:rsid w:val="00A721EA"/>
    <w:rsid w:val="00A722D3"/>
    <w:rsid w:val="00A72358"/>
    <w:rsid w:val="00A7236C"/>
    <w:rsid w:val="00A72373"/>
    <w:rsid w:val="00A72420"/>
    <w:rsid w:val="00A72824"/>
    <w:rsid w:val="00A728D3"/>
    <w:rsid w:val="00A728FD"/>
    <w:rsid w:val="00A72960"/>
    <w:rsid w:val="00A72966"/>
    <w:rsid w:val="00A7299D"/>
    <w:rsid w:val="00A72D8F"/>
    <w:rsid w:val="00A72F38"/>
    <w:rsid w:val="00A733CE"/>
    <w:rsid w:val="00A733E7"/>
    <w:rsid w:val="00A73753"/>
    <w:rsid w:val="00A7376C"/>
    <w:rsid w:val="00A73AE8"/>
    <w:rsid w:val="00A73D28"/>
    <w:rsid w:val="00A73E31"/>
    <w:rsid w:val="00A73E9D"/>
    <w:rsid w:val="00A73F72"/>
    <w:rsid w:val="00A74049"/>
    <w:rsid w:val="00A741F7"/>
    <w:rsid w:val="00A741F8"/>
    <w:rsid w:val="00A743AE"/>
    <w:rsid w:val="00A74549"/>
    <w:rsid w:val="00A745C8"/>
    <w:rsid w:val="00A746B4"/>
    <w:rsid w:val="00A74751"/>
    <w:rsid w:val="00A74815"/>
    <w:rsid w:val="00A74C0F"/>
    <w:rsid w:val="00A74E61"/>
    <w:rsid w:val="00A75046"/>
    <w:rsid w:val="00A75163"/>
    <w:rsid w:val="00A7516E"/>
    <w:rsid w:val="00A751A3"/>
    <w:rsid w:val="00A75216"/>
    <w:rsid w:val="00A7526B"/>
    <w:rsid w:val="00A7532E"/>
    <w:rsid w:val="00A75438"/>
    <w:rsid w:val="00A7555E"/>
    <w:rsid w:val="00A756C5"/>
    <w:rsid w:val="00A7570E"/>
    <w:rsid w:val="00A75B04"/>
    <w:rsid w:val="00A75BF0"/>
    <w:rsid w:val="00A75CF2"/>
    <w:rsid w:val="00A75DE3"/>
    <w:rsid w:val="00A75E62"/>
    <w:rsid w:val="00A75F8E"/>
    <w:rsid w:val="00A76423"/>
    <w:rsid w:val="00A76491"/>
    <w:rsid w:val="00A764F1"/>
    <w:rsid w:val="00A765D4"/>
    <w:rsid w:val="00A7676C"/>
    <w:rsid w:val="00A76820"/>
    <w:rsid w:val="00A76895"/>
    <w:rsid w:val="00A76B78"/>
    <w:rsid w:val="00A76BA8"/>
    <w:rsid w:val="00A76CE0"/>
    <w:rsid w:val="00A76D53"/>
    <w:rsid w:val="00A76ED4"/>
    <w:rsid w:val="00A76F24"/>
    <w:rsid w:val="00A7702B"/>
    <w:rsid w:val="00A77083"/>
    <w:rsid w:val="00A771CE"/>
    <w:rsid w:val="00A7747B"/>
    <w:rsid w:val="00A77480"/>
    <w:rsid w:val="00A77590"/>
    <w:rsid w:val="00A779CA"/>
    <w:rsid w:val="00A77A94"/>
    <w:rsid w:val="00A77DCE"/>
    <w:rsid w:val="00A77E39"/>
    <w:rsid w:val="00A77EC8"/>
    <w:rsid w:val="00A77F25"/>
    <w:rsid w:val="00A8003E"/>
    <w:rsid w:val="00A8004A"/>
    <w:rsid w:val="00A8007B"/>
    <w:rsid w:val="00A80094"/>
    <w:rsid w:val="00A801A6"/>
    <w:rsid w:val="00A801C4"/>
    <w:rsid w:val="00A8025F"/>
    <w:rsid w:val="00A802FF"/>
    <w:rsid w:val="00A80359"/>
    <w:rsid w:val="00A803AF"/>
    <w:rsid w:val="00A805B7"/>
    <w:rsid w:val="00A805F1"/>
    <w:rsid w:val="00A80640"/>
    <w:rsid w:val="00A80647"/>
    <w:rsid w:val="00A80660"/>
    <w:rsid w:val="00A80838"/>
    <w:rsid w:val="00A80867"/>
    <w:rsid w:val="00A808E1"/>
    <w:rsid w:val="00A80940"/>
    <w:rsid w:val="00A809E4"/>
    <w:rsid w:val="00A80AA9"/>
    <w:rsid w:val="00A80AEB"/>
    <w:rsid w:val="00A80CA0"/>
    <w:rsid w:val="00A80E37"/>
    <w:rsid w:val="00A80E91"/>
    <w:rsid w:val="00A8105E"/>
    <w:rsid w:val="00A8135D"/>
    <w:rsid w:val="00A813FD"/>
    <w:rsid w:val="00A8148A"/>
    <w:rsid w:val="00A815E2"/>
    <w:rsid w:val="00A816BF"/>
    <w:rsid w:val="00A816C9"/>
    <w:rsid w:val="00A8189D"/>
    <w:rsid w:val="00A818F6"/>
    <w:rsid w:val="00A81AAE"/>
    <w:rsid w:val="00A81ACC"/>
    <w:rsid w:val="00A81C4E"/>
    <w:rsid w:val="00A81D30"/>
    <w:rsid w:val="00A81EE7"/>
    <w:rsid w:val="00A81FCC"/>
    <w:rsid w:val="00A81FD3"/>
    <w:rsid w:val="00A82018"/>
    <w:rsid w:val="00A82131"/>
    <w:rsid w:val="00A8218D"/>
    <w:rsid w:val="00A822C5"/>
    <w:rsid w:val="00A823D6"/>
    <w:rsid w:val="00A82591"/>
    <w:rsid w:val="00A82772"/>
    <w:rsid w:val="00A827E8"/>
    <w:rsid w:val="00A82A7D"/>
    <w:rsid w:val="00A82A8E"/>
    <w:rsid w:val="00A82AE7"/>
    <w:rsid w:val="00A82D7A"/>
    <w:rsid w:val="00A82F10"/>
    <w:rsid w:val="00A82F1D"/>
    <w:rsid w:val="00A82F3A"/>
    <w:rsid w:val="00A83077"/>
    <w:rsid w:val="00A830E6"/>
    <w:rsid w:val="00A831C7"/>
    <w:rsid w:val="00A83237"/>
    <w:rsid w:val="00A833BF"/>
    <w:rsid w:val="00A83667"/>
    <w:rsid w:val="00A83671"/>
    <w:rsid w:val="00A83798"/>
    <w:rsid w:val="00A837A8"/>
    <w:rsid w:val="00A8399E"/>
    <w:rsid w:val="00A83BB3"/>
    <w:rsid w:val="00A83BEB"/>
    <w:rsid w:val="00A83D29"/>
    <w:rsid w:val="00A83D51"/>
    <w:rsid w:val="00A83FAF"/>
    <w:rsid w:val="00A84172"/>
    <w:rsid w:val="00A84269"/>
    <w:rsid w:val="00A842CB"/>
    <w:rsid w:val="00A842D8"/>
    <w:rsid w:val="00A84317"/>
    <w:rsid w:val="00A845FD"/>
    <w:rsid w:val="00A84697"/>
    <w:rsid w:val="00A846CD"/>
    <w:rsid w:val="00A847A4"/>
    <w:rsid w:val="00A84B67"/>
    <w:rsid w:val="00A84D91"/>
    <w:rsid w:val="00A84DA4"/>
    <w:rsid w:val="00A84E26"/>
    <w:rsid w:val="00A84E77"/>
    <w:rsid w:val="00A84E87"/>
    <w:rsid w:val="00A84FBF"/>
    <w:rsid w:val="00A85044"/>
    <w:rsid w:val="00A850B5"/>
    <w:rsid w:val="00A850C5"/>
    <w:rsid w:val="00A85149"/>
    <w:rsid w:val="00A8518D"/>
    <w:rsid w:val="00A8519D"/>
    <w:rsid w:val="00A852FC"/>
    <w:rsid w:val="00A85399"/>
    <w:rsid w:val="00A853F7"/>
    <w:rsid w:val="00A85541"/>
    <w:rsid w:val="00A85625"/>
    <w:rsid w:val="00A8567E"/>
    <w:rsid w:val="00A856A2"/>
    <w:rsid w:val="00A8570E"/>
    <w:rsid w:val="00A85757"/>
    <w:rsid w:val="00A8587F"/>
    <w:rsid w:val="00A8591C"/>
    <w:rsid w:val="00A8598B"/>
    <w:rsid w:val="00A85AAE"/>
    <w:rsid w:val="00A85C0B"/>
    <w:rsid w:val="00A85C60"/>
    <w:rsid w:val="00A85CC8"/>
    <w:rsid w:val="00A85E4E"/>
    <w:rsid w:val="00A860B3"/>
    <w:rsid w:val="00A86344"/>
    <w:rsid w:val="00A86479"/>
    <w:rsid w:val="00A86550"/>
    <w:rsid w:val="00A86564"/>
    <w:rsid w:val="00A8665A"/>
    <w:rsid w:val="00A86706"/>
    <w:rsid w:val="00A86771"/>
    <w:rsid w:val="00A86A28"/>
    <w:rsid w:val="00A86A3D"/>
    <w:rsid w:val="00A86B0C"/>
    <w:rsid w:val="00A86B44"/>
    <w:rsid w:val="00A86C3C"/>
    <w:rsid w:val="00A86CA6"/>
    <w:rsid w:val="00A86E64"/>
    <w:rsid w:val="00A86F10"/>
    <w:rsid w:val="00A86F92"/>
    <w:rsid w:val="00A8724E"/>
    <w:rsid w:val="00A872BA"/>
    <w:rsid w:val="00A87448"/>
    <w:rsid w:val="00A875E8"/>
    <w:rsid w:val="00A87623"/>
    <w:rsid w:val="00A877DB"/>
    <w:rsid w:val="00A87838"/>
    <w:rsid w:val="00A8787F"/>
    <w:rsid w:val="00A87AB2"/>
    <w:rsid w:val="00A87AB4"/>
    <w:rsid w:val="00A87C4E"/>
    <w:rsid w:val="00A87C7A"/>
    <w:rsid w:val="00A87D0A"/>
    <w:rsid w:val="00A87E98"/>
    <w:rsid w:val="00A90039"/>
    <w:rsid w:val="00A90224"/>
    <w:rsid w:val="00A90273"/>
    <w:rsid w:val="00A9032F"/>
    <w:rsid w:val="00A9077F"/>
    <w:rsid w:val="00A90785"/>
    <w:rsid w:val="00A907BB"/>
    <w:rsid w:val="00A90857"/>
    <w:rsid w:val="00A90A62"/>
    <w:rsid w:val="00A90B8C"/>
    <w:rsid w:val="00A90C34"/>
    <w:rsid w:val="00A90C3E"/>
    <w:rsid w:val="00A90C69"/>
    <w:rsid w:val="00A90CB5"/>
    <w:rsid w:val="00A90D49"/>
    <w:rsid w:val="00A90EA5"/>
    <w:rsid w:val="00A91255"/>
    <w:rsid w:val="00A912ED"/>
    <w:rsid w:val="00A913E2"/>
    <w:rsid w:val="00A9165C"/>
    <w:rsid w:val="00A91729"/>
    <w:rsid w:val="00A91800"/>
    <w:rsid w:val="00A91922"/>
    <w:rsid w:val="00A919A7"/>
    <w:rsid w:val="00A91BBD"/>
    <w:rsid w:val="00A91BC7"/>
    <w:rsid w:val="00A91C23"/>
    <w:rsid w:val="00A91C45"/>
    <w:rsid w:val="00A91E22"/>
    <w:rsid w:val="00A921C9"/>
    <w:rsid w:val="00A922A2"/>
    <w:rsid w:val="00A92317"/>
    <w:rsid w:val="00A923A9"/>
    <w:rsid w:val="00A92684"/>
    <w:rsid w:val="00A9270F"/>
    <w:rsid w:val="00A927B2"/>
    <w:rsid w:val="00A9283B"/>
    <w:rsid w:val="00A9291C"/>
    <w:rsid w:val="00A92A4E"/>
    <w:rsid w:val="00A92BC8"/>
    <w:rsid w:val="00A92C44"/>
    <w:rsid w:val="00A92D36"/>
    <w:rsid w:val="00A92E8C"/>
    <w:rsid w:val="00A92E97"/>
    <w:rsid w:val="00A92FEC"/>
    <w:rsid w:val="00A931BE"/>
    <w:rsid w:val="00A93342"/>
    <w:rsid w:val="00A93401"/>
    <w:rsid w:val="00A9348F"/>
    <w:rsid w:val="00A935E1"/>
    <w:rsid w:val="00A93678"/>
    <w:rsid w:val="00A936C4"/>
    <w:rsid w:val="00A93735"/>
    <w:rsid w:val="00A9386F"/>
    <w:rsid w:val="00A93AE2"/>
    <w:rsid w:val="00A93B4D"/>
    <w:rsid w:val="00A93E44"/>
    <w:rsid w:val="00A93EC4"/>
    <w:rsid w:val="00A93EF1"/>
    <w:rsid w:val="00A941A8"/>
    <w:rsid w:val="00A9423C"/>
    <w:rsid w:val="00A943C3"/>
    <w:rsid w:val="00A9454B"/>
    <w:rsid w:val="00A945AF"/>
    <w:rsid w:val="00A94642"/>
    <w:rsid w:val="00A9465C"/>
    <w:rsid w:val="00A94711"/>
    <w:rsid w:val="00A94774"/>
    <w:rsid w:val="00A94784"/>
    <w:rsid w:val="00A9496A"/>
    <w:rsid w:val="00A94A18"/>
    <w:rsid w:val="00A94A9A"/>
    <w:rsid w:val="00A94B58"/>
    <w:rsid w:val="00A94B61"/>
    <w:rsid w:val="00A94B95"/>
    <w:rsid w:val="00A94BAE"/>
    <w:rsid w:val="00A94BC4"/>
    <w:rsid w:val="00A94D8D"/>
    <w:rsid w:val="00A94DC9"/>
    <w:rsid w:val="00A94E4E"/>
    <w:rsid w:val="00A94E5B"/>
    <w:rsid w:val="00A94F44"/>
    <w:rsid w:val="00A94FE4"/>
    <w:rsid w:val="00A95180"/>
    <w:rsid w:val="00A95261"/>
    <w:rsid w:val="00A9548A"/>
    <w:rsid w:val="00A955A4"/>
    <w:rsid w:val="00A9561A"/>
    <w:rsid w:val="00A9564F"/>
    <w:rsid w:val="00A956C6"/>
    <w:rsid w:val="00A95956"/>
    <w:rsid w:val="00A95A0A"/>
    <w:rsid w:val="00A95BFC"/>
    <w:rsid w:val="00A95DB2"/>
    <w:rsid w:val="00A95DDB"/>
    <w:rsid w:val="00A95DDD"/>
    <w:rsid w:val="00A95EA7"/>
    <w:rsid w:val="00A96446"/>
    <w:rsid w:val="00A96458"/>
    <w:rsid w:val="00A965C0"/>
    <w:rsid w:val="00A966ED"/>
    <w:rsid w:val="00A96782"/>
    <w:rsid w:val="00A967EC"/>
    <w:rsid w:val="00A96803"/>
    <w:rsid w:val="00A9685B"/>
    <w:rsid w:val="00A96A15"/>
    <w:rsid w:val="00A96B17"/>
    <w:rsid w:val="00A96B65"/>
    <w:rsid w:val="00A96BF6"/>
    <w:rsid w:val="00A96C54"/>
    <w:rsid w:val="00A96D40"/>
    <w:rsid w:val="00A96E17"/>
    <w:rsid w:val="00A96E90"/>
    <w:rsid w:val="00A97032"/>
    <w:rsid w:val="00A970C6"/>
    <w:rsid w:val="00A97160"/>
    <w:rsid w:val="00A971DC"/>
    <w:rsid w:val="00A972D5"/>
    <w:rsid w:val="00A972EB"/>
    <w:rsid w:val="00A972EE"/>
    <w:rsid w:val="00A97300"/>
    <w:rsid w:val="00A9742E"/>
    <w:rsid w:val="00A9743F"/>
    <w:rsid w:val="00A9756E"/>
    <w:rsid w:val="00A975CC"/>
    <w:rsid w:val="00A97979"/>
    <w:rsid w:val="00A97A0A"/>
    <w:rsid w:val="00A97B4A"/>
    <w:rsid w:val="00A97C07"/>
    <w:rsid w:val="00A97D0B"/>
    <w:rsid w:val="00A97DD6"/>
    <w:rsid w:val="00A97E0A"/>
    <w:rsid w:val="00A97EF8"/>
    <w:rsid w:val="00AA0039"/>
    <w:rsid w:val="00AA00D4"/>
    <w:rsid w:val="00AA0106"/>
    <w:rsid w:val="00AA0221"/>
    <w:rsid w:val="00AA0291"/>
    <w:rsid w:val="00AA030B"/>
    <w:rsid w:val="00AA0310"/>
    <w:rsid w:val="00AA03DA"/>
    <w:rsid w:val="00AA04C4"/>
    <w:rsid w:val="00AA063B"/>
    <w:rsid w:val="00AA0837"/>
    <w:rsid w:val="00AA0A71"/>
    <w:rsid w:val="00AA0A8E"/>
    <w:rsid w:val="00AA0B1F"/>
    <w:rsid w:val="00AA0C63"/>
    <w:rsid w:val="00AA0C73"/>
    <w:rsid w:val="00AA0E7A"/>
    <w:rsid w:val="00AA0FC6"/>
    <w:rsid w:val="00AA11A8"/>
    <w:rsid w:val="00AA11BC"/>
    <w:rsid w:val="00AA11EF"/>
    <w:rsid w:val="00AA12E1"/>
    <w:rsid w:val="00AA14C5"/>
    <w:rsid w:val="00AA153A"/>
    <w:rsid w:val="00AA1620"/>
    <w:rsid w:val="00AA167A"/>
    <w:rsid w:val="00AA16D3"/>
    <w:rsid w:val="00AA175B"/>
    <w:rsid w:val="00AA1852"/>
    <w:rsid w:val="00AA1860"/>
    <w:rsid w:val="00AA1964"/>
    <w:rsid w:val="00AA1A4D"/>
    <w:rsid w:val="00AA1BE4"/>
    <w:rsid w:val="00AA1C30"/>
    <w:rsid w:val="00AA1CAA"/>
    <w:rsid w:val="00AA1CF4"/>
    <w:rsid w:val="00AA1DF0"/>
    <w:rsid w:val="00AA1E91"/>
    <w:rsid w:val="00AA2042"/>
    <w:rsid w:val="00AA21EC"/>
    <w:rsid w:val="00AA21F9"/>
    <w:rsid w:val="00AA242E"/>
    <w:rsid w:val="00AA24D8"/>
    <w:rsid w:val="00AA24E5"/>
    <w:rsid w:val="00AA2518"/>
    <w:rsid w:val="00AA2529"/>
    <w:rsid w:val="00AA25B3"/>
    <w:rsid w:val="00AA277A"/>
    <w:rsid w:val="00AA28E7"/>
    <w:rsid w:val="00AA2975"/>
    <w:rsid w:val="00AA29EF"/>
    <w:rsid w:val="00AA2A70"/>
    <w:rsid w:val="00AA2AF3"/>
    <w:rsid w:val="00AA2B6F"/>
    <w:rsid w:val="00AA2BE6"/>
    <w:rsid w:val="00AA2D03"/>
    <w:rsid w:val="00AA2D7F"/>
    <w:rsid w:val="00AA2E9E"/>
    <w:rsid w:val="00AA306A"/>
    <w:rsid w:val="00AA3248"/>
    <w:rsid w:val="00AA3369"/>
    <w:rsid w:val="00AA3430"/>
    <w:rsid w:val="00AA3444"/>
    <w:rsid w:val="00AA36C8"/>
    <w:rsid w:val="00AA3791"/>
    <w:rsid w:val="00AA38E5"/>
    <w:rsid w:val="00AA394C"/>
    <w:rsid w:val="00AA39DD"/>
    <w:rsid w:val="00AA3A6C"/>
    <w:rsid w:val="00AA3AF9"/>
    <w:rsid w:val="00AA3E5D"/>
    <w:rsid w:val="00AA3F30"/>
    <w:rsid w:val="00AA4236"/>
    <w:rsid w:val="00AA4291"/>
    <w:rsid w:val="00AA42AA"/>
    <w:rsid w:val="00AA4484"/>
    <w:rsid w:val="00AA4569"/>
    <w:rsid w:val="00AA457D"/>
    <w:rsid w:val="00AA45D5"/>
    <w:rsid w:val="00AA4706"/>
    <w:rsid w:val="00AA47A4"/>
    <w:rsid w:val="00AA47AA"/>
    <w:rsid w:val="00AA481D"/>
    <w:rsid w:val="00AA48F5"/>
    <w:rsid w:val="00AA4987"/>
    <w:rsid w:val="00AA49F0"/>
    <w:rsid w:val="00AA4A25"/>
    <w:rsid w:val="00AA4BBB"/>
    <w:rsid w:val="00AA4C45"/>
    <w:rsid w:val="00AA4CDB"/>
    <w:rsid w:val="00AA4D7B"/>
    <w:rsid w:val="00AA4EAC"/>
    <w:rsid w:val="00AA4F1C"/>
    <w:rsid w:val="00AA5018"/>
    <w:rsid w:val="00AA5120"/>
    <w:rsid w:val="00AA5131"/>
    <w:rsid w:val="00AA5245"/>
    <w:rsid w:val="00AA5314"/>
    <w:rsid w:val="00AA539C"/>
    <w:rsid w:val="00AA53DB"/>
    <w:rsid w:val="00AA5629"/>
    <w:rsid w:val="00AA5919"/>
    <w:rsid w:val="00AA599E"/>
    <w:rsid w:val="00AA5A80"/>
    <w:rsid w:val="00AA5BA0"/>
    <w:rsid w:val="00AA5D00"/>
    <w:rsid w:val="00AA5EC0"/>
    <w:rsid w:val="00AA608F"/>
    <w:rsid w:val="00AA60E0"/>
    <w:rsid w:val="00AA61C3"/>
    <w:rsid w:val="00AA61C9"/>
    <w:rsid w:val="00AA6388"/>
    <w:rsid w:val="00AA638D"/>
    <w:rsid w:val="00AA6421"/>
    <w:rsid w:val="00AA660E"/>
    <w:rsid w:val="00AA663C"/>
    <w:rsid w:val="00AA66FF"/>
    <w:rsid w:val="00AA6917"/>
    <w:rsid w:val="00AA6965"/>
    <w:rsid w:val="00AA69B8"/>
    <w:rsid w:val="00AA69C8"/>
    <w:rsid w:val="00AA6B4D"/>
    <w:rsid w:val="00AA6C9C"/>
    <w:rsid w:val="00AA6CA1"/>
    <w:rsid w:val="00AA6D17"/>
    <w:rsid w:val="00AA6EBB"/>
    <w:rsid w:val="00AA704B"/>
    <w:rsid w:val="00AA7051"/>
    <w:rsid w:val="00AA7068"/>
    <w:rsid w:val="00AA70B8"/>
    <w:rsid w:val="00AA7103"/>
    <w:rsid w:val="00AA710E"/>
    <w:rsid w:val="00AA71E2"/>
    <w:rsid w:val="00AA77D0"/>
    <w:rsid w:val="00AA791A"/>
    <w:rsid w:val="00AA796B"/>
    <w:rsid w:val="00AA7AF7"/>
    <w:rsid w:val="00AA7C44"/>
    <w:rsid w:val="00AA7C64"/>
    <w:rsid w:val="00AA7E7A"/>
    <w:rsid w:val="00AA7ED3"/>
    <w:rsid w:val="00AA7FA7"/>
    <w:rsid w:val="00AA7FF1"/>
    <w:rsid w:val="00AB0367"/>
    <w:rsid w:val="00AB0403"/>
    <w:rsid w:val="00AB042E"/>
    <w:rsid w:val="00AB05DC"/>
    <w:rsid w:val="00AB06F4"/>
    <w:rsid w:val="00AB072A"/>
    <w:rsid w:val="00AB0803"/>
    <w:rsid w:val="00AB0B09"/>
    <w:rsid w:val="00AB0CF7"/>
    <w:rsid w:val="00AB0EAF"/>
    <w:rsid w:val="00AB1025"/>
    <w:rsid w:val="00AB104F"/>
    <w:rsid w:val="00AB106B"/>
    <w:rsid w:val="00AB134D"/>
    <w:rsid w:val="00AB13E7"/>
    <w:rsid w:val="00AB14F7"/>
    <w:rsid w:val="00AB152A"/>
    <w:rsid w:val="00AB15D4"/>
    <w:rsid w:val="00AB1627"/>
    <w:rsid w:val="00AB1831"/>
    <w:rsid w:val="00AB1985"/>
    <w:rsid w:val="00AB1A92"/>
    <w:rsid w:val="00AB1AF7"/>
    <w:rsid w:val="00AB1E29"/>
    <w:rsid w:val="00AB231E"/>
    <w:rsid w:val="00AB2409"/>
    <w:rsid w:val="00AB2468"/>
    <w:rsid w:val="00AB2540"/>
    <w:rsid w:val="00AB26A2"/>
    <w:rsid w:val="00AB26F3"/>
    <w:rsid w:val="00AB28A9"/>
    <w:rsid w:val="00AB28DD"/>
    <w:rsid w:val="00AB2A1E"/>
    <w:rsid w:val="00AB2B2C"/>
    <w:rsid w:val="00AB2B6D"/>
    <w:rsid w:val="00AB2F41"/>
    <w:rsid w:val="00AB2F4F"/>
    <w:rsid w:val="00AB3014"/>
    <w:rsid w:val="00AB3020"/>
    <w:rsid w:val="00AB30DD"/>
    <w:rsid w:val="00AB30F5"/>
    <w:rsid w:val="00AB32B4"/>
    <w:rsid w:val="00AB336A"/>
    <w:rsid w:val="00AB3467"/>
    <w:rsid w:val="00AB3513"/>
    <w:rsid w:val="00AB3647"/>
    <w:rsid w:val="00AB368C"/>
    <w:rsid w:val="00AB3786"/>
    <w:rsid w:val="00AB39CA"/>
    <w:rsid w:val="00AB39E8"/>
    <w:rsid w:val="00AB3A16"/>
    <w:rsid w:val="00AB3A96"/>
    <w:rsid w:val="00AB3BAD"/>
    <w:rsid w:val="00AB3C01"/>
    <w:rsid w:val="00AB3C3F"/>
    <w:rsid w:val="00AB3C5C"/>
    <w:rsid w:val="00AB3CDC"/>
    <w:rsid w:val="00AB3D03"/>
    <w:rsid w:val="00AB3D8E"/>
    <w:rsid w:val="00AB3DC3"/>
    <w:rsid w:val="00AB3E53"/>
    <w:rsid w:val="00AB3EFB"/>
    <w:rsid w:val="00AB4118"/>
    <w:rsid w:val="00AB4124"/>
    <w:rsid w:val="00AB4291"/>
    <w:rsid w:val="00AB436F"/>
    <w:rsid w:val="00AB43A3"/>
    <w:rsid w:val="00AB447A"/>
    <w:rsid w:val="00AB4556"/>
    <w:rsid w:val="00AB45DB"/>
    <w:rsid w:val="00AB487F"/>
    <w:rsid w:val="00AB49DB"/>
    <w:rsid w:val="00AB49E7"/>
    <w:rsid w:val="00AB4B1C"/>
    <w:rsid w:val="00AB4C42"/>
    <w:rsid w:val="00AB4CA4"/>
    <w:rsid w:val="00AB4EBD"/>
    <w:rsid w:val="00AB50F6"/>
    <w:rsid w:val="00AB5183"/>
    <w:rsid w:val="00AB5341"/>
    <w:rsid w:val="00AB543D"/>
    <w:rsid w:val="00AB54E7"/>
    <w:rsid w:val="00AB5535"/>
    <w:rsid w:val="00AB5544"/>
    <w:rsid w:val="00AB5662"/>
    <w:rsid w:val="00AB572C"/>
    <w:rsid w:val="00AB579C"/>
    <w:rsid w:val="00AB59AD"/>
    <w:rsid w:val="00AB59BC"/>
    <w:rsid w:val="00AB5A84"/>
    <w:rsid w:val="00AB5B27"/>
    <w:rsid w:val="00AB5B68"/>
    <w:rsid w:val="00AB5B82"/>
    <w:rsid w:val="00AB5B98"/>
    <w:rsid w:val="00AB5CE0"/>
    <w:rsid w:val="00AB5D17"/>
    <w:rsid w:val="00AB5E3B"/>
    <w:rsid w:val="00AB5E44"/>
    <w:rsid w:val="00AB5FDF"/>
    <w:rsid w:val="00AB6000"/>
    <w:rsid w:val="00AB605A"/>
    <w:rsid w:val="00AB60BB"/>
    <w:rsid w:val="00AB6196"/>
    <w:rsid w:val="00AB624A"/>
    <w:rsid w:val="00AB631B"/>
    <w:rsid w:val="00AB6455"/>
    <w:rsid w:val="00AB677C"/>
    <w:rsid w:val="00AB678E"/>
    <w:rsid w:val="00AB6799"/>
    <w:rsid w:val="00AB684B"/>
    <w:rsid w:val="00AB68A8"/>
    <w:rsid w:val="00AB6A0A"/>
    <w:rsid w:val="00AB6AF6"/>
    <w:rsid w:val="00AB6BAF"/>
    <w:rsid w:val="00AB6BE6"/>
    <w:rsid w:val="00AB6E47"/>
    <w:rsid w:val="00AB6F4A"/>
    <w:rsid w:val="00AB6F75"/>
    <w:rsid w:val="00AB7002"/>
    <w:rsid w:val="00AB70D9"/>
    <w:rsid w:val="00AB719A"/>
    <w:rsid w:val="00AB71E6"/>
    <w:rsid w:val="00AB7333"/>
    <w:rsid w:val="00AB738A"/>
    <w:rsid w:val="00AB754C"/>
    <w:rsid w:val="00AB7575"/>
    <w:rsid w:val="00AB76A5"/>
    <w:rsid w:val="00AB76E7"/>
    <w:rsid w:val="00AB76FF"/>
    <w:rsid w:val="00AB7754"/>
    <w:rsid w:val="00AB7948"/>
    <w:rsid w:val="00AB7A19"/>
    <w:rsid w:val="00AB7B4C"/>
    <w:rsid w:val="00AB7C53"/>
    <w:rsid w:val="00AB7D43"/>
    <w:rsid w:val="00AB7DC1"/>
    <w:rsid w:val="00AB7F04"/>
    <w:rsid w:val="00AB7F99"/>
    <w:rsid w:val="00AC00D7"/>
    <w:rsid w:val="00AC0322"/>
    <w:rsid w:val="00AC032D"/>
    <w:rsid w:val="00AC05DA"/>
    <w:rsid w:val="00AC0611"/>
    <w:rsid w:val="00AC063E"/>
    <w:rsid w:val="00AC07FD"/>
    <w:rsid w:val="00AC0844"/>
    <w:rsid w:val="00AC08BF"/>
    <w:rsid w:val="00AC08CE"/>
    <w:rsid w:val="00AC0AA9"/>
    <w:rsid w:val="00AC0B8E"/>
    <w:rsid w:val="00AC0D2A"/>
    <w:rsid w:val="00AC0E89"/>
    <w:rsid w:val="00AC1098"/>
    <w:rsid w:val="00AC10A2"/>
    <w:rsid w:val="00AC1127"/>
    <w:rsid w:val="00AC11E8"/>
    <w:rsid w:val="00AC1508"/>
    <w:rsid w:val="00AC158D"/>
    <w:rsid w:val="00AC15A0"/>
    <w:rsid w:val="00AC16F1"/>
    <w:rsid w:val="00AC1CF8"/>
    <w:rsid w:val="00AC1F82"/>
    <w:rsid w:val="00AC2131"/>
    <w:rsid w:val="00AC2188"/>
    <w:rsid w:val="00AC2277"/>
    <w:rsid w:val="00AC2282"/>
    <w:rsid w:val="00AC2584"/>
    <w:rsid w:val="00AC261A"/>
    <w:rsid w:val="00AC2691"/>
    <w:rsid w:val="00AC2737"/>
    <w:rsid w:val="00AC28CE"/>
    <w:rsid w:val="00AC297A"/>
    <w:rsid w:val="00AC29C3"/>
    <w:rsid w:val="00AC2A46"/>
    <w:rsid w:val="00AC2B5E"/>
    <w:rsid w:val="00AC2C2E"/>
    <w:rsid w:val="00AC2D34"/>
    <w:rsid w:val="00AC2E34"/>
    <w:rsid w:val="00AC2E4B"/>
    <w:rsid w:val="00AC2EC7"/>
    <w:rsid w:val="00AC30AC"/>
    <w:rsid w:val="00AC3196"/>
    <w:rsid w:val="00AC32BF"/>
    <w:rsid w:val="00AC34AF"/>
    <w:rsid w:val="00AC357C"/>
    <w:rsid w:val="00AC363E"/>
    <w:rsid w:val="00AC38BA"/>
    <w:rsid w:val="00AC38CA"/>
    <w:rsid w:val="00AC39C6"/>
    <w:rsid w:val="00AC3B59"/>
    <w:rsid w:val="00AC3BF9"/>
    <w:rsid w:val="00AC3D85"/>
    <w:rsid w:val="00AC3E27"/>
    <w:rsid w:val="00AC4053"/>
    <w:rsid w:val="00AC4065"/>
    <w:rsid w:val="00AC4363"/>
    <w:rsid w:val="00AC4397"/>
    <w:rsid w:val="00AC44B1"/>
    <w:rsid w:val="00AC4599"/>
    <w:rsid w:val="00AC4600"/>
    <w:rsid w:val="00AC4609"/>
    <w:rsid w:val="00AC4695"/>
    <w:rsid w:val="00AC47D7"/>
    <w:rsid w:val="00AC47E0"/>
    <w:rsid w:val="00AC4980"/>
    <w:rsid w:val="00AC49ED"/>
    <w:rsid w:val="00AC4A95"/>
    <w:rsid w:val="00AC4AE3"/>
    <w:rsid w:val="00AC4B1E"/>
    <w:rsid w:val="00AC4B3A"/>
    <w:rsid w:val="00AC4C6B"/>
    <w:rsid w:val="00AC4DA9"/>
    <w:rsid w:val="00AC50B7"/>
    <w:rsid w:val="00AC50E5"/>
    <w:rsid w:val="00AC50E9"/>
    <w:rsid w:val="00AC5285"/>
    <w:rsid w:val="00AC5304"/>
    <w:rsid w:val="00AC530E"/>
    <w:rsid w:val="00AC5367"/>
    <w:rsid w:val="00AC5454"/>
    <w:rsid w:val="00AC54D9"/>
    <w:rsid w:val="00AC552C"/>
    <w:rsid w:val="00AC5566"/>
    <w:rsid w:val="00AC57AC"/>
    <w:rsid w:val="00AC593A"/>
    <w:rsid w:val="00AC5B37"/>
    <w:rsid w:val="00AC5DF7"/>
    <w:rsid w:val="00AC5F20"/>
    <w:rsid w:val="00AC6000"/>
    <w:rsid w:val="00AC601E"/>
    <w:rsid w:val="00AC60A1"/>
    <w:rsid w:val="00AC60BF"/>
    <w:rsid w:val="00AC61AD"/>
    <w:rsid w:val="00AC62D1"/>
    <w:rsid w:val="00AC635E"/>
    <w:rsid w:val="00AC64D2"/>
    <w:rsid w:val="00AC65DB"/>
    <w:rsid w:val="00AC663C"/>
    <w:rsid w:val="00AC6772"/>
    <w:rsid w:val="00AC68F6"/>
    <w:rsid w:val="00AC6900"/>
    <w:rsid w:val="00AC692D"/>
    <w:rsid w:val="00AC6AF8"/>
    <w:rsid w:val="00AC6DD3"/>
    <w:rsid w:val="00AC6F71"/>
    <w:rsid w:val="00AC7041"/>
    <w:rsid w:val="00AC70C7"/>
    <w:rsid w:val="00AC70DE"/>
    <w:rsid w:val="00AC7238"/>
    <w:rsid w:val="00AC7325"/>
    <w:rsid w:val="00AC7474"/>
    <w:rsid w:val="00AC74A0"/>
    <w:rsid w:val="00AC75B7"/>
    <w:rsid w:val="00AC75EF"/>
    <w:rsid w:val="00AC78FE"/>
    <w:rsid w:val="00AC794A"/>
    <w:rsid w:val="00AC7AD2"/>
    <w:rsid w:val="00AC7BF5"/>
    <w:rsid w:val="00AC7C06"/>
    <w:rsid w:val="00AC7C30"/>
    <w:rsid w:val="00AC7D42"/>
    <w:rsid w:val="00AC7DBB"/>
    <w:rsid w:val="00AC7EC0"/>
    <w:rsid w:val="00AC7FBC"/>
    <w:rsid w:val="00AD0109"/>
    <w:rsid w:val="00AD01EB"/>
    <w:rsid w:val="00AD02D3"/>
    <w:rsid w:val="00AD0347"/>
    <w:rsid w:val="00AD034A"/>
    <w:rsid w:val="00AD0373"/>
    <w:rsid w:val="00AD040E"/>
    <w:rsid w:val="00AD046D"/>
    <w:rsid w:val="00AD0560"/>
    <w:rsid w:val="00AD05C6"/>
    <w:rsid w:val="00AD061C"/>
    <w:rsid w:val="00AD06D8"/>
    <w:rsid w:val="00AD097A"/>
    <w:rsid w:val="00AD0988"/>
    <w:rsid w:val="00AD0991"/>
    <w:rsid w:val="00AD09D4"/>
    <w:rsid w:val="00AD0A16"/>
    <w:rsid w:val="00AD0A5F"/>
    <w:rsid w:val="00AD0AA7"/>
    <w:rsid w:val="00AD0AC5"/>
    <w:rsid w:val="00AD0BC6"/>
    <w:rsid w:val="00AD0C01"/>
    <w:rsid w:val="00AD0EE4"/>
    <w:rsid w:val="00AD0F23"/>
    <w:rsid w:val="00AD1229"/>
    <w:rsid w:val="00AD1541"/>
    <w:rsid w:val="00AD180E"/>
    <w:rsid w:val="00AD1843"/>
    <w:rsid w:val="00AD19B9"/>
    <w:rsid w:val="00AD1DF0"/>
    <w:rsid w:val="00AD1F40"/>
    <w:rsid w:val="00AD207C"/>
    <w:rsid w:val="00AD2181"/>
    <w:rsid w:val="00AD21C4"/>
    <w:rsid w:val="00AD2281"/>
    <w:rsid w:val="00AD2405"/>
    <w:rsid w:val="00AD24A8"/>
    <w:rsid w:val="00AD2631"/>
    <w:rsid w:val="00AD264F"/>
    <w:rsid w:val="00AD2973"/>
    <w:rsid w:val="00AD29EE"/>
    <w:rsid w:val="00AD2A1F"/>
    <w:rsid w:val="00AD2A6D"/>
    <w:rsid w:val="00AD2B16"/>
    <w:rsid w:val="00AD2B1C"/>
    <w:rsid w:val="00AD2B47"/>
    <w:rsid w:val="00AD2B60"/>
    <w:rsid w:val="00AD2C23"/>
    <w:rsid w:val="00AD2C68"/>
    <w:rsid w:val="00AD2DB9"/>
    <w:rsid w:val="00AD2DEB"/>
    <w:rsid w:val="00AD2E0D"/>
    <w:rsid w:val="00AD2F21"/>
    <w:rsid w:val="00AD2F24"/>
    <w:rsid w:val="00AD2F68"/>
    <w:rsid w:val="00AD2F7F"/>
    <w:rsid w:val="00AD331B"/>
    <w:rsid w:val="00AD337A"/>
    <w:rsid w:val="00AD353A"/>
    <w:rsid w:val="00AD35E1"/>
    <w:rsid w:val="00AD36A2"/>
    <w:rsid w:val="00AD3812"/>
    <w:rsid w:val="00AD3845"/>
    <w:rsid w:val="00AD38AF"/>
    <w:rsid w:val="00AD38D0"/>
    <w:rsid w:val="00AD3AF4"/>
    <w:rsid w:val="00AD3CBE"/>
    <w:rsid w:val="00AD3E75"/>
    <w:rsid w:val="00AD4085"/>
    <w:rsid w:val="00AD4087"/>
    <w:rsid w:val="00AD40FC"/>
    <w:rsid w:val="00AD411F"/>
    <w:rsid w:val="00AD4189"/>
    <w:rsid w:val="00AD429C"/>
    <w:rsid w:val="00AD42F9"/>
    <w:rsid w:val="00AD4414"/>
    <w:rsid w:val="00AD4AB8"/>
    <w:rsid w:val="00AD4AFF"/>
    <w:rsid w:val="00AD4B0F"/>
    <w:rsid w:val="00AD4CD9"/>
    <w:rsid w:val="00AD4D24"/>
    <w:rsid w:val="00AD4D41"/>
    <w:rsid w:val="00AD505F"/>
    <w:rsid w:val="00AD50A8"/>
    <w:rsid w:val="00AD52A3"/>
    <w:rsid w:val="00AD545D"/>
    <w:rsid w:val="00AD5581"/>
    <w:rsid w:val="00AD55CA"/>
    <w:rsid w:val="00AD5635"/>
    <w:rsid w:val="00AD565F"/>
    <w:rsid w:val="00AD56D8"/>
    <w:rsid w:val="00AD56EF"/>
    <w:rsid w:val="00AD5750"/>
    <w:rsid w:val="00AD57FC"/>
    <w:rsid w:val="00AD5A04"/>
    <w:rsid w:val="00AD5A5F"/>
    <w:rsid w:val="00AD5A8D"/>
    <w:rsid w:val="00AD5AFA"/>
    <w:rsid w:val="00AD5B11"/>
    <w:rsid w:val="00AD5D05"/>
    <w:rsid w:val="00AD5E21"/>
    <w:rsid w:val="00AD5E63"/>
    <w:rsid w:val="00AD5F20"/>
    <w:rsid w:val="00AD5F27"/>
    <w:rsid w:val="00AD5F42"/>
    <w:rsid w:val="00AD5FFC"/>
    <w:rsid w:val="00AD6062"/>
    <w:rsid w:val="00AD6106"/>
    <w:rsid w:val="00AD6186"/>
    <w:rsid w:val="00AD621A"/>
    <w:rsid w:val="00AD63D5"/>
    <w:rsid w:val="00AD6542"/>
    <w:rsid w:val="00AD6568"/>
    <w:rsid w:val="00AD65CC"/>
    <w:rsid w:val="00AD660F"/>
    <w:rsid w:val="00AD675B"/>
    <w:rsid w:val="00AD67C5"/>
    <w:rsid w:val="00AD68FB"/>
    <w:rsid w:val="00AD69C7"/>
    <w:rsid w:val="00AD69FE"/>
    <w:rsid w:val="00AD6A29"/>
    <w:rsid w:val="00AD6AEE"/>
    <w:rsid w:val="00AD7269"/>
    <w:rsid w:val="00AD74B3"/>
    <w:rsid w:val="00AD7562"/>
    <w:rsid w:val="00AD75A6"/>
    <w:rsid w:val="00AD76DF"/>
    <w:rsid w:val="00AD76FE"/>
    <w:rsid w:val="00AD797E"/>
    <w:rsid w:val="00AD7B4F"/>
    <w:rsid w:val="00AD7CB2"/>
    <w:rsid w:val="00AD7D20"/>
    <w:rsid w:val="00AD7E84"/>
    <w:rsid w:val="00AD7EEC"/>
    <w:rsid w:val="00AD7FC2"/>
    <w:rsid w:val="00AE0155"/>
    <w:rsid w:val="00AE02DB"/>
    <w:rsid w:val="00AE032B"/>
    <w:rsid w:val="00AE034E"/>
    <w:rsid w:val="00AE048C"/>
    <w:rsid w:val="00AE068D"/>
    <w:rsid w:val="00AE0787"/>
    <w:rsid w:val="00AE08A6"/>
    <w:rsid w:val="00AE0962"/>
    <w:rsid w:val="00AE099D"/>
    <w:rsid w:val="00AE0BF8"/>
    <w:rsid w:val="00AE0C21"/>
    <w:rsid w:val="00AE0C27"/>
    <w:rsid w:val="00AE0D93"/>
    <w:rsid w:val="00AE0E92"/>
    <w:rsid w:val="00AE0F32"/>
    <w:rsid w:val="00AE0F62"/>
    <w:rsid w:val="00AE109E"/>
    <w:rsid w:val="00AE1253"/>
    <w:rsid w:val="00AE1275"/>
    <w:rsid w:val="00AE1293"/>
    <w:rsid w:val="00AE132F"/>
    <w:rsid w:val="00AE1372"/>
    <w:rsid w:val="00AE14A1"/>
    <w:rsid w:val="00AE14DD"/>
    <w:rsid w:val="00AE15D4"/>
    <w:rsid w:val="00AE18EB"/>
    <w:rsid w:val="00AE19AE"/>
    <w:rsid w:val="00AE1B41"/>
    <w:rsid w:val="00AE1CC2"/>
    <w:rsid w:val="00AE1D9B"/>
    <w:rsid w:val="00AE1E4A"/>
    <w:rsid w:val="00AE1E62"/>
    <w:rsid w:val="00AE1EB7"/>
    <w:rsid w:val="00AE1F1C"/>
    <w:rsid w:val="00AE21FD"/>
    <w:rsid w:val="00AE226E"/>
    <w:rsid w:val="00AE22B0"/>
    <w:rsid w:val="00AE23AE"/>
    <w:rsid w:val="00AE24C9"/>
    <w:rsid w:val="00AE2549"/>
    <w:rsid w:val="00AE25F4"/>
    <w:rsid w:val="00AE2670"/>
    <w:rsid w:val="00AE284D"/>
    <w:rsid w:val="00AE2856"/>
    <w:rsid w:val="00AE2928"/>
    <w:rsid w:val="00AE295E"/>
    <w:rsid w:val="00AE29FC"/>
    <w:rsid w:val="00AE2A07"/>
    <w:rsid w:val="00AE2B22"/>
    <w:rsid w:val="00AE2C44"/>
    <w:rsid w:val="00AE2C66"/>
    <w:rsid w:val="00AE2D16"/>
    <w:rsid w:val="00AE2DF7"/>
    <w:rsid w:val="00AE2F90"/>
    <w:rsid w:val="00AE3012"/>
    <w:rsid w:val="00AE3059"/>
    <w:rsid w:val="00AE3129"/>
    <w:rsid w:val="00AE32CA"/>
    <w:rsid w:val="00AE3407"/>
    <w:rsid w:val="00AE35A7"/>
    <w:rsid w:val="00AE35C0"/>
    <w:rsid w:val="00AE3661"/>
    <w:rsid w:val="00AE37FB"/>
    <w:rsid w:val="00AE3906"/>
    <w:rsid w:val="00AE390E"/>
    <w:rsid w:val="00AE3965"/>
    <w:rsid w:val="00AE3A3E"/>
    <w:rsid w:val="00AE3B52"/>
    <w:rsid w:val="00AE3C31"/>
    <w:rsid w:val="00AE3D06"/>
    <w:rsid w:val="00AE3D81"/>
    <w:rsid w:val="00AE3DDF"/>
    <w:rsid w:val="00AE3E12"/>
    <w:rsid w:val="00AE3EAE"/>
    <w:rsid w:val="00AE3FC4"/>
    <w:rsid w:val="00AE4119"/>
    <w:rsid w:val="00AE4278"/>
    <w:rsid w:val="00AE42A3"/>
    <w:rsid w:val="00AE448B"/>
    <w:rsid w:val="00AE4578"/>
    <w:rsid w:val="00AE4853"/>
    <w:rsid w:val="00AE4968"/>
    <w:rsid w:val="00AE4A12"/>
    <w:rsid w:val="00AE4BEF"/>
    <w:rsid w:val="00AE4E8E"/>
    <w:rsid w:val="00AE4FFF"/>
    <w:rsid w:val="00AE5201"/>
    <w:rsid w:val="00AE5226"/>
    <w:rsid w:val="00AE5242"/>
    <w:rsid w:val="00AE526A"/>
    <w:rsid w:val="00AE5316"/>
    <w:rsid w:val="00AE53A3"/>
    <w:rsid w:val="00AE54DA"/>
    <w:rsid w:val="00AE56E7"/>
    <w:rsid w:val="00AE5732"/>
    <w:rsid w:val="00AE58A4"/>
    <w:rsid w:val="00AE5960"/>
    <w:rsid w:val="00AE5AC3"/>
    <w:rsid w:val="00AE5BCB"/>
    <w:rsid w:val="00AE5CAA"/>
    <w:rsid w:val="00AE5CD2"/>
    <w:rsid w:val="00AE5D36"/>
    <w:rsid w:val="00AE5D45"/>
    <w:rsid w:val="00AE5DC2"/>
    <w:rsid w:val="00AE5DEF"/>
    <w:rsid w:val="00AE5F57"/>
    <w:rsid w:val="00AE5FBE"/>
    <w:rsid w:val="00AE63E5"/>
    <w:rsid w:val="00AE6623"/>
    <w:rsid w:val="00AE66B9"/>
    <w:rsid w:val="00AE68D6"/>
    <w:rsid w:val="00AE6997"/>
    <w:rsid w:val="00AE6BFC"/>
    <w:rsid w:val="00AE6C5E"/>
    <w:rsid w:val="00AE6C5F"/>
    <w:rsid w:val="00AE6D28"/>
    <w:rsid w:val="00AE6FC0"/>
    <w:rsid w:val="00AE704C"/>
    <w:rsid w:val="00AE71EF"/>
    <w:rsid w:val="00AE73F2"/>
    <w:rsid w:val="00AE7713"/>
    <w:rsid w:val="00AE7792"/>
    <w:rsid w:val="00AE7AD1"/>
    <w:rsid w:val="00AE7B22"/>
    <w:rsid w:val="00AE7C4E"/>
    <w:rsid w:val="00AE7D60"/>
    <w:rsid w:val="00AE7E7F"/>
    <w:rsid w:val="00AE7EDA"/>
    <w:rsid w:val="00AE7EFD"/>
    <w:rsid w:val="00AF00DE"/>
    <w:rsid w:val="00AF01CD"/>
    <w:rsid w:val="00AF0229"/>
    <w:rsid w:val="00AF02A0"/>
    <w:rsid w:val="00AF03BD"/>
    <w:rsid w:val="00AF0433"/>
    <w:rsid w:val="00AF04FE"/>
    <w:rsid w:val="00AF0574"/>
    <w:rsid w:val="00AF0639"/>
    <w:rsid w:val="00AF07C2"/>
    <w:rsid w:val="00AF07CD"/>
    <w:rsid w:val="00AF08EA"/>
    <w:rsid w:val="00AF0B12"/>
    <w:rsid w:val="00AF0D11"/>
    <w:rsid w:val="00AF0E3D"/>
    <w:rsid w:val="00AF0F03"/>
    <w:rsid w:val="00AF0F54"/>
    <w:rsid w:val="00AF102E"/>
    <w:rsid w:val="00AF1113"/>
    <w:rsid w:val="00AF1241"/>
    <w:rsid w:val="00AF1466"/>
    <w:rsid w:val="00AF1603"/>
    <w:rsid w:val="00AF17CF"/>
    <w:rsid w:val="00AF17FD"/>
    <w:rsid w:val="00AF1829"/>
    <w:rsid w:val="00AF1830"/>
    <w:rsid w:val="00AF18E5"/>
    <w:rsid w:val="00AF19C1"/>
    <w:rsid w:val="00AF1A4E"/>
    <w:rsid w:val="00AF1A5E"/>
    <w:rsid w:val="00AF1AB2"/>
    <w:rsid w:val="00AF1BC8"/>
    <w:rsid w:val="00AF1C1E"/>
    <w:rsid w:val="00AF1E81"/>
    <w:rsid w:val="00AF1FB9"/>
    <w:rsid w:val="00AF204F"/>
    <w:rsid w:val="00AF22E0"/>
    <w:rsid w:val="00AF23ED"/>
    <w:rsid w:val="00AF240A"/>
    <w:rsid w:val="00AF24F0"/>
    <w:rsid w:val="00AF2533"/>
    <w:rsid w:val="00AF254B"/>
    <w:rsid w:val="00AF2729"/>
    <w:rsid w:val="00AF276B"/>
    <w:rsid w:val="00AF280D"/>
    <w:rsid w:val="00AF2853"/>
    <w:rsid w:val="00AF285C"/>
    <w:rsid w:val="00AF28FD"/>
    <w:rsid w:val="00AF291D"/>
    <w:rsid w:val="00AF2A8B"/>
    <w:rsid w:val="00AF2B5F"/>
    <w:rsid w:val="00AF2C7D"/>
    <w:rsid w:val="00AF2DCF"/>
    <w:rsid w:val="00AF30B3"/>
    <w:rsid w:val="00AF30E1"/>
    <w:rsid w:val="00AF3167"/>
    <w:rsid w:val="00AF362F"/>
    <w:rsid w:val="00AF363D"/>
    <w:rsid w:val="00AF367B"/>
    <w:rsid w:val="00AF3742"/>
    <w:rsid w:val="00AF375A"/>
    <w:rsid w:val="00AF38EF"/>
    <w:rsid w:val="00AF394A"/>
    <w:rsid w:val="00AF3985"/>
    <w:rsid w:val="00AF39AE"/>
    <w:rsid w:val="00AF39D1"/>
    <w:rsid w:val="00AF3A76"/>
    <w:rsid w:val="00AF3AE4"/>
    <w:rsid w:val="00AF3B0A"/>
    <w:rsid w:val="00AF3E35"/>
    <w:rsid w:val="00AF3F04"/>
    <w:rsid w:val="00AF3FD0"/>
    <w:rsid w:val="00AF412E"/>
    <w:rsid w:val="00AF41E8"/>
    <w:rsid w:val="00AF4208"/>
    <w:rsid w:val="00AF4256"/>
    <w:rsid w:val="00AF43D0"/>
    <w:rsid w:val="00AF46A3"/>
    <w:rsid w:val="00AF46CE"/>
    <w:rsid w:val="00AF46DB"/>
    <w:rsid w:val="00AF4949"/>
    <w:rsid w:val="00AF49FE"/>
    <w:rsid w:val="00AF4B11"/>
    <w:rsid w:val="00AF4BC5"/>
    <w:rsid w:val="00AF4C27"/>
    <w:rsid w:val="00AF4CE9"/>
    <w:rsid w:val="00AF4D32"/>
    <w:rsid w:val="00AF4E9D"/>
    <w:rsid w:val="00AF502F"/>
    <w:rsid w:val="00AF5035"/>
    <w:rsid w:val="00AF5044"/>
    <w:rsid w:val="00AF50A9"/>
    <w:rsid w:val="00AF5178"/>
    <w:rsid w:val="00AF51F8"/>
    <w:rsid w:val="00AF520E"/>
    <w:rsid w:val="00AF5281"/>
    <w:rsid w:val="00AF5404"/>
    <w:rsid w:val="00AF548D"/>
    <w:rsid w:val="00AF5579"/>
    <w:rsid w:val="00AF5636"/>
    <w:rsid w:val="00AF568D"/>
    <w:rsid w:val="00AF56A5"/>
    <w:rsid w:val="00AF56AC"/>
    <w:rsid w:val="00AF56F4"/>
    <w:rsid w:val="00AF5781"/>
    <w:rsid w:val="00AF588D"/>
    <w:rsid w:val="00AF58A6"/>
    <w:rsid w:val="00AF58CB"/>
    <w:rsid w:val="00AF593F"/>
    <w:rsid w:val="00AF5975"/>
    <w:rsid w:val="00AF59E6"/>
    <w:rsid w:val="00AF5A1D"/>
    <w:rsid w:val="00AF5B00"/>
    <w:rsid w:val="00AF5C4E"/>
    <w:rsid w:val="00AF5CBF"/>
    <w:rsid w:val="00AF5CCA"/>
    <w:rsid w:val="00AF5E92"/>
    <w:rsid w:val="00AF5F5D"/>
    <w:rsid w:val="00AF5F63"/>
    <w:rsid w:val="00AF6097"/>
    <w:rsid w:val="00AF60B0"/>
    <w:rsid w:val="00AF6220"/>
    <w:rsid w:val="00AF6391"/>
    <w:rsid w:val="00AF6405"/>
    <w:rsid w:val="00AF642E"/>
    <w:rsid w:val="00AF65DD"/>
    <w:rsid w:val="00AF6674"/>
    <w:rsid w:val="00AF66E8"/>
    <w:rsid w:val="00AF681F"/>
    <w:rsid w:val="00AF6A9D"/>
    <w:rsid w:val="00AF6B2A"/>
    <w:rsid w:val="00AF6C44"/>
    <w:rsid w:val="00AF6CE8"/>
    <w:rsid w:val="00AF6D3B"/>
    <w:rsid w:val="00AF6E00"/>
    <w:rsid w:val="00AF6EE8"/>
    <w:rsid w:val="00AF6FC7"/>
    <w:rsid w:val="00AF6FEC"/>
    <w:rsid w:val="00AF70A3"/>
    <w:rsid w:val="00AF716C"/>
    <w:rsid w:val="00AF718E"/>
    <w:rsid w:val="00AF72FE"/>
    <w:rsid w:val="00AF7328"/>
    <w:rsid w:val="00AF73E0"/>
    <w:rsid w:val="00AF78D9"/>
    <w:rsid w:val="00AF7A01"/>
    <w:rsid w:val="00AF7A47"/>
    <w:rsid w:val="00AF7C8E"/>
    <w:rsid w:val="00AF7CE3"/>
    <w:rsid w:val="00AF7F24"/>
    <w:rsid w:val="00AF7FBA"/>
    <w:rsid w:val="00B00071"/>
    <w:rsid w:val="00B002BB"/>
    <w:rsid w:val="00B003F9"/>
    <w:rsid w:val="00B0046D"/>
    <w:rsid w:val="00B00711"/>
    <w:rsid w:val="00B00899"/>
    <w:rsid w:val="00B008B4"/>
    <w:rsid w:val="00B0094A"/>
    <w:rsid w:val="00B009FE"/>
    <w:rsid w:val="00B00D8C"/>
    <w:rsid w:val="00B010F3"/>
    <w:rsid w:val="00B0114B"/>
    <w:rsid w:val="00B01240"/>
    <w:rsid w:val="00B01356"/>
    <w:rsid w:val="00B0141C"/>
    <w:rsid w:val="00B014BE"/>
    <w:rsid w:val="00B014ED"/>
    <w:rsid w:val="00B0161E"/>
    <w:rsid w:val="00B017ED"/>
    <w:rsid w:val="00B01893"/>
    <w:rsid w:val="00B0189C"/>
    <w:rsid w:val="00B01906"/>
    <w:rsid w:val="00B01993"/>
    <w:rsid w:val="00B01A8F"/>
    <w:rsid w:val="00B01ABC"/>
    <w:rsid w:val="00B01B78"/>
    <w:rsid w:val="00B01BF6"/>
    <w:rsid w:val="00B01C20"/>
    <w:rsid w:val="00B01C21"/>
    <w:rsid w:val="00B01C82"/>
    <w:rsid w:val="00B01CF6"/>
    <w:rsid w:val="00B01DB1"/>
    <w:rsid w:val="00B01EA3"/>
    <w:rsid w:val="00B0206B"/>
    <w:rsid w:val="00B021F2"/>
    <w:rsid w:val="00B02388"/>
    <w:rsid w:val="00B023D8"/>
    <w:rsid w:val="00B02545"/>
    <w:rsid w:val="00B02561"/>
    <w:rsid w:val="00B02730"/>
    <w:rsid w:val="00B02763"/>
    <w:rsid w:val="00B027E4"/>
    <w:rsid w:val="00B02C1B"/>
    <w:rsid w:val="00B02CA7"/>
    <w:rsid w:val="00B02D78"/>
    <w:rsid w:val="00B02E64"/>
    <w:rsid w:val="00B02FDB"/>
    <w:rsid w:val="00B0348D"/>
    <w:rsid w:val="00B0360B"/>
    <w:rsid w:val="00B03776"/>
    <w:rsid w:val="00B037A6"/>
    <w:rsid w:val="00B03818"/>
    <w:rsid w:val="00B038F8"/>
    <w:rsid w:val="00B03A72"/>
    <w:rsid w:val="00B03B8E"/>
    <w:rsid w:val="00B03C3C"/>
    <w:rsid w:val="00B03C44"/>
    <w:rsid w:val="00B03DC7"/>
    <w:rsid w:val="00B03DD6"/>
    <w:rsid w:val="00B03DF0"/>
    <w:rsid w:val="00B03FAE"/>
    <w:rsid w:val="00B040A9"/>
    <w:rsid w:val="00B04179"/>
    <w:rsid w:val="00B04181"/>
    <w:rsid w:val="00B0423A"/>
    <w:rsid w:val="00B0429A"/>
    <w:rsid w:val="00B042BC"/>
    <w:rsid w:val="00B0433B"/>
    <w:rsid w:val="00B04374"/>
    <w:rsid w:val="00B0451D"/>
    <w:rsid w:val="00B04689"/>
    <w:rsid w:val="00B0478B"/>
    <w:rsid w:val="00B0491F"/>
    <w:rsid w:val="00B04944"/>
    <w:rsid w:val="00B04AA3"/>
    <w:rsid w:val="00B04ADA"/>
    <w:rsid w:val="00B04AE8"/>
    <w:rsid w:val="00B04B6A"/>
    <w:rsid w:val="00B04C01"/>
    <w:rsid w:val="00B04E3C"/>
    <w:rsid w:val="00B04EFD"/>
    <w:rsid w:val="00B05104"/>
    <w:rsid w:val="00B05232"/>
    <w:rsid w:val="00B053D0"/>
    <w:rsid w:val="00B053F8"/>
    <w:rsid w:val="00B054F6"/>
    <w:rsid w:val="00B055E5"/>
    <w:rsid w:val="00B05669"/>
    <w:rsid w:val="00B0567E"/>
    <w:rsid w:val="00B0574C"/>
    <w:rsid w:val="00B05C3A"/>
    <w:rsid w:val="00B05EC0"/>
    <w:rsid w:val="00B05EE4"/>
    <w:rsid w:val="00B06075"/>
    <w:rsid w:val="00B06145"/>
    <w:rsid w:val="00B06196"/>
    <w:rsid w:val="00B061C9"/>
    <w:rsid w:val="00B061F5"/>
    <w:rsid w:val="00B0628C"/>
    <w:rsid w:val="00B062BA"/>
    <w:rsid w:val="00B062C2"/>
    <w:rsid w:val="00B062DA"/>
    <w:rsid w:val="00B0633D"/>
    <w:rsid w:val="00B063E5"/>
    <w:rsid w:val="00B06557"/>
    <w:rsid w:val="00B06583"/>
    <w:rsid w:val="00B06647"/>
    <w:rsid w:val="00B066DD"/>
    <w:rsid w:val="00B06B84"/>
    <w:rsid w:val="00B06BD3"/>
    <w:rsid w:val="00B06D0A"/>
    <w:rsid w:val="00B06EFA"/>
    <w:rsid w:val="00B07361"/>
    <w:rsid w:val="00B073F4"/>
    <w:rsid w:val="00B07552"/>
    <w:rsid w:val="00B077E6"/>
    <w:rsid w:val="00B079BF"/>
    <w:rsid w:val="00B079EE"/>
    <w:rsid w:val="00B07A28"/>
    <w:rsid w:val="00B07C14"/>
    <w:rsid w:val="00B07CAD"/>
    <w:rsid w:val="00B07CF3"/>
    <w:rsid w:val="00B07D2C"/>
    <w:rsid w:val="00B07E81"/>
    <w:rsid w:val="00B10125"/>
    <w:rsid w:val="00B1016D"/>
    <w:rsid w:val="00B102A5"/>
    <w:rsid w:val="00B103DA"/>
    <w:rsid w:val="00B10432"/>
    <w:rsid w:val="00B10515"/>
    <w:rsid w:val="00B1060B"/>
    <w:rsid w:val="00B10644"/>
    <w:rsid w:val="00B10810"/>
    <w:rsid w:val="00B10900"/>
    <w:rsid w:val="00B109D9"/>
    <w:rsid w:val="00B10AD1"/>
    <w:rsid w:val="00B10AF4"/>
    <w:rsid w:val="00B10C1F"/>
    <w:rsid w:val="00B10D5C"/>
    <w:rsid w:val="00B10D68"/>
    <w:rsid w:val="00B10E5F"/>
    <w:rsid w:val="00B10E7C"/>
    <w:rsid w:val="00B10E89"/>
    <w:rsid w:val="00B10F2D"/>
    <w:rsid w:val="00B10F35"/>
    <w:rsid w:val="00B10F67"/>
    <w:rsid w:val="00B11051"/>
    <w:rsid w:val="00B11069"/>
    <w:rsid w:val="00B110B9"/>
    <w:rsid w:val="00B113A0"/>
    <w:rsid w:val="00B11469"/>
    <w:rsid w:val="00B11688"/>
    <w:rsid w:val="00B116C8"/>
    <w:rsid w:val="00B1190A"/>
    <w:rsid w:val="00B119BE"/>
    <w:rsid w:val="00B11AE9"/>
    <w:rsid w:val="00B11B29"/>
    <w:rsid w:val="00B11B57"/>
    <w:rsid w:val="00B11C5B"/>
    <w:rsid w:val="00B11CFE"/>
    <w:rsid w:val="00B11D08"/>
    <w:rsid w:val="00B11EDA"/>
    <w:rsid w:val="00B11EE1"/>
    <w:rsid w:val="00B12053"/>
    <w:rsid w:val="00B120DB"/>
    <w:rsid w:val="00B121EB"/>
    <w:rsid w:val="00B12521"/>
    <w:rsid w:val="00B12643"/>
    <w:rsid w:val="00B126F3"/>
    <w:rsid w:val="00B126F4"/>
    <w:rsid w:val="00B12727"/>
    <w:rsid w:val="00B1281D"/>
    <w:rsid w:val="00B12862"/>
    <w:rsid w:val="00B12922"/>
    <w:rsid w:val="00B12948"/>
    <w:rsid w:val="00B129F3"/>
    <w:rsid w:val="00B12B8D"/>
    <w:rsid w:val="00B12C0D"/>
    <w:rsid w:val="00B12C1D"/>
    <w:rsid w:val="00B12CA2"/>
    <w:rsid w:val="00B12D1D"/>
    <w:rsid w:val="00B12FBF"/>
    <w:rsid w:val="00B13039"/>
    <w:rsid w:val="00B1314B"/>
    <w:rsid w:val="00B132B9"/>
    <w:rsid w:val="00B132FD"/>
    <w:rsid w:val="00B134C3"/>
    <w:rsid w:val="00B134EB"/>
    <w:rsid w:val="00B1351D"/>
    <w:rsid w:val="00B13576"/>
    <w:rsid w:val="00B137A6"/>
    <w:rsid w:val="00B137CD"/>
    <w:rsid w:val="00B1380B"/>
    <w:rsid w:val="00B1383A"/>
    <w:rsid w:val="00B13986"/>
    <w:rsid w:val="00B13B3F"/>
    <w:rsid w:val="00B13BB9"/>
    <w:rsid w:val="00B13C7F"/>
    <w:rsid w:val="00B13C9D"/>
    <w:rsid w:val="00B13CE3"/>
    <w:rsid w:val="00B13CF4"/>
    <w:rsid w:val="00B13D9E"/>
    <w:rsid w:val="00B13E04"/>
    <w:rsid w:val="00B13E60"/>
    <w:rsid w:val="00B13F6C"/>
    <w:rsid w:val="00B13FD4"/>
    <w:rsid w:val="00B14127"/>
    <w:rsid w:val="00B141BF"/>
    <w:rsid w:val="00B14245"/>
    <w:rsid w:val="00B142A7"/>
    <w:rsid w:val="00B142CB"/>
    <w:rsid w:val="00B143D1"/>
    <w:rsid w:val="00B14409"/>
    <w:rsid w:val="00B14416"/>
    <w:rsid w:val="00B14523"/>
    <w:rsid w:val="00B14644"/>
    <w:rsid w:val="00B1469C"/>
    <w:rsid w:val="00B148DE"/>
    <w:rsid w:val="00B149D8"/>
    <w:rsid w:val="00B14B1B"/>
    <w:rsid w:val="00B14CAB"/>
    <w:rsid w:val="00B14DF6"/>
    <w:rsid w:val="00B14FD8"/>
    <w:rsid w:val="00B150A4"/>
    <w:rsid w:val="00B150CC"/>
    <w:rsid w:val="00B15115"/>
    <w:rsid w:val="00B15230"/>
    <w:rsid w:val="00B152E9"/>
    <w:rsid w:val="00B153F5"/>
    <w:rsid w:val="00B1550F"/>
    <w:rsid w:val="00B15529"/>
    <w:rsid w:val="00B15536"/>
    <w:rsid w:val="00B1580C"/>
    <w:rsid w:val="00B1581F"/>
    <w:rsid w:val="00B158E7"/>
    <w:rsid w:val="00B15A89"/>
    <w:rsid w:val="00B15AD7"/>
    <w:rsid w:val="00B15BC5"/>
    <w:rsid w:val="00B15C61"/>
    <w:rsid w:val="00B15C77"/>
    <w:rsid w:val="00B15D1D"/>
    <w:rsid w:val="00B15D9C"/>
    <w:rsid w:val="00B15E3F"/>
    <w:rsid w:val="00B15ED6"/>
    <w:rsid w:val="00B15FF9"/>
    <w:rsid w:val="00B161A4"/>
    <w:rsid w:val="00B16283"/>
    <w:rsid w:val="00B162B2"/>
    <w:rsid w:val="00B162C4"/>
    <w:rsid w:val="00B162D1"/>
    <w:rsid w:val="00B164F0"/>
    <w:rsid w:val="00B169DD"/>
    <w:rsid w:val="00B16A5F"/>
    <w:rsid w:val="00B16B9A"/>
    <w:rsid w:val="00B16BC7"/>
    <w:rsid w:val="00B16C7B"/>
    <w:rsid w:val="00B16D42"/>
    <w:rsid w:val="00B170A2"/>
    <w:rsid w:val="00B170B7"/>
    <w:rsid w:val="00B17152"/>
    <w:rsid w:val="00B17159"/>
    <w:rsid w:val="00B171BC"/>
    <w:rsid w:val="00B172D5"/>
    <w:rsid w:val="00B173F8"/>
    <w:rsid w:val="00B17645"/>
    <w:rsid w:val="00B17683"/>
    <w:rsid w:val="00B17716"/>
    <w:rsid w:val="00B1772C"/>
    <w:rsid w:val="00B1775B"/>
    <w:rsid w:val="00B177DB"/>
    <w:rsid w:val="00B178B8"/>
    <w:rsid w:val="00B178E8"/>
    <w:rsid w:val="00B17A4F"/>
    <w:rsid w:val="00B17B7C"/>
    <w:rsid w:val="00B17B92"/>
    <w:rsid w:val="00B17C37"/>
    <w:rsid w:val="00B17D69"/>
    <w:rsid w:val="00B17D9D"/>
    <w:rsid w:val="00B17DD1"/>
    <w:rsid w:val="00B17E75"/>
    <w:rsid w:val="00B17EC4"/>
    <w:rsid w:val="00B17F40"/>
    <w:rsid w:val="00B20320"/>
    <w:rsid w:val="00B2033C"/>
    <w:rsid w:val="00B2033F"/>
    <w:rsid w:val="00B20395"/>
    <w:rsid w:val="00B203D5"/>
    <w:rsid w:val="00B20581"/>
    <w:rsid w:val="00B205AA"/>
    <w:rsid w:val="00B206C7"/>
    <w:rsid w:val="00B207F6"/>
    <w:rsid w:val="00B20821"/>
    <w:rsid w:val="00B20AA9"/>
    <w:rsid w:val="00B20CBA"/>
    <w:rsid w:val="00B20D58"/>
    <w:rsid w:val="00B21066"/>
    <w:rsid w:val="00B210D9"/>
    <w:rsid w:val="00B21105"/>
    <w:rsid w:val="00B21199"/>
    <w:rsid w:val="00B211A5"/>
    <w:rsid w:val="00B212AE"/>
    <w:rsid w:val="00B21359"/>
    <w:rsid w:val="00B21398"/>
    <w:rsid w:val="00B2139B"/>
    <w:rsid w:val="00B213DE"/>
    <w:rsid w:val="00B214C6"/>
    <w:rsid w:val="00B214D4"/>
    <w:rsid w:val="00B21670"/>
    <w:rsid w:val="00B216F6"/>
    <w:rsid w:val="00B21843"/>
    <w:rsid w:val="00B218A1"/>
    <w:rsid w:val="00B21A90"/>
    <w:rsid w:val="00B21B8D"/>
    <w:rsid w:val="00B21BA7"/>
    <w:rsid w:val="00B21BEE"/>
    <w:rsid w:val="00B21DAA"/>
    <w:rsid w:val="00B21E83"/>
    <w:rsid w:val="00B21E8C"/>
    <w:rsid w:val="00B21EB7"/>
    <w:rsid w:val="00B220D1"/>
    <w:rsid w:val="00B22200"/>
    <w:rsid w:val="00B22202"/>
    <w:rsid w:val="00B22204"/>
    <w:rsid w:val="00B223EA"/>
    <w:rsid w:val="00B224DB"/>
    <w:rsid w:val="00B2266D"/>
    <w:rsid w:val="00B2269E"/>
    <w:rsid w:val="00B2287D"/>
    <w:rsid w:val="00B22B65"/>
    <w:rsid w:val="00B22D4F"/>
    <w:rsid w:val="00B230AB"/>
    <w:rsid w:val="00B230C4"/>
    <w:rsid w:val="00B23102"/>
    <w:rsid w:val="00B2311C"/>
    <w:rsid w:val="00B2319C"/>
    <w:rsid w:val="00B23342"/>
    <w:rsid w:val="00B233B5"/>
    <w:rsid w:val="00B23419"/>
    <w:rsid w:val="00B2342D"/>
    <w:rsid w:val="00B23528"/>
    <w:rsid w:val="00B2359D"/>
    <w:rsid w:val="00B235EE"/>
    <w:rsid w:val="00B23747"/>
    <w:rsid w:val="00B23801"/>
    <w:rsid w:val="00B23817"/>
    <w:rsid w:val="00B23876"/>
    <w:rsid w:val="00B238A6"/>
    <w:rsid w:val="00B239A5"/>
    <w:rsid w:val="00B23BE2"/>
    <w:rsid w:val="00B23C0A"/>
    <w:rsid w:val="00B23CB6"/>
    <w:rsid w:val="00B23ED5"/>
    <w:rsid w:val="00B23F3D"/>
    <w:rsid w:val="00B23FB8"/>
    <w:rsid w:val="00B24314"/>
    <w:rsid w:val="00B24380"/>
    <w:rsid w:val="00B24481"/>
    <w:rsid w:val="00B24574"/>
    <w:rsid w:val="00B2465B"/>
    <w:rsid w:val="00B24953"/>
    <w:rsid w:val="00B24B6F"/>
    <w:rsid w:val="00B25094"/>
    <w:rsid w:val="00B251AC"/>
    <w:rsid w:val="00B25208"/>
    <w:rsid w:val="00B25293"/>
    <w:rsid w:val="00B2536B"/>
    <w:rsid w:val="00B254BA"/>
    <w:rsid w:val="00B254C7"/>
    <w:rsid w:val="00B25607"/>
    <w:rsid w:val="00B25688"/>
    <w:rsid w:val="00B2572A"/>
    <w:rsid w:val="00B25747"/>
    <w:rsid w:val="00B25990"/>
    <w:rsid w:val="00B25AAF"/>
    <w:rsid w:val="00B25ADE"/>
    <w:rsid w:val="00B25B18"/>
    <w:rsid w:val="00B25D24"/>
    <w:rsid w:val="00B25FC5"/>
    <w:rsid w:val="00B2622F"/>
    <w:rsid w:val="00B262D8"/>
    <w:rsid w:val="00B26321"/>
    <w:rsid w:val="00B2639E"/>
    <w:rsid w:val="00B2644B"/>
    <w:rsid w:val="00B2649C"/>
    <w:rsid w:val="00B26715"/>
    <w:rsid w:val="00B26749"/>
    <w:rsid w:val="00B26753"/>
    <w:rsid w:val="00B267D3"/>
    <w:rsid w:val="00B267FC"/>
    <w:rsid w:val="00B26836"/>
    <w:rsid w:val="00B26969"/>
    <w:rsid w:val="00B26B6A"/>
    <w:rsid w:val="00B26C20"/>
    <w:rsid w:val="00B26C78"/>
    <w:rsid w:val="00B26DF2"/>
    <w:rsid w:val="00B26E69"/>
    <w:rsid w:val="00B26EDC"/>
    <w:rsid w:val="00B273D5"/>
    <w:rsid w:val="00B27424"/>
    <w:rsid w:val="00B2746A"/>
    <w:rsid w:val="00B274AD"/>
    <w:rsid w:val="00B275A2"/>
    <w:rsid w:val="00B27630"/>
    <w:rsid w:val="00B277C2"/>
    <w:rsid w:val="00B27ABF"/>
    <w:rsid w:val="00B27B59"/>
    <w:rsid w:val="00B300A3"/>
    <w:rsid w:val="00B30275"/>
    <w:rsid w:val="00B3031B"/>
    <w:rsid w:val="00B3045B"/>
    <w:rsid w:val="00B30558"/>
    <w:rsid w:val="00B305F4"/>
    <w:rsid w:val="00B3060C"/>
    <w:rsid w:val="00B30BD2"/>
    <w:rsid w:val="00B30E19"/>
    <w:rsid w:val="00B30F9D"/>
    <w:rsid w:val="00B311BA"/>
    <w:rsid w:val="00B313AE"/>
    <w:rsid w:val="00B31543"/>
    <w:rsid w:val="00B316C0"/>
    <w:rsid w:val="00B31868"/>
    <w:rsid w:val="00B3196E"/>
    <w:rsid w:val="00B31986"/>
    <w:rsid w:val="00B31CE9"/>
    <w:rsid w:val="00B31D8C"/>
    <w:rsid w:val="00B31EA0"/>
    <w:rsid w:val="00B31F43"/>
    <w:rsid w:val="00B31F63"/>
    <w:rsid w:val="00B32020"/>
    <w:rsid w:val="00B32071"/>
    <w:rsid w:val="00B32102"/>
    <w:rsid w:val="00B32173"/>
    <w:rsid w:val="00B3225B"/>
    <w:rsid w:val="00B32342"/>
    <w:rsid w:val="00B32389"/>
    <w:rsid w:val="00B323A8"/>
    <w:rsid w:val="00B323D3"/>
    <w:rsid w:val="00B32570"/>
    <w:rsid w:val="00B3258A"/>
    <w:rsid w:val="00B328D1"/>
    <w:rsid w:val="00B3291A"/>
    <w:rsid w:val="00B32988"/>
    <w:rsid w:val="00B329B4"/>
    <w:rsid w:val="00B32BBE"/>
    <w:rsid w:val="00B32C12"/>
    <w:rsid w:val="00B32C25"/>
    <w:rsid w:val="00B32D6E"/>
    <w:rsid w:val="00B32D75"/>
    <w:rsid w:val="00B32EBE"/>
    <w:rsid w:val="00B330EF"/>
    <w:rsid w:val="00B332A3"/>
    <w:rsid w:val="00B335A4"/>
    <w:rsid w:val="00B335AE"/>
    <w:rsid w:val="00B3361A"/>
    <w:rsid w:val="00B336AD"/>
    <w:rsid w:val="00B33797"/>
    <w:rsid w:val="00B33946"/>
    <w:rsid w:val="00B33CFD"/>
    <w:rsid w:val="00B33D6A"/>
    <w:rsid w:val="00B33F60"/>
    <w:rsid w:val="00B343DD"/>
    <w:rsid w:val="00B3471A"/>
    <w:rsid w:val="00B34781"/>
    <w:rsid w:val="00B34796"/>
    <w:rsid w:val="00B347B6"/>
    <w:rsid w:val="00B34958"/>
    <w:rsid w:val="00B349FB"/>
    <w:rsid w:val="00B34A72"/>
    <w:rsid w:val="00B34D5E"/>
    <w:rsid w:val="00B34D75"/>
    <w:rsid w:val="00B34E8D"/>
    <w:rsid w:val="00B34EBD"/>
    <w:rsid w:val="00B34F7B"/>
    <w:rsid w:val="00B34FE0"/>
    <w:rsid w:val="00B3519C"/>
    <w:rsid w:val="00B352EE"/>
    <w:rsid w:val="00B3544B"/>
    <w:rsid w:val="00B35467"/>
    <w:rsid w:val="00B3548D"/>
    <w:rsid w:val="00B3548E"/>
    <w:rsid w:val="00B356B9"/>
    <w:rsid w:val="00B35774"/>
    <w:rsid w:val="00B357E1"/>
    <w:rsid w:val="00B3582E"/>
    <w:rsid w:val="00B3583B"/>
    <w:rsid w:val="00B359DB"/>
    <w:rsid w:val="00B35AA7"/>
    <w:rsid w:val="00B35BC1"/>
    <w:rsid w:val="00B35CA3"/>
    <w:rsid w:val="00B36059"/>
    <w:rsid w:val="00B3618C"/>
    <w:rsid w:val="00B36361"/>
    <w:rsid w:val="00B36364"/>
    <w:rsid w:val="00B364BB"/>
    <w:rsid w:val="00B364C0"/>
    <w:rsid w:val="00B36534"/>
    <w:rsid w:val="00B36653"/>
    <w:rsid w:val="00B36738"/>
    <w:rsid w:val="00B367F3"/>
    <w:rsid w:val="00B367FC"/>
    <w:rsid w:val="00B3688F"/>
    <w:rsid w:val="00B368A7"/>
    <w:rsid w:val="00B36A7C"/>
    <w:rsid w:val="00B36C10"/>
    <w:rsid w:val="00B36C45"/>
    <w:rsid w:val="00B36D80"/>
    <w:rsid w:val="00B36EC4"/>
    <w:rsid w:val="00B36F00"/>
    <w:rsid w:val="00B36F20"/>
    <w:rsid w:val="00B370DC"/>
    <w:rsid w:val="00B37196"/>
    <w:rsid w:val="00B374E5"/>
    <w:rsid w:val="00B3754D"/>
    <w:rsid w:val="00B375F7"/>
    <w:rsid w:val="00B377AF"/>
    <w:rsid w:val="00B377BD"/>
    <w:rsid w:val="00B37832"/>
    <w:rsid w:val="00B37A8F"/>
    <w:rsid w:val="00B37B12"/>
    <w:rsid w:val="00B37BE9"/>
    <w:rsid w:val="00B403E0"/>
    <w:rsid w:val="00B40438"/>
    <w:rsid w:val="00B40463"/>
    <w:rsid w:val="00B407CE"/>
    <w:rsid w:val="00B407FA"/>
    <w:rsid w:val="00B40912"/>
    <w:rsid w:val="00B409AD"/>
    <w:rsid w:val="00B40A19"/>
    <w:rsid w:val="00B40C40"/>
    <w:rsid w:val="00B40D86"/>
    <w:rsid w:val="00B40F53"/>
    <w:rsid w:val="00B40F81"/>
    <w:rsid w:val="00B40FC0"/>
    <w:rsid w:val="00B4113A"/>
    <w:rsid w:val="00B4114A"/>
    <w:rsid w:val="00B411C0"/>
    <w:rsid w:val="00B41258"/>
    <w:rsid w:val="00B4136E"/>
    <w:rsid w:val="00B41432"/>
    <w:rsid w:val="00B417C9"/>
    <w:rsid w:val="00B41841"/>
    <w:rsid w:val="00B41897"/>
    <w:rsid w:val="00B41ABA"/>
    <w:rsid w:val="00B41B12"/>
    <w:rsid w:val="00B41D00"/>
    <w:rsid w:val="00B41E28"/>
    <w:rsid w:val="00B41F23"/>
    <w:rsid w:val="00B4206E"/>
    <w:rsid w:val="00B420EB"/>
    <w:rsid w:val="00B421B3"/>
    <w:rsid w:val="00B42399"/>
    <w:rsid w:val="00B42556"/>
    <w:rsid w:val="00B4259F"/>
    <w:rsid w:val="00B4272F"/>
    <w:rsid w:val="00B427EF"/>
    <w:rsid w:val="00B427F6"/>
    <w:rsid w:val="00B42913"/>
    <w:rsid w:val="00B42A8A"/>
    <w:rsid w:val="00B42AF0"/>
    <w:rsid w:val="00B42B32"/>
    <w:rsid w:val="00B42CA3"/>
    <w:rsid w:val="00B42E3A"/>
    <w:rsid w:val="00B42FFD"/>
    <w:rsid w:val="00B43052"/>
    <w:rsid w:val="00B43219"/>
    <w:rsid w:val="00B4324D"/>
    <w:rsid w:val="00B43384"/>
    <w:rsid w:val="00B43446"/>
    <w:rsid w:val="00B43517"/>
    <w:rsid w:val="00B43668"/>
    <w:rsid w:val="00B43814"/>
    <w:rsid w:val="00B439C6"/>
    <w:rsid w:val="00B43A75"/>
    <w:rsid w:val="00B43CA7"/>
    <w:rsid w:val="00B43E3B"/>
    <w:rsid w:val="00B43EA1"/>
    <w:rsid w:val="00B44087"/>
    <w:rsid w:val="00B44102"/>
    <w:rsid w:val="00B44325"/>
    <w:rsid w:val="00B4434B"/>
    <w:rsid w:val="00B44388"/>
    <w:rsid w:val="00B444CB"/>
    <w:rsid w:val="00B445AC"/>
    <w:rsid w:val="00B44657"/>
    <w:rsid w:val="00B4468B"/>
    <w:rsid w:val="00B44A20"/>
    <w:rsid w:val="00B44C07"/>
    <w:rsid w:val="00B44C0E"/>
    <w:rsid w:val="00B44CAA"/>
    <w:rsid w:val="00B44D6C"/>
    <w:rsid w:val="00B44D81"/>
    <w:rsid w:val="00B44D8E"/>
    <w:rsid w:val="00B44E20"/>
    <w:rsid w:val="00B44F23"/>
    <w:rsid w:val="00B450A9"/>
    <w:rsid w:val="00B450C5"/>
    <w:rsid w:val="00B4523E"/>
    <w:rsid w:val="00B452B2"/>
    <w:rsid w:val="00B452F3"/>
    <w:rsid w:val="00B45422"/>
    <w:rsid w:val="00B456BA"/>
    <w:rsid w:val="00B456DF"/>
    <w:rsid w:val="00B456EF"/>
    <w:rsid w:val="00B45767"/>
    <w:rsid w:val="00B45921"/>
    <w:rsid w:val="00B45A2C"/>
    <w:rsid w:val="00B45C47"/>
    <w:rsid w:val="00B45F4D"/>
    <w:rsid w:val="00B46088"/>
    <w:rsid w:val="00B46106"/>
    <w:rsid w:val="00B461B2"/>
    <w:rsid w:val="00B461F6"/>
    <w:rsid w:val="00B46248"/>
    <w:rsid w:val="00B462C4"/>
    <w:rsid w:val="00B4643F"/>
    <w:rsid w:val="00B46751"/>
    <w:rsid w:val="00B4675E"/>
    <w:rsid w:val="00B46777"/>
    <w:rsid w:val="00B4678F"/>
    <w:rsid w:val="00B46926"/>
    <w:rsid w:val="00B4694B"/>
    <w:rsid w:val="00B46A1A"/>
    <w:rsid w:val="00B46A9C"/>
    <w:rsid w:val="00B46ABE"/>
    <w:rsid w:val="00B46ACA"/>
    <w:rsid w:val="00B46B52"/>
    <w:rsid w:val="00B46BA7"/>
    <w:rsid w:val="00B46BE8"/>
    <w:rsid w:val="00B46CDD"/>
    <w:rsid w:val="00B46D92"/>
    <w:rsid w:val="00B46E87"/>
    <w:rsid w:val="00B46E8C"/>
    <w:rsid w:val="00B46EC5"/>
    <w:rsid w:val="00B46EC6"/>
    <w:rsid w:val="00B46F2E"/>
    <w:rsid w:val="00B46F57"/>
    <w:rsid w:val="00B46FFF"/>
    <w:rsid w:val="00B47156"/>
    <w:rsid w:val="00B4715F"/>
    <w:rsid w:val="00B4717C"/>
    <w:rsid w:val="00B471AA"/>
    <w:rsid w:val="00B471B9"/>
    <w:rsid w:val="00B47602"/>
    <w:rsid w:val="00B4770E"/>
    <w:rsid w:val="00B47A6A"/>
    <w:rsid w:val="00B47E45"/>
    <w:rsid w:val="00B47F0A"/>
    <w:rsid w:val="00B5001A"/>
    <w:rsid w:val="00B5001C"/>
    <w:rsid w:val="00B5040D"/>
    <w:rsid w:val="00B50457"/>
    <w:rsid w:val="00B504B5"/>
    <w:rsid w:val="00B505A3"/>
    <w:rsid w:val="00B50645"/>
    <w:rsid w:val="00B506B8"/>
    <w:rsid w:val="00B5093A"/>
    <w:rsid w:val="00B50961"/>
    <w:rsid w:val="00B509E3"/>
    <w:rsid w:val="00B50A82"/>
    <w:rsid w:val="00B50ABD"/>
    <w:rsid w:val="00B50AD3"/>
    <w:rsid w:val="00B50BF7"/>
    <w:rsid w:val="00B50CDD"/>
    <w:rsid w:val="00B50CF2"/>
    <w:rsid w:val="00B50D26"/>
    <w:rsid w:val="00B50DD6"/>
    <w:rsid w:val="00B50DD9"/>
    <w:rsid w:val="00B50DDB"/>
    <w:rsid w:val="00B50F17"/>
    <w:rsid w:val="00B50F31"/>
    <w:rsid w:val="00B50FC4"/>
    <w:rsid w:val="00B51204"/>
    <w:rsid w:val="00B512D5"/>
    <w:rsid w:val="00B5132B"/>
    <w:rsid w:val="00B51380"/>
    <w:rsid w:val="00B513D5"/>
    <w:rsid w:val="00B513ED"/>
    <w:rsid w:val="00B51447"/>
    <w:rsid w:val="00B514F2"/>
    <w:rsid w:val="00B51504"/>
    <w:rsid w:val="00B51579"/>
    <w:rsid w:val="00B51672"/>
    <w:rsid w:val="00B5172B"/>
    <w:rsid w:val="00B51759"/>
    <w:rsid w:val="00B51781"/>
    <w:rsid w:val="00B518EA"/>
    <w:rsid w:val="00B518EF"/>
    <w:rsid w:val="00B5192E"/>
    <w:rsid w:val="00B5192F"/>
    <w:rsid w:val="00B519A4"/>
    <w:rsid w:val="00B51B94"/>
    <w:rsid w:val="00B51C31"/>
    <w:rsid w:val="00B51E7F"/>
    <w:rsid w:val="00B520B4"/>
    <w:rsid w:val="00B521E4"/>
    <w:rsid w:val="00B5220A"/>
    <w:rsid w:val="00B5232B"/>
    <w:rsid w:val="00B523B1"/>
    <w:rsid w:val="00B525A5"/>
    <w:rsid w:val="00B526DF"/>
    <w:rsid w:val="00B52A03"/>
    <w:rsid w:val="00B52B6D"/>
    <w:rsid w:val="00B52B7E"/>
    <w:rsid w:val="00B52C96"/>
    <w:rsid w:val="00B52F61"/>
    <w:rsid w:val="00B53029"/>
    <w:rsid w:val="00B5313C"/>
    <w:rsid w:val="00B531C7"/>
    <w:rsid w:val="00B532A3"/>
    <w:rsid w:val="00B5334C"/>
    <w:rsid w:val="00B53375"/>
    <w:rsid w:val="00B53394"/>
    <w:rsid w:val="00B5345E"/>
    <w:rsid w:val="00B53707"/>
    <w:rsid w:val="00B53805"/>
    <w:rsid w:val="00B538C1"/>
    <w:rsid w:val="00B539A2"/>
    <w:rsid w:val="00B53A6B"/>
    <w:rsid w:val="00B53AAB"/>
    <w:rsid w:val="00B53B9A"/>
    <w:rsid w:val="00B53BEF"/>
    <w:rsid w:val="00B53C35"/>
    <w:rsid w:val="00B53EE8"/>
    <w:rsid w:val="00B54299"/>
    <w:rsid w:val="00B54320"/>
    <w:rsid w:val="00B5445D"/>
    <w:rsid w:val="00B544EF"/>
    <w:rsid w:val="00B5450B"/>
    <w:rsid w:val="00B5464F"/>
    <w:rsid w:val="00B54813"/>
    <w:rsid w:val="00B5493D"/>
    <w:rsid w:val="00B54A0A"/>
    <w:rsid w:val="00B54B26"/>
    <w:rsid w:val="00B54BBC"/>
    <w:rsid w:val="00B550C6"/>
    <w:rsid w:val="00B551AF"/>
    <w:rsid w:val="00B55359"/>
    <w:rsid w:val="00B553F5"/>
    <w:rsid w:val="00B5586B"/>
    <w:rsid w:val="00B558AD"/>
    <w:rsid w:val="00B55984"/>
    <w:rsid w:val="00B55A66"/>
    <w:rsid w:val="00B55A9C"/>
    <w:rsid w:val="00B55B04"/>
    <w:rsid w:val="00B55B4C"/>
    <w:rsid w:val="00B55CE7"/>
    <w:rsid w:val="00B55E17"/>
    <w:rsid w:val="00B55EE2"/>
    <w:rsid w:val="00B55F17"/>
    <w:rsid w:val="00B56073"/>
    <w:rsid w:val="00B560DF"/>
    <w:rsid w:val="00B56137"/>
    <w:rsid w:val="00B56261"/>
    <w:rsid w:val="00B563BE"/>
    <w:rsid w:val="00B5643E"/>
    <w:rsid w:val="00B56491"/>
    <w:rsid w:val="00B56529"/>
    <w:rsid w:val="00B56544"/>
    <w:rsid w:val="00B56597"/>
    <w:rsid w:val="00B56692"/>
    <w:rsid w:val="00B5674B"/>
    <w:rsid w:val="00B56B8F"/>
    <w:rsid w:val="00B56B90"/>
    <w:rsid w:val="00B56D96"/>
    <w:rsid w:val="00B56E2F"/>
    <w:rsid w:val="00B56E95"/>
    <w:rsid w:val="00B5703E"/>
    <w:rsid w:val="00B57208"/>
    <w:rsid w:val="00B573DA"/>
    <w:rsid w:val="00B57504"/>
    <w:rsid w:val="00B5761D"/>
    <w:rsid w:val="00B57766"/>
    <w:rsid w:val="00B577E1"/>
    <w:rsid w:val="00B57831"/>
    <w:rsid w:val="00B5786D"/>
    <w:rsid w:val="00B57886"/>
    <w:rsid w:val="00B578EA"/>
    <w:rsid w:val="00B57949"/>
    <w:rsid w:val="00B57A22"/>
    <w:rsid w:val="00B57A56"/>
    <w:rsid w:val="00B57B0C"/>
    <w:rsid w:val="00B57CD9"/>
    <w:rsid w:val="00B57DCE"/>
    <w:rsid w:val="00B57EAD"/>
    <w:rsid w:val="00B57F01"/>
    <w:rsid w:val="00B600E9"/>
    <w:rsid w:val="00B60213"/>
    <w:rsid w:val="00B603C0"/>
    <w:rsid w:val="00B606EC"/>
    <w:rsid w:val="00B607E3"/>
    <w:rsid w:val="00B608CF"/>
    <w:rsid w:val="00B6090D"/>
    <w:rsid w:val="00B609D0"/>
    <w:rsid w:val="00B60A64"/>
    <w:rsid w:val="00B60B5A"/>
    <w:rsid w:val="00B60C69"/>
    <w:rsid w:val="00B60D90"/>
    <w:rsid w:val="00B60E1E"/>
    <w:rsid w:val="00B60E61"/>
    <w:rsid w:val="00B61045"/>
    <w:rsid w:val="00B611C8"/>
    <w:rsid w:val="00B61229"/>
    <w:rsid w:val="00B612B0"/>
    <w:rsid w:val="00B61310"/>
    <w:rsid w:val="00B617CE"/>
    <w:rsid w:val="00B618DC"/>
    <w:rsid w:val="00B61990"/>
    <w:rsid w:val="00B619AF"/>
    <w:rsid w:val="00B61B9A"/>
    <w:rsid w:val="00B61E2E"/>
    <w:rsid w:val="00B61E53"/>
    <w:rsid w:val="00B61F39"/>
    <w:rsid w:val="00B61F3F"/>
    <w:rsid w:val="00B62123"/>
    <w:rsid w:val="00B621E6"/>
    <w:rsid w:val="00B625A8"/>
    <w:rsid w:val="00B625C9"/>
    <w:rsid w:val="00B626C5"/>
    <w:rsid w:val="00B627C8"/>
    <w:rsid w:val="00B627F7"/>
    <w:rsid w:val="00B629DA"/>
    <w:rsid w:val="00B62A00"/>
    <w:rsid w:val="00B62A06"/>
    <w:rsid w:val="00B62EB2"/>
    <w:rsid w:val="00B62EFA"/>
    <w:rsid w:val="00B62F08"/>
    <w:rsid w:val="00B62F6A"/>
    <w:rsid w:val="00B63031"/>
    <w:rsid w:val="00B63088"/>
    <w:rsid w:val="00B631E0"/>
    <w:rsid w:val="00B63354"/>
    <w:rsid w:val="00B633BA"/>
    <w:rsid w:val="00B63509"/>
    <w:rsid w:val="00B635E4"/>
    <w:rsid w:val="00B6364B"/>
    <w:rsid w:val="00B636A6"/>
    <w:rsid w:val="00B636C2"/>
    <w:rsid w:val="00B63704"/>
    <w:rsid w:val="00B637FD"/>
    <w:rsid w:val="00B63831"/>
    <w:rsid w:val="00B638E4"/>
    <w:rsid w:val="00B639C7"/>
    <w:rsid w:val="00B63A35"/>
    <w:rsid w:val="00B63B86"/>
    <w:rsid w:val="00B63E62"/>
    <w:rsid w:val="00B64095"/>
    <w:rsid w:val="00B64310"/>
    <w:rsid w:val="00B64384"/>
    <w:rsid w:val="00B64780"/>
    <w:rsid w:val="00B64A96"/>
    <w:rsid w:val="00B64AB3"/>
    <w:rsid w:val="00B64ACB"/>
    <w:rsid w:val="00B64D6C"/>
    <w:rsid w:val="00B64DEE"/>
    <w:rsid w:val="00B64E49"/>
    <w:rsid w:val="00B64F27"/>
    <w:rsid w:val="00B64F89"/>
    <w:rsid w:val="00B64FC8"/>
    <w:rsid w:val="00B6519F"/>
    <w:rsid w:val="00B65215"/>
    <w:rsid w:val="00B65347"/>
    <w:rsid w:val="00B65780"/>
    <w:rsid w:val="00B65882"/>
    <w:rsid w:val="00B658B8"/>
    <w:rsid w:val="00B65919"/>
    <w:rsid w:val="00B6598D"/>
    <w:rsid w:val="00B65AC7"/>
    <w:rsid w:val="00B65BA5"/>
    <w:rsid w:val="00B65BF3"/>
    <w:rsid w:val="00B65C4A"/>
    <w:rsid w:val="00B65DB8"/>
    <w:rsid w:val="00B65DC7"/>
    <w:rsid w:val="00B65DE1"/>
    <w:rsid w:val="00B65E3B"/>
    <w:rsid w:val="00B65EFE"/>
    <w:rsid w:val="00B661D7"/>
    <w:rsid w:val="00B66217"/>
    <w:rsid w:val="00B663BA"/>
    <w:rsid w:val="00B665CD"/>
    <w:rsid w:val="00B665FC"/>
    <w:rsid w:val="00B6666C"/>
    <w:rsid w:val="00B666D4"/>
    <w:rsid w:val="00B66783"/>
    <w:rsid w:val="00B667B4"/>
    <w:rsid w:val="00B6697E"/>
    <w:rsid w:val="00B669C4"/>
    <w:rsid w:val="00B66AA9"/>
    <w:rsid w:val="00B66BD5"/>
    <w:rsid w:val="00B66C63"/>
    <w:rsid w:val="00B66C64"/>
    <w:rsid w:val="00B66C6D"/>
    <w:rsid w:val="00B66D73"/>
    <w:rsid w:val="00B67219"/>
    <w:rsid w:val="00B67361"/>
    <w:rsid w:val="00B6749A"/>
    <w:rsid w:val="00B676EC"/>
    <w:rsid w:val="00B6771E"/>
    <w:rsid w:val="00B6775B"/>
    <w:rsid w:val="00B677E2"/>
    <w:rsid w:val="00B679B8"/>
    <w:rsid w:val="00B67A7C"/>
    <w:rsid w:val="00B67ADC"/>
    <w:rsid w:val="00B67CED"/>
    <w:rsid w:val="00B67E63"/>
    <w:rsid w:val="00B700A6"/>
    <w:rsid w:val="00B70192"/>
    <w:rsid w:val="00B703B4"/>
    <w:rsid w:val="00B703EC"/>
    <w:rsid w:val="00B703EE"/>
    <w:rsid w:val="00B70451"/>
    <w:rsid w:val="00B70556"/>
    <w:rsid w:val="00B7056D"/>
    <w:rsid w:val="00B705FA"/>
    <w:rsid w:val="00B70649"/>
    <w:rsid w:val="00B70767"/>
    <w:rsid w:val="00B7095C"/>
    <w:rsid w:val="00B70A33"/>
    <w:rsid w:val="00B70B29"/>
    <w:rsid w:val="00B70C9D"/>
    <w:rsid w:val="00B70D0F"/>
    <w:rsid w:val="00B70FE4"/>
    <w:rsid w:val="00B70FF8"/>
    <w:rsid w:val="00B7118D"/>
    <w:rsid w:val="00B7124D"/>
    <w:rsid w:val="00B7126F"/>
    <w:rsid w:val="00B714CC"/>
    <w:rsid w:val="00B71529"/>
    <w:rsid w:val="00B7157E"/>
    <w:rsid w:val="00B7158B"/>
    <w:rsid w:val="00B715B4"/>
    <w:rsid w:val="00B71655"/>
    <w:rsid w:val="00B716CB"/>
    <w:rsid w:val="00B716D4"/>
    <w:rsid w:val="00B71D18"/>
    <w:rsid w:val="00B71DC1"/>
    <w:rsid w:val="00B71E55"/>
    <w:rsid w:val="00B71EFB"/>
    <w:rsid w:val="00B71F6E"/>
    <w:rsid w:val="00B720C5"/>
    <w:rsid w:val="00B720CA"/>
    <w:rsid w:val="00B720DC"/>
    <w:rsid w:val="00B72137"/>
    <w:rsid w:val="00B72212"/>
    <w:rsid w:val="00B72216"/>
    <w:rsid w:val="00B72374"/>
    <w:rsid w:val="00B72401"/>
    <w:rsid w:val="00B72598"/>
    <w:rsid w:val="00B726F2"/>
    <w:rsid w:val="00B72731"/>
    <w:rsid w:val="00B727B7"/>
    <w:rsid w:val="00B729DD"/>
    <w:rsid w:val="00B72A7A"/>
    <w:rsid w:val="00B72ABC"/>
    <w:rsid w:val="00B72AF0"/>
    <w:rsid w:val="00B72B5E"/>
    <w:rsid w:val="00B72BBE"/>
    <w:rsid w:val="00B72BEA"/>
    <w:rsid w:val="00B72D86"/>
    <w:rsid w:val="00B72DC4"/>
    <w:rsid w:val="00B72E5B"/>
    <w:rsid w:val="00B730AB"/>
    <w:rsid w:val="00B7313B"/>
    <w:rsid w:val="00B731A3"/>
    <w:rsid w:val="00B73271"/>
    <w:rsid w:val="00B73282"/>
    <w:rsid w:val="00B73336"/>
    <w:rsid w:val="00B73570"/>
    <w:rsid w:val="00B73645"/>
    <w:rsid w:val="00B736AE"/>
    <w:rsid w:val="00B73776"/>
    <w:rsid w:val="00B73798"/>
    <w:rsid w:val="00B737EB"/>
    <w:rsid w:val="00B738B8"/>
    <w:rsid w:val="00B73A40"/>
    <w:rsid w:val="00B73A58"/>
    <w:rsid w:val="00B73A5E"/>
    <w:rsid w:val="00B73A82"/>
    <w:rsid w:val="00B73B29"/>
    <w:rsid w:val="00B73B4F"/>
    <w:rsid w:val="00B73C0E"/>
    <w:rsid w:val="00B73C22"/>
    <w:rsid w:val="00B73D0D"/>
    <w:rsid w:val="00B73DE4"/>
    <w:rsid w:val="00B73F79"/>
    <w:rsid w:val="00B7412D"/>
    <w:rsid w:val="00B74184"/>
    <w:rsid w:val="00B7432E"/>
    <w:rsid w:val="00B74418"/>
    <w:rsid w:val="00B74516"/>
    <w:rsid w:val="00B7453F"/>
    <w:rsid w:val="00B74595"/>
    <w:rsid w:val="00B7478A"/>
    <w:rsid w:val="00B74794"/>
    <w:rsid w:val="00B748AF"/>
    <w:rsid w:val="00B74981"/>
    <w:rsid w:val="00B74B15"/>
    <w:rsid w:val="00B74B7F"/>
    <w:rsid w:val="00B74C10"/>
    <w:rsid w:val="00B74C88"/>
    <w:rsid w:val="00B74D0B"/>
    <w:rsid w:val="00B74DF2"/>
    <w:rsid w:val="00B74FCC"/>
    <w:rsid w:val="00B75086"/>
    <w:rsid w:val="00B751C7"/>
    <w:rsid w:val="00B75567"/>
    <w:rsid w:val="00B75A1C"/>
    <w:rsid w:val="00B75ACD"/>
    <w:rsid w:val="00B75E77"/>
    <w:rsid w:val="00B7629B"/>
    <w:rsid w:val="00B762ED"/>
    <w:rsid w:val="00B76365"/>
    <w:rsid w:val="00B763E7"/>
    <w:rsid w:val="00B76437"/>
    <w:rsid w:val="00B76491"/>
    <w:rsid w:val="00B765AC"/>
    <w:rsid w:val="00B76630"/>
    <w:rsid w:val="00B766F5"/>
    <w:rsid w:val="00B767DC"/>
    <w:rsid w:val="00B76977"/>
    <w:rsid w:val="00B76ADC"/>
    <w:rsid w:val="00B76AFF"/>
    <w:rsid w:val="00B76B21"/>
    <w:rsid w:val="00B76BAB"/>
    <w:rsid w:val="00B76F72"/>
    <w:rsid w:val="00B76FC9"/>
    <w:rsid w:val="00B77036"/>
    <w:rsid w:val="00B773FC"/>
    <w:rsid w:val="00B7749D"/>
    <w:rsid w:val="00B7750A"/>
    <w:rsid w:val="00B77562"/>
    <w:rsid w:val="00B775EE"/>
    <w:rsid w:val="00B77731"/>
    <w:rsid w:val="00B777BC"/>
    <w:rsid w:val="00B77967"/>
    <w:rsid w:val="00B77AD4"/>
    <w:rsid w:val="00B77B9E"/>
    <w:rsid w:val="00B77BA5"/>
    <w:rsid w:val="00B77D44"/>
    <w:rsid w:val="00B77E38"/>
    <w:rsid w:val="00B77EAF"/>
    <w:rsid w:val="00B77EE2"/>
    <w:rsid w:val="00B77EF6"/>
    <w:rsid w:val="00B8014F"/>
    <w:rsid w:val="00B80217"/>
    <w:rsid w:val="00B802F8"/>
    <w:rsid w:val="00B80309"/>
    <w:rsid w:val="00B80496"/>
    <w:rsid w:val="00B80592"/>
    <w:rsid w:val="00B80776"/>
    <w:rsid w:val="00B808A1"/>
    <w:rsid w:val="00B80A82"/>
    <w:rsid w:val="00B80AA4"/>
    <w:rsid w:val="00B80B70"/>
    <w:rsid w:val="00B80BFD"/>
    <w:rsid w:val="00B80C99"/>
    <w:rsid w:val="00B80CBC"/>
    <w:rsid w:val="00B80DF9"/>
    <w:rsid w:val="00B80ED6"/>
    <w:rsid w:val="00B80F7F"/>
    <w:rsid w:val="00B8120E"/>
    <w:rsid w:val="00B81218"/>
    <w:rsid w:val="00B8124F"/>
    <w:rsid w:val="00B81437"/>
    <w:rsid w:val="00B8158A"/>
    <w:rsid w:val="00B815AB"/>
    <w:rsid w:val="00B81655"/>
    <w:rsid w:val="00B816D9"/>
    <w:rsid w:val="00B81760"/>
    <w:rsid w:val="00B817F6"/>
    <w:rsid w:val="00B81961"/>
    <w:rsid w:val="00B81979"/>
    <w:rsid w:val="00B819A4"/>
    <w:rsid w:val="00B81DDF"/>
    <w:rsid w:val="00B81E9B"/>
    <w:rsid w:val="00B81EB5"/>
    <w:rsid w:val="00B81F78"/>
    <w:rsid w:val="00B820B3"/>
    <w:rsid w:val="00B82179"/>
    <w:rsid w:val="00B82205"/>
    <w:rsid w:val="00B82206"/>
    <w:rsid w:val="00B822FA"/>
    <w:rsid w:val="00B825B7"/>
    <w:rsid w:val="00B826FC"/>
    <w:rsid w:val="00B827BC"/>
    <w:rsid w:val="00B82875"/>
    <w:rsid w:val="00B8288E"/>
    <w:rsid w:val="00B82A7F"/>
    <w:rsid w:val="00B82AA2"/>
    <w:rsid w:val="00B82BFE"/>
    <w:rsid w:val="00B82CC2"/>
    <w:rsid w:val="00B82EF7"/>
    <w:rsid w:val="00B82F85"/>
    <w:rsid w:val="00B834C1"/>
    <w:rsid w:val="00B83566"/>
    <w:rsid w:val="00B8358B"/>
    <w:rsid w:val="00B83593"/>
    <w:rsid w:val="00B83658"/>
    <w:rsid w:val="00B83860"/>
    <w:rsid w:val="00B839F8"/>
    <w:rsid w:val="00B83A21"/>
    <w:rsid w:val="00B83AA4"/>
    <w:rsid w:val="00B83B40"/>
    <w:rsid w:val="00B83C20"/>
    <w:rsid w:val="00B83C8D"/>
    <w:rsid w:val="00B83D5E"/>
    <w:rsid w:val="00B83F85"/>
    <w:rsid w:val="00B83FA8"/>
    <w:rsid w:val="00B84013"/>
    <w:rsid w:val="00B84072"/>
    <w:rsid w:val="00B8415D"/>
    <w:rsid w:val="00B8420D"/>
    <w:rsid w:val="00B8445C"/>
    <w:rsid w:val="00B844EC"/>
    <w:rsid w:val="00B8469E"/>
    <w:rsid w:val="00B8479E"/>
    <w:rsid w:val="00B848D0"/>
    <w:rsid w:val="00B848ED"/>
    <w:rsid w:val="00B84997"/>
    <w:rsid w:val="00B849B3"/>
    <w:rsid w:val="00B84A04"/>
    <w:rsid w:val="00B84A27"/>
    <w:rsid w:val="00B84B20"/>
    <w:rsid w:val="00B84C49"/>
    <w:rsid w:val="00B84CAF"/>
    <w:rsid w:val="00B84DAC"/>
    <w:rsid w:val="00B84ECE"/>
    <w:rsid w:val="00B8515D"/>
    <w:rsid w:val="00B851A6"/>
    <w:rsid w:val="00B85292"/>
    <w:rsid w:val="00B85639"/>
    <w:rsid w:val="00B85695"/>
    <w:rsid w:val="00B856AD"/>
    <w:rsid w:val="00B856F6"/>
    <w:rsid w:val="00B856FC"/>
    <w:rsid w:val="00B85719"/>
    <w:rsid w:val="00B8572D"/>
    <w:rsid w:val="00B85806"/>
    <w:rsid w:val="00B8590F"/>
    <w:rsid w:val="00B85AF6"/>
    <w:rsid w:val="00B85BFA"/>
    <w:rsid w:val="00B85CF5"/>
    <w:rsid w:val="00B85D9C"/>
    <w:rsid w:val="00B85FEA"/>
    <w:rsid w:val="00B860F3"/>
    <w:rsid w:val="00B86244"/>
    <w:rsid w:val="00B86335"/>
    <w:rsid w:val="00B8633F"/>
    <w:rsid w:val="00B863CE"/>
    <w:rsid w:val="00B864D9"/>
    <w:rsid w:val="00B864F1"/>
    <w:rsid w:val="00B86681"/>
    <w:rsid w:val="00B8681B"/>
    <w:rsid w:val="00B869EE"/>
    <w:rsid w:val="00B86C14"/>
    <w:rsid w:val="00B86C59"/>
    <w:rsid w:val="00B86C7A"/>
    <w:rsid w:val="00B86EEB"/>
    <w:rsid w:val="00B8703C"/>
    <w:rsid w:val="00B872BF"/>
    <w:rsid w:val="00B87457"/>
    <w:rsid w:val="00B87479"/>
    <w:rsid w:val="00B87927"/>
    <w:rsid w:val="00B87928"/>
    <w:rsid w:val="00B8797E"/>
    <w:rsid w:val="00B87A2D"/>
    <w:rsid w:val="00B87A38"/>
    <w:rsid w:val="00B87B6D"/>
    <w:rsid w:val="00B87C9F"/>
    <w:rsid w:val="00B87CE5"/>
    <w:rsid w:val="00B87F91"/>
    <w:rsid w:val="00B87FC7"/>
    <w:rsid w:val="00B900FB"/>
    <w:rsid w:val="00B902C0"/>
    <w:rsid w:val="00B90312"/>
    <w:rsid w:val="00B9031E"/>
    <w:rsid w:val="00B90606"/>
    <w:rsid w:val="00B90689"/>
    <w:rsid w:val="00B90808"/>
    <w:rsid w:val="00B9082A"/>
    <w:rsid w:val="00B90900"/>
    <w:rsid w:val="00B90952"/>
    <w:rsid w:val="00B90BD2"/>
    <w:rsid w:val="00B90C20"/>
    <w:rsid w:val="00B90C9D"/>
    <w:rsid w:val="00B90F97"/>
    <w:rsid w:val="00B9111F"/>
    <w:rsid w:val="00B9132B"/>
    <w:rsid w:val="00B9141E"/>
    <w:rsid w:val="00B91555"/>
    <w:rsid w:val="00B91AAA"/>
    <w:rsid w:val="00B91AE8"/>
    <w:rsid w:val="00B91E6F"/>
    <w:rsid w:val="00B91E92"/>
    <w:rsid w:val="00B91EC3"/>
    <w:rsid w:val="00B91F4F"/>
    <w:rsid w:val="00B91F52"/>
    <w:rsid w:val="00B92094"/>
    <w:rsid w:val="00B9209F"/>
    <w:rsid w:val="00B9239A"/>
    <w:rsid w:val="00B9239F"/>
    <w:rsid w:val="00B92432"/>
    <w:rsid w:val="00B925E9"/>
    <w:rsid w:val="00B92703"/>
    <w:rsid w:val="00B9272C"/>
    <w:rsid w:val="00B927B1"/>
    <w:rsid w:val="00B9281C"/>
    <w:rsid w:val="00B92A18"/>
    <w:rsid w:val="00B92A3A"/>
    <w:rsid w:val="00B92AA1"/>
    <w:rsid w:val="00B92BDC"/>
    <w:rsid w:val="00B92C7A"/>
    <w:rsid w:val="00B92CE6"/>
    <w:rsid w:val="00B92E73"/>
    <w:rsid w:val="00B92E7B"/>
    <w:rsid w:val="00B92E92"/>
    <w:rsid w:val="00B92F76"/>
    <w:rsid w:val="00B930FE"/>
    <w:rsid w:val="00B931D8"/>
    <w:rsid w:val="00B9324B"/>
    <w:rsid w:val="00B9327B"/>
    <w:rsid w:val="00B932E0"/>
    <w:rsid w:val="00B932FC"/>
    <w:rsid w:val="00B93369"/>
    <w:rsid w:val="00B933E0"/>
    <w:rsid w:val="00B93510"/>
    <w:rsid w:val="00B93616"/>
    <w:rsid w:val="00B93633"/>
    <w:rsid w:val="00B93653"/>
    <w:rsid w:val="00B936DA"/>
    <w:rsid w:val="00B937F8"/>
    <w:rsid w:val="00B9391F"/>
    <w:rsid w:val="00B93C8F"/>
    <w:rsid w:val="00B93D43"/>
    <w:rsid w:val="00B9411E"/>
    <w:rsid w:val="00B9415B"/>
    <w:rsid w:val="00B9419C"/>
    <w:rsid w:val="00B9419F"/>
    <w:rsid w:val="00B9420D"/>
    <w:rsid w:val="00B9439E"/>
    <w:rsid w:val="00B9454F"/>
    <w:rsid w:val="00B94571"/>
    <w:rsid w:val="00B947F0"/>
    <w:rsid w:val="00B947F4"/>
    <w:rsid w:val="00B94893"/>
    <w:rsid w:val="00B94934"/>
    <w:rsid w:val="00B94B6E"/>
    <w:rsid w:val="00B94C26"/>
    <w:rsid w:val="00B94C28"/>
    <w:rsid w:val="00B94CB5"/>
    <w:rsid w:val="00B94E68"/>
    <w:rsid w:val="00B94F19"/>
    <w:rsid w:val="00B94FFF"/>
    <w:rsid w:val="00B95075"/>
    <w:rsid w:val="00B9516F"/>
    <w:rsid w:val="00B95202"/>
    <w:rsid w:val="00B95258"/>
    <w:rsid w:val="00B952B6"/>
    <w:rsid w:val="00B952ED"/>
    <w:rsid w:val="00B95563"/>
    <w:rsid w:val="00B956E4"/>
    <w:rsid w:val="00B9574D"/>
    <w:rsid w:val="00B958D8"/>
    <w:rsid w:val="00B95950"/>
    <w:rsid w:val="00B95963"/>
    <w:rsid w:val="00B95A04"/>
    <w:rsid w:val="00B95ABA"/>
    <w:rsid w:val="00B95B9D"/>
    <w:rsid w:val="00B95BC1"/>
    <w:rsid w:val="00B95BC9"/>
    <w:rsid w:val="00B95C75"/>
    <w:rsid w:val="00B95CA0"/>
    <w:rsid w:val="00B95CCA"/>
    <w:rsid w:val="00B95D18"/>
    <w:rsid w:val="00B95FE7"/>
    <w:rsid w:val="00B9601B"/>
    <w:rsid w:val="00B96116"/>
    <w:rsid w:val="00B96141"/>
    <w:rsid w:val="00B96147"/>
    <w:rsid w:val="00B964BB"/>
    <w:rsid w:val="00B9659F"/>
    <w:rsid w:val="00B965B2"/>
    <w:rsid w:val="00B965E8"/>
    <w:rsid w:val="00B9689D"/>
    <w:rsid w:val="00B96AD0"/>
    <w:rsid w:val="00B96B10"/>
    <w:rsid w:val="00B96B57"/>
    <w:rsid w:val="00B96CFB"/>
    <w:rsid w:val="00B96D48"/>
    <w:rsid w:val="00B96FB0"/>
    <w:rsid w:val="00B971F1"/>
    <w:rsid w:val="00B97308"/>
    <w:rsid w:val="00B97314"/>
    <w:rsid w:val="00B973DD"/>
    <w:rsid w:val="00B975D8"/>
    <w:rsid w:val="00B97710"/>
    <w:rsid w:val="00B979CD"/>
    <w:rsid w:val="00B97A3A"/>
    <w:rsid w:val="00B97B3D"/>
    <w:rsid w:val="00B97BD1"/>
    <w:rsid w:val="00B97C22"/>
    <w:rsid w:val="00B97C5C"/>
    <w:rsid w:val="00B97CC2"/>
    <w:rsid w:val="00B97D3C"/>
    <w:rsid w:val="00B97D8D"/>
    <w:rsid w:val="00B97E16"/>
    <w:rsid w:val="00BA001D"/>
    <w:rsid w:val="00BA00DC"/>
    <w:rsid w:val="00BA024E"/>
    <w:rsid w:val="00BA0314"/>
    <w:rsid w:val="00BA04EA"/>
    <w:rsid w:val="00BA0533"/>
    <w:rsid w:val="00BA059B"/>
    <w:rsid w:val="00BA0622"/>
    <w:rsid w:val="00BA0727"/>
    <w:rsid w:val="00BA0828"/>
    <w:rsid w:val="00BA089D"/>
    <w:rsid w:val="00BA0925"/>
    <w:rsid w:val="00BA09EA"/>
    <w:rsid w:val="00BA0A09"/>
    <w:rsid w:val="00BA0A68"/>
    <w:rsid w:val="00BA0B88"/>
    <w:rsid w:val="00BA0BF4"/>
    <w:rsid w:val="00BA101E"/>
    <w:rsid w:val="00BA110F"/>
    <w:rsid w:val="00BA1287"/>
    <w:rsid w:val="00BA1532"/>
    <w:rsid w:val="00BA1580"/>
    <w:rsid w:val="00BA1875"/>
    <w:rsid w:val="00BA1887"/>
    <w:rsid w:val="00BA1932"/>
    <w:rsid w:val="00BA1BFE"/>
    <w:rsid w:val="00BA1D09"/>
    <w:rsid w:val="00BA1D31"/>
    <w:rsid w:val="00BA1DA2"/>
    <w:rsid w:val="00BA1DC1"/>
    <w:rsid w:val="00BA1ECD"/>
    <w:rsid w:val="00BA1F81"/>
    <w:rsid w:val="00BA1F9C"/>
    <w:rsid w:val="00BA1FCB"/>
    <w:rsid w:val="00BA20FE"/>
    <w:rsid w:val="00BA228E"/>
    <w:rsid w:val="00BA22E5"/>
    <w:rsid w:val="00BA23F1"/>
    <w:rsid w:val="00BA25C9"/>
    <w:rsid w:val="00BA263A"/>
    <w:rsid w:val="00BA2672"/>
    <w:rsid w:val="00BA26FF"/>
    <w:rsid w:val="00BA2823"/>
    <w:rsid w:val="00BA2885"/>
    <w:rsid w:val="00BA29E4"/>
    <w:rsid w:val="00BA2AFC"/>
    <w:rsid w:val="00BA2B6C"/>
    <w:rsid w:val="00BA2CC4"/>
    <w:rsid w:val="00BA2D24"/>
    <w:rsid w:val="00BA2D45"/>
    <w:rsid w:val="00BA2DE6"/>
    <w:rsid w:val="00BA2F14"/>
    <w:rsid w:val="00BA30A2"/>
    <w:rsid w:val="00BA317E"/>
    <w:rsid w:val="00BA3218"/>
    <w:rsid w:val="00BA33DB"/>
    <w:rsid w:val="00BA358C"/>
    <w:rsid w:val="00BA35C0"/>
    <w:rsid w:val="00BA361B"/>
    <w:rsid w:val="00BA3894"/>
    <w:rsid w:val="00BA39CA"/>
    <w:rsid w:val="00BA39F4"/>
    <w:rsid w:val="00BA3A7A"/>
    <w:rsid w:val="00BA3A8C"/>
    <w:rsid w:val="00BA3B0F"/>
    <w:rsid w:val="00BA3D78"/>
    <w:rsid w:val="00BA3D7F"/>
    <w:rsid w:val="00BA404C"/>
    <w:rsid w:val="00BA40F5"/>
    <w:rsid w:val="00BA4113"/>
    <w:rsid w:val="00BA4352"/>
    <w:rsid w:val="00BA4482"/>
    <w:rsid w:val="00BA448A"/>
    <w:rsid w:val="00BA44AD"/>
    <w:rsid w:val="00BA459A"/>
    <w:rsid w:val="00BA4690"/>
    <w:rsid w:val="00BA46AC"/>
    <w:rsid w:val="00BA4716"/>
    <w:rsid w:val="00BA4833"/>
    <w:rsid w:val="00BA498A"/>
    <w:rsid w:val="00BA49A2"/>
    <w:rsid w:val="00BA4A60"/>
    <w:rsid w:val="00BA4A70"/>
    <w:rsid w:val="00BA4A71"/>
    <w:rsid w:val="00BA4CC0"/>
    <w:rsid w:val="00BA4D05"/>
    <w:rsid w:val="00BA4D12"/>
    <w:rsid w:val="00BA4D46"/>
    <w:rsid w:val="00BA4D62"/>
    <w:rsid w:val="00BA4ED5"/>
    <w:rsid w:val="00BA4F11"/>
    <w:rsid w:val="00BA5006"/>
    <w:rsid w:val="00BA50A6"/>
    <w:rsid w:val="00BA50F6"/>
    <w:rsid w:val="00BA51BE"/>
    <w:rsid w:val="00BA5218"/>
    <w:rsid w:val="00BA5472"/>
    <w:rsid w:val="00BA548F"/>
    <w:rsid w:val="00BA54A1"/>
    <w:rsid w:val="00BA5544"/>
    <w:rsid w:val="00BA57EB"/>
    <w:rsid w:val="00BA57FE"/>
    <w:rsid w:val="00BA5B28"/>
    <w:rsid w:val="00BA5B8C"/>
    <w:rsid w:val="00BA5CDC"/>
    <w:rsid w:val="00BA5D41"/>
    <w:rsid w:val="00BA5E37"/>
    <w:rsid w:val="00BA5F36"/>
    <w:rsid w:val="00BA5F4B"/>
    <w:rsid w:val="00BA5FF0"/>
    <w:rsid w:val="00BA60A1"/>
    <w:rsid w:val="00BA60CF"/>
    <w:rsid w:val="00BA6152"/>
    <w:rsid w:val="00BA615F"/>
    <w:rsid w:val="00BA6173"/>
    <w:rsid w:val="00BA61A0"/>
    <w:rsid w:val="00BA6322"/>
    <w:rsid w:val="00BA6334"/>
    <w:rsid w:val="00BA6377"/>
    <w:rsid w:val="00BA6384"/>
    <w:rsid w:val="00BA63EA"/>
    <w:rsid w:val="00BA64F8"/>
    <w:rsid w:val="00BA6549"/>
    <w:rsid w:val="00BA6591"/>
    <w:rsid w:val="00BA660D"/>
    <w:rsid w:val="00BA6A22"/>
    <w:rsid w:val="00BA6A39"/>
    <w:rsid w:val="00BA6AF6"/>
    <w:rsid w:val="00BA6B27"/>
    <w:rsid w:val="00BA6B5C"/>
    <w:rsid w:val="00BA6B73"/>
    <w:rsid w:val="00BA6CD0"/>
    <w:rsid w:val="00BA6E61"/>
    <w:rsid w:val="00BA6ED1"/>
    <w:rsid w:val="00BA6F17"/>
    <w:rsid w:val="00BA709D"/>
    <w:rsid w:val="00BA7114"/>
    <w:rsid w:val="00BA719C"/>
    <w:rsid w:val="00BA7273"/>
    <w:rsid w:val="00BA734D"/>
    <w:rsid w:val="00BA7377"/>
    <w:rsid w:val="00BA7522"/>
    <w:rsid w:val="00BA7680"/>
    <w:rsid w:val="00BA76BA"/>
    <w:rsid w:val="00BA780B"/>
    <w:rsid w:val="00BA783E"/>
    <w:rsid w:val="00BA78DB"/>
    <w:rsid w:val="00BA79A7"/>
    <w:rsid w:val="00BA7A67"/>
    <w:rsid w:val="00BA7D76"/>
    <w:rsid w:val="00BA7DA1"/>
    <w:rsid w:val="00BA7DC5"/>
    <w:rsid w:val="00BA7EB7"/>
    <w:rsid w:val="00BB0099"/>
    <w:rsid w:val="00BB00F3"/>
    <w:rsid w:val="00BB0117"/>
    <w:rsid w:val="00BB0168"/>
    <w:rsid w:val="00BB0171"/>
    <w:rsid w:val="00BB01DE"/>
    <w:rsid w:val="00BB026D"/>
    <w:rsid w:val="00BB030B"/>
    <w:rsid w:val="00BB03CB"/>
    <w:rsid w:val="00BB04BA"/>
    <w:rsid w:val="00BB054B"/>
    <w:rsid w:val="00BB05F2"/>
    <w:rsid w:val="00BB0621"/>
    <w:rsid w:val="00BB067B"/>
    <w:rsid w:val="00BB0742"/>
    <w:rsid w:val="00BB0C33"/>
    <w:rsid w:val="00BB0C98"/>
    <w:rsid w:val="00BB0D3C"/>
    <w:rsid w:val="00BB0F26"/>
    <w:rsid w:val="00BB105E"/>
    <w:rsid w:val="00BB1122"/>
    <w:rsid w:val="00BB117E"/>
    <w:rsid w:val="00BB14D2"/>
    <w:rsid w:val="00BB1556"/>
    <w:rsid w:val="00BB173D"/>
    <w:rsid w:val="00BB1778"/>
    <w:rsid w:val="00BB17A3"/>
    <w:rsid w:val="00BB191F"/>
    <w:rsid w:val="00BB1999"/>
    <w:rsid w:val="00BB19CE"/>
    <w:rsid w:val="00BB1C7C"/>
    <w:rsid w:val="00BB1D18"/>
    <w:rsid w:val="00BB1D8E"/>
    <w:rsid w:val="00BB1F77"/>
    <w:rsid w:val="00BB2330"/>
    <w:rsid w:val="00BB2405"/>
    <w:rsid w:val="00BB2425"/>
    <w:rsid w:val="00BB24F6"/>
    <w:rsid w:val="00BB2666"/>
    <w:rsid w:val="00BB2B51"/>
    <w:rsid w:val="00BB2BD3"/>
    <w:rsid w:val="00BB2D41"/>
    <w:rsid w:val="00BB2E3B"/>
    <w:rsid w:val="00BB2E45"/>
    <w:rsid w:val="00BB2FB1"/>
    <w:rsid w:val="00BB3082"/>
    <w:rsid w:val="00BB3157"/>
    <w:rsid w:val="00BB31DD"/>
    <w:rsid w:val="00BB33CD"/>
    <w:rsid w:val="00BB3426"/>
    <w:rsid w:val="00BB34FF"/>
    <w:rsid w:val="00BB35BB"/>
    <w:rsid w:val="00BB3795"/>
    <w:rsid w:val="00BB39A6"/>
    <w:rsid w:val="00BB39C5"/>
    <w:rsid w:val="00BB3A53"/>
    <w:rsid w:val="00BB3AE6"/>
    <w:rsid w:val="00BB3CBE"/>
    <w:rsid w:val="00BB4081"/>
    <w:rsid w:val="00BB423F"/>
    <w:rsid w:val="00BB42F4"/>
    <w:rsid w:val="00BB43B5"/>
    <w:rsid w:val="00BB441B"/>
    <w:rsid w:val="00BB4467"/>
    <w:rsid w:val="00BB44D8"/>
    <w:rsid w:val="00BB4806"/>
    <w:rsid w:val="00BB48C8"/>
    <w:rsid w:val="00BB4999"/>
    <w:rsid w:val="00BB49CD"/>
    <w:rsid w:val="00BB4A59"/>
    <w:rsid w:val="00BB4AB9"/>
    <w:rsid w:val="00BB4B8D"/>
    <w:rsid w:val="00BB4C5E"/>
    <w:rsid w:val="00BB4DA1"/>
    <w:rsid w:val="00BB4E8A"/>
    <w:rsid w:val="00BB4ED7"/>
    <w:rsid w:val="00BB4FE6"/>
    <w:rsid w:val="00BB5057"/>
    <w:rsid w:val="00BB508C"/>
    <w:rsid w:val="00BB5121"/>
    <w:rsid w:val="00BB533C"/>
    <w:rsid w:val="00BB5389"/>
    <w:rsid w:val="00BB5472"/>
    <w:rsid w:val="00BB5543"/>
    <w:rsid w:val="00BB5934"/>
    <w:rsid w:val="00BB5B0F"/>
    <w:rsid w:val="00BB5BE2"/>
    <w:rsid w:val="00BB5CE2"/>
    <w:rsid w:val="00BB5CE9"/>
    <w:rsid w:val="00BB5CF5"/>
    <w:rsid w:val="00BB5E71"/>
    <w:rsid w:val="00BB6094"/>
    <w:rsid w:val="00BB60A6"/>
    <w:rsid w:val="00BB60F0"/>
    <w:rsid w:val="00BB630E"/>
    <w:rsid w:val="00BB6385"/>
    <w:rsid w:val="00BB64AF"/>
    <w:rsid w:val="00BB64C1"/>
    <w:rsid w:val="00BB64FA"/>
    <w:rsid w:val="00BB654B"/>
    <w:rsid w:val="00BB65BB"/>
    <w:rsid w:val="00BB65E2"/>
    <w:rsid w:val="00BB65ED"/>
    <w:rsid w:val="00BB6634"/>
    <w:rsid w:val="00BB699B"/>
    <w:rsid w:val="00BB69B0"/>
    <w:rsid w:val="00BB6C04"/>
    <w:rsid w:val="00BB6C1D"/>
    <w:rsid w:val="00BB6C7C"/>
    <w:rsid w:val="00BB6CC0"/>
    <w:rsid w:val="00BB6F74"/>
    <w:rsid w:val="00BB6FB9"/>
    <w:rsid w:val="00BB70A4"/>
    <w:rsid w:val="00BB70AD"/>
    <w:rsid w:val="00BB72DB"/>
    <w:rsid w:val="00BB75AF"/>
    <w:rsid w:val="00BB769A"/>
    <w:rsid w:val="00BB778E"/>
    <w:rsid w:val="00BB77D4"/>
    <w:rsid w:val="00BB7829"/>
    <w:rsid w:val="00BB7A10"/>
    <w:rsid w:val="00BB7AE4"/>
    <w:rsid w:val="00BB7B69"/>
    <w:rsid w:val="00BB7B6F"/>
    <w:rsid w:val="00BB7C57"/>
    <w:rsid w:val="00BB7DA4"/>
    <w:rsid w:val="00BB7DAD"/>
    <w:rsid w:val="00BB7E7F"/>
    <w:rsid w:val="00BB7EE1"/>
    <w:rsid w:val="00BC0198"/>
    <w:rsid w:val="00BC0442"/>
    <w:rsid w:val="00BC049F"/>
    <w:rsid w:val="00BC066C"/>
    <w:rsid w:val="00BC075A"/>
    <w:rsid w:val="00BC0937"/>
    <w:rsid w:val="00BC0A1C"/>
    <w:rsid w:val="00BC0A4A"/>
    <w:rsid w:val="00BC0A72"/>
    <w:rsid w:val="00BC0A79"/>
    <w:rsid w:val="00BC0AB5"/>
    <w:rsid w:val="00BC0AF8"/>
    <w:rsid w:val="00BC0BB6"/>
    <w:rsid w:val="00BC0BD1"/>
    <w:rsid w:val="00BC0CF5"/>
    <w:rsid w:val="00BC0D48"/>
    <w:rsid w:val="00BC0EC3"/>
    <w:rsid w:val="00BC0EEC"/>
    <w:rsid w:val="00BC1071"/>
    <w:rsid w:val="00BC13BA"/>
    <w:rsid w:val="00BC145F"/>
    <w:rsid w:val="00BC157A"/>
    <w:rsid w:val="00BC1657"/>
    <w:rsid w:val="00BC16AE"/>
    <w:rsid w:val="00BC16D1"/>
    <w:rsid w:val="00BC18D0"/>
    <w:rsid w:val="00BC1981"/>
    <w:rsid w:val="00BC1AD4"/>
    <w:rsid w:val="00BC1C71"/>
    <w:rsid w:val="00BC1E5D"/>
    <w:rsid w:val="00BC1ED3"/>
    <w:rsid w:val="00BC1F2A"/>
    <w:rsid w:val="00BC1FA9"/>
    <w:rsid w:val="00BC2006"/>
    <w:rsid w:val="00BC2041"/>
    <w:rsid w:val="00BC2042"/>
    <w:rsid w:val="00BC21E8"/>
    <w:rsid w:val="00BC22A5"/>
    <w:rsid w:val="00BC24BC"/>
    <w:rsid w:val="00BC25D6"/>
    <w:rsid w:val="00BC2784"/>
    <w:rsid w:val="00BC288D"/>
    <w:rsid w:val="00BC28A8"/>
    <w:rsid w:val="00BC2A0B"/>
    <w:rsid w:val="00BC2B2F"/>
    <w:rsid w:val="00BC2D92"/>
    <w:rsid w:val="00BC2F41"/>
    <w:rsid w:val="00BC3152"/>
    <w:rsid w:val="00BC3415"/>
    <w:rsid w:val="00BC3458"/>
    <w:rsid w:val="00BC35D2"/>
    <w:rsid w:val="00BC3615"/>
    <w:rsid w:val="00BC3634"/>
    <w:rsid w:val="00BC380D"/>
    <w:rsid w:val="00BC38F7"/>
    <w:rsid w:val="00BC39DE"/>
    <w:rsid w:val="00BC3EA8"/>
    <w:rsid w:val="00BC4032"/>
    <w:rsid w:val="00BC43C1"/>
    <w:rsid w:val="00BC43DC"/>
    <w:rsid w:val="00BC444E"/>
    <w:rsid w:val="00BC4459"/>
    <w:rsid w:val="00BC4524"/>
    <w:rsid w:val="00BC4634"/>
    <w:rsid w:val="00BC48DC"/>
    <w:rsid w:val="00BC49E1"/>
    <w:rsid w:val="00BC4C57"/>
    <w:rsid w:val="00BC4D67"/>
    <w:rsid w:val="00BC4E5F"/>
    <w:rsid w:val="00BC4F69"/>
    <w:rsid w:val="00BC509F"/>
    <w:rsid w:val="00BC512D"/>
    <w:rsid w:val="00BC52B3"/>
    <w:rsid w:val="00BC5436"/>
    <w:rsid w:val="00BC55BB"/>
    <w:rsid w:val="00BC561D"/>
    <w:rsid w:val="00BC56C1"/>
    <w:rsid w:val="00BC57D2"/>
    <w:rsid w:val="00BC5A86"/>
    <w:rsid w:val="00BC5AB1"/>
    <w:rsid w:val="00BC5D66"/>
    <w:rsid w:val="00BC5F4F"/>
    <w:rsid w:val="00BC6014"/>
    <w:rsid w:val="00BC6127"/>
    <w:rsid w:val="00BC63C9"/>
    <w:rsid w:val="00BC64AA"/>
    <w:rsid w:val="00BC64C3"/>
    <w:rsid w:val="00BC66FC"/>
    <w:rsid w:val="00BC675D"/>
    <w:rsid w:val="00BC6785"/>
    <w:rsid w:val="00BC6792"/>
    <w:rsid w:val="00BC68EE"/>
    <w:rsid w:val="00BC69B3"/>
    <w:rsid w:val="00BC69F5"/>
    <w:rsid w:val="00BC6A2A"/>
    <w:rsid w:val="00BC6AC4"/>
    <w:rsid w:val="00BC6ACE"/>
    <w:rsid w:val="00BC6CD0"/>
    <w:rsid w:val="00BC6E69"/>
    <w:rsid w:val="00BC6E6A"/>
    <w:rsid w:val="00BC6E8B"/>
    <w:rsid w:val="00BC700F"/>
    <w:rsid w:val="00BC7140"/>
    <w:rsid w:val="00BC72D9"/>
    <w:rsid w:val="00BC735C"/>
    <w:rsid w:val="00BC7562"/>
    <w:rsid w:val="00BC774A"/>
    <w:rsid w:val="00BC79E8"/>
    <w:rsid w:val="00BC7AB6"/>
    <w:rsid w:val="00BC7B09"/>
    <w:rsid w:val="00BC7C0D"/>
    <w:rsid w:val="00BD007F"/>
    <w:rsid w:val="00BD00D1"/>
    <w:rsid w:val="00BD01C1"/>
    <w:rsid w:val="00BD021F"/>
    <w:rsid w:val="00BD0253"/>
    <w:rsid w:val="00BD0434"/>
    <w:rsid w:val="00BD0488"/>
    <w:rsid w:val="00BD065F"/>
    <w:rsid w:val="00BD0763"/>
    <w:rsid w:val="00BD084D"/>
    <w:rsid w:val="00BD097B"/>
    <w:rsid w:val="00BD09C3"/>
    <w:rsid w:val="00BD0AC0"/>
    <w:rsid w:val="00BD0B2A"/>
    <w:rsid w:val="00BD0F68"/>
    <w:rsid w:val="00BD0FE8"/>
    <w:rsid w:val="00BD10AA"/>
    <w:rsid w:val="00BD11A8"/>
    <w:rsid w:val="00BD1354"/>
    <w:rsid w:val="00BD13DC"/>
    <w:rsid w:val="00BD13FC"/>
    <w:rsid w:val="00BD16AE"/>
    <w:rsid w:val="00BD177F"/>
    <w:rsid w:val="00BD183B"/>
    <w:rsid w:val="00BD184D"/>
    <w:rsid w:val="00BD1B58"/>
    <w:rsid w:val="00BD1C87"/>
    <w:rsid w:val="00BD1EB4"/>
    <w:rsid w:val="00BD1FD0"/>
    <w:rsid w:val="00BD2184"/>
    <w:rsid w:val="00BD2234"/>
    <w:rsid w:val="00BD22AA"/>
    <w:rsid w:val="00BD2327"/>
    <w:rsid w:val="00BD241A"/>
    <w:rsid w:val="00BD24B3"/>
    <w:rsid w:val="00BD24D3"/>
    <w:rsid w:val="00BD2551"/>
    <w:rsid w:val="00BD26AA"/>
    <w:rsid w:val="00BD289E"/>
    <w:rsid w:val="00BD28C9"/>
    <w:rsid w:val="00BD2B03"/>
    <w:rsid w:val="00BD2B12"/>
    <w:rsid w:val="00BD2B43"/>
    <w:rsid w:val="00BD2C92"/>
    <w:rsid w:val="00BD2D70"/>
    <w:rsid w:val="00BD2DA5"/>
    <w:rsid w:val="00BD2E5A"/>
    <w:rsid w:val="00BD30BB"/>
    <w:rsid w:val="00BD318F"/>
    <w:rsid w:val="00BD31CA"/>
    <w:rsid w:val="00BD326C"/>
    <w:rsid w:val="00BD32CB"/>
    <w:rsid w:val="00BD3421"/>
    <w:rsid w:val="00BD36DD"/>
    <w:rsid w:val="00BD36F9"/>
    <w:rsid w:val="00BD377B"/>
    <w:rsid w:val="00BD396B"/>
    <w:rsid w:val="00BD3BE7"/>
    <w:rsid w:val="00BD3C6C"/>
    <w:rsid w:val="00BD3DBE"/>
    <w:rsid w:val="00BD3E14"/>
    <w:rsid w:val="00BD3F39"/>
    <w:rsid w:val="00BD3FA1"/>
    <w:rsid w:val="00BD4095"/>
    <w:rsid w:val="00BD4510"/>
    <w:rsid w:val="00BD454F"/>
    <w:rsid w:val="00BD468F"/>
    <w:rsid w:val="00BD46FD"/>
    <w:rsid w:val="00BD48C2"/>
    <w:rsid w:val="00BD4949"/>
    <w:rsid w:val="00BD49D4"/>
    <w:rsid w:val="00BD4A06"/>
    <w:rsid w:val="00BD4B68"/>
    <w:rsid w:val="00BD4BFD"/>
    <w:rsid w:val="00BD4E43"/>
    <w:rsid w:val="00BD4EB1"/>
    <w:rsid w:val="00BD4F67"/>
    <w:rsid w:val="00BD506F"/>
    <w:rsid w:val="00BD5356"/>
    <w:rsid w:val="00BD549D"/>
    <w:rsid w:val="00BD54A7"/>
    <w:rsid w:val="00BD54C1"/>
    <w:rsid w:val="00BD5556"/>
    <w:rsid w:val="00BD555B"/>
    <w:rsid w:val="00BD57F7"/>
    <w:rsid w:val="00BD5819"/>
    <w:rsid w:val="00BD58CF"/>
    <w:rsid w:val="00BD5B57"/>
    <w:rsid w:val="00BD5B5E"/>
    <w:rsid w:val="00BD5BBA"/>
    <w:rsid w:val="00BD5CEF"/>
    <w:rsid w:val="00BD5CF2"/>
    <w:rsid w:val="00BD5F68"/>
    <w:rsid w:val="00BD5FBF"/>
    <w:rsid w:val="00BD5FEF"/>
    <w:rsid w:val="00BD6152"/>
    <w:rsid w:val="00BD6232"/>
    <w:rsid w:val="00BD625D"/>
    <w:rsid w:val="00BD62A2"/>
    <w:rsid w:val="00BD6359"/>
    <w:rsid w:val="00BD659D"/>
    <w:rsid w:val="00BD66AD"/>
    <w:rsid w:val="00BD67FD"/>
    <w:rsid w:val="00BD6912"/>
    <w:rsid w:val="00BD698C"/>
    <w:rsid w:val="00BD69C0"/>
    <w:rsid w:val="00BD6AD5"/>
    <w:rsid w:val="00BD6B75"/>
    <w:rsid w:val="00BD6D64"/>
    <w:rsid w:val="00BD6E99"/>
    <w:rsid w:val="00BD6F35"/>
    <w:rsid w:val="00BD6F9A"/>
    <w:rsid w:val="00BD70A9"/>
    <w:rsid w:val="00BD7187"/>
    <w:rsid w:val="00BD7201"/>
    <w:rsid w:val="00BD7231"/>
    <w:rsid w:val="00BD7347"/>
    <w:rsid w:val="00BD7376"/>
    <w:rsid w:val="00BD7494"/>
    <w:rsid w:val="00BD7636"/>
    <w:rsid w:val="00BD778B"/>
    <w:rsid w:val="00BD7833"/>
    <w:rsid w:val="00BD7855"/>
    <w:rsid w:val="00BD7886"/>
    <w:rsid w:val="00BD7925"/>
    <w:rsid w:val="00BD7980"/>
    <w:rsid w:val="00BD79B8"/>
    <w:rsid w:val="00BD7AB2"/>
    <w:rsid w:val="00BD7AF4"/>
    <w:rsid w:val="00BD7C9E"/>
    <w:rsid w:val="00BD7E47"/>
    <w:rsid w:val="00BD7EA9"/>
    <w:rsid w:val="00BD7EBC"/>
    <w:rsid w:val="00BD7F7B"/>
    <w:rsid w:val="00BE00F9"/>
    <w:rsid w:val="00BE015B"/>
    <w:rsid w:val="00BE01F3"/>
    <w:rsid w:val="00BE0334"/>
    <w:rsid w:val="00BE04A8"/>
    <w:rsid w:val="00BE04FB"/>
    <w:rsid w:val="00BE0567"/>
    <w:rsid w:val="00BE05C1"/>
    <w:rsid w:val="00BE05CC"/>
    <w:rsid w:val="00BE063B"/>
    <w:rsid w:val="00BE0644"/>
    <w:rsid w:val="00BE069E"/>
    <w:rsid w:val="00BE06D6"/>
    <w:rsid w:val="00BE09A1"/>
    <w:rsid w:val="00BE09E4"/>
    <w:rsid w:val="00BE0CFE"/>
    <w:rsid w:val="00BE0D0C"/>
    <w:rsid w:val="00BE0F67"/>
    <w:rsid w:val="00BE0F6F"/>
    <w:rsid w:val="00BE11A4"/>
    <w:rsid w:val="00BE12E4"/>
    <w:rsid w:val="00BE1334"/>
    <w:rsid w:val="00BE14EC"/>
    <w:rsid w:val="00BE16D9"/>
    <w:rsid w:val="00BE1792"/>
    <w:rsid w:val="00BE17BB"/>
    <w:rsid w:val="00BE17FC"/>
    <w:rsid w:val="00BE1889"/>
    <w:rsid w:val="00BE18DC"/>
    <w:rsid w:val="00BE1A1B"/>
    <w:rsid w:val="00BE1BBF"/>
    <w:rsid w:val="00BE1CFD"/>
    <w:rsid w:val="00BE1EB4"/>
    <w:rsid w:val="00BE1F85"/>
    <w:rsid w:val="00BE1FA7"/>
    <w:rsid w:val="00BE1FD5"/>
    <w:rsid w:val="00BE2097"/>
    <w:rsid w:val="00BE20F8"/>
    <w:rsid w:val="00BE2217"/>
    <w:rsid w:val="00BE24AE"/>
    <w:rsid w:val="00BE250B"/>
    <w:rsid w:val="00BE256B"/>
    <w:rsid w:val="00BE279B"/>
    <w:rsid w:val="00BE285E"/>
    <w:rsid w:val="00BE2992"/>
    <w:rsid w:val="00BE29DE"/>
    <w:rsid w:val="00BE2A28"/>
    <w:rsid w:val="00BE2A57"/>
    <w:rsid w:val="00BE2B56"/>
    <w:rsid w:val="00BE2B6A"/>
    <w:rsid w:val="00BE2BA8"/>
    <w:rsid w:val="00BE2C0C"/>
    <w:rsid w:val="00BE2CF9"/>
    <w:rsid w:val="00BE2D36"/>
    <w:rsid w:val="00BE2F38"/>
    <w:rsid w:val="00BE30C7"/>
    <w:rsid w:val="00BE30F8"/>
    <w:rsid w:val="00BE3211"/>
    <w:rsid w:val="00BE32FF"/>
    <w:rsid w:val="00BE334C"/>
    <w:rsid w:val="00BE33D2"/>
    <w:rsid w:val="00BE33D8"/>
    <w:rsid w:val="00BE33F0"/>
    <w:rsid w:val="00BE3437"/>
    <w:rsid w:val="00BE363F"/>
    <w:rsid w:val="00BE370D"/>
    <w:rsid w:val="00BE3886"/>
    <w:rsid w:val="00BE38B3"/>
    <w:rsid w:val="00BE3C2B"/>
    <w:rsid w:val="00BE3DAB"/>
    <w:rsid w:val="00BE3DFE"/>
    <w:rsid w:val="00BE3E0D"/>
    <w:rsid w:val="00BE3E33"/>
    <w:rsid w:val="00BE3EF4"/>
    <w:rsid w:val="00BE3F50"/>
    <w:rsid w:val="00BE4728"/>
    <w:rsid w:val="00BE48AA"/>
    <w:rsid w:val="00BE4923"/>
    <w:rsid w:val="00BE49AA"/>
    <w:rsid w:val="00BE4A1B"/>
    <w:rsid w:val="00BE4A87"/>
    <w:rsid w:val="00BE4D41"/>
    <w:rsid w:val="00BE4D73"/>
    <w:rsid w:val="00BE4DB9"/>
    <w:rsid w:val="00BE4DFB"/>
    <w:rsid w:val="00BE4E27"/>
    <w:rsid w:val="00BE4E64"/>
    <w:rsid w:val="00BE4EF1"/>
    <w:rsid w:val="00BE4F29"/>
    <w:rsid w:val="00BE4FC4"/>
    <w:rsid w:val="00BE4FF1"/>
    <w:rsid w:val="00BE5056"/>
    <w:rsid w:val="00BE51D2"/>
    <w:rsid w:val="00BE5316"/>
    <w:rsid w:val="00BE5322"/>
    <w:rsid w:val="00BE534A"/>
    <w:rsid w:val="00BE542C"/>
    <w:rsid w:val="00BE54A7"/>
    <w:rsid w:val="00BE550C"/>
    <w:rsid w:val="00BE558A"/>
    <w:rsid w:val="00BE5631"/>
    <w:rsid w:val="00BE5656"/>
    <w:rsid w:val="00BE5722"/>
    <w:rsid w:val="00BE59AF"/>
    <w:rsid w:val="00BE5C3E"/>
    <w:rsid w:val="00BE5DB5"/>
    <w:rsid w:val="00BE5DC0"/>
    <w:rsid w:val="00BE610B"/>
    <w:rsid w:val="00BE6195"/>
    <w:rsid w:val="00BE62CA"/>
    <w:rsid w:val="00BE632B"/>
    <w:rsid w:val="00BE6542"/>
    <w:rsid w:val="00BE658D"/>
    <w:rsid w:val="00BE65BB"/>
    <w:rsid w:val="00BE660E"/>
    <w:rsid w:val="00BE6624"/>
    <w:rsid w:val="00BE69D0"/>
    <w:rsid w:val="00BE69F0"/>
    <w:rsid w:val="00BE6A06"/>
    <w:rsid w:val="00BE6B6A"/>
    <w:rsid w:val="00BE6C43"/>
    <w:rsid w:val="00BE6DF1"/>
    <w:rsid w:val="00BE6EE9"/>
    <w:rsid w:val="00BE6FAA"/>
    <w:rsid w:val="00BE6FE4"/>
    <w:rsid w:val="00BE7063"/>
    <w:rsid w:val="00BE71D6"/>
    <w:rsid w:val="00BE724F"/>
    <w:rsid w:val="00BE741E"/>
    <w:rsid w:val="00BE7723"/>
    <w:rsid w:val="00BE7866"/>
    <w:rsid w:val="00BE78A1"/>
    <w:rsid w:val="00BE78EE"/>
    <w:rsid w:val="00BE7AD9"/>
    <w:rsid w:val="00BE7AEC"/>
    <w:rsid w:val="00BE7C63"/>
    <w:rsid w:val="00BE7D3C"/>
    <w:rsid w:val="00BE7E33"/>
    <w:rsid w:val="00BE7EA5"/>
    <w:rsid w:val="00BE7FF6"/>
    <w:rsid w:val="00BF0054"/>
    <w:rsid w:val="00BF01CF"/>
    <w:rsid w:val="00BF0443"/>
    <w:rsid w:val="00BF0830"/>
    <w:rsid w:val="00BF08AC"/>
    <w:rsid w:val="00BF0967"/>
    <w:rsid w:val="00BF0AAE"/>
    <w:rsid w:val="00BF0C64"/>
    <w:rsid w:val="00BF0D55"/>
    <w:rsid w:val="00BF0E2C"/>
    <w:rsid w:val="00BF0E49"/>
    <w:rsid w:val="00BF0EE1"/>
    <w:rsid w:val="00BF1011"/>
    <w:rsid w:val="00BF101F"/>
    <w:rsid w:val="00BF1179"/>
    <w:rsid w:val="00BF11F0"/>
    <w:rsid w:val="00BF153D"/>
    <w:rsid w:val="00BF15C7"/>
    <w:rsid w:val="00BF15F8"/>
    <w:rsid w:val="00BF16AA"/>
    <w:rsid w:val="00BF1871"/>
    <w:rsid w:val="00BF1961"/>
    <w:rsid w:val="00BF1993"/>
    <w:rsid w:val="00BF1B45"/>
    <w:rsid w:val="00BF1E3E"/>
    <w:rsid w:val="00BF1E65"/>
    <w:rsid w:val="00BF1F95"/>
    <w:rsid w:val="00BF1F97"/>
    <w:rsid w:val="00BF1FC5"/>
    <w:rsid w:val="00BF20D8"/>
    <w:rsid w:val="00BF20F2"/>
    <w:rsid w:val="00BF22FC"/>
    <w:rsid w:val="00BF234C"/>
    <w:rsid w:val="00BF251C"/>
    <w:rsid w:val="00BF2546"/>
    <w:rsid w:val="00BF2599"/>
    <w:rsid w:val="00BF2657"/>
    <w:rsid w:val="00BF269C"/>
    <w:rsid w:val="00BF26B7"/>
    <w:rsid w:val="00BF26E4"/>
    <w:rsid w:val="00BF27BD"/>
    <w:rsid w:val="00BF282B"/>
    <w:rsid w:val="00BF28A4"/>
    <w:rsid w:val="00BF28C0"/>
    <w:rsid w:val="00BF28D4"/>
    <w:rsid w:val="00BF293C"/>
    <w:rsid w:val="00BF29B6"/>
    <w:rsid w:val="00BF2A07"/>
    <w:rsid w:val="00BF2C22"/>
    <w:rsid w:val="00BF2E28"/>
    <w:rsid w:val="00BF30C7"/>
    <w:rsid w:val="00BF30E1"/>
    <w:rsid w:val="00BF31D6"/>
    <w:rsid w:val="00BF31FB"/>
    <w:rsid w:val="00BF3301"/>
    <w:rsid w:val="00BF332A"/>
    <w:rsid w:val="00BF35DF"/>
    <w:rsid w:val="00BF3B12"/>
    <w:rsid w:val="00BF3C30"/>
    <w:rsid w:val="00BF3C4E"/>
    <w:rsid w:val="00BF3C6F"/>
    <w:rsid w:val="00BF3FA4"/>
    <w:rsid w:val="00BF407B"/>
    <w:rsid w:val="00BF40AE"/>
    <w:rsid w:val="00BF41D4"/>
    <w:rsid w:val="00BF41D7"/>
    <w:rsid w:val="00BF41FA"/>
    <w:rsid w:val="00BF429B"/>
    <w:rsid w:val="00BF42B7"/>
    <w:rsid w:val="00BF42E2"/>
    <w:rsid w:val="00BF4471"/>
    <w:rsid w:val="00BF450E"/>
    <w:rsid w:val="00BF471D"/>
    <w:rsid w:val="00BF479F"/>
    <w:rsid w:val="00BF49D9"/>
    <w:rsid w:val="00BF4FED"/>
    <w:rsid w:val="00BF513E"/>
    <w:rsid w:val="00BF5211"/>
    <w:rsid w:val="00BF525B"/>
    <w:rsid w:val="00BF5330"/>
    <w:rsid w:val="00BF562E"/>
    <w:rsid w:val="00BF56F2"/>
    <w:rsid w:val="00BF5883"/>
    <w:rsid w:val="00BF59B2"/>
    <w:rsid w:val="00BF59B3"/>
    <w:rsid w:val="00BF5A6A"/>
    <w:rsid w:val="00BF5B78"/>
    <w:rsid w:val="00BF5D79"/>
    <w:rsid w:val="00BF5DCC"/>
    <w:rsid w:val="00BF5DEC"/>
    <w:rsid w:val="00BF5EE4"/>
    <w:rsid w:val="00BF5F23"/>
    <w:rsid w:val="00BF5FC4"/>
    <w:rsid w:val="00BF6037"/>
    <w:rsid w:val="00BF60E4"/>
    <w:rsid w:val="00BF62FC"/>
    <w:rsid w:val="00BF6390"/>
    <w:rsid w:val="00BF63BE"/>
    <w:rsid w:val="00BF6638"/>
    <w:rsid w:val="00BF6755"/>
    <w:rsid w:val="00BF691E"/>
    <w:rsid w:val="00BF6B3F"/>
    <w:rsid w:val="00BF6B66"/>
    <w:rsid w:val="00BF6B81"/>
    <w:rsid w:val="00BF6C00"/>
    <w:rsid w:val="00BF6C7B"/>
    <w:rsid w:val="00BF7167"/>
    <w:rsid w:val="00BF71BA"/>
    <w:rsid w:val="00BF7348"/>
    <w:rsid w:val="00BF737B"/>
    <w:rsid w:val="00BF74FF"/>
    <w:rsid w:val="00BF7545"/>
    <w:rsid w:val="00BF7728"/>
    <w:rsid w:val="00BF7805"/>
    <w:rsid w:val="00BF788F"/>
    <w:rsid w:val="00BF792D"/>
    <w:rsid w:val="00BF7938"/>
    <w:rsid w:val="00BF793A"/>
    <w:rsid w:val="00BF7AE7"/>
    <w:rsid w:val="00BF7B75"/>
    <w:rsid w:val="00BF7D29"/>
    <w:rsid w:val="00BF7DD1"/>
    <w:rsid w:val="00BF7E3E"/>
    <w:rsid w:val="00BF7F2E"/>
    <w:rsid w:val="00C000D9"/>
    <w:rsid w:val="00C00206"/>
    <w:rsid w:val="00C002A5"/>
    <w:rsid w:val="00C00331"/>
    <w:rsid w:val="00C00368"/>
    <w:rsid w:val="00C003AE"/>
    <w:rsid w:val="00C0055D"/>
    <w:rsid w:val="00C00678"/>
    <w:rsid w:val="00C006CD"/>
    <w:rsid w:val="00C00958"/>
    <w:rsid w:val="00C00993"/>
    <w:rsid w:val="00C00B46"/>
    <w:rsid w:val="00C00FDE"/>
    <w:rsid w:val="00C00FF4"/>
    <w:rsid w:val="00C0100E"/>
    <w:rsid w:val="00C01109"/>
    <w:rsid w:val="00C0110E"/>
    <w:rsid w:val="00C01302"/>
    <w:rsid w:val="00C01359"/>
    <w:rsid w:val="00C0137A"/>
    <w:rsid w:val="00C01483"/>
    <w:rsid w:val="00C0170B"/>
    <w:rsid w:val="00C0192C"/>
    <w:rsid w:val="00C01AB2"/>
    <w:rsid w:val="00C01BB2"/>
    <w:rsid w:val="00C01DA1"/>
    <w:rsid w:val="00C01DCC"/>
    <w:rsid w:val="00C01E2D"/>
    <w:rsid w:val="00C01FF4"/>
    <w:rsid w:val="00C020C5"/>
    <w:rsid w:val="00C02132"/>
    <w:rsid w:val="00C02256"/>
    <w:rsid w:val="00C02286"/>
    <w:rsid w:val="00C02310"/>
    <w:rsid w:val="00C0236E"/>
    <w:rsid w:val="00C0241D"/>
    <w:rsid w:val="00C0248A"/>
    <w:rsid w:val="00C02649"/>
    <w:rsid w:val="00C026E2"/>
    <w:rsid w:val="00C02745"/>
    <w:rsid w:val="00C02845"/>
    <w:rsid w:val="00C028CC"/>
    <w:rsid w:val="00C02A29"/>
    <w:rsid w:val="00C02A39"/>
    <w:rsid w:val="00C02A94"/>
    <w:rsid w:val="00C02D68"/>
    <w:rsid w:val="00C02DC6"/>
    <w:rsid w:val="00C02FD0"/>
    <w:rsid w:val="00C0354B"/>
    <w:rsid w:val="00C03612"/>
    <w:rsid w:val="00C0384A"/>
    <w:rsid w:val="00C039D0"/>
    <w:rsid w:val="00C03AD5"/>
    <w:rsid w:val="00C03B2B"/>
    <w:rsid w:val="00C03D9C"/>
    <w:rsid w:val="00C03EC8"/>
    <w:rsid w:val="00C03F09"/>
    <w:rsid w:val="00C040D2"/>
    <w:rsid w:val="00C044C0"/>
    <w:rsid w:val="00C04624"/>
    <w:rsid w:val="00C046D7"/>
    <w:rsid w:val="00C046FD"/>
    <w:rsid w:val="00C0481E"/>
    <w:rsid w:val="00C048F5"/>
    <w:rsid w:val="00C04915"/>
    <w:rsid w:val="00C04950"/>
    <w:rsid w:val="00C04B13"/>
    <w:rsid w:val="00C04B3F"/>
    <w:rsid w:val="00C04E0C"/>
    <w:rsid w:val="00C04E82"/>
    <w:rsid w:val="00C04EC5"/>
    <w:rsid w:val="00C04EE2"/>
    <w:rsid w:val="00C04F14"/>
    <w:rsid w:val="00C04F2D"/>
    <w:rsid w:val="00C04F96"/>
    <w:rsid w:val="00C0500B"/>
    <w:rsid w:val="00C05060"/>
    <w:rsid w:val="00C0511F"/>
    <w:rsid w:val="00C05196"/>
    <w:rsid w:val="00C051BB"/>
    <w:rsid w:val="00C05288"/>
    <w:rsid w:val="00C052D9"/>
    <w:rsid w:val="00C05327"/>
    <w:rsid w:val="00C05456"/>
    <w:rsid w:val="00C055B9"/>
    <w:rsid w:val="00C0579C"/>
    <w:rsid w:val="00C0598C"/>
    <w:rsid w:val="00C05A47"/>
    <w:rsid w:val="00C05AE1"/>
    <w:rsid w:val="00C05DE9"/>
    <w:rsid w:val="00C05F91"/>
    <w:rsid w:val="00C06010"/>
    <w:rsid w:val="00C060EB"/>
    <w:rsid w:val="00C06118"/>
    <w:rsid w:val="00C063ED"/>
    <w:rsid w:val="00C06637"/>
    <w:rsid w:val="00C06762"/>
    <w:rsid w:val="00C067D6"/>
    <w:rsid w:val="00C069AE"/>
    <w:rsid w:val="00C06A21"/>
    <w:rsid w:val="00C06B43"/>
    <w:rsid w:val="00C06D6E"/>
    <w:rsid w:val="00C06DF9"/>
    <w:rsid w:val="00C06E2D"/>
    <w:rsid w:val="00C07004"/>
    <w:rsid w:val="00C07073"/>
    <w:rsid w:val="00C07160"/>
    <w:rsid w:val="00C0718F"/>
    <w:rsid w:val="00C071FB"/>
    <w:rsid w:val="00C0721C"/>
    <w:rsid w:val="00C073DD"/>
    <w:rsid w:val="00C07469"/>
    <w:rsid w:val="00C074C1"/>
    <w:rsid w:val="00C07607"/>
    <w:rsid w:val="00C07669"/>
    <w:rsid w:val="00C0766C"/>
    <w:rsid w:val="00C0772B"/>
    <w:rsid w:val="00C0778A"/>
    <w:rsid w:val="00C077A1"/>
    <w:rsid w:val="00C0789D"/>
    <w:rsid w:val="00C07912"/>
    <w:rsid w:val="00C07C09"/>
    <w:rsid w:val="00C07C29"/>
    <w:rsid w:val="00C07D14"/>
    <w:rsid w:val="00C07D81"/>
    <w:rsid w:val="00C07D90"/>
    <w:rsid w:val="00C07E95"/>
    <w:rsid w:val="00C07EC7"/>
    <w:rsid w:val="00C101A3"/>
    <w:rsid w:val="00C101D6"/>
    <w:rsid w:val="00C101E4"/>
    <w:rsid w:val="00C1026D"/>
    <w:rsid w:val="00C10430"/>
    <w:rsid w:val="00C1055C"/>
    <w:rsid w:val="00C105B6"/>
    <w:rsid w:val="00C107CA"/>
    <w:rsid w:val="00C10840"/>
    <w:rsid w:val="00C10859"/>
    <w:rsid w:val="00C10873"/>
    <w:rsid w:val="00C1090B"/>
    <w:rsid w:val="00C10A80"/>
    <w:rsid w:val="00C10A98"/>
    <w:rsid w:val="00C10BED"/>
    <w:rsid w:val="00C10BFC"/>
    <w:rsid w:val="00C10D5D"/>
    <w:rsid w:val="00C10D70"/>
    <w:rsid w:val="00C10DF4"/>
    <w:rsid w:val="00C10EE2"/>
    <w:rsid w:val="00C10F17"/>
    <w:rsid w:val="00C10F1E"/>
    <w:rsid w:val="00C10F93"/>
    <w:rsid w:val="00C11084"/>
    <w:rsid w:val="00C110B9"/>
    <w:rsid w:val="00C11119"/>
    <w:rsid w:val="00C11123"/>
    <w:rsid w:val="00C11137"/>
    <w:rsid w:val="00C11251"/>
    <w:rsid w:val="00C11397"/>
    <w:rsid w:val="00C113B9"/>
    <w:rsid w:val="00C1158C"/>
    <w:rsid w:val="00C115C4"/>
    <w:rsid w:val="00C1165C"/>
    <w:rsid w:val="00C11728"/>
    <w:rsid w:val="00C1179B"/>
    <w:rsid w:val="00C11841"/>
    <w:rsid w:val="00C118D0"/>
    <w:rsid w:val="00C1193A"/>
    <w:rsid w:val="00C11B37"/>
    <w:rsid w:val="00C11C8A"/>
    <w:rsid w:val="00C11C99"/>
    <w:rsid w:val="00C11D3F"/>
    <w:rsid w:val="00C11F65"/>
    <w:rsid w:val="00C1200D"/>
    <w:rsid w:val="00C12056"/>
    <w:rsid w:val="00C120BB"/>
    <w:rsid w:val="00C12178"/>
    <w:rsid w:val="00C12233"/>
    <w:rsid w:val="00C122A6"/>
    <w:rsid w:val="00C1249E"/>
    <w:rsid w:val="00C124DB"/>
    <w:rsid w:val="00C124EC"/>
    <w:rsid w:val="00C12759"/>
    <w:rsid w:val="00C1280E"/>
    <w:rsid w:val="00C12882"/>
    <w:rsid w:val="00C12887"/>
    <w:rsid w:val="00C12AF2"/>
    <w:rsid w:val="00C12BC7"/>
    <w:rsid w:val="00C12C1F"/>
    <w:rsid w:val="00C12CED"/>
    <w:rsid w:val="00C12DD9"/>
    <w:rsid w:val="00C1300C"/>
    <w:rsid w:val="00C1303E"/>
    <w:rsid w:val="00C1336E"/>
    <w:rsid w:val="00C13492"/>
    <w:rsid w:val="00C1365E"/>
    <w:rsid w:val="00C1384B"/>
    <w:rsid w:val="00C13854"/>
    <w:rsid w:val="00C138DF"/>
    <w:rsid w:val="00C13B2B"/>
    <w:rsid w:val="00C13B57"/>
    <w:rsid w:val="00C13B6C"/>
    <w:rsid w:val="00C13B78"/>
    <w:rsid w:val="00C13F87"/>
    <w:rsid w:val="00C141C5"/>
    <w:rsid w:val="00C14277"/>
    <w:rsid w:val="00C143C8"/>
    <w:rsid w:val="00C144FB"/>
    <w:rsid w:val="00C14523"/>
    <w:rsid w:val="00C14762"/>
    <w:rsid w:val="00C14853"/>
    <w:rsid w:val="00C148D2"/>
    <w:rsid w:val="00C1492F"/>
    <w:rsid w:val="00C14985"/>
    <w:rsid w:val="00C149FE"/>
    <w:rsid w:val="00C14A3F"/>
    <w:rsid w:val="00C14BC6"/>
    <w:rsid w:val="00C14D31"/>
    <w:rsid w:val="00C14DFD"/>
    <w:rsid w:val="00C14EC0"/>
    <w:rsid w:val="00C151D1"/>
    <w:rsid w:val="00C15225"/>
    <w:rsid w:val="00C15256"/>
    <w:rsid w:val="00C1529C"/>
    <w:rsid w:val="00C1547C"/>
    <w:rsid w:val="00C154D7"/>
    <w:rsid w:val="00C15680"/>
    <w:rsid w:val="00C156B9"/>
    <w:rsid w:val="00C1577D"/>
    <w:rsid w:val="00C15BD3"/>
    <w:rsid w:val="00C15BF5"/>
    <w:rsid w:val="00C15C9D"/>
    <w:rsid w:val="00C15CCB"/>
    <w:rsid w:val="00C15D32"/>
    <w:rsid w:val="00C160B3"/>
    <w:rsid w:val="00C1620F"/>
    <w:rsid w:val="00C16434"/>
    <w:rsid w:val="00C16541"/>
    <w:rsid w:val="00C1660F"/>
    <w:rsid w:val="00C16614"/>
    <w:rsid w:val="00C166A0"/>
    <w:rsid w:val="00C166AD"/>
    <w:rsid w:val="00C16776"/>
    <w:rsid w:val="00C167FC"/>
    <w:rsid w:val="00C16861"/>
    <w:rsid w:val="00C16950"/>
    <w:rsid w:val="00C16C48"/>
    <w:rsid w:val="00C16C59"/>
    <w:rsid w:val="00C17024"/>
    <w:rsid w:val="00C17156"/>
    <w:rsid w:val="00C17211"/>
    <w:rsid w:val="00C1728F"/>
    <w:rsid w:val="00C172B1"/>
    <w:rsid w:val="00C1733F"/>
    <w:rsid w:val="00C17375"/>
    <w:rsid w:val="00C1776A"/>
    <w:rsid w:val="00C177F3"/>
    <w:rsid w:val="00C17995"/>
    <w:rsid w:val="00C179FF"/>
    <w:rsid w:val="00C17B9C"/>
    <w:rsid w:val="00C17C9B"/>
    <w:rsid w:val="00C17D7E"/>
    <w:rsid w:val="00C17D88"/>
    <w:rsid w:val="00C17ED0"/>
    <w:rsid w:val="00C2002F"/>
    <w:rsid w:val="00C2028A"/>
    <w:rsid w:val="00C202B3"/>
    <w:rsid w:val="00C2043F"/>
    <w:rsid w:val="00C204A3"/>
    <w:rsid w:val="00C204E5"/>
    <w:rsid w:val="00C207EC"/>
    <w:rsid w:val="00C2085C"/>
    <w:rsid w:val="00C2092C"/>
    <w:rsid w:val="00C20AA0"/>
    <w:rsid w:val="00C20B9E"/>
    <w:rsid w:val="00C20D9B"/>
    <w:rsid w:val="00C2133B"/>
    <w:rsid w:val="00C213BF"/>
    <w:rsid w:val="00C2145A"/>
    <w:rsid w:val="00C2177C"/>
    <w:rsid w:val="00C2179E"/>
    <w:rsid w:val="00C217BB"/>
    <w:rsid w:val="00C217BE"/>
    <w:rsid w:val="00C217BF"/>
    <w:rsid w:val="00C21AEE"/>
    <w:rsid w:val="00C21CF0"/>
    <w:rsid w:val="00C21DF7"/>
    <w:rsid w:val="00C21E5B"/>
    <w:rsid w:val="00C21EAF"/>
    <w:rsid w:val="00C21EE0"/>
    <w:rsid w:val="00C21F7E"/>
    <w:rsid w:val="00C21FB6"/>
    <w:rsid w:val="00C220A7"/>
    <w:rsid w:val="00C22116"/>
    <w:rsid w:val="00C2211F"/>
    <w:rsid w:val="00C222A6"/>
    <w:rsid w:val="00C22359"/>
    <w:rsid w:val="00C2247D"/>
    <w:rsid w:val="00C2253E"/>
    <w:rsid w:val="00C226A9"/>
    <w:rsid w:val="00C22702"/>
    <w:rsid w:val="00C227CC"/>
    <w:rsid w:val="00C22C40"/>
    <w:rsid w:val="00C22D89"/>
    <w:rsid w:val="00C22FAE"/>
    <w:rsid w:val="00C2308A"/>
    <w:rsid w:val="00C233F2"/>
    <w:rsid w:val="00C235DD"/>
    <w:rsid w:val="00C23723"/>
    <w:rsid w:val="00C23779"/>
    <w:rsid w:val="00C2377E"/>
    <w:rsid w:val="00C2390F"/>
    <w:rsid w:val="00C2396B"/>
    <w:rsid w:val="00C2399D"/>
    <w:rsid w:val="00C23A6D"/>
    <w:rsid w:val="00C23B6F"/>
    <w:rsid w:val="00C23F8C"/>
    <w:rsid w:val="00C241EB"/>
    <w:rsid w:val="00C242C6"/>
    <w:rsid w:val="00C243D1"/>
    <w:rsid w:val="00C24422"/>
    <w:rsid w:val="00C2448C"/>
    <w:rsid w:val="00C244E0"/>
    <w:rsid w:val="00C244EC"/>
    <w:rsid w:val="00C245C6"/>
    <w:rsid w:val="00C247D9"/>
    <w:rsid w:val="00C2485C"/>
    <w:rsid w:val="00C24A09"/>
    <w:rsid w:val="00C24BEC"/>
    <w:rsid w:val="00C24C66"/>
    <w:rsid w:val="00C24ECF"/>
    <w:rsid w:val="00C2503C"/>
    <w:rsid w:val="00C25184"/>
    <w:rsid w:val="00C252B0"/>
    <w:rsid w:val="00C252F2"/>
    <w:rsid w:val="00C2568D"/>
    <w:rsid w:val="00C257BA"/>
    <w:rsid w:val="00C259EB"/>
    <w:rsid w:val="00C25A46"/>
    <w:rsid w:val="00C25B3D"/>
    <w:rsid w:val="00C25BD0"/>
    <w:rsid w:val="00C25D77"/>
    <w:rsid w:val="00C25E4A"/>
    <w:rsid w:val="00C2609A"/>
    <w:rsid w:val="00C26131"/>
    <w:rsid w:val="00C26304"/>
    <w:rsid w:val="00C26478"/>
    <w:rsid w:val="00C2647E"/>
    <w:rsid w:val="00C26582"/>
    <w:rsid w:val="00C26600"/>
    <w:rsid w:val="00C2676E"/>
    <w:rsid w:val="00C268F5"/>
    <w:rsid w:val="00C269BD"/>
    <w:rsid w:val="00C26A05"/>
    <w:rsid w:val="00C26A5B"/>
    <w:rsid w:val="00C26ADD"/>
    <w:rsid w:val="00C26BA5"/>
    <w:rsid w:val="00C26C7E"/>
    <w:rsid w:val="00C26CFD"/>
    <w:rsid w:val="00C26D74"/>
    <w:rsid w:val="00C26D83"/>
    <w:rsid w:val="00C26F9E"/>
    <w:rsid w:val="00C27025"/>
    <w:rsid w:val="00C27129"/>
    <w:rsid w:val="00C27179"/>
    <w:rsid w:val="00C272BA"/>
    <w:rsid w:val="00C27308"/>
    <w:rsid w:val="00C276CF"/>
    <w:rsid w:val="00C276EE"/>
    <w:rsid w:val="00C277B5"/>
    <w:rsid w:val="00C2795A"/>
    <w:rsid w:val="00C279B5"/>
    <w:rsid w:val="00C27A47"/>
    <w:rsid w:val="00C27B7C"/>
    <w:rsid w:val="00C27C74"/>
    <w:rsid w:val="00C27DDA"/>
    <w:rsid w:val="00C3002C"/>
    <w:rsid w:val="00C30056"/>
    <w:rsid w:val="00C30224"/>
    <w:rsid w:val="00C30297"/>
    <w:rsid w:val="00C30538"/>
    <w:rsid w:val="00C3059A"/>
    <w:rsid w:val="00C305C7"/>
    <w:rsid w:val="00C3063A"/>
    <w:rsid w:val="00C30796"/>
    <w:rsid w:val="00C30811"/>
    <w:rsid w:val="00C308AE"/>
    <w:rsid w:val="00C3093F"/>
    <w:rsid w:val="00C30977"/>
    <w:rsid w:val="00C309D8"/>
    <w:rsid w:val="00C30A4D"/>
    <w:rsid w:val="00C30B0F"/>
    <w:rsid w:val="00C30BFD"/>
    <w:rsid w:val="00C30C46"/>
    <w:rsid w:val="00C30C4A"/>
    <w:rsid w:val="00C30C62"/>
    <w:rsid w:val="00C30DEA"/>
    <w:rsid w:val="00C30E1F"/>
    <w:rsid w:val="00C30F68"/>
    <w:rsid w:val="00C31024"/>
    <w:rsid w:val="00C31183"/>
    <w:rsid w:val="00C311B4"/>
    <w:rsid w:val="00C31221"/>
    <w:rsid w:val="00C31353"/>
    <w:rsid w:val="00C313AA"/>
    <w:rsid w:val="00C313B4"/>
    <w:rsid w:val="00C31518"/>
    <w:rsid w:val="00C3166B"/>
    <w:rsid w:val="00C316A5"/>
    <w:rsid w:val="00C316BA"/>
    <w:rsid w:val="00C31CB2"/>
    <w:rsid w:val="00C31CC1"/>
    <w:rsid w:val="00C31E18"/>
    <w:rsid w:val="00C31EE5"/>
    <w:rsid w:val="00C31FC5"/>
    <w:rsid w:val="00C321F6"/>
    <w:rsid w:val="00C32254"/>
    <w:rsid w:val="00C3248E"/>
    <w:rsid w:val="00C32552"/>
    <w:rsid w:val="00C325D0"/>
    <w:rsid w:val="00C326FF"/>
    <w:rsid w:val="00C3289C"/>
    <w:rsid w:val="00C328C6"/>
    <w:rsid w:val="00C328E5"/>
    <w:rsid w:val="00C32A65"/>
    <w:rsid w:val="00C32C51"/>
    <w:rsid w:val="00C32D1E"/>
    <w:rsid w:val="00C32D49"/>
    <w:rsid w:val="00C32E1B"/>
    <w:rsid w:val="00C32E80"/>
    <w:rsid w:val="00C32EC4"/>
    <w:rsid w:val="00C32EDA"/>
    <w:rsid w:val="00C32F95"/>
    <w:rsid w:val="00C330C5"/>
    <w:rsid w:val="00C3315B"/>
    <w:rsid w:val="00C33170"/>
    <w:rsid w:val="00C3319D"/>
    <w:rsid w:val="00C331B1"/>
    <w:rsid w:val="00C33243"/>
    <w:rsid w:val="00C33285"/>
    <w:rsid w:val="00C332CE"/>
    <w:rsid w:val="00C33434"/>
    <w:rsid w:val="00C335F2"/>
    <w:rsid w:val="00C3365E"/>
    <w:rsid w:val="00C336F6"/>
    <w:rsid w:val="00C33721"/>
    <w:rsid w:val="00C33903"/>
    <w:rsid w:val="00C339EA"/>
    <w:rsid w:val="00C33AA6"/>
    <w:rsid w:val="00C33B1E"/>
    <w:rsid w:val="00C33C1F"/>
    <w:rsid w:val="00C33E80"/>
    <w:rsid w:val="00C33E92"/>
    <w:rsid w:val="00C33F1F"/>
    <w:rsid w:val="00C33FC6"/>
    <w:rsid w:val="00C33FD2"/>
    <w:rsid w:val="00C3401B"/>
    <w:rsid w:val="00C34023"/>
    <w:rsid w:val="00C34085"/>
    <w:rsid w:val="00C3419D"/>
    <w:rsid w:val="00C34495"/>
    <w:rsid w:val="00C344C9"/>
    <w:rsid w:val="00C34526"/>
    <w:rsid w:val="00C3458F"/>
    <w:rsid w:val="00C34604"/>
    <w:rsid w:val="00C34693"/>
    <w:rsid w:val="00C34868"/>
    <w:rsid w:val="00C3492B"/>
    <w:rsid w:val="00C34942"/>
    <w:rsid w:val="00C34A7F"/>
    <w:rsid w:val="00C34BFB"/>
    <w:rsid w:val="00C34CE3"/>
    <w:rsid w:val="00C34EC3"/>
    <w:rsid w:val="00C34EF9"/>
    <w:rsid w:val="00C34F0F"/>
    <w:rsid w:val="00C34FD6"/>
    <w:rsid w:val="00C35059"/>
    <w:rsid w:val="00C350E1"/>
    <w:rsid w:val="00C3518D"/>
    <w:rsid w:val="00C35284"/>
    <w:rsid w:val="00C3532D"/>
    <w:rsid w:val="00C35394"/>
    <w:rsid w:val="00C353DA"/>
    <w:rsid w:val="00C35428"/>
    <w:rsid w:val="00C3542D"/>
    <w:rsid w:val="00C35487"/>
    <w:rsid w:val="00C355EB"/>
    <w:rsid w:val="00C35604"/>
    <w:rsid w:val="00C358B0"/>
    <w:rsid w:val="00C358BC"/>
    <w:rsid w:val="00C358F8"/>
    <w:rsid w:val="00C35946"/>
    <w:rsid w:val="00C359D6"/>
    <w:rsid w:val="00C35C2B"/>
    <w:rsid w:val="00C35C6E"/>
    <w:rsid w:val="00C35D92"/>
    <w:rsid w:val="00C35DB9"/>
    <w:rsid w:val="00C35E7A"/>
    <w:rsid w:val="00C35F24"/>
    <w:rsid w:val="00C35F3F"/>
    <w:rsid w:val="00C35F88"/>
    <w:rsid w:val="00C362D4"/>
    <w:rsid w:val="00C363EF"/>
    <w:rsid w:val="00C36510"/>
    <w:rsid w:val="00C3654A"/>
    <w:rsid w:val="00C36673"/>
    <w:rsid w:val="00C366C3"/>
    <w:rsid w:val="00C368C1"/>
    <w:rsid w:val="00C369D0"/>
    <w:rsid w:val="00C36A29"/>
    <w:rsid w:val="00C36B71"/>
    <w:rsid w:val="00C36BA6"/>
    <w:rsid w:val="00C36C67"/>
    <w:rsid w:val="00C36C77"/>
    <w:rsid w:val="00C36CEA"/>
    <w:rsid w:val="00C36E33"/>
    <w:rsid w:val="00C36E69"/>
    <w:rsid w:val="00C370E1"/>
    <w:rsid w:val="00C371C3"/>
    <w:rsid w:val="00C371FA"/>
    <w:rsid w:val="00C37417"/>
    <w:rsid w:val="00C3764A"/>
    <w:rsid w:val="00C37758"/>
    <w:rsid w:val="00C37849"/>
    <w:rsid w:val="00C37A04"/>
    <w:rsid w:val="00C37AAE"/>
    <w:rsid w:val="00C37DE6"/>
    <w:rsid w:val="00C37E8E"/>
    <w:rsid w:val="00C37EEF"/>
    <w:rsid w:val="00C37F27"/>
    <w:rsid w:val="00C40048"/>
    <w:rsid w:val="00C40234"/>
    <w:rsid w:val="00C402DA"/>
    <w:rsid w:val="00C40503"/>
    <w:rsid w:val="00C40A06"/>
    <w:rsid w:val="00C40A6A"/>
    <w:rsid w:val="00C40B32"/>
    <w:rsid w:val="00C40D35"/>
    <w:rsid w:val="00C40EDC"/>
    <w:rsid w:val="00C410A4"/>
    <w:rsid w:val="00C41328"/>
    <w:rsid w:val="00C413F7"/>
    <w:rsid w:val="00C41448"/>
    <w:rsid w:val="00C41484"/>
    <w:rsid w:val="00C41591"/>
    <w:rsid w:val="00C41598"/>
    <w:rsid w:val="00C415CD"/>
    <w:rsid w:val="00C415FE"/>
    <w:rsid w:val="00C41800"/>
    <w:rsid w:val="00C41A33"/>
    <w:rsid w:val="00C41AD5"/>
    <w:rsid w:val="00C41AD9"/>
    <w:rsid w:val="00C41BA6"/>
    <w:rsid w:val="00C41CCB"/>
    <w:rsid w:val="00C41DA5"/>
    <w:rsid w:val="00C41DAC"/>
    <w:rsid w:val="00C41E10"/>
    <w:rsid w:val="00C41E52"/>
    <w:rsid w:val="00C42087"/>
    <w:rsid w:val="00C42424"/>
    <w:rsid w:val="00C424DF"/>
    <w:rsid w:val="00C4286C"/>
    <w:rsid w:val="00C429E8"/>
    <w:rsid w:val="00C42AC9"/>
    <w:rsid w:val="00C42B7F"/>
    <w:rsid w:val="00C42BCE"/>
    <w:rsid w:val="00C42DFF"/>
    <w:rsid w:val="00C42EA3"/>
    <w:rsid w:val="00C4318A"/>
    <w:rsid w:val="00C431AF"/>
    <w:rsid w:val="00C4320A"/>
    <w:rsid w:val="00C432BD"/>
    <w:rsid w:val="00C432F1"/>
    <w:rsid w:val="00C4332A"/>
    <w:rsid w:val="00C434C4"/>
    <w:rsid w:val="00C43584"/>
    <w:rsid w:val="00C4364D"/>
    <w:rsid w:val="00C43683"/>
    <w:rsid w:val="00C436F1"/>
    <w:rsid w:val="00C4378D"/>
    <w:rsid w:val="00C43842"/>
    <w:rsid w:val="00C43881"/>
    <w:rsid w:val="00C438D4"/>
    <w:rsid w:val="00C43AA0"/>
    <w:rsid w:val="00C43AA3"/>
    <w:rsid w:val="00C43AFB"/>
    <w:rsid w:val="00C43BDF"/>
    <w:rsid w:val="00C43BF2"/>
    <w:rsid w:val="00C43C5A"/>
    <w:rsid w:val="00C43D19"/>
    <w:rsid w:val="00C43E2B"/>
    <w:rsid w:val="00C43E4C"/>
    <w:rsid w:val="00C43E5B"/>
    <w:rsid w:val="00C43F65"/>
    <w:rsid w:val="00C43FB0"/>
    <w:rsid w:val="00C44016"/>
    <w:rsid w:val="00C442BC"/>
    <w:rsid w:val="00C442D0"/>
    <w:rsid w:val="00C442EC"/>
    <w:rsid w:val="00C4466F"/>
    <w:rsid w:val="00C44713"/>
    <w:rsid w:val="00C447FA"/>
    <w:rsid w:val="00C4486D"/>
    <w:rsid w:val="00C44956"/>
    <w:rsid w:val="00C44A98"/>
    <w:rsid w:val="00C44B29"/>
    <w:rsid w:val="00C44C44"/>
    <w:rsid w:val="00C44E71"/>
    <w:rsid w:val="00C4512A"/>
    <w:rsid w:val="00C4516F"/>
    <w:rsid w:val="00C451FD"/>
    <w:rsid w:val="00C45271"/>
    <w:rsid w:val="00C4529C"/>
    <w:rsid w:val="00C45320"/>
    <w:rsid w:val="00C45392"/>
    <w:rsid w:val="00C454D5"/>
    <w:rsid w:val="00C45596"/>
    <w:rsid w:val="00C45608"/>
    <w:rsid w:val="00C456A3"/>
    <w:rsid w:val="00C4579D"/>
    <w:rsid w:val="00C45965"/>
    <w:rsid w:val="00C459E2"/>
    <w:rsid w:val="00C45A86"/>
    <w:rsid w:val="00C45CDB"/>
    <w:rsid w:val="00C45E50"/>
    <w:rsid w:val="00C45E7B"/>
    <w:rsid w:val="00C460EF"/>
    <w:rsid w:val="00C46387"/>
    <w:rsid w:val="00C4659F"/>
    <w:rsid w:val="00C465AE"/>
    <w:rsid w:val="00C46725"/>
    <w:rsid w:val="00C4672C"/>
    <w:rsid w:val="00C4687B"/>
    <w:rsid w:val="00C468DE"/>
    <w:rsid w:val="00C469C0"/>
    <w:rsid w:val="00C46AA9"/>
    <w:rsid w:val="00C46B3E"/>
    <w:rsid w:val="00C46B79"/>
    <w:rsid w:val="00C46BDB"/>
    <w:rsid w:val="00C46D1A"/>
    <w:rsid w:val="00C46ED6"/>
    <w:rsid w:val="00C46FF2"/>
    <w:rsid w:val="00C47095"/>
    <w:rsid w:val="00C47167"/>
    <w:rsid w:val="00C47212"/>
    <w:rsid w:val="00C472FC"/>
    <w:rsid w:val="00C47407"/>
    <w:rsid w:val="00C47527"/>
    <w:rsid w:val="00C4755D"/>
    <w:rsid w:val="00C475E4"/>
    <w:rsid w:val="00C47832"/>
    <w:rsid w:val="00C47872"/>
    <w:rsid w:val="00C4787B"/>
    <w:rsid w:val="00C479B7"/>
    <w:rsid w:val="00C47BD0"/>
    <w:rsid w:val="00C47C06"/>
    <w:rsid w:val="00C47C54"/>
    <w:rsid w:val="00C47C95"/>
    <w:rsid w:val="00C47E15"/>
    <w:rsid w:val="00C47FA2"/>
    <w:rsid w:val="00C50128"/>
    <w:rsid w:val="00C501E0"/>
    <w:rsid w:val="00C502C2"/>
    <w:rsid w:val="00C5034F"/>
    <w:rsid w:val="00C50387"/>
    <w:rsid w:val="00C503CC"/>
    <w:rsid w:val="00C50419"/>
    <w:rsid w:val="00C505CF"/>
    <w:rsid w:val="00C505F0"/>
    <w:rsid w:val="00C507D9"/>
    <w:rsid w:val="00C50829"/>
    <w:rsid w:val="00C5094C"/>
    <w:rsid w:val="00C50B48"/>
    <w:rsid w:val="00C50C22"/>
    <w:rsid w:val="00C50D60"/>
    <w:rsid w:val="00C50E97"/>
    <w:rsid w:val="00C50EC5"/>
    <w:rsid w:val="00C50EFD"/>
    <w:rsid w:val="00C50EFE"/>
    <w:rsid w:val="00C50FC4"/>
    <w:rsid w:val="00C51190"/>
    <w:rsid w:val="00C511D7"/>
    <w:rsid w:val="00C51239"/>
    <w:rsid w:val="00C512B0"/>
    <w:rsid w:val="00C512CC"/>
    <w:rsid w:val="00C5131E"/>
    <w:rsid w:val="00C5135C"/>
    <w:rsid w:val="00C513E5"/>
    <w:rsid w:val="00C513F8"/>
    <w:rsid w:val="00C5153F"/>
    <w:rsid w:val="00C51577"/>
    <w:rsid w:val="00C515AE"/>
    <w:rsid w:val="00C517BD"/>
    <w:rsid w:val="00C517CB"/>
    <w:rsid w:val="00C51818"/>
    <w:rsid w:val="00C51912"/>
    <w:rsid w:val="00C51A3D"/>
    <w:rsid w:val="00C51B0A"/>
    <w:rsid w:val="00C51C10"/>
    <w:rsid w:val="00C51C37"/>
    <w:rsid w:val="00C51D2F"/>
    <w:rsid w:val="00C52051"/>
    <w:rsid w:val="00C520F6"/>
    <w:rsid w:val="00C52295"/>
    <w:rsid w:val="00C52402"/>
    <w:rsid w:val="00C52429"/>
    <w:rsid w:val="00C5270C"/>
    <w:rsid w:val="00C52924"/>
    <w:rsid w:val="00C52D49"/>
    <w:rsid w:val="00C52F1C"/>
    <w:rsid w:val="00C52F46"/>
    <w:rsid w:val="00C53042"/>
    <w:rsid w:val="00C530E5"/>
    <w:rsid w:val="00C53328"/>
    <w:rsid w:val="00C533E4"/>
    <w:rsid w:val="00C53450"/>
    <w:rsid w:val="00C53485"/>
    <w:rsid w:val="00C534C0"/>
    <w:rsid w:val="00C534E6"/>
    <w:rsid w:val="00C53554"/>
    <w:rsid w:val="00C5363F"/>
    <w:rsid w:val="00C5367A"/>
    <w:rsid w:val="00C53690"/>
    <w:rsid w:val="00C53B50"/>
    <w:rsid w:val="00C53B88"/>
    <w:rsid w:val="00C53BE0"/>
    <w:rsid w:val="00C53D30"/>
    <w:rsid w:val="00C53E47"/>
    <w:rsid w:val="00C53FA9"/>
    <w:rsid w:val="00C53FDF"/>
    <w:rsid w:val="00C54012"/>
    <w:rsid w:val="00C54096"/>
    <w:rsid w:val="00C542A8"/>
    <w:rsid w:val="00C54314"/>
    <w:rsid w:val="00C54321"/>
    <w:rsid w:val="00C54334"/>
    <w:rsid w:val="00C543F1"/>
    <w:rsid w:val="00C54519"/>
    <w:rsid w:val="00C5461D"/>
    <w:rsid w:val="00C54746"/>
    <w:rsid w:val="00C547AF"/>
    <w:rsid w:val="00C547D5"/>
    <w:rsid w:val="00C548FA"/>
    <w:rsid w:val="00C54920"/>
    <w:rsid w:val="00C549F8"/>
    <w:rsid w:val="00C54AAA"/>
    <w:rsid w:val="00C54B5A"/>
    <w:rsid w:val="00C54D84"/>
    <w:rsid w:val="00C5516B"/>
    <w:rsid w:val="00C552B4"/>
    <w:rsid w:val="00C55375"/>
    <w:rsid w:val="00C555AC"/>
    <w:rsid w:val="00C55897"/>
    <w:rsid w:val="00C55947"/>
    <w:rsid w:val="00C55A26"/>
    <w:rsid w:val="00C55BC6"/>
    <w:rsid w:val="00C55C53"/>
    <w:rsid w:val="00C55C54"/>
    <w:rsid w:val="00C55DA7"/>
    <w:rsid w:val="00C55EC6"/>
    <w:rsid w:val="00C55FCF"/>
    <w:rsid w:val="00C56093"/>
    <w:rsid w:val="00C56245"/>
    <w:rsid w:val="00C563E0"/>
    <w:rsid w:val="00C5659A"/>
    <w:rsid w:val="00C568A1"/>
    <w:rsid w:val="00C568DE"/>
    <w:rsid w:val="00C56900"/>
    <w:rsid w:val="00C56A7E"/>
    <w:rsid w:val="00C56A93"/>
    <w:rsid w:val="00C57044"/>
    <w:rsid w:val="00C570B1"/>
    <w:rsid w:val="00C5710B"/>
    <w:rsid w:val="00C5726A"/>
    <w:rsid w:val="00C572D1"/>
    <w:rsid w:val="00C572D4"/>
    <w:rsid w:val="00C5731F"/>
    <w:rsid w:val="00C573B6"/>
    <w:rsid w:val="00C573E3"/>
    <w:rsid w:val="00C57493"/>
    <w:rsid w:val="00C57510"/>
    <w:rsid w:val="00C5752E"/>
    <w:rsid w:val="00C5764C"/>
    <w:rsid w:val="00C5798D"/>
    <w:rsid w:val="00C579C2"/>
    <w:rsid w:val="00C57B1C"/>
    <w:rsid w:val="00C57B73"/>
    <w:rsid w:val="00C57B7F"/>
    <w:rsid w:val="00C57BC8"/>
    <w:rsid w:val="00C57D56"/>
    <w:rsid w:val="00C57E92"/>
    <w:rsid w:val="00C57FCA"/>
    <w:rsid w:val="00C60132"/>
    <w:rsid w:val="00C60497"/>
    <w:rsid w:val="00C605BB"/>
    <w:rsid w:val="00C60682"/>
    <w:rsid w:val="00C6069C"/>
    <w:rsid w:val="00C60900"/>
    <w:rsid w:val="00C609F8"/>
    <w:rsid w:val="00C60AFE"/>
    <w:rsid w:val="00C60B0F"/>
    <w:rsid w:val="00C60BDB"/>
    <w:rsid w:val="00C60C56"/>
    <w:rsid w:val="00C60CE2"/>
    <w:rsid w:val="00C60D9A"/>
    <w:rsid w:val="00C60DB8"/>
    <w:rsid w:val="00C60DE5"/>
    <w:rsid w:val="00C60F3E"/>
    <w:rsid w:val="00C60FC3"/>
    <w:rsid w:val="00C6122D"/>
    <w:rsid w:val="00C6135D"/>
    <w:rsid w:val="00C6137F"/>
    <w:rsid w:val="00C613CF"/>
    <w:rsid w:val="00C6154C"/>
    <w:rsid w:val="00C61555"/>
    <w:rsid w:val="00C6158E"/>
    <w:rsid w:val="00C615F3"/>
    <w:rsid w:val="00C61686"/>
    <w:rsid w:val="00C61689"/>
    <w:rsid w:val="00C61748"/>
    <w:rsid w:val="00C617DC"/>
    <w:rsid w:val="00C618AC"/>
    <w:rsid w:val="00C6191D"/>
    <w:rsid w:val="00C61952"/>
    <w:rsid w:val="00C619B6"/>
    <w:rsid w:val="00C61B21"/>
    <w:rsid w:val="00C61C31"/>
    <w:rsid w:val="00C61CB6"/>
    <w:rsid w:val="00C61E0C"/>
    <w:rsid w:val="00C61E71"/>
    <w:rsid w:val="00C62009"/>
    <w:rsid w:val="00C62015"/>
    <w:rsid w:val="00C6201C"/>
    <w:rsid w:val="00C621DC"/>
    <w:rsid w:val="00C6228E"/>
    <w:rsid w:val="00C6249A"/>
    <w:rsid w:val="00C624E4"/>
    <w:rsid w:val="00C62729"/>
    <w:rsid w:val="00C6280A"/>
    <w:rsid w:val="00C628A3"/>
    <w:rsid w:val="00C62B6B"/>
    <w:rsid w:val="00C62B74"/>
    <w:rsid w:val="00C62C46"/>
    <w:rsid w:val="00C62D45"/>
    <w:rsid w:val="00C62D8B"/>
    <w:rsid w:val="00C62DA1"/>
    <w:rsid w:val="00C62F12"/>
    <w:rsid w:val="00C62F19"/>
    <w:rsid w:val="00C62F45"/>
    <w:rsid w:val="00C62F53"/>
    <w:rsid w:val="00C62FC2"/>
    <w:rsid w:val="00C632E1"/>
    <w:rsid w:val="00C63325"/>
    <w:rsid w:val="00C63433"/>
    <w:rsid w:val="00C634AA"/>
    <w:rsid w:val="00C63501"/>
    <w:rsid w:val="00C63598"/>
    <w:rsid w:val="00C63791"/>
    <w:rsid w:val="00C637C1"/>
    <w:rsid w:val="00C63968"/>
    <w:rsid w:val="00C63B03"/>
    <w:rsid w:val="00C63C18"/>
    <w:rsid w:val="00C641B6"/>
    <w:rsid w:val="00C6420D"/>
    <w:rsid w:val="00C64216"/>
    <w:rsid w:val="00C64221"/>
    <w:rsid w:val="00C642F2"/>
    <w:rsid w:val="00C6430A"/>
    <w:rsid w:val="00C64317"/>
    <w:rsid w:val="00C6450F"/>
    <w:rsid w:val="00C6461E"/>
    <w:rsid w:val="00C64714"/>
    <w:rsid w:val="00C647C3"/>
    <w:rsid w:val="00C647CF"/>
    <w:rsid w:val="00C648A1"/>
    <w:rsid w:val="00C64A68"/>
    <w:rsid w:val="00C64A70"/>
    <w:rsid w:val="00C64B92"/>
    <w:rsid w:val="00C64CA7"/>
    <w:rsid w:val="00C64E03"/>
    <w:rsid w:val="00C64EE9"/>
    <w:rsid w:val="00C6500A"/>
    <w:rsid w:val="00C6513D"/>
    <w:rsid w:val="00C65195"/>
    <w:rsid w:val="00C65304"/>
    <w:rsid w:val="00C65311"/>
    <w:rsid w:val="00C65399"/>
    <w:rsid w:val="00C65410"/>
    <w:rsid w:val="00C65764"/>
    <w:rsid w:val="00C6586A"/>
    <w:rsid w:val="00C659DD"/>
    <w:rsid w:val="00C65AA4"/>
    <w:rsid w:val="00C65BC7"/>
    <w:rsid w:val="00C65C88"/>
    <w:rsid w:val="00C65D57"/>
    <w:rsid w:val="00C65DA4"/>
    <w:rsid w:val="00C65DD0"/>
    <w:rsid w:val="00C65E48"/>
    <w:rsid w:val="00C660D4"/>
    <w:rsid w:val="00C6616B"/>
    <w:rsid w:val="00C6630B"/>
    <w:rsid w:val="00C663ED"/>
    <w:rsid w:val="00C6641F"/>
    <w:rsid w:val="00C66671"/>
    <w:rsid w:val="00C6671A"/>
    <w:rsid w:val="00C66C01"/>
    <w:rsid w:val="00C66E85"/>
    <w:rsid w:val="00C67220"/>
    <w:rsid w:val="00C674A9"/>
    <w:rsid w:val="00C6750C"/>
    <w:rsid w:val="00C67769"/>
    <w:rsid w:val="00C67853"/>
    <w:rsid w:val="00C678B8"/>
    <w:rsid w:val="00C67A85"/>
    <w:rsid w:val="00C67AE7"/>
    <w:rsid w:val="00C67E73"/>
    <w:rsid w:val="00C67FAF"/>
    <w:rsid w:val="00C700C0"/>
    <w:rsid w:val="00C701D8"/>
    <w:rsid w:val="00C70347"/>
    <w:rsid w:val="00C704E5"/>
    <w:rsid w:val="00C7059A"/>
    <w:rsid w:val="00C7064F"/>
    <w:rsid w:val="00C706EA"/>
    <w:rsid w:val="00C70780"/>
    <w:rsid w:val="00C707EA"/>
    <w:rsid w:val="00C7097D"/>
    <w:rsid w:val="00C70B38"/>
    <w:rsid w:val="00C70B39"/>
    <w:rsid w:val="00C70BDA"/>
    <w:rsid w:val="00C70CB9"/>
    <w:rsid w:val="00C70D53"/>
    <w:rsid w:val="00C70E33"/>
    <w:rsid w:val="00C70ECC"/>
    <w:rsid w:val="00C70EE9"/>
    <w:rsid w:val="00C70F33"/>
    <w:rsid w:val="00C70FE7"/>
    <w:rsid w:val="00C71133"/>
    <w:rsid w:val="00C7132D"/>
    <w:rsid w:val="00C713ED"/>
    <w:rsid w:val="00C71427"/>
    <w:rsid w:val="00C71540"/>
    <w:rsid w:val="00C71556"/>
    <w:rsid w:val="00C7183C"/>
    <w:rsid w:val="00C71856"/>
    <w:rsid w:val="00C71A70"/>
    <w:rsid w:val="00C71A8D"/>
    <w:rsid w:val="00C71B26"/>
    <w:rsid w:val="00C71B2A"/>
    <w:rsid w:val="00C71C64"/>
    <w:rsid w:val="00C71DD7"/>
    <w:rsid w:val="00C71E04"/>
    <w:rsid w:val="00C71F7F"/>
    <w:rsid w:val="00C72197"/>
    <w:rsid w:val="00C721EC"/>
    <w:rsid w:val="00C722CF"/>
    <w:rsid w:val="00C72318"/>
    <w:rsid w:val="00C72336"/>
    <w:rsid w:val="00C724E6"/>
    <w:rsid w:val="00C726B8"/>
    <w:rsid w:val="00C729AF"/>
    <w:rsid w:val="00C729C6"/>
    <w:rsid w:val="00C729DE"/>
    <w:rsid w:val="00C72A2A"/>
    <w:rsid w:val="00C72B6C"/>
    <w:rsid w:val="00C72B78"/>
    <w:rsid w:val="00C72B9D"/>
    <w:rsid w:val="00C72BD3"/>
    <w:rsid w:val="00C72C90"/>
    <w:rsid w:val="00C72CE5"/>
    <w:rsid w:val="00C72D0D"/>
    <w:rsid w:val="00C72D54"/>
    <w:rsid w:val="00C72DE2"/>
    <w:rsid w:val="00C73274"/>
    <w:rsid w:val="00C7332D"/>
    <w:rsid w:val="00C73362"/>
    <w:rsid w:val="00C733BF"/>
    <w:rsid w:val="00C733F9"/>
    <w:rsid w:val="00C736B5"/>
    <w:rsid w:val="00C73740"/>
    <w:rsid w:val="00C73850"/>
    <w:rsid w:val="00C738D9"/>
    <w:rsid w:val="00C73F23"/>
    <w:rsid w:val="00C74025"/>
    <w:rsid w:val="00C74062"/>
    <w:rsid w:val="00C7423B"/>
    <w:rsid w:val="00C742F6"/>
    <w:rsid w:val="00C74321"/>
    <w:rsid w:val="00C7437E"/>
    <w:rsid w:val="00C74466"/>
    <w:rsid w:val="00C744E2"/>
    <w:rsid w:val="00C74612"/>
    <w:rsid w:val="00C74794"/>
    <w:rsid w:val="00C747A5"/>
    <w:rsid w:val="00C749CA"/>
    <w:rsid w:val="00C74A04"/>
    <w:rsid w:val="00C74B03"/>
    <w:rsid w:val="00C74B8B"/>
    <w:rsid w:val="00C74C9C"/>
    <w:rsid w:val="00C74CA0"/>
    <w:rsid w:val="00C74D5A"/>
    <w:rsid w:val="00C74F06"/>
    <w:rsid w:val="00C74F99"/>
    <w:rsid w:val="00C74FAD"/>
    <w:rsid w:val="00C75008"/>
    <w:rsid w:val="00C7505E"/>
    <w:rsid w:val="00C750EB"/>
    <w:rsid w:val="00C754A9"/>
    <w:rsid w:val="00C75522"/>
    <w:rsid w:val="00C756F0"/>
    <w:rsid w:val="00C757BE"/>
    <w:rsid w:val="00C757C7"/>
    <w:rsid w:val="00C757C8"/>
    <w:rsid w:val="00C7586B"/>
    <w:rsid w:val="00C7594A"/>
    <w:rsid w:val="00C75B3D"/>
    <w:rsid w:val="00C75D03"/>
    <w:rsid w:val="00C75D56"/>
    <w:rsid w:val="00C75DC7"/>
    <w:rsid w:val="00C75E5E"/>
    <w:rsid w:val="00C75F68"/>
    <w:rsid w:val="00C7602F"/>
    <w:rsid w:val="00C76074"/>
    <w:rsid w:val="00C76444"/>
    <w:rsid w:val="00C7659A"/>
    <w:rsid w:val="00C767F5"/>
    <w:rsid w:val="00C7683F"/>
    <w:rsid w:val="00C768FB"/>
    <w:rsid w:val="00C769FA"/>
    <w:rsid w:val="00C769FB"/>
    <w:rsid w:val="00C76A31"/>
    <w:rsid w:val="00C76C60"/>
    <w:rsid w:val="00C76CFA"/>
    <w:rsid w:val="00C76E04"/>
    <w:rsid w:val="00C76E62"/>
    <w:rsid w:val="00C7725A"/>
    <w:rsid w:val="00C77412"/>
    <w:rsid w:val="00C77429"/>
    <w:rsid w:val="00C7744B"/>
    <w:rsid w:val="00C77641"/>
    <w:rsid w:val="00C77750"/>
    <w:rsid w:val="00C7775D"/>
    <w:rsid w:val="00C7777D"/>
    <w:rsid w:val="00C777A4"/>
    <w:rsid w:val="00C7782D"/>
    <w:rsid w:val="00C77842"/>
    <w:rsid w:val="00C77866"/>
    <w:rsid w:val="00C7799D"/>
    <w:rsid w:val="00C77BE2"/>
    <w:rsid w:val="00C77D5C"/>
    <w:rsid w:val="00C77DC3"/>
    <w:rsid w:val="00C77E78"/>
    <w:rsid w:val="00C801DB"/>
    <w:rsid w:val="00C8020C"/>
    <w:rsid w:val="00C8023C"/>
    <w:rsid w:val="00C802CA"/>
    <w:rsid w:val="00C802D8"/>
    <w:rsid w:val="00C802DD"/>
    <w:rsid w:val="00C80477"/>
    <w:rsid w:val="00C80581"/>
    <w:rsid w:val="00C80594"/>
    <w:rsid w:val="00C8061A"/>
    <w:rsid w:val="00C807A5"/>
    <w:rsid w:val="00C80C93"/>
    <w:rsid w:val="00C80C96"/>
    <w:rsid w:val="00C80E14"/>
    <w:rsid w:val="00C80F41"/>
    <w:rsid w:val="00C81084"/>
    <w:rsid w:val="00C810E0"/>
    <w:rsid w:val="00C810FF"/>
    <w:rsid w:val="00C81222"/>
    <w:rsid w:val="00C812E4"/>
    <w:rsid w:val="00C8145C"/>
    <w:rsid w:val="00C815DA"/>
    <w:rsid w:val="00C816D0"/>
    <w:rsid w:val="00C8186D"/>
    <w:rsid w:val="00C8198E"/>
    <w:rsid w:val="00C81B47"/>
    <w:rsid w:val="00C81C51"/>
    <w:rsid w:val="00C81CCF"/>
    <w:rsid w:val="00C81D10"/>
    <w:rsid w:val="00C82091"/>
    <w:rsid w:val="00C820A0"/>
    <w:rsid w:val="00C820C1"/>
    <w:rsid w:val="00C8223E"/>
    <w:rsid w:val="00C8239E"/>
    <w:rsid w:val="00C824E6"/>
    <w:rsid w:val="00C8252C"/>
    <w:rsid w:val="00C825D9"/>
    <w:rsid w:val="00C825FC"/>
    <w:rsid w:val="00C82623"/>
    <w:rsid w:val="00C82A0E"/>
    <w:rsid w:val="00C82AF4"/>
    <w:rsid w:val="00C82CB2"/>
    <w:rsid w:val="00C82CD1"/>
    <w:rsid w:val="00C82D98"/>
    <w:rsid w:val="00C82F15"/>
    <w:rsid w:val="00C82F1C"/>
    <w:rsid w:val="00C82F54"/>
    <w:rsid w:val="00C82FE2"/>
    <w:rsid w:val="00C83287"/>
    <w:rsid w:val="00C832E8"/>
    <w:rsid w:val="00C8330B"/>
    <w:rsid w:val="00C8339F"/>
    <w:rsid w:val="00C8350A"/>
    <w:rsid w:val="00C83554"/>
    <w:rsid w:val="00C8356B"/>
    <w:rsid w:val="00C83ABC"/>
    <w:rsid w:val="00C83B2D"/>
    <w:rsid w:val="00C83B95"/>
    <w:rsid w:val="00C83CCD"/>
    <w:rsid w:val="00C83D57"/>
    <w:rsid w:val="00C83E01"/>
    <w:rsid w:val="00C83E0C"/>
    <w:rsid w:val="00C83F14"/>
    <w:rsid w:val="00C83F78"/>
    <w:rsid w:val="00C84025"/>
    <w:rsid w:val="00C84129"/>
    <w:rsid w:val="00C8439B"/>
    <w:rsid w:val="00C84500"/>
    <w:rsid w:val="00C845CB"/>
    <w:rsid w:val="00C84659"/>
    <w:rsid w:val="00C848C6"/>
    <w:rsid w:val="00C84B8D"/>
    <w:rsid w:val="00C84D7E"/>
    <w:rsid w:val="00C84EF0"/>
    <w:rsid w:val="00C84F35"/>
    <w:rsid w:val="00C84F80"/>
    <w:rsid w:val="00C8505F"/>
    <w:rsid w:val="00C8508A"/>
    <w:rsid w:val="00C850A3"/>
    <w:rsid w:val="00C850DA"/>
    <w:rsid w:val="00C85143"/>
    <w:rsid w:val="00C85192"/>
    <w:rsid w:val="00C85314"/>
    <w:rsid w:val="00C85481"/>
    <w:rsid w:val="00C85521"/>
    <w:rsid w:val="00C85564"/>
    <w:rsid w:val="00C8557C"/>
    <w:rsid w:val="00C85A19"/>
    <w:rsid w:val="00C85AE1"/>
    <w:rsid w:val="00C85B17"/>
    <w:rsid w:val="00C85E9C"/>
    <w:rsid w:val="00C85F22"/>
    <w:rsid w:val="00C860EC"/>
    <w:rsid w:val="00C86265"/>
    <w:rsid w:val="00C86294"/>
    <w:rsid w:val="00C863B2"/>
    <w:rsid w:val="00C863ED"/>
    <w:rsid w:val="00C864F4"/>
    <w:rsid w:val="00C8656B"/>
    <w:rsid w:val="00C86604"/>
    <w:rsid w:val="00C867F6"/>
    <w:rsid w:val="00C86807"/>
    <w:rsid w:val="00C86A50"/>
    <w:rsid w:val="00C86ABD"/>
    <w:rsid w:val="00C86AC1"/>
    <w:rsid w:val="00C86B11"/>
    <w:rsid w:val="00C86B3B"/>
    <w:rsid w:val="00C86E9F"/>
    <w:rsid w:val="00C86EDF"/>
    <w:rsid w:val="00C86F13"/>
    <w:rsid w:val="00C86F7E"/>
    <w:rsid w:val="00C87045"/>
    <w:rsid w:val="00C87364"/>
    <w:rsid w:val="00C87473"/>
    <w:rsid w:val="00C8759E"/>
    <w:rsid w:val="00C87654"/>
    <w:rsid w:val="00C8765F"/>
    <w:rsid w:val="00C8777F"/>
    <w:rsid w:val="00C87863"/>
    <w:rsid w:val="00C87AA6"/>
    <w:rsid w:val="00C87D32"/>
    <w:rsid w:val="00C87D5C"/>
    <w:rsid w:val="00C87E1D"/>
    <w:rsid w:val="00C87E70"/>
    <w:rsid w:val="00C87FF3"/>
    <w:rsid w:val="00C9013F"/>
    <w:rsid w:val="00C90181"/>
    <w:rsid w:val="00C90554"/>
    <w:rsid w:val="00C905AE"/>
    <w:rsid w:val="00C9075E"/>
    <w:rsid w:val="00C90764"/>
    <w:rsid w:val="00C90845"/>
    <w:rsid w:val="00C90882"/>
    <w:rsid w:val="00C90A1D"/>
    <w:rsid w:val="00C90B9E"/>
    <w:rsid w:val="00C90DFE"/>
    <w:rsid w:val="00C90EBD"/>
    <w:rsid w:val="00C90FC7"/>
    <w:rsid w:val="00C90FD7"/>
    <w:rsid w:val="00C90FFB"/>
    <w:rsid w:val="00C912BE"/>
    <w:rsid w:val="00C912D9"/>
    <w:rsid w:val="00C913F8"/>
    <w:rsid w:val="00C9143E"/>
    <w:rsid w:val="00C914A7"/>
    <w:rsid w:val="00C914E1"/>
    <w:rsid w:val="00C914FB"/>
    <w:rsid w:val="00C91502"/>
    <w:rsid w:val="00C9157E"/>
    <w:rsid w:val="00C915E1"/>
    <w:rsid w:val="00C916A7"/>
    <w:rsid w:val="00C919C2"/>
    <w:rsid w:val="00C919EA"/>
    <w:rsid w:val="00C91B47"/>
    <w:rsid w:val="00C91B74"/>
    <w:rsid w:val="00C91C95"/>
    <w:rsid w:val="00C920D7"/>
    <w:rsid w:val="00C92105"/>
    <w:rsid w:val="00C92319"/>
    <w:rsid w:val="00C92369"/>
    <w:rsid w:val="00C9245B"/>
    <w:rsid w:val="00C9266F"/>
    <w:rsid w:val="00C9268A"/>
    <w:rsid w:val="00C92770"/>
    <w:rsid w:val="00C9281A"/>
    <w:rsid w:val="00C929C4"/>
    <w:rsid w:val="00C92CA9"/>
    <w:rsid w:val="00C92D99"/>
    <w:rsid w:val="00C92E3F"/>
    <w:rsid w:val="00C92E9C"/>
    <w:rsid w:val="00C93077"/>
    <w:rsid w:val="00C93101"/>
    <w:rsid w:val="00C93178"/>
    <w:rsid w:val="00C9324C"/>
    <w:rsid w:val="00C9343F"/>
    <w:rsid w:val="00C936B8"/>
    <w:rsid w:val="00C93C5A"/>
    <w:rsid w:val="00C93D6D"/>
    <w:rsid w:val="00C93EB1"/>
    <w:rsid w:val="00C940E6"/>
    <w:rsid w:val="00C940F4"/>
    <w:rsid w:val="00C9428D"/>
    <w:rsid w:val="00C94691"/>
    <w:rsid w:val="00C947DC"/>
    <w:rsid w:val="00C949E8"/>
    <w:rsid w:val="00C94A2E"/>
    <w:rsid w:val="00C94BAD"/>
    <w:rsid w:val="00C94C2A"/>
    <w:rsid w:val="00C94CCA"/>
    <w:rsid w:val="00C94DC2"/>
    <w:rsid w:val="00C94F37"/>
    <w:rsid w:val="00C95240"/>
    <w:rsid w:val="00C95247"/>
    <w:rsid w:val="00C9528C"/>
    <w:rsid w:val="00C953DE"/>
    <w:rsid w:val="00C953EF"/>
    <w:rsid w:val="00C954A0"/>
    <w:rsid w:val="00C954C9"/>
    <w:rsid w:val="00C954E5"/>
    <w:rsid w:val="00C95536"/>
    <w:rsid w:val="00C9557A"/>
    <w:rsid w:val="00C95647"/>
    <w:rsid w:val="00C956A3"/>
    <w:rsid w:val="00C9582C"/>
    <w:rsid w:val="00C95833"/>
    <w:rsid w:val="00C95A34"/>
    <w:rsid w:val="00C95B98"/>
    <w:rsid w:val="00C95BA9"/>
    <w:rsid w:val="00C95C17"/>
    <w:rsid w:val="00C95D44"/>
    <w:rsid w:val="00C95F13"/>
    <w:rsid w:val="00C95F4B"/>
    <w:rsid w:val="00C95FB8"/>
    <w:rsid w:val="00C962D1"/>
    <w:rsid w:val="00C962F4"/>
    <w:rsid w:val="00C96354"/>
    <w:rsid w:val="00C96417"/>
    <w:rsid w:val="00C96485"/>
    <w:rsid w:val="00C964D6"/>
    <w:rsid w:val="00C964E0"/>
    <w:rsid w:val="00C964F0"/>
    <w:rsid w:val="00C96501"/>
    <w:rsid w:val="00C96532"/>
    <w:rsid w:val="00C965BD"/>
    <w:rsid w:val="00C965C2"/>
    <w:rsid w:val="00C965C3"/>
    <w:rsid w:val="00C96755"/>
    <w:rsid w:val="00C968E6"/>
    <w:rsid w:val="00C96E56"/>
    <w:rsid w:val="00C96E57"/>
    <w:rsid w:val="00C96E6D"/>
    <w:rsid w:val="00C97091"/>
    <w:rsid w:val="00C97119"/>
    <w:rsid w:val="00C97279"/>
    <w:rsid w:val="00C972B5"/>
    <w:rsid w:val="00C97303"/>
    <w:rsid w:val="00C974FD"/>
    <w:rsid w:val="00C97591"/>
    <w:rsid w:val="00C97594"/>
    <w:rsid w:val="00C976D9"/>
    <w:rsid w:val="00C976EB"/>
    <w:rsid w:val="00C976EF"/>
    <w:rsid w:val="00C97760"/>
    <w:rsid w:val="00C977B7"/>
    <w:rsid w:val="00C97828"/>
    <w:rsid w:val="00C97900"/>
    <w:rsid w:val="00C97924"/>
    <w:rsid w:val="00C97B9C"/>
    <w:rsid w:val="00C97F2A"/>
    <w:rsid w:val="00CA0059"/>
    <w:rsid w:val="00CA00D8"/>
    <w:rsid w:val="00CA00E1"/>
    <w:rsid w:val="00CA0116"/>
    <w:rsid w:val="00CA0223"/>
    <w:rsid w:val="00CA02F3"/>
    <w:rsid w:val="00CA0433"/>
    <w:rsid w:val="00CA045D"/>
    <w:rsid w:val="00CA0598"/>
    <w:rsid w:val="00CA0599"/>
    <w:rsid w:val="00CA05F5"/>
    <w:rsid w:val="00CA06B7"/>
    <w:rsid w:val="00CA06EF"/>
    <w:rsid w:val="00CA0878"/>
    <w:rsid w:val="00CA0953"/>
    <w:rsid w:val="00CA0965"/>
    <w:rsid w:val="00CA0AFF"/>
    <w:rsid w:val="00CA0D8B"/>
    <w:rsid w:val="00CA0E0A"/>
    <w:rsid w:val="00CA0F49"/>
    <w:rsid w:val="00CA0FBA"/>
    <w:rsid w:val="00CA104B"/>
    <w:rsid w:val="00CA10B6"/>
    <w:rsid w:val="00CA123D"/>
    <w:rsid w:val="00CA12B1"/>
    <w:rsid w:val="00CA1468"/>
    <w:rsid w:val="00CA14CF"/>
    <w:rsid w:val="00CA159F"/>
    <w:rsid w:val="00CA16AD"/>
    <w:rsid w:val="00CA16F9"/>
    <w:rsid w:val="00CA1AC2"/>
    <w:rsid w:val="00CA1BA4"/>
    <w:rsid w:val="00CA1CC6"/>
    <w:rsid w:val="00CA1D8A"/>
    <w:rsid w:val="00CA1E1D"/>
    <w:rsid w:val="00CA1F8D"/>
    <w:rsid w:val="00CA25E7"/>
    <w:rsid w:val="00CA26D1"/>
    <w:rsid w:val="00CA2793"/>
    <w:rsid w:val="00CA284E"/>
    <w:rsid w:val="00CA29DF"/>
    <w:rsid w:val="00CA303C"/>
    <w:rsid w:val="00CA312F"/>
    <w:rsid w:val="00CA32D7"/>
    <w:rsid w:val="00CA3430"/>
    <w:rsid w:val="00CA348C"/>
    <w:rsid w:val="00CA34A2"/>
    <w:rsid w:val="00CA34BD"/>
    <w:rsid w:val="00CA34C6"/>
    <w:rsid w:val="00CA35EF"/>
    <w:rsid w:val="00CA3834"/>
    <w:rsid w:val="00CA384F"/>
    <w:rsid w:val="00CA3AB0"/>
    <w:rsid w:val="00CA3C13"/>
    <w:rsid w:val="00CA3C54"/>
    <w:rsid w:val="00CA3C97"/>
    <w:rsid w:val="00CA3EE6"/>
    <w:rsid w:val="00CA3EEF"/>
    <w:rsid w:val="00CA3F87"/>
    <w:rsid w:val="00CA3FF6"/>
    <w:rsid w:val="00CA403B"/>
    <w:rsid w:val="00CA4040"/>
    <w:rsid w:val="00CA4070"/>
    <w:rsid w:val="00CA4088"/>
    <w:rsid w:val="00CA4412"/>
    <w:rsid w:val="00CA44CE"/>
    <w:rsid w:val="00CA45C4"/>
    <w:rsid w:val="00CA4721"/>
    <w:rsid w:val="00CA473D"/>
    <w:rsid w:val="00CA4793"/>
    <w:rsid w:val="00CA47B1"/>
    <w:rsid w:val="00CA4935"/>
    <w:rsid w:val="00CA4AF9"/>
    <w:rsid w:val="00CA4B00"/>
    <w:rsid w:val="00CA4BC0"/>
    <w:rsid w:val="00CA4BDD"/>
    <w:rsid w:val="00CA4E02"/>
    <w:rsid w:val="00CA4FD9"/>
    <w:rsid w:val="00CA5140"/>
    <w:rsid w:val="00CA51EC"/>
    <w:rsid w:val="00CA5254"/>
    <w:rsid w:val="00CA536E"/>
    <w:rsid w:val="00CA53B7"/>
    <w:rsid w:val="00CA53C2"/>
    <w:rsid w:val="00CA5435"/>
    <w:rsid w:val="00CA554B"/>
    <w:rsid w:val="00CA5672"/>
    <w:rsid w:val="00CA5834"/>
    <w:rsid w:val="00CA5851"/>
    <w:rsid w:val="00CA5A7C"/>
    <w:rsid w:val="00CA5B23"/>
    <w:rsid w:val="00CA5C0A"/>
    <w:rsid w:val="00CA5CA8"/>
    <w:rsid w:val="00CA5D8D"/>
    <w:rsid w:val="00CA5F0D"/>
    <w:rsid w:val="00CA604F"/>
    <w:rsid w:val="00CA613D"/>
    <w:rsid w:val="00CA616B"/>
    <w:rsid w:val="00CA619B"/>
    <w:rsid w:val="00CA6248"/>
    <w:rsid w:val="00CA6382"/>
    <w:rsid w:val="00CA6701"/>
    <w:rsid w:val="00CA672F"/>
    <w:rsid w:val="00CA674B"/>
    <w:rsid w:val="00CA685E"/>
    <w:rsid w:val="00CA6ACC"/>
    <w:rsid w:val="00CA6AE7"/>
    <w:rsid w:val="00CA6BE6"/>
    <w:rsid w:val="00CA6D8D"/>
    <w:rsid w:val="00CA6DC0"/>
    <w:rsid w:val="00CA6F5E"/>
    <w:rsid w:val="00CA7018"/>
    <w:rsid w:val="00CA71FC"/>
    <w:rsid w:val="00CA75D3"/>
    <w:rsid w:val="00CA776D"/>
    <w:rsid w:val="00CA77AF"/>
    <w:rsid w:val="00CA7939"/>
    <w:rsid w:val="00CA794B"/>
    <w:rsid w:val="00CA79A8"/>
    <w:rsid w:val="00CA7B55"/>
    <w:rsid w:val="00CA7B5C"/>
    <w:rsid w:val="00CA7B6D"/>
    <w:rsid w:val="00CA7D85"/>
    <w:rsid w:val="00CA7E49"/>
    <w:rsid w:val="00CA7F11"/>
    <w:rsid w:val="00CA7F98"/>
    <w:rsid w:val="00CB0001"/>
    <w:rsid w:val="00CB00F6"/>
    <w:rsid w:val="00CB00FA"/>
    <w:rsid w:val="00CB0101"/>
    <w:rsid w:val="00CB0157"/>
    <w:rsid w:val="00CB02A7"/>
    <w:rsid w:val="00CB04AC"/>
    <w:rsid w:val="00CB070A"/>
    <w:rsid w:val="00CB0782"/>
    <w:rsid w:val="00CB07AA"/>
    <w:rsid w:val="00CB0993"/>
    <w:rsid w:val="00CB09EF"/>
    <w:rsid w:val="00CB0ADE"/>
    <w:rsid w:val="00CB0C04"/>
    <w:rsid w:val="00CB0F8A"/>
    <w:rsid w:val="00CB113E"/>
    <w:rsid w:val="00CB116E"/>
    <w:rsid w:val="00CB1256"/>
    <w:rsid w:val="00CB1270"/>
    <w:rsid w:val="00CB1377"/>
    <w:rsid w:val="00CB13E4"/>
    <w:rsid w:val="00CB141E"/>
    <w:rsid w:val="00CB14CA"/>
    <w:rsid w:val="00CB1659"/>
    <w:rsid w:val="00CB16DE"/>
    <w:rsid w:val="00CB193E"/>
    <w:rsid w:val="00CB19A4"/>
    <w:rsid w:val="00CB1A69"/>
    <w:rsid w:val="00CB1A6A"/>
    <w:rsid w:val="00CB1BC8"/>
    <w:rsid w:val="00CB1EDD"/>
    <w:rsid w:val="00CB1FFB"/>
    <w:rsid w:val="00CB2201"/>
    <w:rsid w:val="00CB2229"/>
    <w:rsid w:val="00CB225C"/>
    <w:rsid w:val="00CB22D2"/>
    <w:rsid w:val="00CB22D5"/>
    <w:rsid w:val="00CB2389"/>
    <w:rsid w:val="00CB239B"/>
    <w:rsid w:val="00CB2456"/>
    <w:rsid w:val="00CB25E7"/>
    <w:rsid w:val="00CB26F3"/>
    <w:rsid w:val="00CB288A"/>
    <w:rsid w:val="00CB28A7"/>
    <w:rsid w:val="00CB28E9"/>
    <w:rsid w:val="00CB29BC"/>
    <w:rsid w:val="00CB2D5B"/>
    <w:rsid w:val="00CB2E32"/>
    <w:rsid w:val="00CB2E68"/>
    <w:rsid w:val="00CB2F08"/>
    <w:rsid w:val="00CB30B4"/>
    <w:rsid w:val="00CB314E"/>
    <w:rsid w:val="00CB36A3"/>
    <w:rsid w:val="00CB37A8"/>
    <w:rsid w:val="00CB37EB"/>
    <w:rsid w:val="00CB3973"/>
    <w:rsid w:val="00CB3A39"/>
    <w:rsid w:val="00CB3A81"/>
    <w:rsid w:val="00CB3B54"/>
    <w:rsid w:val="00CB3BA5"/>
    <w:rsid w:val="00CB3D63"/>
    <w:rsid w:val="00CB3D72"/>
    <w:rsid w:val="00CB3DC3"/>
    <w:rsid w:val="00CB3E47"/>
    <w:rsid w:val="00CB3ED9"/>
    <w:rsid w:val="00CB3F35"/>
    <w:rsid w:val="00CB3F3E"/>
    <w:rsid w:val="00CB3F4E"/>
    <w:rsid w:val="00CB3FBE"/>
    <w:rsid w:val="00CB4042"/>
    <w:rsid w:val="00CB40B6"/>
    <w:rsid w:val="00CB4131"/>
    <w:rsid w:val="00CB4159"/>
    <w:rsid w:val="00CB4193"/>
    <w:rsid w:val="00CB41B9"/>
    <w:rsid w:val="00CB4298"/>
    <w:rsid w:val="00CB43B5"/>
    <w:rsid w:val="00CB43C6"/>
    <w:rsid w:val="00CB43DD"/>
    <w:rsid w:val="00CB4401"/>
    <w:rsid w:val="00CB4511"/>
    <w:rsid w:val="00CB4521"/>
    <w:rsid w:val="00CB4669"/>
    <w:rsid w:val="00CB4673"/>
    <w:rsid w:val="00CB4976"/>
    <w:rsid w:val="00CB498D"/>
    <w:rsid w:val="00CB4A50"/>
    <w:rsid w:val="00CB4AEE"/>
    <w:rsid w:val="00CB4B56"/>
    <w:rsid w:val="00CB4BE8"/>
    <w:rsid w:val="00CB4ECB"/>
    <w:rsid w:val="00CB5205"/>
    <w:rsid w:val="00CB529E"/>
    <w:rsid w:val="00CB53D2"/>
    <w:rsid w:val="00CB54B0"/>
    <w:rsid w:val="00CB55B9"/>
    <w:rsid w:val="00CB5608"/>
    <w:rsid w:val="00CB56B0"/>
    <w:rsid w:val="00CB5779"/>
    <w:rsid w:val="00CB58B9"/>
    <w:rsid w:val="00CB5918"/>
    <w:rsid w:val="00CB5A0B"/>
    <w:rsid w:val="00CB5A86"/>
    <w:rsid w:val="00CB5AC6"/>
    <w:rsid w:val="00CB5B08"/>
    <w:rsid w:val="00CB5B44"/>
    <w:rsid w:val="00CB5C70"/>
    <w:rsid w:val="00CB5D99"/>
    <w:rsid w:val="00CB5E7C"/>
    <w:rsid w:val="00CB5F01"/>
    <w:rsid w:val="00CB61C1"/>
    <w:rsid w:val="00CB61EF"/>
    <w:rsid w:val="00CB62E2"/>
    <w:rsid w:val="00CB62E5"/>
    <w:rsid w:val="00CB6471"/>
    <w:rsid w:val="00CB65E4"/>
    <w:rsid w:val="00CB665F"/>
    <w:rsid w:val="00CB670F"/>
    <w:rsid w:val="00CB6727"/>
    <w:rsid w:val="00CB67C9"/>
    <w:rsid w:val="00CB6820"/>
    <w:rsid w:val="00CB688F"/>
    <w:rsid w:val="00CB693E"/>
    <w:rsid w:val="00CB6AF1"/>
    <w:rsid w:val="00CB6B06"/>
    <w:rsid w:val="00CB6B40"/>
    <w:rsid w:val="00CB6BF2"/>
    <w:rsid w:val="00CB6C06"/>
    <w:rsid w:val="00CB7093"/>
    <w:rsid w:val="00CB709F"/>
    <w:rsid w:val="00CB70B5"/>
    <w:rsid w:val="00CB730D"/>
    <w:rsid w:val="00CB7376"/>
    <w:rsid w:val="00CB74F3"/>
    <w:rsid w:val="00CB751B"/>
    <w:rsid w:val="00CB751D"/>
    <w:rsid w:val="00CB75B4"/>
    <w:rsid w:val="00CB7750"/>
    <w:rsid w:val="00CB7822"/>
    <w:rsid w:val="00CB7D82"/>
    <w:rsid w:val="00CB7E9A"/>
    <w:rsid w:val="00CC0314"/>
    <w:rsid w:val="00CC0344"/>
    <w:rsid w:val="00CC0437"/>
    <w:rsid w:val="00CC06CE"/>
    <w:rsid w:val="00CC072F"/>
    <w:rsid w:val="00CC089A"/>
    <w:rsid w:val="00CC12B5"/>
    <w:rsid w:val="00CC1433"/>
    <w:rsid w:val="00CC1658"/>
    <w:rsid w:val="00CC168A"/>
    <w:rsid w:val="00CC1734"/>
    <w:rsid w:val="00CC1760"/>
    <w:rsid w:val="00CC17F8"/>
    <w:rsid w:val="00CC1B3C"/>
    <w:rsid w:val="00CC1BEA"/>
    <w:rsid w:val="00CC1C87"/>
    <w:rsid w:val="00CC1CD0"/>
    <w:rsid w:val="00CC1EFE"/>
    <w:rsid w:val="00CC1F25"/>
    <w:rsid w:val="00CC1F3A"/>
    <w:rsid w:val="00CC1FB0"/>
    <w:rsid w:val="00CC1FD9"/>
    <w:rsid w:val="00CC2206"/>
    <w:rsid w:val="00CC2303"/>
    <w:rsid w:val="00CC23DC"/>
    <w:rsid w:val="00CC23F2"/>
    <w:rsid w:val="00CC2446"/>
    <w:rsid w:val="00CC25AC"/>
    <w:rsid w:val="00CC25EE"/>
    <w:rsid w:val="00CC26C6"/>
    <w:rsid w:val="00CC27EF"/>
    <w:rsid w:val="00CC29EB"/>
    <w:rsid w:val="00CC2B41"/>
    <w:rsid w:val="00CC2B74"/>
    <w:rsid w:val="00CC2C0A"/>
    <w:rsid w:val="00CC2CA2"/>
    <w:rsid w:val="00CC2D07"/>
    <w:rsid w:val="00CC2F27"/>
    <w:rsid w:val="00CC30DA"/>
    <w:rsid w:val="00CC3109"/>
    <w:rsid w:val="00CC32BF"/>
    <w:rsid w:val="00CC3311"/>
    <w:rsid w:val="00CC336A"/>
    <w:rsid w:val="00CC33DF"/>
    <w:rsid w:val="00CC33E1"/>
    <w:rsid w:val="00CC3701"/>
    <w:rsid w:val="00CC37AC"/>
    <w:rsid w:val="00CC38AC"/>
    <w:rsid w:val="00CC3980"/>
    <w:rsid w:val="00CC3A15"/>
    <w:rsid w:val="00CC3ADF"/>
    <w:rsid w:val="00CC3C2E"/>
    <w:rsid w:val="00CC3DAC"/>
    <w:rsid w:val="00CC3E45"/>
    <w:rsid w:val="00CC3F3A"/>
    <w:rsid w:val="00CC3F7D"/>
    <w:rsid w:val="00CC3FE6"/>
    <w:rsid w:val="00CC4013"/>
    <w:rsid w:val="00CC40A0"/>
    <w:rsid w:val="00CC40C2"/>
    <w:rsid w:val="00CC4177"/>
    <w:rsid w:val="00CC436F"/>
    <w:rsid w:val="00CC4376"/>
    <w:rsid w:val="00CC44C8"/>
    <w:rsid w:val="00CC46C6"/>
    <w:rsid w:val="00CC480F"/>
    <w:rsid w:val="00CC484C"/>
    <w:rsid w:val="00CC4884"/>
    <w:rsid w:val="00CC48C9"/>
    <w:rsid w:val="00CC4946"/>
    <w:rsid w:val="00CC4A95"/>
    <w:rsid w:val="00CC4B22"/>
    <w:rsid w:val="00CC4C59"/>
    <w:rsid w:val="00CC4CB7"/>
    <w:rsid w:val="00CC4CBF"/>
    <w:rsid w:val="00CC4CC1"/>
    <w:rsid w:val="00CC5176"/>
    <w:rsid w:val="00CC5207"/>
    <w:rsid w:val="00CC5224"/>
    <w:rsid w:val="00CC5304"/>
    <w:rsid w:val="00CC530D"/>
    <w:rsid w:val="00CC5319"/>
    <w:rsid w:val="00CC551B"/>
    <w:rsid w:val="00CC5524"/>
    <w:rsid w:val="00CC559D"/>
    <w:rsid w:val="00CC5623"/>
    <w:rsid w:val="00CC563D"/>
    <w:rsid w:val="00CC578B"/>
    <w:rsid w:val="00CC5888"/>
    <w:rsid w:val="00CC58AE"/>
    <w:rsid w:val="00CC58F3"/>
    <w:rsid w:val="00CC5A8E"/>
    <w:rsid w:val="00CC5B05"/>
    <w:rsid w:val="00CC5C0B"/>
    <w:rsid w:val="00CC5E4A"/>
    <w:rsid w:val="00CC5EA5"/>
    <w:rsid w:val="00CC6137"/>
    <w:rsid w:val="00CC6251"/>
    <w:rsid w:val="00CC628D"/>
    <w:rsid w:val="00CC62C0"/>
    <w:rsid w:val="00CC652A"/>
    <w:rsid w:val="00CC65FA"/>
    <w:rsid w:val="00CC6937"/>
    <w:rsid w:val="00CC6961"/>
    <w:rsid w:val="00CC6C74"/>
    <w:rsid w:val="00CC6D18"/>
    <w:rsid w:val="00CC6D47"/>
    <w:rsid w:val="00CC6DA6"/>
    <w:rsid w:val="00CC6DFF"/>
    <w:rsid w:val="00CC6E16"/>
    <w:rsid w:val="00CC6E47"/>
    <w:rsid w:val="00CC6E4C"/>
    <w:rsid w:val="00CC6E62"/>
    <w:rsid w:val="00CC725C"/>
    <w:rsid w:val="00CC7268"/>
    <w:rsid w:val="00CC75AC"/>
    <w:rsid w:val="00CC7617"/>
    <w:rsid w:val="00CC76FF"/>
    <w:rsid w:val="00CC7706"/>
    <w:rsid w:val="00CC7755"/>
    <w:rsid w:val="00CC7813"/>
    <w:rsid w:val="00CC7843"/>
    <w:rsid w:val="00CC7A0E"/>
    <w:rsid w:val="00CC7A47"/>
    <w:rsid w:val="00CC7A84"/>
    <w:rsid w:val="00CC7CAB"/>
    <w:rsid w:val="00CC7E17"/>
    <w:rsid w:val="00CC7E2C"/>
    <w:rsid w:val="00CC7E6B"/>
    <w:rsid w:val="00CC7EE5"/>
    <w:rsid w:val="00CD0260"/>
    <w:rsid w:val="00CD0434"/>
    <w:rsid w:val="00CD0532"/>
    <w:rsid w:val="00CD05F7"/>
    <w:rsid w:val="00CD0637"/>
    <w:rsid w:val="00CD0646"/>
    <w:rsid w:val="00CD0661"/>
    <w:rsid w:val="00CD06E0"/>
    <w:rsid w:val="00CD06F6"/>
    <w:rsid w:val="00CD070A"/>
    <w:rsid w:val="00CD0992"/>
    <w:rsid w:val="00CD09E6"/>
    <w:rsid w:val="00CD0A5E"/>
    <w:rsid w:val="00CD0BDE"/>
    <w:rsid w:val="00CD0C13"/>
    <w:rsid w:val="00CD0D7A"/>
    <w:rsid w:val="00CD0E0F"/>
    <w:rsid w:val="00CD0E6B"/>
    <w:rsid w:val="00CD0E97"/>
    <w:rsid w:val="00CD0EF1"/>
    <w:rsid w:val="00CD1052"/>
    <w:rsid w:val="00CD1137"/>
    <w:rsid w:val="00CD11B0"/>
    <w:rsid w:val="00CD11CF"/>
    <w:rsid w:val="00CD1284"/>
    <w:rsid w:val="00CD1293"/>
    <w:rsid w:val="00CD15AD"/>
    <w:rsid w:val="00CD191D"/>
    <w:rsid w:val="00CD19F8"/>
    <w:rsid w:val="00CD1A17"/>
    <w:rsid w:val="00CD1A5F"/>
    <w:rsid w:val="00CD1A6B"/>
    <w:rsid w:val="00CD1AE7"/>
    <w:rsid w:val="00CD1C70"/>
    <w:rsid w:val="00CD1C74"/>
    <w:rsid w:val="00CD1CF9"/>
    <w:rsid w:val="00CD1DF8"/>
    <w:rsid w:val="00CD2169"/>
    <w:rsid w:val="00CD22EE"/>
    <w:rsid w:val="00CD2353"/>
    <w:rsid w:val="00CD252C"/>
    <w:rsid w:val="00CD2712"/>
    <w:rsid w:val="00CD27FC"/>
    <w:rsid w:val="00CD28D1"/>
    <w:rsid w:val="00CD2985"/>
    <w:rsid w:val="00CD2B8C"/>
    <w:rsid w:val="00CD2C3A"/>
    <w:rsid w:val="00CD2D65"/>
    <w:rsid w:val="00CD2E16"/>
    <w:rsid w:val="00CD3291"/>
    <w:rsid w:val="00CD337F"/>
    <w:rsid w:val="00CD33C9"/>
    <w:rsid w:val="00CD33E7"/>
    <w:rsid w:val="00CD344D"/>
    <w:rsid w:val="00CD3494"/>
    <w:rsid w:val="00CD3616"/>
    <w:rsid w:val="00CD362B"/>
    <w:rsid w:val="00CD3696"/>
    <w:rsid w:val="00CD37CA"/>
    <w:rsid w:val="00CD37E4"/>
    <w:rsid w:val="00CD37FB"/>
    <w:rsid w:val="00CD3862"/>
    <w:rsid w:val="00CD38A9"/>
    <w:rsid w:val="00CD3974"/>
    <w:rsid w:val="00CD3B10"/>
    <w:rsid w:val="00CD3BC2"/>
    <w:rsid w:val="00CD3BF0"/>
    <w:rsid w:val="00CD3DB5"/>
    <w:rsid w:val="00CD3E3B"/>
    <w:rsid w:val="00CD40DD"/>
    <w:rsid w:val="00CD4222"/>
    <w:rsid w:val="00CD4263"/>
    <w:rsid w:val="00CD4401"/>
    <w:rsid w:val="00CD445A"/>
    <w:rsid w:val="00CD4524"/>
    <w:rsid w:val="00CD461D"/>
    <w:rsid w:val="00CD464C"/>
    <w:rsid w:val="00CD47CB"/>
    <w:rsid w:val="00CD48A7"/>
    <w:rsid w:val="00CD48DD"/>
    <w:rsid w:val="00CD4BC8"/>
    <w:rsid w:val="00CD4C7A"/>
    <w:rsid w:val="00CD4FD7"/>
    <w:rsid w:val="00CD51F0"/>
    <w:rsid w:val="00CD53FC"/>
    <w:rsid w:val="00CD574B"/>
    <w:rsid w:val="00CD5767"/>
    <w:rsid w:val="00CD5850"/>
    <w:rsid w:val="00CD5A87"/>
    <w:rsid w:val="00CD5D12"/>
    <w:rsid w:val="00CD5E88"/>
    <w:rsid w:val="00CD6055"/>
    <w:rsid w:val="00CD6233"/>
    <w:rsid w:val="00CD6312"/>
    <w:rsid w:val="00CD654B"/>
    <w:rsid w:val="00CD6664"/>
    <w:rsid w:val="00CD6738"/>
    <w:rsid w:val="00CD6751"/>
    <w:rsid w:val="00CD67BC"/>
    <w:rsid w:val="00CD698F"/>
    <w:rsid w:val="00CD6AD4"/>
    <w:rsid w:val="00CD6CBD"/>
    <w:rsid w:val="00CD6CF1"/>
    <w:rsid w:val="00CD70CF"/>
    <w:rsid w:val="00CD7354"/>
    <w:rsid w:val="00CD749D"/>
    <w:rsid w:val="00CD75E3"/>
    <w:rsid w:val="00CD78DA"/>
    <w:rsid w:val="00CD7967"/>
    <w:rsid w:val="00CD7AC0"/>
    <w:rsid w:val="00CD7D97"/>
    <w:rsid w:val="00CD7DB8"/>
    <w:rsid w:val="00CD7DBA"/>
    <w:rsid w:val="00CD7F25"/>
    <w:rsid w:val="00CD7F42"/>
    <w:rsid w:val="00CE0032"/>
    <w:rsid w:val="00CE01AD"/>
    <w:rsid w:val="00CE01DC"/>
    <w:rsid w:val="00CE02F1"/>
    <w:rsid w:val="00CE04B2"/>
    <w:rsid w:val="00CE0520"/>
    <w:rsid w:val="00CE06E0"/>
    <w:rsid w:val="00CE084B"/>
    <w:rsid w:val="00CE0862"/>
    <w:rsid w:val="00CE0902"/>
    <w:rsid w:val="00CE0A12"/>
    <w:rsid w:val="00CE0BB0"/>
    <w:rsid w:val="00CE0BD0"/>
    <w:rsid w:val="00CE0C42"/>
    <w:rsid w:val="00CE0CF0"/>
    <w:rsid w:val="00CE0F55"/>
    <w:rsid w:val="00CE12F7"/>
    <w:rsid w:val="00CE15D3"/>
    <w:rsid w:val="00CE16BF"/>
    <w:rsid w:val="00CE1747"/>
    <w:rsid w:val="00CE1A16"/>
    <w:rsid w:val="00CE1B7F"/>
    <w:rsid w:val="00CE1CF6"/>
    <w:rsid w:val="00CE1D2C"/>
    <w:rsid w:val="00CE1F93"/>
    <w:rsid w:val="00CE223E"/>
    <w:rsid w:val="00CE22D1"/>
    <w:rsid w:val="00CE243F"/>
    <w:rsid w:val="00CE25D7"/>
    <w:rsid w:val="00CE26D8"/>
    <w:rsid w:val="00CE275D"/>
    <w:rsid w:val="00CE2764"/>
    <w:rsid w:val="00CE27BD"/>
    <w:rsid w:val="00CE28C1"/>
    <w:rsid w:val="00CE2A79"/>
    <w:rsid w:val="00CE2B3B"/>
    <w:rsid w:val="00CE2C9D"/>
    <w:rsid w:val="00CE2D76"/>
    <w:rsid w:val="00CE3176"/>
    <w:rsid w:val="00CE31E5"/>
    <w:rsid w:val="00CE3437"/>
    <w:rsid w:val="00CE362B"/>
    <w:rsid w:val="00CE372C"/>
    <w:rsid w:val="00CE3A75"/>
    <w:rsid w:val="00CE3B26"/>
    <w:rsid w:val="00CE3BF8"/>
    <w:rsid w:val="00CE3F50"/>
    <w:rsid w:val="00CE3FED"/>
    <w:rsid w:val="00CE4045"/>
    <w:rsid w:val="00CE40FA"/>
    <w:rsid w:val="00CE4149"/>
    <w:rsid w:val="00CE42D6"/>
    <w:rsid w:val="00CE43E7"/>
    <w:rsid w:val="00CE44D6"/>
    <w:rsid w:val="00CE4736"/>
    <w:rsid w:val="00CE47C8"/>
    <w:rsid w:val="00CE48BF"/>
    <w:rsid w:val="00CE4AE7"/>
    <w:rsid w:val="00CE4D66"/>
    <w:rsid w:val="00CE4DC2"/>
    <w:rsid w:val="00CE5033"/>
    <w:rsid w:val="00CE5074"/>
    <w:rsid w:val="00CE5240"/>
    <w:rsid w:val="00CE526B"/>
    <w:rsid w:val="00CE539A"/>
    <w:rsid w:val="00CE53FB"/>
    <w:rsid w:val="00CE5507"/>
    <w:rsid w:val="00CE5540"/>
    <w:rsid w:val="00CE55C4"/>
    <w:rsid w:val="00CE56FB"/>
    <w:rsid w:val="00CE573F"/>
    <w:rsid w:val="00CE5F59"/>
    <w:rsid w:val="00CE6053"/>
    <w:rsid w:val="00CE6097"/>
    <w:rsid w:val="00CE60F4"/>
    <w:rsid w:val="00CE6104"/>
    <w:rsid w:val="00CE6168"/>
    <w:rsid w:val="00CE6395"/>
    <w:rsid w:val="00CE63DB"/>
    <w:rsid w:val="00CE645B"/>
    <w:rsid w:val="00CE6504"/>
    <w:rsid w:val="00CE6658"/>
    <w:rsid w:val="00CE677E"/>
    <w:rsid w:val="00CE67FA"/>
    <w:rsid w:val="00CE6822"/>
    <w:rsid w:val="00CE6852"/>
    <w:rsid w:val="00CE685D"/>
    <w:rsid w:val="00CE692E"/>
    <w:rsid w:val="00CE6C4B"/>
    <w:rsid w:val="00CE6D42"/>
    <w:rsid w:val="00CE6D7D"/>
    <w:rsid w:val="00CE6DCF"/>
    <w:rsid w:val="00CE6DD5"/>
    <w:rsid w:val="00CE6EB3"/>
    <w:rsid w:val="00CE6F01"/>
    <w:rsid w:val="00CE6FE2"/>
    <w:rsid w:val="00CE6FF8"/>
    <w:rsid w:val="00CE7196"/>
    <w:rsid w:val="00CE7202"/>
    <w:rsid w:val="00CE729E"/>
    <w:rsid w:val="00CE74A5"/>
    <w:rsid w:val="00CE7538"/>
    <w:rsid w:val="00CE7591"/>
    <w:rsid w:val="00CE762E"/>
    <w:rsid w:val="00CE77B1"/>
    <w:rsid w:val="00CE77F1"/>
    <w:rsid w:val="00CE7CCB"/>
    <w:rsid w:val="00CE7CE4"/>
    <w:rsid w:val="00CE7D4C"/>
    <w:rsid w:val="00CF0062"/>
    <w:rsid w:val="00CF0190"/>
    <w:rsid w:val="00CF01C7"/>
    <w:rsid w:val="00CF0286"/>
    <w:rsid w:val="00CF02AB"/>
    <w:rsid w:val="00CF0314"/>
    <w:rsid w:val="00CF03C9"/>
    <w:rsid w:val="00CF051A"/>
    <w:rsid w:val="00CF0892"/>
    <w:rsid w:val="00CF0A62"/>
    <w:rsid w:val="00CF0BDB"/>
    <w:rsid w:val="00CF0D95"/>
    <w:rsid w:val="00CF0D9F"/>
    <w:rsid w:val="00CF0EB5"/>
    <w:rsid w:val="00CF0FA1"/>
    <w:rsid w:val="00CF0FE5"/>
    <w:rsid w:val="00CF1055"/>
    <w:rsid w:val="00CF11FF"/>
    <w:rsid w:val="00CF1237"/>
    <w:rsid w:val="00CF12F8"/>
    <w:rsid w:val="00CF1352"/>
    <w:rsid w:val="00CF14CA"/>
    <w:rsid w:val="00CF1959"/>
    <w:rsid w:val="00CF1966"/>
    <w:rsid w:val="00CF1979"/>
    <w:rsid w:val="00CF19B6"/>
    <w:rsid w:val="00CF1B62"/>
    <w:rsid w:val="00CF1BA8"/>
    <w:rsid w:val="00CF1C5E"/>
    <w:rsid w:val="00CF1D29"/>
    <w:rsid w:val="00CF1E3B"/>
    <w:rsid w:val="00CF1EF0"/>
    <w:rsid w:val="00CF2046"/>
    <w:rsid w:val="00CF2080"/>
    <w:rsid w:val="00CF20C6"/>
    <w:rsid w:val="00CF2220"/>
    <w:rsid w:val="00CF23DF"/>
    <w:rsid w:val="00CF23E9"/>
    <w:rsid w:val="00CF251F"/>
    <w:rsid w:val="00CF253E"/>
    <w:rsid w:val="00CF2745"/>
    <w:rsid w:val="00CF276C"/>
    <w:rsid w:val="00CF28CA"/>
    <w:rsid w:val="00CF28F4"/>
    <w:rsid w:val="00CF2952"/>
    <w:rsid w:val="00CF29C3"/>
    <w:rsid w:val="00CF29D0"/>
    <w:rsid w:val="00CF2C35"/>
    <w:rsid w:val="00CF2D78"/>
    <w:rsid w:val="00CF2F67"/>
    <w:rsid w:val="00CF303B"/>
    <w:rsid w:val="00CF31B6"/>
    <w:rsid w:val="00CF334C"/>
    <w:rsid w:val="00CF34AC"/>
    <w:rsid w:val="00CF34BC"/>
    <w:rsid w:val="00CF3682"/>
    <w:rsid w:val="00CF3995"/>
    <w:rsid w:val="00CF39A4"/>
    <w:rsid w:val="00CF39DE"/>
    <w:rsid w:val="00CF3A7B"/>
    <w:rsid w:val="00CF3B1C"/>
    <w:rsid w:val="00CF3BF7"/>
    <w:rsid w:val="00CF3C5F"/>
    <w:rsid w:val="00CF3C65"/>
    <w:rsid w:val="00CF3E59"/>
    <w:rsid w:val="00CF3E64"/>
    <w:rsid w:val="00CF3EA6"/>
    <w:rsid w:val="00CF3F0D"/>
    <w:rsid w:val="00CF3FBF"/>
    <w:rsid w:val="00CF4076"/>
    <w:rsid w:val="00CF4410"/>
    <w:rsid w:val="00CF462D"/>
    <w:rsid w:val="00CF4696"/>
    <w:rsid w:val="00CF48FB"/>
    <w:rsid w:val="00CF4A5B"/>
    <w:rsid w:val="00CF4BBC"/>
    <w:rsid w:val="00CF4D5C"/>
    <w:rsid w:val="00CF4E16"/>
    <w:rsid w:val="00CF4E9C"/>
    <w:rsid w:val="00CF4F5B"/>
    <w:rsid w:val="00CF4F83"/>
    <w:rsid w:val="00CF4F95"/>
    <w:rsid w:val="00CF5164"/>
    <w:rsid w:val="00CF5241"/>
    <w:rsid w:val="00CF537E"/>
    <w:rsid w:val="00CF5517"/>
    <w:rsid w:val="00CF554E"/>
    <w:rsid w:val="00CF55E2"/>
    <w:rsid w:val="00CF568A"/>
    <w:rsid w:val="00CF56BB"/>
    <w:rsid w:val="00CF572F"/>
    <w:rsid w:val="00CF57E7"/>
    <w:rsid w:val="00CF594B"/>
    <w:rsid w:val="00CF5AF7"/>
    <w:rsid w:val="00CF5C91"/>
    <w:rsid w:val="00CF5D66"/>
    <w:rsid w:val="00CF5DDC"/>
    <w:rsid w:val="00CF6128"/>
    <w:rsid w:val="00CF6156"/>
    <w:rsid w:val="00CF61A4"/>
    <w:rsid w:val="00CF61BF"/>
    <w:rsid w:val="00CF633E"/>
    <w:rsid w:val="00CF6346"/>
    <w:rsid w:val="00CF66D5"/>
    <w:rsid w:val="00CF68EE"/>
    <w:rsid w:val="00CF69A9"/>
    <w:rsid w:val="00CF6C14"/>
    <w:rsid w:val="00CF6CEE"/>
    <w:rsid w:val="00CF6D38"/>
    <w:rsid w:val="00CF6D90"/>
    <w:rsid w:val="00CF6D95"/>
    <w:rsid w:val="00CF6EFC"/>
    <w:rsid w:val="00CF6FFD"/>
    <w:rsid w:val="00CF7079"/>
    <w:rsid w:val="00CF707D"/>
    <w:rsid w:val="00CF70F5"/>
    <w:rsid w:val="00CF724C"/>
    <w:rsid w:val="00CF72F6"/>
    <w:rsid w:val="00CF7312"/>
    <w:rsid w:val="00CF753F"/>
    <w:rsid w:val="00CF760E"/>
    <w:rsid w:val="00CF7694"/>
    <w:rsid w:val="00CF78D3"/>
    <w:rsid w:val="00CF78E9"/>
    <w:rsid w:val="00CF790C"/>
    <w:rsid w:val="00CF79FA"/>
    <w:rsid w:val="00CF7B8C"/>
    <w:rsid w:val="00CF7BB5"/>
    <w:rsid w:val="00CF7C09"/>
    <w:rsid w:val="00CF7C81"/>
    <w:rsid w:val="00CF7C85"/>
    <w:rsid w:val="00CF7D79"/>
    <w:rsid w:val="00CF7EA6"/>
    <w:rsid w:val="00CF7EEA"/>
    <w:rsid w:val="00CF7F86"/>
    <w:rsid w:val="00CF7FCE"/>
    <w:rsid w:val="00D0034F"/>
    <w:rsid w:val="00D00496"/>
    <w:rsid w:val="00D004C8"/>
    <w:rsid w:val="00D0053B"/>
    <w:rsid w:val="00D0057E"/>
    <w:rsid w:val="00D005A3"/>
    <w:rsid w:val="00D005F7"/>
    <w:rsid w:val="00D006B0"/>
    <w:rsid w:val="00D00772"/>
    <w:rsid w:val="00D007DF"/>
    <w:rsid w:val="00D00894"/>
    <w:rsid w:val="00D00A82"/>
    <w:rsid w:val="00D00AF6"/>
    <w:rsid w:val="00D00CCF"/>
    <w:rsid w:val="00D00D64"/>
    <w:rsid w:val="00D00D74"/>
    <w:rsid w:val="00D00E8B"/>
    <w:rsid w:val="00D0122B"/>
    <w:rsid w:val="00D01278"/>
    <w:rsid w:val="00D0147D"/>
    <w:rsid w:val="00D01656"/>
    <w:rsid w:val="00D0166C"/>
    <w:rsid w:val="00D01875"/>
    <w:rsid w:val="00D0195E"/>
    <w:rsid w:val="00D019FE"/>
    <w:rsid w:val="00D01A35"/>
    <w:rsid w:val="00D01BC2"/>
    <w:rsid w:val="00D01BCA"/>
    <w:rsid w:val="00D01EFE"/>
    <w:rsid w:val="00D022A6"/>
    <w:rsid w:val="00D024C0"/>
    <w:rsid w:val="00D024CE"/>
    <w:rsid w:val="00D02553"/>
    <w:rsid w:val="00D02591"/>
    <w:rsid w:val="00D025E7"/>
    <w:rsid w:val="00D02933"/>
    <w:rsid w:val="00D0294E"/>
    <w:rsid w:val="00D02C58"/>
    <w:rsid w:val="00D02D48"/>
    <w:rsid w:val="00D02D8F"/>
    <w:rsid w:val="00D02E0A"/>
    <w:rsid w:val="00D02EBE"/>
    <w:rsid w:val="00D0302B"/>
    <w:rsid w:val="00D03079"/>
    <w:rsid w:val="00D030B9"/>
    <w:rsid w:val="00D0313E"/>
    <w:rsid w:val="00D031C0"/>
    <w:rsid w:val="00D032D8"/>
    <w:rsid w:val="00D03349"/>
    <w:rsid w:val="00D0342D"/>
    <w:rsid w:val="00D03465"/>
    <w:rsid w:val="00D03647"/>
    <w:rsid w:val="00D03719"/>
    <w:rsid w:val="00D039C0"/>
    <w:rsid w:val="00D03B99"/>
    <w:rsid w:val="00D03BD5"/>
    <w:rsid w:val="00D03BFA"/>
    <w:rsid w:val="00D03BFD"/>
    <w:rsid w:val="00D03D94"/>
    <w:rsid w:val="00D03E4C"/>
    <w:rsid w:val="00D03FC3"/>
    <w:rsid w:val="00D04101"/>
    <w:rsid w:val="00D042D8"/>
    <w:rsid w:val="00D0435F"/>
    <w:rsid w:val="00D0453B"/>
    <w:rsid w:val="00D04667"/>
    <w:rsid w:val="00D04725"/>
    <w:rsid w:val="00D04890"/>
    <w:rsid w:val="00D0497B"/>
    <w:rsid w:val="00D04C8F"/>
    <w:rsid w:val="00D04D61"/>
    <w:rsid w:val="00D04D85"/>
    <w:rsid w:val="00D04E54"/>
    <w:rsid w:val="00D04EB0"/>
    <w:rsid w:val="00D051E8"/>
    <w:rsid w:val="00D052E1"/>
    <w:rsid w:val="00D05371"/>
    <w:rsid w:val="00D05546"/>
    <w:rsid w:val="00D05563"/>
    <w:rsid w:val="00D0578E"/>
    <w:rsid w:val="00D05865"/>
    <w:rsid w:val="00D059B9"/>
    <w:rsid w:val="00D05E5D"/>
    <w:rsid w:val="00D05EFB"/>
    <w:rsid w:val="00D05FB8"/>
    <w:rsid w:val="00D05FEE"/>
    <w:rsid w:val="00D06010"/>
    <w:rsid w:val="00D0628B"/>
    <w:rsid w:val="00D062B1"/>
    <w:rsid w:val="00D06671"/>
    <w:rsid w:val="00D06686"/>
    <w:rsid w:val="00D06782"/>
    <w:rsid w:val="00D06822"/>
    <w:rsid w:val="00D068B5"/>
    <w:rsid w:val="00D06931"/>
    <w:rsid w:val="00D0696C"/>
    <w:rsid w:val="00D06DA7"/>
    <w:rsid w:val="00D06F31"/>
    <w:rsid w:val="00D070F2"/>
    <w:rsid w:val="00D07140"/>
    <w:rsid w:val="00D075A3"/>
    <w:rsid w:val="00D075A9"/>
    <w:rsid w:val="00D07612"/>
    <w:rsid w:val="00D077B9"/>
    <w:rsid w:val="00D077D2"/>
    <w:rsid w:val="00D07837"/>
    <w:rsid w:val="00D0784D"/>
    <w:rsid w:val="00D07935"/>
    <w:rsid w:val="00D07A10"/>
    <w:rsid w:val="00D07B4F"/>
    <w:rsid w:val="00D07C1E"/>
    <w:rsid w:val="00D07CD2"/>
    <w:rsid w:val="00D07F0A"/>
    <w:rsid w:val="00D07F80"/>
    <w:rsid w:val="00D1001B"/>
    <w:rsid w:val="00D10116"/>
    <w:rsid w:val="00D101F7"/>
    <w:rsid w:val="00D10238"/>
    <w:rsid w:val="00D10258"/>
    <w:rsid w:val="00D102D2"/>
    <w:rsid w:val="00D10350"/>
    <w:rsid w:val="00D107F5"/>
    <w:rsid w:val="00D10973"/>
    <w:rsid w:val="00D10B03"/>
    <w:rsid w:val="00D10B5D"/>
    <w:rsid w:val="00D10C87"/>
    <w:rsid w:val="00D10CF3"/>
    <w:rsid w:val="00D10E5D"/>
    <w:rsid w:val="00D10EBA"/>
    <w:rsid w:val="00D10F3B"/>
    <w:rsid w:val="00D10F62"/>
    <w:rsid w:val="00D11020"/>
    <w:rsid w:val="00D1106C"/>
    <w:rsid w:val="00D11103"/>
    <w:rsid w:val="00D1110A"/>
    <w:rsid w:val="00D1114F"/>
    <w:rsid w:val="00D1127E"/>
    <w:rsid w:val="00D11350"/>
    <w:rsid w:val="00D116FB"/>
    <w:rsid w:val="00D11732"/>
    <w:rsid w:val="00D118EF"/>
    <w:rsid w:val="00D11929"/>
    <w:rsid w:val="00D11931"/>
    <w:rsid w:val="00D11CE7"/>
    <w:rsid w:val="00D11D4B"/>
    <w:rsid w:val="00D11DE8"/>
    <w:rsid w:val="00D11E04"/>
    <w:rsid w:val="00D11E07"/>
    <w:rsid w:val="00D11F64"/>
    <w:rsid w:val="00D11F71"/>
    <w:rsid w:val="00D11FF6"/>
    <w:rsid w:val="00D122DB"/>
    <w:rsid w:val="00D12399"/>
    <w:rsid w:val="00D124DE"/>
    <w:rsid w:val="00D1252C"/>
    <w:rsid w:val="00D125DC"/>
    <w:rsid w:val="00D125F1"/>
    <w:rsid w:val="00D12658"/>
    <w:rsid w:val="00D128F4"/>
    <w:rsid w:val="00D1296D"/>
    <w:rsid w:val="00D129CE"/>
    <w:rsid w:val="00D12AEA"/>
    <w:rsid w:val="00D12BA3"/>
    <w:rsid w:val="00D12BE2"/>
    <w:rsid w:val="00D12C45"/>
    <w:rsid w:val="00D12C9F"/>
    <w:rsid w:val="00D12EA4"/>
    <w:rsid w:val="00D12F0C"/>
    <w:rsid w:val="00D12F2F"/>
    <w:rsid w:val="00D13074"/>
    <w:rsid w:val="00D13197"/>
    <w:rsid w:val="00D1319B"/>
    <w:rsid w:val="00D13263"/>
    <w:rsid w:val="00D135A5"/>
    <w:rsid w:val="00D13605"/>
    <w:rsid w:val="00D13688"/>
    <w:rsid w:val="00D13D71"/>
    <w:rsid w:val="00D13DA6"/>
    <w:rsid w:val="00D13E66"/>
    <w:rsid w:val="00D13ECC"/>
    <w:rsid w:val="00D140DA"/>
    <w:rsid w:val="00D141DB"/>
    <w:rsid w:val="00D145F5"/>
    <w:rsid w:val="00D1463B"/>
    <w:rsid w:val="00D146C0"/>
    <w:rsid w:val="00D14710"/>
    <w:rsid w:val="00D147ED"/>
    <w:rsid w:val="00D14830"/>
    <w:rsid w:val="00D148C5"/>
    <w:rsid w:val="00D148FF"/>
    <w:rsid w:val="00D1498F"/>
    <w:rsid w:val="00D149FA"/>
    <w:rsid w:val="00D14AB3"/>
    <w:rsid w:val="00D14C1A"/>
    <w:rsid w:val="00D14F9C"/>
    <w:rsid w:val="00D15289"/>
    <w:rsid w:val="00D15455"/>
    <w:rsid w:val="00D154B2"/>
    <w:rsid w:val="00D156B8"/>
    <w:rsid w:val="00D1584A"/>
    <w:rsid w:val="00D15955"/>
    <w:rsid w:val="00D15A7C"/>
    <w:rsid w:val="00D15AD7"/>
    <w:rsid w:val="00D15D0B"/>
    <w:rsid w:val="00D15D22"/>
    <w:rsid w:val="00D15EF8"/>
    <w:rsid w:val="00D160AA"/>
    <w:rsid w:val="00D1611B"/>
    <w:rsid w:val="00D161CE"/>
    <w:rsid w:val="00D1630B"/>
    <w:rsid w:val="00D16634"/>
    <w:rsid w:val="00D16698"/>
    <w:rsid w:val="00D16A09"/>
    <w:rsid w:val="00D16AAF"/>
    <w:rsid w:val="00D16B5B"/>
    <w:rsid w:val="00D16E44"/>
    <w:rsid w:val="00D16F73"/>
    <w:rsid w:val="00D1713E"/>
    <w:rsid w:val="00D171A9"/>
    <w:rsid w:val="00D171B1"/>
    <w:rsid w:val="00D172EC"/>
    <w:rsid w:val="00D174B0"/>
    <w:rsid w:val="00D174FC"/>
    <w:rsid w:val="00D17546"/>
    <w:rsid w:val="00D17661"/>
    <w:rsid w:val="00D1780D"/>
    <w:rsid w:val="00D1784F"/>
    <w:rsid w:val="00D17893"/>
    <w:rsid w:val="00D178FB"/>
    <w:rsid w:val="00D17923"/>
    <w:rsid w:val="00D17AAF"/>
    <w:rsid w:val="00D17E67"/>
    <w:rsid w:val="00D17E9A"/>
    <w:rsid w:val="00D17EC3"/>
    <w:rsid w:val="00D17EE2"/>
    <w:rsid w:val="00D17F70"/>
    <w:rsid w:val="00D2003C"/>
    <w:rsid w:val="00D20169"/>
    <w:rsid w:val="00D20247"/>
    <w:rsid w:val="00D2027D"/>
    <w:rsid w:val="00D2035F"/>
    <w:rsid w:val="00D20563"/>
    <w:rsid w:val="00D205A3"/>
    <w:rsid w:val="00D206A1"/>
    <w:rsid w:val="00D20977"/>
    <w:rsid w:val="00D20B82"/>
    <w:rsid w:val="00D20CCA"/>
    <w:rsid w:val="00D20CFF"/>
    <w:rsid w:val="00D20D0D"/>
    <w:rsid w:val="00D20DE6"/>
    <w:rsid w:val="00D20EB4"/>
    <w:rsid w:val="00D20FB1"/>
    <w:rsid w:val="00D212E0"/>
    <w:rsid w:val="00D21320"/>
    <w:rsid w:val="00D21355"/>
    <w:rsid w:val="00D2135D"/>
    <w:rsid w:val="00D21660"/>
    <w:rsid w:val="00D216D2"/>
    <w:rsid w:val="00D2172F"/>
    <w:rsid w:val="00D21734"/>
    <w:rsid w:val="00D21835"/>
    <w:rsid w:val="00D21BA9"/>
    <w:rsid w:val="00D21BE6"/>
    <w:rsid w:val="00D21C56"/>
    <w:rsid w:val="00D21CBB"/>
    <w:rsid w:val="00D21CC5"/>
    <w:rsid w:val="00D22194"/>
    <w:rsid w:val="00D2221A"/>
    <w:rsid w:val="00D22337"/>
    <w:rsid w:val="00D223A4"/>
    <w:rsid w:val="00D223C9"/>
    <w:rsid w:val="00D2254B"/>
    <w:rsid w:val="00D2284E"/>
    <w:rsid w:val="00D228AA"/>
    <w:rsid w:val="00D22A6B"/>
    <w:rsid w:val="00D22B3C"/>
    <w:rsid w:val="00D22BEE"/>
    <w:rsid w:val="00D22C63"/>
    <w:rsid w:val="00D22CED"/>
    <w:rsid w:val="00D22D14"/>
    <w:rsid w:val="00D22D7D"/>
    <w:rsid w:val="00D22E09"/>
    <w:rsid w:val="00D23119"/>
    <w:rsid w:val="00D233DA"/>
    <w:rsid w:val="00D2351E"/>
    <w:rsid w:val="00D237E2"/>
    <w:rsid w:val="00D23B4E"/>
    <w:rsid w:val="00D23BDF"/>
    <w:rsid w:val="00D23C55"/>
    <w:rsid w:val="00D23CE6"/>
    <w:rsid w:val="00D23DC7"/>
    <w:rsid w:val="00D23EB4"/>
    <w:rsid w:val="00D23EE8"/>
    <w:rsid w:val="00D23FDD"/>
    <w:rsid w:val="00D23FE7"/>
    <w:rsid w:val="00D24117"/>
    <w:rsid w:val="00D241BB"/>
    <w:rsid w:val="00D24236"/>
    <w:rsid w:val="00D2428D"/>
    <w:rsid w:val="00D2439A"/>
    <w:rsid w:val="00D243A6"/>
    <w:rsid w:val="00D243CB"/>
    <w:rsid w:val="00D2442A"/>
    <w:rsid w:val="00D244FD"/>
    <w:rsid w:val="00D246B7"/>
    <w:rsid w:val="00D247D3"/>
    <w:rsid w:val="00D24A0C"/>
    <w:rsid w:val="00D24BF7"/>
    <w:rsid w:val="00D24D24"/>
    <w:rsid w:val="00D24F52"/>
    <w:rsid w:val="00D250FB"/>
    <w:rsid w:val="00D2520C"/>
    <w:rsid w:val="00D25375"/>
    <w:rsid w:val="00D253BC"/>
    <w:rsid w:val="00D25508"/>
    <w:rsid w:val="00D2557E"/>
    <w:rsid w:val="00D2565F"/>
    <w:rsid w:val="00D256FA"/>
    <w:rsid w:val="00D257C7"/>
    <w:rsid w:val="00D258A6"/>
    <w:rsid w:val="00D25915"/>
    <w:rsid w:val="00D2595A"/>
    <w:rsid w:val="00D25985"/>
    <w:rsid w:val="00D259C2"/>
    <w:rsid w:val="00D25A02"/>
    <w:rsid w:val="00D25B19"/>
    <w:rsid w:val="00D25D35"/>
    <w:rsid w:val="00D25D41"/>
    <w:rsid w:val="00D25DDC"/>
    <w:rsid w:val="00D25E04"/>
    <w:rsid w:val="00D2600A"/>
    <w:rsid w:val="00D261C6"/>
    <w:rsid w:val="00D262DE"/>
    <w:rsid w:val="00D2634A"/>
    <w:rsid w:val="00D26413"/>
    <w:rsid w:val="00D26460"/>
    <w:rsid w:val="00D264C4"/>
    <w:rsid w:val="00D2652A"/>
    <w:rsid w:val="00D265AA"/>
    <w:rsid w:val="00D26644"/>
    <w:rsid w:val="00D26A69"/>
    <w:rsid w:val="00D26A9A"/>
    <w:rsid w:val="00D26ACC"/>
    <w:rsid w:val="00D26B52"/>
    <w:rsid w:val="00D26BFF"/>
    <w:rsid w:val="00D26E11"/>
    <w:rsid w:val="00D26E93"/>
    <w:rsid w:val="00D26EA8"/>
    <w:rsid w:val="00D270E3"/>
    <w:rsid w:val="00D2710A"/>
    <w:rsid w:val="00D27234"/>
    <w:rsid w:val="00D272B1"/>
    <w:rsid w:val="00D27371"/>
    <w:rsid w:val="00D2737C"/>
    <w:rsid w:val="00D27382"/>
    <w:rsid w:val="00D27488"/>
    <w:rsid w:val="00D274E2"/>
    <w:rsid w:val="00D275FA"/>
    <w:rsid w:val="00D275FB"/>
    <w:rsid w:val="00D27633"/>
    <w:rsid w:val="00D27822"/>
    <w:rsid w:val="00D278F2"/>
    <w:rsid w:val="00D27936"/>
    <w:rsid w:val="00D279C8"/>
    <w:rsid w:val="00D27B1B"/>
    <w:rsid w:val="00D27D13"/>
    <w:rsid w:val="00D27E55"/>
    <w:rsid w:val="00D27FC1"/>
    <w:rsid w:val="00D27FE0"/>
    <w:rsid w:val="00D3016F"/>
    <w:rsid w:val="00D301D7"/>
    <w:rsid w:val="00D304AF"/>
    <w:rsid w:val="00D304DE"/>
    <w:rsid w:val="00D3068C"/>
    <w:rsid w:val="00D308CC"/>
    <w:rsid w:val="00D30978"/>
    <w:rsid w:val="00D30A71"/>
    <w:rsid w:val="00D30B55"/>
    <w:rsid w:val="00D30D6D"/>
    <w:rsid w:val="00D31055"/>
    <w:rsid w:val="00D310F1"/>
    <w:rsid w:val="00D31152"/>
    <w:rsid w:val="00D312A2"/>
    <w:rsid w:val="00D3137A"/>
    <w:rsid w:val="00D313E6"/>
    <w:rsid w:val="00D3142B"/>
    <w:rsid w:val="00D316A1"/>
    <w:rsid w:val="00D316D9"/>
    <w:rsid w:val="00D3178E"/>
    <w:rsid w:val="00D317E3"/>
    <w:rsid w:val="00D3184D"/>
    <w:rsid w:val="00D31857"/>
    <w:rsid w:val="00D31975"/>
    <w:rsid w:val="00D31CF2"/>
    <w:rsid w:val="00D31D33"/>
    <w:rsid w:val="00D31DD1"/>
    <w:rsid w:val="00D31E2A"/>
    <w:rsid w:val="00D31F56"/>
    <w:rsid w:val="00D31F90"/>
    <w:rsid w:val="00D32039"/>
    <w:rsid w:val="00D32065"/>
    <w:rsid w:val="00D32159"/>
    <w:rsid w:val="00D32598"/>
    <w:rsid w:val="00D325B2"/>
    <w:rsid w:val="00D32663"/>
    <w:rsid w:val="00D3270E"/>
    <w:rsid w:val="00D32723"/>
    <w:rsid w:val="00D32737"/>
    <w:rsid w:val="00D327C6"/>
    <w:rsid w:val="00D3285B"/>
    <w:rsid w:val="00D329F1"/>
    <w:rsid w:val="00D32A53"/>
    <w:rsid w:val="00D32A55"/>
    <w:rsid w:val="00D32CAA"/>
    <w:rsid w:val="00D32CC5"/>
    <w:rsid w:val="00D32D05"/>
    <w:rsid w:val="00D32F5A"/>
    <w:rsid w:val="00D32F87"/>
    <w:rsid w:val="00D32FE7"/>
    <w:rsid w:val="00D330C2"/>
    <w:rsid w:val="00D330D9"/>
    <w:rsid w:val="00D331CF"/>
    <w:rsid w:val="00D3379D"/>
    <w:rsid w:val="00D3379F"/>
    <w:rsid w:val="00D337F0"/>
    <w:rsid w:val="00D33962"/>
    <w:rsid w:val="00D33A2A"/>
    <w:rsid w:val="00D33B29"/>
    <w:rsid w:val="00D33B96"/>
    <w:rsid w:val="00D33DC8"/>
    <w:rsid w:val="00D33E39"/>
    <w:rsid w:val="00D33E95"/>
    <w:rsid w:val="00D33ED7"/>
    <w:rsid w:val="00D33EF2"/>
    <w:rsid w:val="00D33F40"/>
    <w:rsid w:val="00D34099"/>
    <w:rsid w:val="00D341EB"/>
    <w:rsid w:val="00D3428A"/>
    <w:rsid w:val="00D3452F"/>
    <w:rsid w:val="00D345CD"/>
    <w:rsid w:val="00D34636"/>
    <w:rsid w:val="00D34648"/>
    <w:rsid w:val="00D3478C"/>
    <w:rsid w:val="00D348AA"/>
    <w:rsid w:val="00D348DA"/>
    <w:rsid w:val="00D34AB4"/>
    <w:rsid w:val="00D34ACA"/>
    <w:rsid w:val="00D34CBB"/>
    <w:rsid w:val="00D34D18"/>
    <w:rsid w:val="00D34D3F"/>
    <w:rsid w:val="00D34E6D"/>
    <w:rsid w:val="00D34E75"/>
    <w:rsid w:val="00D34EDC"/>
    <w:rsid w:val="00D34F0D"/>
    <w:rsid w:val="00D35012"/>
    <w:rsid w:val="00D3502A"/>
    <w:rsid w:val="00D35068"/>
    <w:rsid w:val="00D3507B"/>
    <w:rsid w:val="00D3507E"/>
    <w:rsid w:val="00D35235"/>
    <w:rsid w:val="00D3536E"/>
    <w:rsid w:val="00D35390"/>
    <w:rsid w:val="00D354B3"/>
    <w:rsid w:val="00D354DD"/>
    <w:rsid w:val="00D355F0"/>
    <w:rsid w:val="00D35A97"/>
    <w:rsid w:val="00D35CBA"/>
    <w:rsid w:val="00D35CC4"/>
    <w:rsid w:val="00D35D1E"/>
    <w:rsid w:val="00D35D21"/>
    <w:rsid w:val="00D35F3E"/>
    <w:rsid w:val="00D35FAE"/>
    <w:rsid w:val="00D361E4"/>
    <w:rsid w:val="00D36202"/>
    <w:rsid w:val="00D3632D"/>
    <w:rsid w:val="00D363F6"/>
    <w:rsid w:val="00D3643B"/>
    <w:rsid w:val="00D36515"/>
    <w:rsid w:val="00D36583"/>
    <w:rsid w:val="00D3658A"/>
    <w:rsid w:val="00D365C9"/>
    <w:rsid w:val="00D36767"/>
    <w:rsid w:val="00D36917"/>
    <w:rsid w:val="00D36CB2"/>
    <w:rsid w:val="00D36CDE"/>
    <w:rsid w:val="00D36EAA"/>
    <w:rsid w:val="00D36F35"/>
    <w:rsid w:val="00D37056"/>
    <w:rsid w:val="00D372C1"/>
    <w:rsid w:val="00D372DD"/>
    <w:rsid w:val="00D37302"/>
    <w:rsid w:val="00D3733A"/>
    <w:rsid w:val="00D3753E"/>
    <w:rsid w:val="00D376E5"/>
    <w:rsid w:val="00D377E4"/>
    <w:rsid w:val="00D37845"/>
    <w:rsid w:val="00D379D7"/>
    <w:rsid w:val="00D37B21"/>
    <w:rsid w:val="00D37B73"/>
    <w:rsid w:val="00D37D5D"/>
    <w:rsid w:val="00D37D62"/>
    <w:rsid w:val="00D37DC8"/>
    <w:rsid w:val="00D37EFB"/>
    <w:rsid w:val="00D4008D"/>
    <w:rsid w:val="00D40247"/>
    <w:rsid w:val="00D40438"/>
    <w:rsid w:val="00D404BF"/>
    <w:rsid w:val="00D40572"/>
    <w:rsid w:val="00D4067B"/>
    <w:rsid w:val="00D4071C"/>
    <w:rsid w:val="00D4073E"/>
    <w:rsid w:val="00D40769"/>
    <w:rsid w:val="00D407F7"/>
    <w:rsid w:val="00D4080A"/>
    <w:rsid w:val="00D40B2D"/>
    <w:rsid w:val="00D40B6E"/>
    <w:rsid w:val="00D40C49"/>
    <w:rsid w:val="00D40CA2"/>
    <w:rsid w:val="00D40CB1"/>
    <w:rsid w:val="00D40DB7"/>
    <w:rsid w:val="00D40F58"/>
    <w:rsid w:val="00D4105C"/>
    <w:rsid w:val="00D41098"/>
    <w:rsid w:val="00D41266"/>
    <w:rsid w:val="00D4144B"/>
    <w:rsid w:val="00D414BC"/>
    <w:rsid w:val="00D41750"/>
    <w:rsid w:val="00D417E3"/>
    <w:rsid w:val="00D417F1"/>
    <w:rsid w:val="00D41936"/>
    <w:rsid w:val="00D41A1A"/>
    <w:rsid w:val="00D41A73"/>
    <w:rsid w:val="00D41BBE"/>
    <w:rsid w:val="00D41C34"/>
    <w:rsid w:val="00D41CC0"/>
    <w:rsid w:val="00D41E0F"/>
    <w:rsid w:val="00D41E51"/>
    <w:rsid w:val="00D41E8C"/>
    <w:rsid w:val="00D41E96"/>
    <w:rsid w:val="00D41F31"/>
    <w:rsid w:val="00D41F65"/>
    <w:rsid w:val="00D41F89"/>
    <w:rsid w:val="00D42087"/>
    <w:rsid w:val="00D420B9"/>
    <w:rsid w:val="00D422BC"/>
    <w:rsid w:val="00D423C1"/>
    <w:rsid w:val="00D423D4"/>
    <w:rsid w:val="00D424C6"/>
    <w:rsid w:val="00D424D5"/>
    <w:rsid w:val="00D427DA"/>
    <w:rsid w:val="00D428DD"/>
    <w:rsid w:val="00D429C7"/>
    <w:rsid w:val="00D429F7"/>
    <w:rsid w:val="00D42C30"/>
    <w:rsid w:val="00D42DC3"/>
    <w:rsid w:val="00D43146"/>
    <w:rsid w:val="00D43179"/>
    <w:rsid w:val="00D431F0"/>
    <w:rsid w:val="00D4324C"/>
    <w:rsid w:val="00D43298"/>
    <w:rsid w:val="00D43417"/>
    <w:rsid w:val="00D43640"/>
    <w:rsid w:val="00D43789"/>
    <w:rsid w:val="00D43819"/>
    <w:rsid w:val="00D43AB9"/>
    <w:rsid w:val="00D43AC8"/>
    <w:rsid w:val="00D43AF1"/>
    <w:rsid w:val="00D43EAA"/>
    <w:rsid w:val="00D44145"/>
    <w:rsid w:val="00D441FA"/>
    <w:rsid w:val="00D44515"/>
    <w:rsid w:val="00D44556"/>
    <w:rsid w:val="00D445A3"/>
    <w:rsid w:val="00D445B8"/>
    <w:rsid w:val="00D4477B"/>
    <w:rsid w:val="00D44837"/>
    <w:rsid w:val="00D4493E"/>
    <w:rsid w:val="00D44A66"/>
    <w:rsid w:val="00D44ABC"/>
    <w:rsid w:val="00D44B14"/>
    <w:rsid w:val="00D44B3F"/>
    <w:rsid w:val="00D44B9A"/>
    <w:rsid w:val="00D44E27"/>
    <w:rsid w:val="00D44E93"/>
    <w:rsid w:val="00D44EFF"/>
    <w:rsid w:val="00D44F52"/>
    <w:rsid w:val="00D45297"/>
    <w:rsid w:val="00D45303"/>
    <w:rsid w:val="00D4530E"/>
    <w:rsid w:val="00D453C5"/>
    <w:rsid w:val="00D453E6"/>
    <w:rsid w:val="00D45AEE"/>
    <w:rsid w:val="00D46102"/>
    <w:rsid w:val="00D46107"/>
    <w:rsid w:val="00D462DE"/>
    <w:rsid w:val="00D46337"/>
    <w:rsid w:val="00D46499"/>
    <w:rsid w:val="00D46580"/>
    <w:rsid w:val="00D465B4"/>
    <w:rsid w:val="00D4668B"/>
    <w:rsid w:val="00D466D5"/>
    <w:rsid w:val="00D46797"/>
    <w:rsid w:val="00D469ED"/>
    <w:rsid w:val="00D46CD7"/>
    <w:rsid w:val="00D46E6A"/>
    <w:rsid w:val="00D46E81"/>
    <w:rsid w:val="00D47384"/>
    <w:rsid w:val="00D474A1"/>
    <w:rsid w:val="00D47500"/>
    <w:rsid w:val="00D47613"/>
    <w:rsid w:val="00D47980"/>
    <w:rsid w:val="00D479CA"/>
    <w:rsid w:val="00D47A3D"/>
    <w:rsid w:val="00D47ADB"/>
    <w:rsid w:val="00D47AFF"/>
    <w:rsid w:val="00D47CB0"/>
    <w:rsid w:val="00D47D49"/>
    <w:rsid w:val="00D47D60"/>
    <w:rsid w:val="00D47DB7"/>
    <w:rsid w:val="00D47F6E"/>
    <w:rsid w:val="00D47FD8"/>
    <w:rsid w:val="00D5006D"/>
    <w:rsid w:val="00D5009A"/>
    <w:rsid w:val="00D50109"/>
    <w:rsid w:val="00D50237"/>
    <w:rsid w:val="00D502FC"/>
    <w:rsid w:val="00D50306"/>
    <w:rsid w:val="00D50339"/>
    <w:rsid w:val="00D50724"/>
    <w:rsid w:val="00D50784"/>
    <w:rsid w:val="00D50839"/>
    <w:rsid w:val="00D50879"/>
    <w:rsid w:val="00D50AF1"/>
    <w:rsid w:val="00D50B3E"/>
    <w:rsid w:val="00D50BA7"/>
    <w:rsid w:val="00D50C92"/>
    <w:rsid w:val="00D50DEC"/>
    <w:rsid w:val="00D50DF6"/>
    <w:rsid w:val="00D51031"/>
    <w:rsid w:val="00D510AD"/>
    <w:rsid w:val="00D5111C"/>
    <w:rsid w:val="00D5129F"/>
    <w:rsid w:val="00D512DE"/>
    <w:rsid w:val="00D51365"/>
    <w:rsid w:val="00D51375"/>
    <w:rsid w:val="00D51458"/>
    <w:rsid w:val="00D514E0"/>
    <w:rsid w:val="00D51610"/>
    <w:rsid w:val="00D51721"/>
    <w:rsid w:val="00D5176F"/>
    <w:rsid w:val="00D5184E"/>
    <w:rsid w:val="00D51853"/>
    <w:rsid w:val="00D519CC"/>
    <w:rsid w:val="00D51A98"/>
    <w:rsid w:val="00D51B60"/>
    <w:rsid w:val="00D51D89"/>
    <w:rsid w:val="00D520FF"/>
    <w:rsid w:val="00D52389"/>
    <w:rsid w:val="00D5238F"/>
    <w:rsid w:val="00D52438"/>
    <w:rsid w:val="00D5256C"/>
    <w:rsid w:val="00D52659"/>
    <w:rsid w:val="00D52775"/>
    <w:rsid w:val="00D52922"/>
    <w:rsid w:val="00D52A0A"/>
    <w:rsid w:val="00D52B60"/>
    <w:rsid w:val="00D52C62"/>
    <w:rsid w:val="00D52D2E"/>
    <w:rsid w:val="00D52E5B"/>
    <w:rsid w:val="00D52E5C"/>
    <w:rsid w:val="00D530F9"/>
    <w:rsid w:val="00D5318A"/>
    <w:rsid w:val="00D53339"/>
    <w:rsid w:val="00D5351B"/>
    <w:rsid w:val="00D53616"/>
    <w:rsid w:val="00D53780"/>
    <w:rsid w:val="00D53875"/>
    <w:rsid w:val="00D538B5"/>
    <w:rsid w:val="00D53981"/>
    <w:rsid w:val="00D53A97"/>
    <w:rsid w:val="00D53B51"/>
    <w:rsid w:val="00D53C5C"/>
    <w:rsid w:val="00D53C6B"/>
    <w:rsid w:val="00D53C9F"/>
    <w:rsid w:val="00D53CFB"/>
    <w:rsid w:val="00D53D56"/>
    <w:rsid w:val="00D54050"/>
    <w:rsid w:val="00D54098"/>
    <w:rsid w:val="00D5412A"/>
    <w:rsid w:val="00D54169"/>
    <w:rsid w:val="00D541D2"/>
    <w:rsid w:val="00D54217"/>
    <w:rsid w:val="00D5421A"/>
    <w:rsid w:val="00D543B2"/>
    <w:rsid w:val="00D54506"/>
    <w:rsid w:val="00D5454D"/>
    <w:rsid w:val="00D5475F"/>
    <w:rsid w:val="00D54771"/>
    <w:rsid w:val="00D547AB"/>
    <w:rsid w:val="00D54800"/>
    <w:rsid w:val="00D54AAB"/>
    <w:rsid w:val="00D54B95"/>
    <w:rsid w:val="00D54D29"/>
    <w:rsid w:val="00D54D2F"/>
    <w:rsid w:val="00D54F46"/>
    <w:rsid w:val="00D54FF5"/>
    <w:rsid w:val="00D55098"/>
    <w:rsid w:val="00D551FA"/>
    <w:rsid w:val="00D552B3"/>
    <w:rsid w:val="00D55339"/>
    <w:rsid w:val="00D553D6"/>
    <w:rsid w:val="00D554B2"/>
    <w:rsid w:val="00D555DE"/>
    <w:rsid w:val="00D557D8"/>
    <w:rsid w:val="00D558C6"/>
    <w:rsid w:val="00D55957"/>
    <w:rsid w:val="00D559FC"/>
    <w:rsid w:val="00D55B3B"/>
    <w:rsid w:val="00D55C00"/>
    <w:rsid w:val="00D55C6E"/>
    <w:rsid w:val="00D55CB9"/>
    <w:rsid w:val="00D55FEF"/>
    <w:rsid w:val="00D56027"/>
    <w:rsid w:val="00D56099"/>
    <w:rsid w:val="00D56113"/>
    <w:rsid w:val="00D56227"/>
    <w:rsid w:val="00D56301"/>
    <w:rsid w:val="00D5645E"/>
    <w:rsid w:val="00D568BC"/>
    <w:rsid w:val="00D568E9"/>
    <w:rsid w:val="00D56916"/>
    <w:rsid w:val="00D5695A"/>
    <w:rsid w:val="00D56ACB"/>
    <w:rsid w:val="00D56AE9"/>
    <w:rsid w:val="00D56CF2"/>
    <w:rsid w:val="00D56DC4"/>
    <w:rsid w:val="00D56ED8"/>
    <w:rsid w:val="00D56EF2"/>
    <w:rsid w:val="00D572A1"/>
    <w:rsid w:val="00D572D2"/>
    <w:rsid w:val="00D57344"/>
    <w:rsid w:val="00D57380"/>
    <w:rsid w:val="00D57382"/>
    <w:rsid w:val="00D573AD"/>
    <w:rsid w:val="00D57479"/>
    <w:rsid w:val="00D578DD"/>
    <w:rsid w:val="00D579A4"/>
    <w:rsid w:val="00D57AF5"/>
    <w:rsid w:val="00D57C76"/>
    <w:rsid w:val="00D57CB3"/>
    <w:rsid w:val="00D57CF8"/>
    <w:rsid w:val="00D57DFF"/>
    <w:rsid w:val="00D60002"/>
    <w:rsid w:val="00D601F4"/>
    <w:rsid w:val="00D6027C"/>
    <w:rsid w:val="00D60281"/>
    <w:rsid w:val="00D60286"/>
    <w:rsid w:val="00D6034F"/>
    <w:rsid w:val="00D6048C"/>
    <w:rsid w:val="00D604FD"/>
    <w:rsid w:val="00D60838"/>
    <w:rsid w:val="00D60899"/>
    <w:rsid w:val="00D60945"/>
    <w:rsid w:val="00D60AD1"/>
    <w:rsid w:val="00D60D3F"/>
    <w:rsid w:val="00D60E55"/>
    <w:rsid w:val="00D60F1B"/>
    <w:rsid w:val="00D61063"/>
    <w:rsid w:val="00D61127"/>
    <w:rsid w:val="00D61180"/>
    <w:rsid w:val="00D6139B"/>
    <w:rsid w:val="00D61527"/>
    <w:rsid w:val="00D61557"/>
    <w:rsid w:val="00D615B3"/>
    <w:rsid w:val="00D617A6"/>
    <w:rsid w:val="00D61863"/>
    <w:rsid w:val="00D61946"/>
    <w:rsid w:val="00D6194D"/>
    <w:rsid w:val="00D61A3B"/>
    <w:rsid w:val="00D61B06"/>
    <w:rsid w:val="00D61B1B"/>
    <w:rsid w:val="00D61BD8"/>
    <w:rsid w:val="00D61BF3"/>
    <w:rsid w:val="00D61DAD"/>
    <w:rsid w:val="00D61DD5"/>
    <w:rsid w:val="00D61E2E"/>
    <w:rsid w:val="00D61E9E"/>
    <w:rsid w:val="00D620A4"/>
    <w:rsid w:val="00D62148"/>
    <w:rsid w:val="00D621BA"/>
    <w:rsid w:val="00D623CB"/>
    <w:rsid w:val="00D625A8"/>
    <w:rsid w:val="00D626DF"/>
    <w:rsid w:val="00D626E5"/>
    <w:rsid w:val="00D62716"/>
    <w:rsid w:val="00D628A0"/>
    <w:rsid w:val="00D62B47"/>
    <w:rsid w:val="00D62BC3"/>
    <w:rsid w:val="00D62ED4"/>
    <w:rsid w:val="00D63232"/>
    <w:rsid w:val="00D6329C"/>
    <w:rsid w:val="00D6331D"/>
    <w:rsid w:val="00D633CF"/>
    <w:rsid w:val="00D63469"/>
    <w:rsid w:val="00D6348B"/>
    <w:rsid w:val="00D6351D"/>
    <w:rsid w:val="00D6357A"/>
    <w:rsid w:val="00D6375D"/>
    <w:rsid w:val="00D637DF"/>
    <w:rsid w:val="00D639CF"/>
    <w:rsid w:val="00D63BCA"/>
    <w:rsid w:val="00D63C45"/>
    <w:rsid w:val="00D63D3D"/>
    <w:rsid w:val="00D63F85"/>
    <w:rsid w:val="00D63FC6"/>
    <w:rsid w:val="00D643F4"/>
    <w:rsid w:val="00D644A5"/>
    <w:rsid w:val="00D64513"/>
    <w:rsid w:val="00D64549"/>
    <w:rsid w:val="00D6464A"/>
    <w:rsid w:val="00D64737"/>
    <w:rsid w:val="00D64747"/>
    <w:rsid w:val="00D64761"/>
    <w:rsid w:val="00D647C5"/>
    <w:rsid w:val="00D64A86"/>
    <w:rsid w:val="00D64B07"/>
    <w:rsid w:val="00D64D87"/>
    <w:rsid w:val="00D64E24"/>
    <w:rsid w:val="00D64EA1"/>
    <w:rsid w:val="00D64F68"/>
    <w:rsid w:val="00D65137"/>
    <w:rsid w:val="00D6520C"/>
    <w:rsid w:val="00D65463"/>
    <w:rsid w:val="00D65518"/>
    <w:rsid w:val="00D6594F"/>
    <w:rsid w:val="00D659A7"/>
    <w:rsid w:val="00D65BBB"/>
    <w:rsid w:val="00D65C48"/>
    <w:rsid w:val="00D65CA2"/>
    <w:rsid w:val="00D65D69"/>
    <w:rsid w:val="00D65ED3"/>
    <w:rsid w:val="00D65FD6"/>
    <w:rsid w:val="00D66024"/>
    <w:rsid w:val="00D66025"/>
    <w:rsid w:val="00D6607F"/>
    <w:rsid w:val="00D6630E"/>
    <w:rsid w:val="00D66488"/>
    <w:rsid w:val="00D6649F"/>
    <w:rsid w:val="00D664CE"/>
    <w:rsid w:val="00D665CB"/>
    <w:rsid w:val="00D6660B"/>
    <w:rsid w:val="00D66905"/>
    <w:rsid w:val="00D6697B"/>
    <w:rsid w:val="00D669CA"/>
    <w:rsid w:val="00D66B0D"/>
    <w:rsid w:val="00D66C0C"/>
    <w:rsid w:val="00D66CE3"/>
    <w:rsid w:val="00D66E0B"/>
    <w:rsid w:val="00D66F75"/>
    <w:rsid w:val="00D670E6"/>
    <w:rsid w:val="00D67163"/>
    <w:rsid w:val="00D673B1"/>
    <w:rsid w:val="00D67564"/>
    <w:rsid w:val="00D67587"/>
    <w:rsid w:val="00D67666"/>
    <w:rsid w:val="00D6772B"/>
    <w:rsid w:val="00D6784E"/>
    <w:rsid w:val="00D67948"/>
    <w:rsid w:val="00D67AF1"/>
    <w:rsid w:val="00D67BA7"/>
    <w:rsid w:val="00D67BD6"/>
    <w:rsid w:val="00D67FF3"/>
    <w:rsid w:val="00D7020D"/>
    <w:rsid w:val="00D70349"/>
    <w:rsid w:val="00D70359"/>
    <w:rsid w:val="00D70425"/>
    <w:rsid w:val="00D7046C"/>
    <w:rsid w:val="00D7054A"/>
    <w:rsid w:val="00D707ED"/>
    <w:rsid w:val="00D70B22"/>
    <w:rsid w:val="00D70C25"/>
    <w:rsid w:val="00D70E51"/>
    <w:rsid w:val="00D70EC9"/>
    <w:rsid w:val="00D70FDC"/>
    <w:rsid w:val="00D7103E"/>
    <w:rsid w:val="00D7118C"/>
    <w:rsid w:val="00D71310"/>
    <w:rsid w:val="00D71423"/>
    <w:rsid w:val="00D71481"/>
    <w:rsid w:val="00D7167D"/>
    <w:rsid w:val="00D71821"/>
    <w:rsid w:val="00D7182A"/>
    <w:rsid w:val="00D71880"/>
    <w:rsid w:val="00D718E3"/>
    <w:rsid w:val="00D718F2"/>
    <w:rsid w:val="00D7193D"/>
    <w:rsid w:val="00D71A3E"/>
    <w:rsid w:val="00D71A69"/>
    <w:rsid w:val="00D71B0E"/>
    <w:rsid w:val="00D71C68"/>
    <w:rsid w:val="00D71DB1"/>
    <w:rsid w:val="00D71DC8"/>
    <w:rsid w:val="00D71EA0"/>
    <w:rsid w:val="00D71F29"/>
    <w:rsid w:val="00D71F70"/>
    <w:rsid w:val="00D72015"/>
    <w:rsid w:val="00D721C8"/>
    <w:rsid w:val="00D72253"/>
    <w:rsid w:val="00D7240C"/>
    <w:rsid w:val="00D7245A"/>
    <w:rsid w:val="00D725AF"/>
    <w:rsid w:val="00D7262A"/>
    <w:rsid w:val="00D726FA"/>
    <w:rsid w:val="00D7294D"/>
    <w:rsid w:val="00D72A94"/>
    <w:rsid w:val="00D72BD4"/>
    <w:rsid w:val="00D72BF4"/>
    <w:rsid w:val="00D72C6A"/>
    <w:rsid w:val="00D72C79"/>
    <w:rsid w:val="00D72D34"/>
    <w:rsid w:val="00D72E22"/>
    <w:rsid w:val="00D72E9F"/>
    <w:rsid w:val="00D730C4"/>
    <w:rsid w:val="00D7323E"/>
    <w:rsid w:val="00D73259"/>
    <w:rsid w:val="00D73290"/>
    <w:rsid w:val="00D73373"/>
    <w:rsid w:val="00D73378"/>
    <w:rsid w:val="00D733E8"/>
    <w:rsid w:val="00D735A3"/>
    <w:rsid w:val="00D737A7"/>
    <w:rsid w:val="00D73976"/>
    <w:rsid w:val="00D739AD"/>
    <w:rsid w:val="00D739C0"/>
    <w:rsid w:val="00D73CF9"/>
    <w:rsid w:val="00D73DCC"/>
    <w:rsid w:val="00D73F37"/>
    <w:rsid w:val="00D740EA"/>
    <w:rsid w:val="00D741DC"/>
    <w:rsid w:val="00D741F7"/>
    <w:rsid w:val="00D74301"/>
    <w:rsid w:val="00D7430E"/>
    <w:rsid w:val="00D74338"/>
    <w:rsid w:val="00D74412"/>
    <w:rsid w:val="00D74594"/>
    <w:rsid w:val="00D745E5"/>
    <w:rsid w:val="00D74619"/>
    <w:rsid w:val="00D748DE"/>
    <w:rsid w:val="00D74928"/>
    <w:rsid w:val="00D7499E"/>
    <w:rsid w:val="00D749E7"/>
    <w:rsid w:val="00D74BD3"/>
    <w:rsid w:val="00D74C63"/>
    <w:rsid w:val="00D74CE6"/>
    <w:rsid w:val="00D74DA5"/>
    <w:rsid w:val="00D74FD7"/>
    <w:rsid w:val="00D752F1"/>
    <w:rsid w:val="00D753C4"/>
    <w:rsid w:val="00D753CA"/>
    <w:rsid w:val="00D755C4"/>
    <w:rsid w:val="00D75680"/>
    <w:rsid w:val="00D7580E"/>
    <w:rsid w:val="00D759A6"/>
    <w:rsid w:val="00D75B00"/>
    <w:rsid w:val="00D75C75"/>
    <w:rsid w:val="00D75D24"/>
    <w:rsid w:val="00D75D93"/>
    <w:rsid w:val="00D75DEA"/>
    <w:rsid w:val="00D75E21"/>
    <w:rsid w:val="00D75EB5"/>
    <w:rsid w:val="00D75F95"/>
    <w:rsid w:val="00D76193"/>
    <w:rsid w:val="00D76225"/>
    <w:rsid w:val="00D76278"/>
    <w:rsid w:val="00D762BD"/>
    <w:rsid w:val="00D762C6"/>
    <w:rsid w:val="00D76398"/>
    <w:rsid w:val="00D76523"/>
    <w:rsid w:val="00D767B7"/>
    <w:rsid w:val="00D76880"/>
    <w:rsid w:val="00D768A6"/>
    <w:rsid w:val="00D76930"/>
    <w:rsid w:val="00D769FA"/>
    <w:rsid w:val="00D76A37"/>
    <w:rsid w:val="00D76A39"/>
    <w:rsid w:val="00D76C2C"/>
    <w:rsid w:val="00D76CDA"/>
    <w:rsid w:val="00D76E40"/>
    <w:rsid w:val="00D76EAC"/>
    <w:rsid w:val="00D77073"/>
    <w:rsid w:val="00D770D3"/>
    <w:rsid w:val="00D7712B"/>
    <w:rsid w:val="00D77271"/>
    <w:rsid w:val="00D773AD"/>
    <w:rsid w:val="00D773D5"/>
    <w:rsid w:val="00D774FE"/>
    <w:rsid w:val="00D77B38"/>
    <w:rsid w:val="00D77FB3"/>
    <w:rsid w:val="00D80070"/>
    <w:rsid w:val="00D801D7"/>
    <w:rsid w:val="00D801E5"/>
    <w:rsid w:val="00D80323"/>
    <w:rsid w:val="00D80360"/>
    <w:rsid w:val="00D803E6"/>
    <w:rsid w:val="00D8049D"/>
    <w:rsid w:val="00D8050C"/>
    <w:rsid w:val="00D80689"/>
    <w:rsid w:val="00D80800"/>
    <w:rsid w:val="00D80849"/>
    <w:rsid w:val="00D808C9"/>
    <w:rsid w:val="00D80A8C"/>
    <w:rsid w:val="00D80B0A"/>
    <w:rsid w:val="00D80E7E"/>
    <w:rsid w:val="00D8103F"/>
    <w:rsid w:val="00D81089"/>
    <w:rsid w:val="00D81116"/>
    <w:rsid w:val="00D81180"/>
    <w:rsid w:val="00D812CA"/>
    <w:rsid w:val="00D81373"/>
    <w:rsid w:val="00D8149C"/>
    <w:rsid w:val="00D8163E"/>
    <w:rsid w:val="00D81670"/>
    <w:rsid w:val="00D81763"/>
    <w:rsid w:val="00D8179B"/>
    <w:rsid w:val="00D818AB"/>
    <w:rsid w:val="00D819D5"/>
    <w:rsid w:val="00D81A1A"/>
    <w:rsid w:val="00D81A6A"/>
    <w:rsid w:val="00D81A77"/>
    <w:rsid w:val="00D81A87"/>
    <w:rsid w:val="00D81BEB"/>
    <w:rsid w:val="00D81BF4"/>
    <w:rsid w:val="00D81D7D"/>
    <w:rsid w:val="00D81E23"/>
    <w:rsid w:val="00D81F7B"/>
    <w:rsid w:val="00D82029"/>
    <w:rsid w:val="00D8204A"/>
    <w:rsid w:val="00D822C7"/>
    <w:rsid w:val="00D822D5"/>
    <w:rsid w:val="00D82366"/>
    <w:rsid w:val="00D825B9"/>
    <w:rsid w:val="00D826A9"/>
    <w:rsid w:val="00D8273E"/>
    <w:rsid w:val="00D827D5"/>
    <w:rsid w:val="00D82BA5"/>
    <w:rsid w:val="00D82BB9"/>
    <w:rsid w:val="00D82BE9"/>
    <w:rsid w:val="00D82C77"/>
    <w:rsid w:val="00D82CB9"/>
    <w:rsid w:val="00D82E7B"/>
    <w:rsid w:val="00D82EE0"/>
    <w:rsid w:val="00D82F1D"/>
    <w:rsid w:val="00D83167"/>
    <w:rsid w:val="00D83220"/>
    <w:rsid w:val="00D8332C"/>
    <w:rsid w:val="00D833D9"/>
    <w:rsid w:val="00D83548"/>
    <w:rsid w:val="00D83630"/>
    <w:rsid w:val="00D837B8"/>
    <w:rsid w:val="00D837D9"/>
    <w:rsid w:val="00D8398E"/>
    <w:rsid w:val="00D83A2B"/>
    <w:rsid w:val="00D83B39"/>
    <w:rsid w:val="00D83BA4"/>
    <w:rsid w:val="00D83BD9"/>
    <w:rsid w:val="00D83C6A"/>
    <w:rsid w:val="00D83C70"/>
    <w:rsid w:val="00D83E06"/>
    <w:rsid w:val="00D83E71"/>
    <w:rsid w:val="00D83ECC"/>
    <w:rsid w:val="00D8408B"/>
    <w:rsid w:val="00D84224"/>
    <w:rsid w:val="00D84377"/>
    <w:rsid w:val="00D843BB"/>
    <w:rsid w:val="00D84458"/>
    <w:rsid w:val="00D846AC"/>
    <w:rsid w:val="00D8474B"/>
    <w:rsid w:val="00D84800"/>
    <w:rsid w:val="00D848FA"/>
    <w:rsid w:val="00D84968"/>
    <w:rsid w:val="00D8499C"/>
    <w:rsid w:val="00D849E9"/>
    <w:rsid w:val="00D84B54"/>
    <w:rsid w:val="00D84B7F"/>
    <w:rsid w:val="00D84B99"/>
    <w:rsid w:val="00D84B9E"/>
    <w:rsid w:val="00D84C62"/>
    <w:rsid w:val="00D84D1F"/>
    <w:rsid w:val="00D84E1E"/>
    <w:rsid w:val="00D84E73"/>
    <w:rsid w:val="00D84ED5"/>
    <w:rsid w:val="00D84EF1"/>
    <w:rsid w:val="00D84EFF"/>
    <w:rsid w:val="00D84F7F"/>
    <w:rsid w:val="00D85121"/>
    <w:rsid w:val="00D85470"/>
    <w:rsid w:val="00D85573"/>
    <w:rsid w:val="00D855D4"/>
    <w:rsid w:val="00D8563C"/>
    <w:rsid w:val="00D856C4"/>
    <w:rsid w:val="00D85746"/>
    <w:rsid w:val="00D8594F"/>
    <w:rsid w:val="00D859A9"/>
    <w:rsid w:val="00D859EB"/>
    <w:rsid w:val="00D85A0E"/>
    <w:rsid w:val="00D85AB9"/>
    <w:rsid w:val="00D85F17"/>
    <w:rsid w:val="00D85F95"/>
    <w:rsid w:val="00D85FBA"/>
    <w:rsid w:val="00D86227"/>
    <w:rsid w:val="00D8632C"/>
    <w:rsid w:val="00D865A1"/>
    <w:rsid w:val="00D86710"/>
    <w:rsid w:val="00D867F6"/>
    <w:rsid w:val="00D86942"/>
    <w:rsid w:val="00D869D4"/>
    <w:rsid w:val="00D869F4"/>
    <w:rsid w:val="00D86A1F"/>
    <w:rsid w:val="00D86BEE"/>
    <w:rsid w:val="00D86C7C"/>
    <w:rsid w:val="00D86DBF"/>
    <w:rsid w:val="00D86E26"/>
    <w:rsid w:val="00D86F9F"/>
    <w:rsid w:val="00D87073"/>
    <w:rsid w:val="00D8718C"/>
    <w:rsid w:val="00D8727C"/>
    <w:rsid w:val="00D876C5"/>
    <w:rsid w:val="00D876DB"/>
    <w:rsid w:val="00D8784D"/>
    <w:rsid w:val="00D879F1"/>
    <w:rsid w:val="00D87AB2"/>
    <w:rsid w:val="00D87B6A"/>
    <w:rsid w:val="00D87C1F"/>
    <w:rsid w:val="00D87D62"/>
    <w:rsid w:val="00D87E0E"/>
    <w:rsid w:val="00D87EEE"/>
    <w:rsid w:val="00D90033"/>
    <w:rsid w:val="00D90087"/>
    <w:rsid w:val="00D900DB"/>
    <w:rsid w:val="00D90226"/>
    <w:rsid w:val="00D9022A"/>
    <w:rsid w:val="00D902B8"/>
    <w:rsid w:val="00D902BA"/>
    <w:rsid w:val="00D9035D"/>
    <w:rsid w:val="00D90387"/>
    <w:rsid w:val="00D904CF"/>
    <w:rsid w:val="00D904E3"/>
    <w:rsid w:val="00D9050F"/>
    <w:rsid w:val="00D905C4"/>
    <w:rsid w:val="00D90956"/>
    <w:rsid w:val="00D9099D"/>
    <w:rsid w:val="00D909B9"/>
    <w:rsid w:val="00D90A53"/>
    <w:rsid w:val="00D90A98"/>
    <w:rsid w:val="00D90AB2"/>
    <w:rsid w:val="00D90C89"/>
    <w:rsid w:val="00D90CAF"/>
    <w:rsid w:val="00D90DC7"/>
    <w:rsid w:val="00D90F8A"/>
    <w:rsid w:val="00D90FC3"/>
    <w:rsid w:val="00D90FE8"/>
    <w:rsid w:val="00D9100B"/>
    <w:rsid w:val="00D91071"/>
    <w:rsid w:val="00D912A5"/>
    <w:rsid w:val="00D913EB"/>
    <w:rsid w:val="00D914E6"/>
    <w:rsid w:val="00D9156F"/>
    <w:rsid w:val="00D917C3"/>
    <w:rsid w:val="00D9190D"/>
    <w:rsid w:val="00D9198A"/>
    <w:rsid w:val="00D91A0E"/>
    <w:rsid w:val="00D91E12"/>
    <w:rsid w:val="00D91FF4"/>
    <w:rsid w:val="00D9219E"/>
    <w:rsid w:val="00D922CF"/>
    <w:rsid w:val="00D9231D"/>
    <w:rsid w:val="00D92358"/>
    <w:rsid w:val="00D92392"/>
    <w:rsid w:val="00D92597"/>
    <w:rsid w:val="00D925D5"/>
    <w:rsid w:val="00D925FE"/>
    <w:rsid w:val="00D9263D"/>
    <w:rsid w:val="00D92769"/>
    <w:rsid w:val="00D92887"/>
    <w:rsid w:val="00D928E0"/>
    <w:rsid w:val="00D928EC"/>
    <w:rsid w:val="00D929F8"/>
    <w:rsid w:val="00D92B75"/>
    <w:rsid w:val="00D92E91"/>
    <w:rsid w:val="00D92EBA"/>
    <w:rsid w:val="00D92EE3"/>
    <w:rsid w:val="00D92FBD"/>
    <w:rsid w:val="00D92FC1"/>
    <w:rsid w:val="00D931B7"/>
    <w:rsid w:val="00D9323C"/>
    <w:rsid w:val="00D932DC"/>
    <w:rsid w:val="00D932FF"/>
    <w:rsid w:val="00D933D2"/>
    <w:rsid w:val="00D93648"/>
    <w:rsid w:val="00D937D2"/>
    <w:rsid w:val="00D93847"/>
    <w:rsid w:val="00D93923"/>
    <w:rsid w:val="00D9398E"/>
    <w:rsid w:val="00D939E6"/>
    <w:rsid w:val="00D93CDE"/>
    <w:rsid w:val="00D93D10"/>
    <w:rsid w:val="00D93DA5"/>
    <w:rsid w:val="00D94223"/>
    <w:rsid w:val="00D94345"/>
    <w:rsid w:val="00D94383"/>
    <w:rsid w:val="00D9450B"/>
    <w:rsid w:val="00D94589"/>
    <w:rsid w:val="00D94666"/>
    <w:rsid w:val="00D946A6"/>
    <w:rsid w:val="00D94708"/>
    <w:rsid w:val="00D94A2C"/>
    <w:rsid w:val="00D94A50"/>
    <w:rsid w:val="00D94B7C"/>
    <w:rsid w:val="00D94DCF"/>
    <w:rsid w:val="00D94E61"/>
    <w:rsid w:val="00D94EAE"/>
    <w:rsid w:val="00D9528B"/>
    <w:rsid w:val="00D95481"/>
    <w:rsid w:val="00D954C9"/>
    <w:rsid w:val="00D955CF"/>
    <w:rsid w:val="00D9579F"/>
    <w:rsid w:val="00D957F1"/>
    <w:rsid w:val="00D9592E"/>
    <w:rsid w:val="00D95AB2"/>
    <w:rsid w:val="00D95B47"/>
    <w:rsid w:val="00D95DCF"/>
    <w:rsid w:val="00D95F88"/>
    <w:rsid w:val="00D96002"/>
    <w:rsid w:val="00D9659E"/>
    <w:rsid w:val="00D966B9"/>
    <w:rsid w:val="00D96751"/>
    <w:rsid w:val="00D967FA"/>
    <w:rsid w:val="00D9689B"/>
    <w:rsid w:val="00D96922"/>
    <w:rsid w:val="00D96980"/>
    <w:rsid w:val="00D96A3D"/>
    <w:rsid w:val="00D96B08"/>
    <w:rsid w:val="00D96D48"/>
    <w:rsid w:val="00D96E5A"/>
    <w:rsid w:val="00D96FBE"/>
    <w:rsid w:val="00D96FF1"/>
    <w:rsid w:val="00D97018"/>
    <w:rsid w:val="00D97095"/>
    <w:rsid w:val="00D971EC"/>
    <w:rsid w:val="00D97531"/>
    <w:rsid w:val="00D97546"/>
    <w:rsid w:val="00D97617"/>
    <w:rsid w:val="00D97666"/>
    <w:rsid w:val="00D977A5"/>
    <w:rsid w:val="00D9792F"/>
    <w:rsid w:val="00D979C5"/>
    <w:rsid w:val="00D979DC"/>
    <w:rsid w:val="00D97A6B"/>
    <w:rsid w:val="00D97B04"/>
    <w:rsid w:val="00D97C08"/>
    <w:rsid w:val="00D97C35"/>
    <w:rsid w:val="00D97DD8"/>
    <w:rsid w:val="00D97E03"/>
    <w:rsid w:val="00D97E72"/>
    <w:rsid w:val="00D97EF2"/>
    <w:rsid w:val="00D97FE0"/>
    <w:rsid w:val="00DA001C"/>
    <w:rsid w:val="00DA0275"/>
    <w:rsid w:val="00DA028A"/>
    <w:rsid w:val="00DA02B7"/>
    <w:rsid w:val="00DA039B"/>
    <w:rsid w:val="00DA05B7"/>
    <w:rsid w:val="00DA0633"/>
    <w:rsid w:val="00DA068D"/>
    <w:rsid w:val="00DA0718"/>
    <w:rsid w:val="00DA0789"/>
    <w:rsid w:val="00DA09C8"/>
    <w:rsid w:val="00DA0A5F"/>
    <w:rsid w:val="00DA0C24"/>
    <w:rsid w:val="00DA0C3F"/>
    <w:rsid w:val="00DA0C83"/>
    <w:rsid w:val="00DA0EC2"/>
    <w:rsid w:val="00DA1011"/>
    <w:rsid w:val="00DA1154"/>
    <w:rsid w:val="00DA1180"/>
    <w:rsid w:val="00DA13F1"/>
    <w:rsid w:val="00DA1574"/>
    <w:rsid w:val="00DA1613"/>
    <w:rsid w:val="00DA168A"/>
    <w:rsid w:val="00DA16BA"/>
    <w:rsid w:val="00DA176D"/>
    <w:rsid w:val="00DA19DB"/>
    <w:rsid w:val="00DA1A63"/>
    <w:rsid w:val="00DA1AAB"/>
    <w:rsid w:val="00DA1BBF"/>
    <w:rsid w:val="00DA1C80"/>
    <w:rsid w:val="00DA1E28"/>
    <w:rsid w:val="00DA1E5B"/>
    <w:rsid w:val="00DA203B"/>
    <w:rsid w:val="00DA2177"/>
    <w:rsid w:val="00DA2217"/>
    <w:rsid w:val="00DA228E"/>
    <w:rsid w:val="00DA2538"/>
    <w:rsid w:val="00DA259A"/>
    <w:rsid w:val="00DA26E3"/>
    <w:rsid w:val="00DA2708"/>
    <w:rsid w:val="00DA27B1"/>
    <w:rsid w:val="00DA295A"/>
    <w:rsid w:val="00DA2965"/>
    <w:rsid w:val="00DA2A99"/>
    <w:rsid w:val="00DA2A9F"/>
    <w:rsid w:val="00DA2BEE"/>
    <w:rsid w:val="00DA2C85"/>
    <w:rsid w:val="00DA2D2D"/>
    <w:rsid w:val="00DA2F37"/>
    <w:rsid w:val="00DA2F9C"/>
    <w:rsid w:val="00DA3268"/>
    <w:rsid w:val="00DA339B"/>
    <w:rsid w:val="00DA33DE"/>
    <w:rsid w:val="00DA340A"/>
    <w:rsid w:val="00DA3436"/>
    <w:rsid w:val="00DA3566"/>
    <w:rsid w:val="00DA3627"/>
    <w:rsid w:val="00DA369C"/>
    <w:rsid w:val="00DA36C5"/>
    <w:rsid w:val="00DA36F9"/>
    <w:rsid w:val="00DA37AC"/>
    <w:rsid w:val="00DA3815"/>
    <w:rsid w:val="00DA3835"/>
    <w:rsid w:val="00DA3890"/>
    <w:rsid w:val="00DA3969"/>
    <w:rsid w:val="00DA3B92"/>
    <w:rsid w:val="00DA3C14"/>
    <w:rsid w:val="00DA3DE3"/>
    <w:rsid w:val="00DA3E0A"/>
    <w:rsid w:val="00DA3E54"/>
    <w:rsid w:val="00DA400C"/>
    <w:rsid w:val="00DA4020"/>
    <w:rsid w:val="00DA41BC"/>
    <w:rsid w:val="00DA41DD"/>
    <w:rsid w:val="00DA4318"/>
    <w:rsid w:val="00DA4374"/>
    <w:rsid w:val="00DA449D"/>
    <w:rsid w:val="00DA4549"/>
    <w:rsid w:val="00DA498A"/>
    <w:rsid w:val="00DA4A1A"/>
    <w:rsid w:val="00DA4B41"/>
    <w:rsid w:val="00DA4C5D"/>
    <w:rsid w:val="00DA4D8B"/>
    <w:rsid w:val="00DA4E12"/>
    <w:rsid w:val="00DA4E4D"/>
    <w:rsid w:val="00DA4EF9"/>
    <w:rsid w:val="00DA506F"/>
    <w:rsid w:val="00DA50C1"/>
    <w:rsid w:val="00DA5198"/>
    <w:rsid w:val="00DA51C6"/>
    <w:rsid w:val="00DA51F1"/>
    <w:rsid w:val="00DA542F"/>
    <w:rsid w:val="00DA544E"/>
    <w:rsid w:val="00DA5680"/>
    <w:rsid w:val="00DA56B4"/>
    <w:rsid w:val="00DA56C8"/>
    <w:rsid w:val="00DA5719"/>
    <w:rsid w:val="00DA586F"/>
    <w:rsid w:val="00DA599F"/>
    <w:rsid w:val="00DA5A7D"/>
    <w:rsid w:val="00DA5AA5"/>
    <w:rsid w:val="00DA5B73"/>
    <w:rsid w:val="00DA5BAB"/>
    <w:rsid w:val="00DA5BD9"/>
    <w:rsid w:val="00DA5C28"/>
    <w:rsid w:val="00DA5C83"/>
    <w:rsid w:val="00DA5E17"/>
    <w:rsid w:val="00DA5EC8"/>
    <w:rsid w:val="00DA5FDB"/>
    <w:rsid w:val="00DA60F7"/>
    <w:rsid w:val="00DA61AA"/>
    <w:rsid w:val="00DA61D3"/>
    <w:rsid w:val="00DA625D"/>
    <w:rsid w:val="00DA6519"/>
    <w:rsid w:val="00DA6C65"/>
    <w:rsid w:val="00DA6D7A"/>
    <w:rsid w:val="00DA6F7B"/>
    <w:rsid w:val="00DA6FE4"/>
    <w:rsid w:val="00DA707A"/>
    <w:rsid w:val="00DA724B"/>
    <w:rsid w:val="00DA725C"/>
    <w:rsid w:val="00DA73ED"/>
    <w:rsid w:val="00DA749E"/>
    <w:rsid w:val="00DA74FC"/>
    <w:rsid w:val="00DA7657"/>
    <w:rsid w:val="00DA7669"/>
    <w:rsid w:val="00DA7671"/>
    <w:rsid w:val="00DA77A7"/>
    <w:rsid w:val="00DA7838"/>
    <w:rsid w:val="00DA7997"/>
    <w:rsid w:val="00DA7B4B"/>
    <w:rsid w:val="00DA7B5D"/>
    <w:rsid w:val="00DA7B9C"/>
    <w:rsid w:val="00DA7BD7"/>
    <w:rsid w:val="00DA7DCB"/>
    <w:rsid w:val="00DA7F27"/>
    <w:rsid w:val="00DA7F4A"/>
    <w:rsid w:val="00DA7FBA"/>
    <w:rsid w:val="00DB027A"/>
    <w:rsid w:val="00DB032E"/>
    <w:rsid w:val="00DB03AB"/>
    <w:rsid w:val="00DB04D2"/>
    <w:rsid w:val="00DB05BC"/>
    <w:rsid w:val="00DB05EC"/>
    <w:rsid w:val="00DB08DA"/>
    <w:rsid w:val="00DB091C"/>
    <w:rsid w:val="00DB09B6"/>
    <w:rsid w:val="00DB0A03"/>
    <w:rsid w:val="00DB0A95"/>
    <w:rsid w:val="00DB0B08"/>
    <w:rsid w:val="00DB0B58"/>
    <w:rsid w:val="00DB0E2F"/>
    <w:rsid w:val="00DB1079"/>
    <w:rsid w:val="00DB10ED"/>
    <w:rsid w:val="00DB1142"/>
    <w:rsid w:val="00DB13B5"/>
    <w:rsid w:val="00DB13BF"/>
    <w:rsid w:val="00DB13D9"/>
    <w:rsid w:val="00DB14B3"/>
    <w:rsid w:val="00DB16BA"/>
    <w:rsid w:val="00DB193E"/>
    <w:rsid w:val="00DB1C84"/>
    <w:rsid w:val="00DB1D8B"/>
    <w:rsid w:val="00DB1E6F"/>
    <w:rsid w:val="00DB1F7F"/>
    <w:rsid w:val="00DB2104"/>
    <w:rsid w:val="00DB21E1"/>
    <w:rsid w:val="00DB2204"/>
    <w:rsid w:val="00DB22AE"/>
    <w:rsid w:val="00DB22B7"/>
    <w:rsid w:val="00DB2306"/>
    <w:rsid w:val="00DB23C7"/>
    <w:rsid w:val="00DB242E"/>
    <w:rsid w:val="00DB25B5"/>
    <w:rsid w:val="00DB2662"/>
    <w:rsid w:val="00DB268F"/>
    <w:rsid w:val="00DB2856"/>
    <w:rsid w:val="00DB2C18"/>
    <w:rsid w:val="00DB2CA0"/>
    <w:rsid w:val="00DB2D3B"/>
    <w:rsid w:val="00DB2DC3"/>
    <w:rsid w:val="00DB2F30"/>
    <w:rsid w:val="00DB3007"/>
    <w:rsid w:val="00DB3062"/>
    <w:rsid w:val="00DB3182"/>
    <w:rsid w:val="00DB31DE"/>
    <w:rsid w:val="00DB3231"/>
    <w:rsid w:val="00DB325A"/>
    <w:rsid w:val="00DB34A5"/>
    <w:rsid w:val="00DB3554"/>
    <w:rsid w:val="00DB35AE"/>
    <w:rsid w:val="00DB3997"/>
    <w:rsid w:val="00DB39B1"/>
    <w:rsid w:val="00DB3B56"/>
    <w:rsid w:val="00DB3EBC"/>
    <w:rsid w:val="00DB3F0F"/>
    <w:rsid w:val="00DB3F12"/>
    <w:rsid w:val="00DB3F43"/>
    <w:rsid w:val="00DB3FA9"/>
    <w:rsid w:val="00DB3FFB"/>
    <w:rsid w:val="00DB4057"/>
    <w:rsid w:val="00DB418E"/>
    <w:rsid w:val="00DB41B5"/>
    <w:rsid w:val="00DB4226"/>
    <w:rsid w:val="00DB42FF"/>
    <w:rsid w:val="00DB430F"/>
    <w:rsid w:val="00DB4381"/>
    <w:rsid w:val="00DB4885"/>
    <w:rsid w:val="00DB49F2"/>
    <w:rsid w:val="00DB4B29"/>
    <w:rsid w:val="00DB4C60"/>
    <w:rsid w:val="00DB4C91"/>
    <w:rsid w:val="00DB4C9D"/>
    <w:rsid w:val="00DB4D18"/>
    <w:rsid w:val="00DB4EFC"/>
    <w:rsid w:val="00DB4F1B"/>
    <w:rsid w:val="00DB4F9B"/>
    <w:rsid w:val="00DB5069"/>
    <w:rsid w:val="00DB5112"/>
    <w:rsid w:val="00DB51A0"/>
    <w:rsid w:val="00DB51ED"/>
    <w:rsid w:val="00DB52F7"/>
    <w:rsid w:val="00DB539C"/>
    <w:rsid w:val="00DB54B8"/>
    <w:rsid w:val="00DB54D5"/>
    <w:rsid w:val="00DB5513"/>
    <w:rsid w:val="00DB55A3"/>
    <w:rsid w:val="00DB55E3"/>
    <w:rsid w:val="00DB575C"/>
    <w:rsid w:val="00DB585F"/>
    <w:rsid w:val="00DB58B9"/>
    <w:rsid w:val="00DB5981"/>
    <w:rsid w:val="00DB5ACB"/>
    <w:rsid w:val="00DB5B95"/>
    <w:rsid w:val="00DB5CF8"/>
    <w:rsid w:val="00DB5CFD"/>
    <w:rsid w:val="00DB5DCE"/>
    <w:rsid w:val="00DB5E34"/>
    <w:rsid w:val="00DB5FC1"/>
    <w:rsid w:val="00DB607E"/>
    <w:rsid w:val="00DB6214"/>
    <w:rsid w:val="00DB6460"/>
    <w:rsid w:val="00DB66C7"/>
    <w:rsid w:val="00DB67B5"/>
    <w:rsid w:val="00DB6A19"/>
    <w:rsid w:val="00DB6A34"/>
    <w:rsid w:val="00DB6B59"/>
    <w:rsid w:val="00DB6CD1"/>
    <w:rsid w:val="00DB6D11"/>
    <w:rsid w:val="00DB6DE6"/>
    <w:rsid w:val="00DB6E2D"/>
    <w:rsid w:val="00DB701B"/>
    <w:rsid w:val="00DB7095"/>
    <w:rsid w:val="00DB70BC"/>
    <w:rsid w:val="00DB70D7"/>
    <w:rsid w:val="00DB711E"/>
    <w:rsid w:val="00DB720F"/>
    <w:rsid w:val="00DB7630"/>
    <w:rsid w:val="00DB76B0"/>
    <w:rsid w:val="00DB76D4"/>
    <w:rsid w:val="00DB7732"/>
    <w:rsid w:val="00DB787E"/>
    <w:rsid w:val="00DB78CA"/>
    <w:rsid w:val="00DB7904"/>
    <w:rsid w:val="00DB7A4F"/>
    <w:rsid w:val="00DB7AA6"/>
    <w:rsid w:val="00DB7BAB"/>
    <w:rsid w:val="00DB7C60"/>
    <w:rsid w:val="00DB7DFB"/>
    <w:rsid w:val="00DB7ED6"/>
    <w:rsid w:val="00DB7F09"/>
    <w:rsid w:val="00DC000F"/>
    <w:rsid w:val="00DC00E8"/>
    <w:rsid w:val="00DC018B"/>
    <w:rsid w:val="00DC03EE"/>
    <w:rsid w:val="00DC0484"/>
    <w:rsid w:val="00DC072F"/>
    <w:rsid w:val="00DC087D"/>
    <w:rsid w:val="00DC0922"/>
    <w:rsid w:val="00DC0A97"/>
    <w:rsid w:val="00DC0AAC"/>
    <w:rsid w:val="00DC0AC0"/>
    <w:rsid w:val="00DC0AD9"/>
    <w:rsid w:val="00DC0C37"/>
    <w:rsid w:val="00DC0C7B"/>
    <w:rsid w:val="00DC0D5E"/>
    <w:rsid w:val="00DC0FA3"/>
    <w:rsid w:val="00DC1244"/>
    <w:rsid w:val="00DC125E"/>
    <w:rsid w:val="00DC12C3"/>
    <w:rsid w:val="00DC140F"/>
    <w:rsid w:val="00DC14E0"/>
    <w:rsid w:val="00DC1509"/>
    <w:rsid w:val="00DC1590"/>
    <w:rsid w:val="00DC16F4"/>
    <w:rsid w:val="00DC17BF"/>
    <w:rsid w:val="00DC18BD"/>
    <w:rsid w:val="00DC1A3C"/>
    <w:rsid w:val="00DC1AFE"/>
    <w:rsid w:val="00DC1BDC"/>
    <w:rsid w:val="00DC1BF4"/>
    <w:rsid w:val="00DC1C56"/>
    <w:rsid w:val="00DC1D2E"/>
    <w:rsid w:val="00DC1D98"/>
    <w:rsid w:val="00DC1D9C"/>
    <w:rsid w:val="00DC1E79"/>
    <w:rsid w:val="00DC1F08"/>
    <w:rsid w:val="00DC1FF4"/>
    <w:rsid w:val="00DC2065"/>
    <w:rsid w:val="00DC2353"/>
    <w:rsid w:val="00DC2377"/>
    <w:rsid w:val="00DC237C"/>
    <w:rsid w:val="00DC246C"/>
    <w:rsid w:val="00DC26AD"/>
    <w:rsid w:val="00DC28B5"/>
    <w:rsid w:val="00DC291A"/>
    <w:rsid w:val="00DC2A2F"/>
    <w:rsid w:val="00DC2B61"/>
    <w:rsid w:val="00DC2FD1"/>
    <w:rsid w:val="00DC2FFC"/>
    <w:rsid w:val="00DC30B0"/>
    <w:rsid w:val="00DC332B"/>
    <w:rsid w:val="00DC349D"/>
    <w:rsid w:val="00DC35A1"/>
    <w:rsid w:val="00DC365C"/>
    <w:rsid w:val="00DC3752"/>
    <w:rsid w:val="00DC38C2"/>
    <w:rsid w:val="00DC3C91"/>
    <w:rsid w:val="00DC3D9A"/>
    <w:rsid w:val="00DC401B"/>
    <w:rsid w:val="00DC4027"/>
    <w:rsid w:val="00DC40E0"/>
    <w:rsid w:val="00DC413B"/>
    <w:rsid w:val="00DC4230"/>
    <w:rsid w:val="00DC4255"/>
    <w:rsid w:val="00DC42C8"/>
    <w:rsid w:val="00DC4523"/>
    <w:rsid w:val="00DC464C"/>
    <w:rsid w:val="00DC46C8"/>
    <w:rsid w:val="00DC4756"/>
    <w:rsid w:val="00DC481F"/>
    <w:rsid w:val="00DC4AD4"/>
    <w:rsid w:val="00DC4ECC"/>
    <w:rsid w:val="00DC4F44"/>
    <w:rsid w:val="00DC506E"/>
    <w:rsid w:val="00DC50BA"/>
    <w:rsid w:val="00DC5161"/>
    <w:rsid w:val="00DC5424"/>
    <w:rsid w:val="00DC5472"/>
    <w:rsid w:val="00DC5493"/>
    <w:rsid w:val="00DC5584"/>
    <w:rsid w:val="00DC5637"/>
    <w:rsid w:val="00DC5757"/>
    <w:rsid w:val="00DC58AD"/>
    <w:rsid w:val="00DC58C9"/>
    <w:rsid w:val="00DC58F4"/>
    <w:rsid w:val="00DC58FF"/>
    <w:rsid w:val="00DC5AF6"/>
    <w:rsid w:val="00DC5B51"/>
    <w:rsid w:val="00DC5BED"/>
    <w:rsid w:val="00DC5D78"/>
    <w:rsid w:val="00DC5F1A"/>
    <w:rsid w:val="00DC5F55"/>
    <w:rsid w:val="00DC605F"/>
    <w:rsid w:val="00DC60A9"/>
    <w:rsid w:val="00DC62F8"/>
    <w:rsid w:val="00DC62F9"/>
    <w:rsid w:val="00DC6379"/>
    <w:rsid w:val="00DC64F7"/>
    <w:rsid w:val="00DC68A6"/>
    <w:rsid w:val="00DC6905"/>
    <w:rsid w:val="00DC6936"/>
    <w:rsid w:val="00DC694C"/>
    <w:rsid w:val="00DC6A0F"/>
    <w:rsid w:val="00DC6AAD"/>
    <w:rsid w:val="00DC6B55"/>
    <w:rsid w:val="00DC6B78"/>
    <w:rsid w:val="00DC6C9A"/>
    <w:rsid w:val="00DC6DC7"/>
    <w:rsid w:val="00DC71FC"/>
    <w:rsid w:val="00DC7243"/>
    <w:rsid w:val="00DC727E"/>
    <w:rsid w:val="00DC775B"/>
    <w:rsid w:val="00DC7A51"/>
    <w:rsid w:val="00DC7A8C"/>
    <w:rsid w:val="00DC7B08"/>
    <w:rsid w:val="00DC7B2F"/>
    <w:rsid w:val="00DC7D11"/>
    <w:rsid w:val="00DC7E64"/>
    <w:rsid w:val="00DD0109"/>
    <w:rsid w:val="00DD01B9"/>
    <w:rsid w:val="00DD026C"/>
    <w:rsid w:val="00DD053E"/>
    <w:rsid w:val="00DD0549"/>
    <w:rsid w:val="00DD0666"/>
    <w:rsid w:val="00DD07EB"/>
    <w:rsid w:val="00DD0848"/>
    <w:rsid w:val="00DD08B6"/>
    <w:rsid w:val="00DD0962"/>
    <w:rsid w:val="00DD0982"/>
    <w:rsid w:val="00DD0A9C"/>
    <w:rsid w:val="00DD0E0E"/>
    <w:rsid w:val="00DD0EE7"/>
    <w:rsid w:val="00DD0F3F"/>
    <w:rsid w:val="00DD0FB6"/>
    <w:rsid w:val="00DD10E3"/>
    <w:rsid w:val="00DD1196"/>
    <w:rsid w:val="00DD11B2"/>
    <w:rsid w:val="00DD1328"/>
    <w:rsid w:val="00DD135B"/>
    <w:rsid w:val="00DD1BCD"/>
    <w:rsid w:val="00DD1D99"/>
    <w:rsid w:val="00DD1DED"/>
    <w:rsid w:val="00DD1EBA"/>
    <w:rsid w:val="00DD1FC5"/>
    <w:rsid w:val="00DD210A"/>
    <w:rsid w:val="00DD2265"/>
    <w:rsid w:val="00DD23A1"/>
    <w:rsid w:val="00DD25FA"/>
    <w:rsid w:val="00DD2851"/>
    <w:rsid w:val="00DD28A9"/>
    <w:rsid w:val="00DD2962"/>
    <w:rsid w:val="00DD29C1"/>
    <w:rsid w:val="00DD2BE5"/>
    <w:rsid w:val="00DD2C23"/>
    <w:rsid w:val="00DD2D40"/>
    <w:rsid w:val="00DD2E22"/>
    <w:rsid w:val="00DD3147"/>
    <w:rsid w:val="00DD3225"/>
    <w:rsid w:val="00DD336C"/>
    <w:rsid w:val="00DD35DE"/>
    <w:rsid w:val="00DD3724"/>
    <w:rsid w:val="00DD3745"/>
    <w:rsid w:val="00DD3770"/>
    <w:rsid w:val="00DD37D7"/>
    <w:rsid w:val="00DD37FE"/>
    <w:rsid w:val="00DD39E5"/>
    <w:rsid w:val="00DD3AD4"/>
    <w:rsid w:val="00DD3DB7"/>
    <w:rsid w:val="00DD3E81"/>
    <w:rsid w:val="00DD408B"/>
    <w:rsid w:val="00DD40D2"/>
    <w:rsid w:val="00DD416D"/>
    <w:rsid w:val="00DD4171"/>
    <w:rsid w:val="00DD4240"/>
    <w:rsid w:val="00DD42FF"/>
    <w:rsid w:val="00DD4391"/>
    <w:rsid w:val="00DD43B9"/>
    <w:rsid w:val="00DD4482"/>
    <w:rsid w:val="00DD4543"/>
    <w:rsid w:val="00DD47DE"/>
    <w:rsid w:val="00DD49EE"/>
    <w:rsid w:val="00DD49F8"/>
    <w:rsid w:val="00DD4D19"/>
    <w:rsid w:val="00DD4E2A"/>
    <w:rsid w:val="00DD4E31"/>
    <w:rsid w:val="00DD4FF5"/>
    <w:rsid w:val="00DD5033"/>
    <w:rsid w:val="00DD51C4"/>
    <w:rsid w:val="00DD5367"/>
    <w:rsid w:val="00DD54E0"/>
    <w:rsid w:val="00DD560C"/>
    <w:rsid w:val="00DD56AD"/>
    <w:rsid w:val="00DD572D"/>
    <w:rsid w:val="00DD58D5"/>
    <w:rsid w:val="00DD590A"/>
    <w:rsid w:val="00DD5916"/>
    <w:rsid w:val="00DD596A"/>
    <w:rsid w:val="00DD5A2C"/>
    <w:rsid w:val="00DD5AED"/>
    <w:rsid w:val="00DD5B07"/>
    <w:rsid w:val="00DD5E02"/>
    <w:rsid w:val="00DD5EFA"/>
    <w:rsid w:val="00DD5FF3"/>
    <w:rsid w:val="00DD6017"/>
    <w:rsid w:val="00DD6053"/>
    <w:rsid w:val="00DD60B9"/>
    <w:rsid w:val="00DD6159"/>
    <w:rsid w:val="00DD615F"/>
    <w:rsid w:val="00DD6202"/>
    <w:rsid w:val="00DD6365"/>
    <w:rsid w:val="00DD6384"/>
    <w:rsid w:val="00DD638D"/>
    <w:rsid w:val="00DD63CC"/>
    <w:rsid w:val="00DD65C6"/>
    <w:rsid w:val="00DD65CB"/>
    <w:rsid w:val="00DD673F"/>
    <w:rsid w:val="00DD68F1"/>
    <w:rsid w:val="00DD691A"/>
    <w:rsid w:val="00DD6991"/>
    <w:rsid w:val="00DD69A1"/>
    <w:rsid w:val="00DD6A93"/>
    <w:rsid w:val="00DD6B47"/>
    <w:rsid w:val="00DD6BB4"/>
    <w:rsid w:val="00DD6C01"/>
    <w:rsid w:val="00DD6C0C"/>
    <w:rsid w:val="00DD6CA1"/>
    <w:rsid w:val="00DD704B"/>
    <w:rsid w:val="00DD70FC"/>
    <w:rsid w:val="00DD71BD"/>
    <w:rsid w:val="00DD764C"/>
    <w:rsid w:val="00DD7707"/>
    <w:rsid w:val="00DD78B7"/>
    <w:rsid w:val="00DD7920"/>
    <w:rsid w:val="00DD796F"/>
    <w:rsid w:val="00DD79F9"/>
    <w:rsid w:val="00DD7B71"/>
    <w:rsid w:val="00DD7BC6"/>
    <w:rsid w:val="00DD7DD9"/>
    <w:rsid w:val="00DD7E28"/>
    <w:rsid w:val="00DD7F75"/>
    <w:rsid w:val="00DD7FD3"/>
    <w:rsid w:val="00DE0071"/>
    <w:rsid w:val="00DE01A5"/>
    <w:rsid w:val="00DE05BE"/>
    <w:rsid w:val="00DE08B8"/>
    <w:rsid w:val="00DE090C"/>
    <w:rsid w:val="00DE0B7F"/>
    <w:rsid w:val="00DE0CF1"/>
    <w:rsid w:val="00DE0FDB"/>
    <w:rsid w:val="00DE1155"/>
    <w:rsid w:val="00DE128E"/>
    <w:rsid w:val="00DE13C6"/>
    <w:rsid w:val="00DE14CD"/>
    <w:rsid w:val="00DE1504"/>
    <w:rsid w:val="00DE1667"/>
    <w:rsid w:val="00DE1AE6"/>
    <w:rsid w:val="00DE1B4C"/>
    <w:rsid w:val="00DE1C86"/>
    <w:rsid w:val="00DE1FEC"/>
    <w:rsid w:val="00DE2016"/>
    <w:rsid w:val="00DE21A3"/>
    <w:rsid w:val="00DE21D9"/>
    <w:rsid w:val="00DE2763"/>
    <w:rsid w:val="00DE2824"/>
    <w:rsid w:val="00DE28A7"/>
    <w:rsid w:val="00DE2906"/>
    <w:rsid w:val="00DE2936"/>
    <w:rsid w:val="00DE2B28"/>
    <w:rsid w:val="00DE2BD3"/>
    <w:rsid w:val="00DE2E07"/>
    <w:rsid w:val="00DE2E17"/>
    <w:rsid w:val="00DE2F53"/>
    <w:rsid w:val="00DE3036"/>
    <w:rsid w:val="00DE33AB"/>
    <w:rsid w:val="00DE3536"/>
    <w:rsid w:val="00DE370C"/>
    <w:rsid w:val="00DE386A"/>
    <w:rsid w:val="00DE38BE"/>
    <w:rsid w:val="00DE38D4"/>
    <w:rsid w:val="00DE3903"/>
    <w:rsid w:val="00DE3A3D"/>
    <w:rsid w:val="00DE3A53"/>
    <w:rsid w:val="00DE3C77"/>
    <w:rsid w:val="00DE3D00"/>
    <w:rsid w:val="00DE3DD9"/>
    <w:rsid w:val="00DE3ECB"/>
    <w:rsid w:val="00DE3FCA"/>
    <w:rsid w:val="00DE4026"/>
    <w:rsid w:val="00DE4043"/>
    <w:rsid w:val="00DE4159"/>
    <w:rsid w:val="00DE41AF"/>
    <w:rsid w:val="00DE42E3"/>
    <w:rsid w:val="00DE44BA"/>
    <w:rsid w:val="00DE454E"/>
    <w:rsid w:val="00DE4551"/>
    <w:rsid w:val="00DE46D8"/>
    <w:rsid w:val="00DE4792"/>
    <w:rsid w:val="00DE4879"/>
    <w:rsid w:val="00DE4889"/>
    <w:rsid w:val="00DE49F4"/>
    <w:rsid w:val="00DE4A2D"/>
    <w:rsid w:val="00DE4A6B"/>
    <w:rsid w:val="00DE4BF0"/>
    <w:rsid w:val="00DE4C3B"/>
    <w:rsid w:val="00DE4C3F"/>
    <w:rsid w:val="00DE4C63"/>
    <w:rsid w:val="00DE4E73"/>
    <w:rsid w:val="00DE4E76"/>
    <w:rsid w:val="00DE4EAA"/>
    <w:rsid w:val="00DE4FD9"/>
    <w:rsid w:val="00DE4FF7"/>
    <w:rsid w:val="00DE5151"/>
    <w:rsid w:val="00DE5232"/>
    <w:rsid w:val="00DE525D"/>
    <w:rsid w:val="00DE5313"/>
    <w:rsid w:val="00DE540D"/>
    <w:rsid w:val="00DE553E"/>
    <w:rsid w:val="00DE55F2"/>
    <w:rsid w:val="00DE5718"/>
    <w:rsid w:val="00DE5A88"/>
    <w:rsid w:val="00DE5A98"/>
    <w:rsid w:val="00DE5B3A"/>
    <w:rsid w:val="00DE5BE0"/>
    <w:rsid w:val="00DE5C9E"/>
    <w:rsid w:val="00DE5EA3"/>
    <w:rsid w:val="00DE5F7B"/>
    <w:rsid w:val="00DE5FA1"/>
    <w:rsid w:val="00DE6040"/>
    <w:rsid w:val="00DE6065"/>
    <w:rsid w:val="00DE60F5"/>
    <w:rsid w:val="00DE618F"/>
    <w:rsid w:val="00DE62B2"/>
    <w:rsid w:val="00DE6309"/>
    <w:rsid w:val="00DE646C"/>
    <w:rsid w:val="00DE649B"/>
    <w:rsid w:val="00DE6598"/>
    <w:rsid w:val="00DE663E"/>
    <w:rsid w:val="00DE6702"/>
    <w:rsid w:val="00DE6A74"/>
    <w:rsid w:val="00DE6AD3"/>
    <w:rsid w:val="00DE6AFA"/>
    <w:rsid w:val="00DE6B75"/>
    <w:rsid w:val="00DE6B76"/>
    <w:rsid w:val="00DE6B77"/>
    <w:rsid w:val="00DE6B8D"/>
    <w:rsid w:val="00DE6B8F"/>
    <w:rsid w:val="00DE6BD8"/>
    <w:rsid w:val="00DE6C68"/>
    <w:rsid w:val="00DE6DF6"/>
    <w:rsid w:val="00DE6EA9"/>
    <w:rsid w:val="00DE6F86"/>
    <w:rsid w:val="00DE704D"/>
    <w:rsid w:val="00DE70AF"/>
    <w:rsid w:val="00DE70F1"/>
    <w:rsid w:val="00DE71AE"/>
    <w:rsid w:val="00DE7231"/>
    <w:rsid w:val="00DE734D"/>
    <w:rsid w:val="00DE75AE"/>
    <w:rsid w:val="00DE75EE"/>
    <w:rsid w:val="00DE7714"/>
    <w:rsid w:val="00DE78B8"/>
    <w:rsid w:val="00DE7906"/>
    <w:rsid w:val="00DE7BE9"/>
    <w:rsid w:val="00DE7C11"/>
    <w:rsid w:val="00DE7E9B"/>
    <w:rsid w:val="00DF001A"/>
    <w:rsid w:val="00DF0049"/>
    <w:rsid w:val="00DF006C"/>
    <w:rsid w:val="00DF00B4"/>
    <w:rsid w:val="00DF02A5"/>
    <w:rsid w:val="00DF0322"/>
    <w:rsid w:val="00DF039A"/>
    <w:rsid w:val="00DF03CE"/>
    <w:rsid w:val="00DF07F4"/>
    <w:rsid w:val="00DF097C"/>
    <w:rsid w:val="00DF097D"/>
    <w:rsid w:val="00DF0AF7"/>
    <w:rsid w:val="00DF0D20"/>
    <w:rsid w:val="00DF0DC4"/>
    <w:rsid w:val="00DF0E6A"/>
    <w:rsid w:val="00DF0F1B"/>
    <w:rsid w:val="00DF0F23"/>
    <w:rsid w:val="00DF0F54"/>
    <w:rsid w:val="00DF109B"/>
    <w:rsid w:val="00DF113D"/>
    <w:rsid w:val="00DF11B8"/>
    <w:rsid w:val="00DF12CA"/>
    <w:rsid w:val="00DF1412"/>
    <w:rsid w:val="00DF16B2"/>
    <w:rsid w:val="00DF16C3"/>
    <w:rsid w:val="00DF16CF"/>
    <w:rsid w:val="00DF16DD"/>
    <w:rsid w:val="00DF1743"/>
    <w:rsid w:val="00DF1B24"/>
    <w:rsid w:val="00DF1BD1"/>
    <w:rsid w:val="00DF1C9A"/>
    <w:rsid w:val="00DF1CB0"/>
    <w:rsid w:val="00DF1DD1"/>
    <w:rsid w:val="00DF1DE3"/>
    <w:rsid w:val="00DF1EE7"/>
    <w:rsid w:val="00DF1F61"/>
    <w:rsid w:val="00DF1FCC"/>
    <w:rsid w:val="00DF213F"/>
    <w:rsid w:val="00DF21E9"/>
    <w:rsid w:val="00DF21FC"/>
    <w:rsid w:val="00DF24B2"/>
    <w:rsid w:val="00DF257E"/>
    <w:rsid w:val="00DF270A"/>
    <w:rsid w:val="00DF274B"/>
    <w:rsid w:val="00DF277E"/>
    <w:rsid w:val="00DF2A2C"/>
    <w:rsid w:val="00DF2AFA"/>
    <w:rsid w:val="00DF2CFC"/>
    <w:rsid w:val="00DF2D18"/>
    <w:rsid w:val="00DF2F14"/>
    <w:rsid w:val="00DF3018"/>
    <w:rsid w:val="00DF304B"/>
    <w:rsid w:val="00DF3176"/>
    <w:rsid w:val="00DF31C1"/>
    <w:rsid w:val="00DF330D"/>
    <w:rsid w:val="00DF3562"/>
    <w:rsid w:val="00DF3593"/>
    <w:rsid w:val="00DF3611"/>
    <w:rsid w:val="00DF3927"/>
    <w:rsid w:val="00DF393F"/>
    <w:rsid w:val="00DF396F"/>
    <w:rsid w:val="00DF3B6D"/>
    <w:rsid w:val="00DF3BD2"/>
    <w:rsid w:val="00DF3C42"/>
    <w:rsid w:val="00DF3D21"/>
    <w:rsid w:val="00DF3E1F"/>
    <w:rsid w:val="00DF3F81"/>
    <w:rsid w:val="00DF3FE6"/>
    <w:rsid w:val="00DF4278"/>
    <w:rsid w:val="00DF446C"/>
    <w:rsid w:val="00DF4493"/>
    <w:rsid w:val="00DF461C"/>
    <w:rsid w:val="00DF4622"/>
    <w:rsid w:val="00DF46B0"/>
    <w:rsid w:val="00DF48AD"/>
    <w:rsid w:val="00DF4933"/>
    <w:rsid w:val="00DF49DC"/>
    <w:rsid w:val="00DF4AF9"/>
    <w:rsid w:val="00DF4BA7"/>
    <w:rsid w:val="00DF4C61"/>
    <w:rsid w:val="00DF4D82"/>
    <w:rsid w:val="00DF4D88"/>
    <w:rsid w:val="00DF5153"/>
    <w:rsid w:val="00DF51AF"/>
    <w:rsid w:val="00DF5231"/>
    <w:rsid w:val="00DF5287"/>
    <w:rsid w:val="00DF5553"/>
    <w:rsid w:val="00DF5625"/>
    <w:rsid w:val="00DF5654"/>
    <w:rsid w:val="00DF56F8"/>
    <w:rsid w:val="00DF57CD"/>
    <w:rsid w:val="00DF587D"/>
    <w:rsid w:val="00DF58B8"/>
    <w:rsid w:val="00DF5A45"/>
    <w:rsid w:val="00DF5CF8"/>
    <w:rsid w:val="00DF5D40"/>
    <w:rsid w:val="00DF5DD2"/>
    <w:rsid w:val="00DF5EE4"/>
    <w:rsid w:val="00DF6070"/>
    <w:rsid w:val="00DF6191"/>
    <w:rsid w:val="00DF6589"/>
    <w:rsid w:val="00DF66C6"/>
    <w:rsid w:val="00DF675A"/>
    <w:rsid w:val="00DF6879"/>
    <w:rsid w:val="00DF6BE3"/>
    <w:rsid w:val="00DF6C8F"/>
    <w:rsid w:val="00DF6D3A"/>
    <w:rsid w:val="00DF6DBD"/>
    <w:rsid w:val="00DF6E43"/>
    <w:rsid w:val="00DF6EF9"/>
    <w:rsid w:val="00DF6F61"/>
    <w:rsid w:val="00DF6FEF"/>
    <w:rsid w:val="00DF707B"/>
    <w:rsid w:val="00DF72A4"/>
    <w:rsid w:val="00DF732B"/>
    <w:rsid w:val="00DF7354"/>
    <w:rsid w:val="00DF73F7"/>
    <w:rsid w:val="00DF74B2"/>
    <w:rsid w:val="00DF7677"/>
    <w:rsid w:val="00DF7739"/>
    <w:rsid w:val="00DF7908"/>
    <w:rsid w:val="00DF79C5"/>
    <w:rsid w:val="00DF79F0"/>
    <w:rsid w:val="00DF7B0D"/>
    <w:rsid w:val="00DF7BD7"/>
    <w:rsid w:val="00DF7BE4"/>
    <w:rsid w:val="00DF7FD6"/>
    <w:rsid w:val="00DF7FF9"/>
    <w:rsid w:val="00E000B4"/>
    <w:rsid w:val="00E00319"/>
    <w:rsid w:val="00E00641"/>
    <w:rsid w:val="00E00861"/>
    <w:rsid w:val="00E00894"/>
    <w:rsid w:val="00E009BE"/>
    <w:rsid w:val="00E00A0F"/>
    <w:rsid w:val="00E00A1E"/>
    <w:rsid w:val="00E00AC7"/>
    <w:rsid w:val="00E00B52"/>
    <w:rsid w:val="00E00BD6"/>
    <w:rsid w:val="00E00C3F"/>
    <w:rsid w:val="00E00C79"/>
    <w:rsid w:val="00E00C98"/>
    <w:rsid w:val="00E00E46"/>
    <w:rsid w:val="00E00EBF"/>
    <w:rsid w:val="00E00F6C"/>
    <w:rsid w:val="00E00F9A"/>
    <w:rsid w:val="00E01071"/>
    <w:rsid w:val="00E01078"/>
    <w:rsid w:val="00E010C9"/>
    <w:rsid w:val="00E01115"/>
    <w:rsid w:val="00E011CF"/>
    <w:rsid w:val="00E0152B"/>
    <w:rsid w:val="00E01713"/>
    <w:rsid w:val="00E0179F"/>
    <w:rsid w:val="00E01811"/>
    <w:rsid w:val="00E0182C"/>
    <w:rsid w:val="00E0191C"/>
    <w:rsid w:val="00E01AA0"/>
    <w:rsid w:val="00E01AF5"/>
    <w:rsid w:val="00E01B72"/>
    <w:rsid w:val="00E01D95"/>
    <w:rsid w:val="00E01DF9"/>
    <w:rsid w:val="00E01F5B"/>
    <w:rsid w:val="00E01FF4"/>
    <w:rsid w:val="00E02067"/>
    <w:rsid w:val="00E020E8"/>
    <w:rsid w:val="00E02135"/>
    <w:rsid w:val="00E021DB"/>
    <w:rsid w:val="00E023F3"/>
    <w:rsid w:val="00E02448"/>
    <w:rsid w:val="00E0248B"/>
    <w:rsid w:val="00E0248E"/>
    <w:rsid w:val="00E024EA"/>
    <w:rsid w:val="00E02500"/>
    <w:rsid w:val="00E02528"/>
    <w:rsid w:val="00E02537"/>
    <w:rsid w:val="00E0266B"/>
    <w:rsid w:val="00E026D2"/>
    <w:rsid w:val="00E02983"/>
    <w:rsid w:val="00E029CF"/>
    <w:rsid w:val="00E02AE2"/>
    <w:rsid w:val="00E02B0A"/>
    <w:rsid w:val="00E02B7B"/>
    <w:rsid w:val="00E02BFE"/>
    <w:rsid w:val="00E02D93"/>
    <w:rsid w:val="00E02E0F"/>
    <w:rsid w:val="00E02FBF"/>
    <w:rsid w:val="00E03177"/>
    <w:rsid w:val="00E032C0"/>
    <w:rsid w:val="00E0360F"/>
    <w:rsid w:val="00E03612"/>
    <w:rsid w:val="00E0365F"/>
    <w:rsid w:val="00E03724"/>
    <w:rsid w:val="00E0386F"/>
    <w:rsid w:val="00E038AD"/>
    <w:rsid w:val="00E03934"/>
    <w:rsid w:val="00E0394B"/>
    <w:rsid w:val="00E03990"/>
    <w:rsid w:val="00E03A22"/>
    <w:rsid w:val="00E03A2F"/>
    <w:rsid w:val="00E03A74"/>
    <w:rsid w:val="00E03B12"/>
    <w:rsid w:val="00E03B90"/>
    <w:rsid w:val="00E03BFF"/>
    <w:rsid w:val="00E03C56"/>
    <w:rsid w:val="00E0424F"/>
    <w:rsid w:val="00E0433D"/>
    <w:rsid w:val="00E043D6"/>
    <w:rsid w:val="00E043FE"/>
    <w:rsid w:val="00E0458D"/>
    <w:rsid w:val="00E04668"/>
    <w:rsid w:val="00E047A9"/>
    <w:rsid w:val="00E04948"/>
    <w:rsid w:val="00E0498D"/>
    <w:rsid w:val="00E049ED"/>
    <w:rsid w:val="00E04A77"/>
    <w:rsid w:val="00E04B08"/>
    <w:rsid w:val="00E04BB4"/>
    <w:rsid w:val="00E04D1C"/>
    <w:rsid w:val="00E04DA1"/>
    <w:rsid w:val="00E04E5F"/>
    <w:rsid w:val="00E04ED7"/>
    <w:rsid w:val="00E04EFC"/>
    <w:rsid w:val="00E04F3E"/>
    <w:rsid w:val="00E050BE"/>
    <w:rsid w:val="00E0521D"/>
    <w:rsid w:val="00E05410"/>
    <w:rsid w:val="00E05465"/>
    <w:rsid w:val="00E059D8"/>
    <w:rsid w:val="00E05A3D"/>
    <w:rsid w:val="00E06047"/>
    <w:rsid w:val="00E0614B"/>
    <w:rsid w:val="00E06175"/>
    <w:rsid w:val="00E061F8"/>
    <w:rsid w:val="00E06203"/>
    <w:rsid w:val="00E064BE"/>
    <w:rsid w:val="00E064FB"/>
    <w:rsid w:val="00E06665"/>
    <w:rsid w:val="00E06692"/>
    <w:rsid w:val="00E067A6"/>
    <w:rsid w:val="00E06ABF"/>
    <w:rsid w:val="00E06AF2"/>
    <w:rsid w:val="00E06B99"/>
    <w:rsid w:val="00E06BF2"/>
    <w:rsid w:val="00E06C01"/>
    <w:rsid w:val="00E06DBA"/>
    <w:rsid w:val="00E0704F"/>
    <w:rsid w:val="00E070E7"/>
    <w:rsid w:val="00E07133"/>
    <w:rsid w:val="00E07313"/>
    <w:rsid w:val="00E073AD"/>
    <w:rsid w:val="00E073BE"/>
    <w:rsid w:val="00E0758D"/>
    <w:rsid w:val="00E07712"/>
    <w:rsid w:val="00E0780C"/>
    <w:rsid w:val="00E07834"/>
    <w:rsid w:val="00E07923"/>
    <w:rsid w:val="00E07E68"/>
    <w:rsid w:val="00E07F8A"/>
    <w:rsid w:val="00E100B5"/>
    <w:rsid w:val="00E101C6"/>
    <w:rsid w:val="00E10280"/>
    <w:rsid w:val="00E102BA"/>
    <w:rsid w:val="00E10457"/>
    <w:rsid w:val="00E104CD"/>
    <w:rsid w:val="00E104EC"/>
    <w:rsid w:val="00E10590"/>
    <w:rsid w:val="00E105A9"/>
    <w:rsid w:val="00E105D5"/>
    <w:rsid w:val="00E106F4"/>
    <w:rsid w:val="00E10718"/>
    <w:rsid w:val="00E10965"/>
    <w:rsid w:val="00E109F7"/>
    <w:rsid w:val="00E10A66"/>
    <w:rsid w:val="00E10A6C"/>
    <w:rsid w:val="00E10B40"/>
    <w:rsid w:val="00E10B7A"/>
    <w:rsid w:val="00E10B82"/>
    <w:rsid w:val="00E10CFE"/>
    <w:rsid w:val="00E10EA4"/>
    <w:rsid w:val="00E11108"/>
    <w:rsid w:val="00E11128"/>
    <w:rsid w:val="00E1113E"/>
    <w:rsid w:val="00E1122F"/>
    <w:rsid w:val="00E113D7"/>
    <w:rsid w:val="00E114BC"/>
    <w:rsid w:val="00E1156C"/>
    <w:rsid w:val="00E11813"/>
    <w:rsid w:val="00E11869"/>
    <w:rsid w:val="00E1186D"/>
    <w:rsid w:val="00E11996"/>
    <w:rsid w:val="00E11B63"/>
    <w:rsid w:val="00E11C24"/>
    <w:rsid w:val="00E11C25"/>
    <w:rsid w:val="00E11D1B"/>
    <w:rsid w:val="00E123C0"/>
    <w:rsid w:val="00E124E8"/>
    <w:rsid w:val="00E125F3"/>
    <w:rsid w:val="00E125F6"/>
    <w:rsid w:val="00E12600"/>
    <w:rsid w:val="00E1264D"/>
    <w:rsid w:val="00E126AF"/>
    <w:rsid w:val="00E12809"/>
    <w:rsid w:val="00E12832"/>
    <w:rsid w:val="00E12908"/>
    <w:rsid w:val="00E12950"/>
    <w:rsid w:val="00E12DB9"/>
    <w:rsid w:val="00E12DF0"/>
    <w:rsid w:val="00E12E60"/>
    <w:rsid w:val="00E12EA9"/>
    <w:rsid w:val="00E13265"/>
    <w:rsid w:val="00E13347"/>
    <w:rsid w:val="00E13353"/>
    <w:rsid w:val="00E13384"/>
    <w:rsid w:val="00E134C4"/>
    <w:rsid w:val="00E13784"/>
    <w:rsid w:val="00E13869"/>
    <w:rsid w:val="00E13889"/>
    <w:rsid w:val="00E1391B"/>
    <w:rsid w:val="00E13991"/>
    <w:rsid w:val="00E13BC2"/>
    <w:rsid w:val="00E13C38"/>
    <w:rsid w:val="00E14011"/>
    <w:rsid w:val="00E1415B"/>
    <w:rsid w:val="00E14299"/>
    <w:rsid w:val="00E1447E"/>
    <w:rsid w:val="00E145A5"/>
    <w:rsid w:val="00E1493B"/>
    <w:rsid w:val="00E14B01"/>
    <w:rsid w:val="00E14B92"/>
    <w:rsid w:val="00E14CA6"/>
    <w:rsid w:val="00E14E1A"/>
    <w:rsid w:val="00E15045"/>
    <w:rsid w:val="00E15073"/>
    <w:rsid w:val="00E15193"/>
    <w:rsid w:val="00E151DA"/>
    <w:rsid w:val="00E15206"/>
    <w:rsid w:val="00E153A5"/>
    <w:rsid w:val="00E154CE"/>
    <w:rsid w:val="00E1556D"/>
    <w:rsid w:val="00E1558A"/>
    <w:rsid w:val="00E15712"/>
    <w:rsid w:val="00E15861"/>
    <w:rsid w:val="00E15B01"/>
    <w:rsid w:val="00E15C63"/>
    <w:rsid w:val="00E15C75"/>
    <w:rsid w:val="00E15F7A"/>
    <w:rsid w:val="00E15FB7"/>
    <w:rsid w:val="00E160E1"/>
    <w:rsid w:val="00E16103"/>
    <w:rsid w:val="00E1610C"/>
    <w:rsid w:val="00E161C4"/>
    <w:rsid w:val="00E164CE"/>
    <w:rsid w:val="00E164F7"/>
    <w:rsid w:val="00E16825"/>
    <w:rsid w:val="00E16894"/>
    <w:rsid w:val="00E168F7"/>
    <w:rsid w:val="00E1696F"/>
    <w:rsid w:val="00E16AFC"/>
    <w:rsid w:val="00E16B77"/>
    <w:rsid w:val="00E16B92"/>
    <w:rsid w:val="00E16CD2"/>
    <w:rsid w:val="00E16D3C"/>
    <w:rsid w:val="00E16DA2"/>
    <w:rsid w:val="00E16E5B"/>
    <w:rsid w:val="00E16EB5"/>
    <w:rsid w:val="00E16EC1"/>
    <w:rsid w:val="00E16F28"/>
    <w:rsid w:val="00E170A6"/>
    <w:rsid w:val="00E1723C"/>
    <w:rsid w:val="00E172D1"/>
    <w:rsid w:val="00E17333"/>
    <w:rsid w:val="00E174AC"/>
    <w:rsid w:val="00E17523"/>
    <w:rsid w:val="00E17686"/>
    <w:rsid w:val="00E177A5"/>
    <w:rsid w:val="00E177B3"/>
    <w:rsid w:val="00E17810"/>
    <w:rsid w:val="00E17B77"/>
    <w:rsid w:val="00E17BA9"/>
    <w:rsid w:val="00E17D6B"/>
    <w:rsid w:val="00E17DCA"/>
    <w:rsid w:val="00E17DD3"/>
    <w:rsid w:val="00E17EB7"/>
    <w:rsid w:val="00E17EE3"/>
    <w:rsid w:val="00E17EE8"/>
    <w:rsid w:val="00E201BD"/>
    <w:rsid w:val="00E203DD"/>
    <w:rsid w:val="00E2066D"/>
    <w:rsid w:val="00E20775"/>
    <w:rsid w:val="00E20912"/>
    <w:rsid w:val="00E20A5E"/>
    <w:rsid w:val="00E20AFD"/>
    <w:rsid w:val="00E20BFB"/>
    <w:rsid w:val="00E20C20"/>
    <w:rsid w:val="00E20DB3"/>
    <w:rsid w:val="00E20E52"/>
    <w:rsid w:val="00E20E98"/>
    <w:rsid w:val="00E2104F"/>
    <w:rsid w:val="00E21088"/>
    <w:rsid w:val="00E211EA"/>
    <w:rsid w:val="00E214B2"/>
    <w:rsid w:val="00E21638"/>
    <w:rsid w:val="00E216AF"/>
    <w:rsid w:val="00E216F9"/>
    <w:rsid w:val="00E218EF"/>
    <w:rsid w:val="00E21988"/>
    <w:rsid w:val="00E219CF"/>
    <w:rsid w:val="00E219DC"/>
    <w:rsid w:val="00E21BC9"/>
    <w:rsid w:val="00E22108"/>
    <w:rsid w:val="00E221D6"/>
    <w:rsid w:val="00E22253"/>
    <w:rsid w:val="00E2239D"/>
    <w:rsid w:val="00E224C1"/>
    <w:rsid w:val="00E226DD"/>
    <w:rsid w:val="00E22776"/>
    <w:rsid w:val="00E22983"/>
    <w:rsid w:val="00E22AA2"/>
    <w:rsid w:val="00E22BB1"/>
    <w:rsid w:val="00E22C75"/>
    <w:rsid w:val="00E22C9A"/>
    <w:rsid w:val="00E22D51"/>
    <w:rsid w:val="00E22E5D"/>
    <w:rsid w:val="00E22ECA"/>
    <w:rsid w:val="00E2319F"/>
    <w:rsid w:val="00E231F7"/>
    <w:rsid w:val="00E23207"/>
    <w:rsid w:val="00E23240"/>
    <w:rsid w:val="00E232A1"/>
    <w:rsid w:val="00E23307"/>
    <w:rsid w:val="00E2341F"/>
    <w:rsid w:val="00E234DF"/>
    <w:rsid w:val="00E2367C"/>
    <w:rsid w:val="00E2369F"/>
    <w:rsid w:val="00E23908"/>
    <w:rsid w:val="00E23994"/>
    <w:rsid w:val="00E23A1E"/>
    <w:rsid w:val="00E23A68"/>
    <w:rsid w:val="00E23AB0"/>
    <w:rsid w:val="00E23AB5"/>
    <w:rsid w:val="00E23D29"/>
    <w:rsid w:val="00E23F26"/>
    <w:rsid w:val="00E23FD3"/>
    <w:rsid w:val="00E2435B"/>
    <w:rsid w:val="00E24442"/>
    <w:rsid w:val="00E24474"/>
    <w:rsid w:val="00E244E9"/>
    <w:rsid w:val="00E24515"/>
    <w:rsid w:val="00E24598"/>
    <w:rsid w:val="00E2472C"/>
    <w:rsid w:val="00E248E2"/>
    <w:rsid w:val="00E248E5"/>
    <w:rsid w:val="00E24997"/>
    <w:rsid w:val="00E249DD"/>
    <w:rsid w:val="00E24A28"/>
    <w:rsid w:val="00E24BE0"/>
    <w:rsid w:val="00E24C3E"/>
    <w:rsid w:val="00E24D72"/>
    <w:rsid w:val="00E24ECB"/>
    <w:rsid w:val="00E24EDD"/>
    <w:rsid w:val="00E252BF"/>
    <w:rsid w:val="00E258C2"/>
    <w:rsid w:val="00E25912"/>
    <w:rsid w:val="00E259A7"/>
    <w:rsid w:val="00E25ADF"/>
    <w:rsid w:val="00E25AE9"/>
    <w:rsid w:val="00E25C72"/>
    <w:rsid w:val="00E25C81"/>
    <w:rsid w:val="00E25D27"/>
    <w:rsid w:val="00E25D57"/>
    <w:rsid w:val="00E25E1F"/>
    <w:rsid w:val="00E25E9B"/>
    <w:rsid w:val="00E25EA6"/>
    <w:rsid w:val="00E25FEA"/>
    <w:rsid w:val="00E2600D"/>
    <w:rsid w:val="00E260E0"/>
    <w:rsid w:val="00E2612C"/>
    <w:rsid w:val="00E261B3"/>
    <w:rsid w:val="00E2621A"/>
    <w:rsid w:val="00E263B3"/>
    <w:rsid w:val="00E263C9"/>
    <w:rsid w:val="00E264CD"/>
    <w:rsid w:val="00E26743"/>
    <w:rsid w:val="00E26954"/>
    <w:rsid w:val="00E269CA"/>
    <w:rsid w:val="00E26BB8"/>
    <w:rsid w:val="00E26C81"/>
    <w:rsid w:val="00E26D20"/>
    <w:rsid w:val="00E26E25"/>
    <w:rsid w:val="00E26E26"/>
    <w:rsid w:val="00E26EA6"/>
    <w:rsid w:val="00E26EB9"/>
    <w:rsid w:val="00E270E8"/>
    <w:rsid w:val="00E2714D"/>
    <w:rsid w:val="00E27268"/>
    <w:rsid w:val="00E272C9"/>
    <w:rsid w:val="00E2741F"/>
    <w:rsid w:val="00E275D2"/>
    <w:rsid w:val="00E27636"/>
    <w:rsid w:val="00E276DC"/>
    <w:rsid w:val="00E27765"/>
    <w:rsid w:val="00E27876"/>
    <w:rsid w:val="00E27A39"/>
    <w:rsid w:val="00E27A6F"/>
    <w:rsid w:val="00E27A98"/>
    <w:rsid w:val="00E27B4A"/>
    <w:rsid w:val="00E27C54"/>
    <w:rsid w:val="00E27D00"/>
    <w:rsid w:val="00E27E03"/>
    <w:rsid w:val="00E27E88"/>
    <w:rsid w:val="00E27EA8"/>
    <w:rsid w:val="00E30060"/>
    <w:rsid w:val="00E301D8"/>
    <w:rsid w:val="00E30338"/>
    <w:rsid w:val="00E3048F"/>
    <w:rsid w:val="00E3050C"/>
    <w:rsid w:val="00E30944"/>
    <w:rsid w:val="00E30954"/>
    <w:rsid w:val="00E30997"/>
    <w:rsid w:val="00E30C35"/>
    <w:rsid w:val="00E30D12"/>
    <w:rsid w:val="00E30D44"/>
    <w:rsid w:val="00E30D77"/>
    <w:rsid w:val="00E30D84"/>
    <w:rsid w:val="00E30D9E"/>
    <w:rsid w:val="00E30DDC"/>
    <w:rsid w:val="00E30E83"/>
    <w:rsid w:val="00E30EED"/>
    <w:rsid w:val="00E30F8D"/>
    <w:rsid w:val="00E30FD3"/>
    <w:rsid w:val="00E31225"/>
    <w:rsid w:val="00E31333"/>
    <w:rsid w:val="00E3137F"/>
    <w:rsid w:val="00E3140C"/>
    <w:rsid w:val="00E31436"/>
    <w:rsid w:val="00E314B3"/>
    <w:rsid w:val="00E31500"/>
    <w:rsid w:val="00E3166B"/>
    <w:rsid w:val="00E3167F"/>
    <w:rsid w:val="00E318B1"/>
    <w:rsid w:val="00E318D1"/>
    <w:rsid w:val="00E318E8"/>
    <w:rsid w:val="00E31A49"/>
    <w:rsid w:val="00E31B55"/>
    <w:rsid w:val="00E31C29"/>
    <w:rsid w:val="00E31DA1"/>
    <w:rsid w:val="00E31DE5"/>
    <w:rsid w:val="00E31DED"/>
    <w:rsid w:val="00E31E18"/>
    <w:rsid w:val="00E31F82"/>
    <w:rsid w:val="00E32080"/>
    <w:rsid w:val="00E3222E"/>
    <w:rsid w:val="00E322DA"/>
    <w:rsid w:val="00E323E5"/>
    <w:rsid w:val="00E3259B"/>
    <w:rsid w:val="00E325BB"/>
    <w:rsid w:val="00E3282A"/>
    <w:rsid w:val="00E329CE"/>
    <w:rsid w:val="00E329E4"/>
    <w:rsid w:val="00E329FA"/>
    <w:rsid w:val="00E32B12"/>
    <w:rsid w:val="00E32B16"/>
    <w:rsid w:val="00E32C0F"/>
    <w:rsid w:val="00E32D05"/>
    <w:rsid w:val="00E32D35"/>
    <w:rsid w:val="00E32FAA"/>
    <w:rsid w:val="00E32FCC"/>
    <w:rsid w:val="00E33013"/>
    <w:rsid w:val="00E3303D"/>
    <w:rsid w:val="00E3325F"/>
    <w:rsid w:val="00E33333"/>
    <w:rsid w:val="00E333D9"/>
    <w:rsid w:val="00E33423"/>
    <w:rsid w:val="00E334A2"/>
    <w:rsid w:val="00E334B8"/>
    <w:rsid w:val="00E336D6"/>
    <w:rsid w:val="00E33761"/>
    <w:rsid w:val="00E33879"/>
    <w:rsid w:val="00E33A0F"/>
    <w:rsid w:val="00E33B4D"/>
    <w:rsid w:val="00E33BD7"/>
    <w:rsid w:val="00E33BF2"/>
    <w:rsid w:val="00E33CC8"/>
    <w:rsid w:val="00E33D6D"/>
    <w:rsid w:val="00E33E54"/>
    <w:rsid w:val="00E33E7B"/>
    <w:rsid w:val="00E33ECA"/>
    <w:rsid w:val="00E3400A"/>
    <w:rsid w:val="00E34070"/>
    <w:rsid w:val="00E340AB"/>
    <w:rsid w:val="00E340BE"/>
    <w:rsid w:val="00E343CE"/>
    <w:rsid w:val="00E343E4"/>
    <w:rsid w:val="00E344C1"/>
    <w:rsid w:val="00E344D6"/>
    <w:rsid w:val="00E347CC"/>
    <w:rsid w:val="00E347E3"/>
    <w:rsid w:val="00E347FC"/>
    <w:rsid w:val="00E34820"/>
    <w:rsid w:val="00E3494A"/>
    <w:rsid w:val="00E349A7"/>
    <w:rsid w:val="00E34C7A"/>
    <w:rsid w:val="00E34CDE"/>
    <w:rsid w:val="00E34DAA"/>
    <w:rsid w:val="00E34DFF"/>
    <w:rsid w:val="00E34F6F"/>
    <w:rsid w:val="00E34FA8"/>
    <w:rsid w:val="00E35123"/>
    <w:rsid w:val="00E35138"/>
    <w:rsid w:val="00E351AD"/>
    <w:rsid w:val="00E35655"/>
    <w:rsid w:val="00E3566E"/>
    <w:rsid w:val="00E3568A"/>
    <w:rsid w:val="00E356F7"/>
    <w:rsid w:val="00E357FA"/>
    <w:rsid w:val="00E358B6"/>
    <w:rsid w:val="00E358F5"/>
    <w:rsid w:val="00E35C06"/>
    <w:rsid w:val="00E35DBF"/>
    <w:rsid w:val="00E35EF7"/>
    <w:rsid w:val="00E35F40"/>
    <w:rsid w:val="00E35F6E"/>
    <w:rsid w:val="00E35F7B"/>
    <w:rsid w:val="00E36146"/>
    <w:rsid w:val="00E361E0"/>
    <w:rsid w:val="00E3636F"/>
    <w:rsid w:val="00E363AA"/>
    <w:rsid w:val="00E363F2"/>
    <w:rsid w:val="00E3654A"/>
    <w:rsid w:val="00E366C2"/>
    <w:rsid w:val="00E36831"/>
    <w:rsid w:val="00E368F4"/>
    <w:rsid w:val="00E3691A"/>
    <w:rsid w:val="00E36967"/>
    <w:rsid w:val="00E36BDE"/>
    <w:rsid w:val="00E36C05"/>
    <w:rsid w:val="00E36D50"/>
    <w:rsid w:val="00E36E5B"/>
    <w:rsid w:val="00E36F89"/>
    <w:rsid w:val="00E370D4"/>
    <w:rsid w:val="00E37180"/>
    <w:rsid w:val="00E371BF"/>
    <w:rsid w:val="00E372A9"/>
    <w:rsid w:val="00E372DD"/>
    <w:rsid w:val="00E37370"/>
    <w:rsid w:val="00E37471"/>
    <w:rsid w:val="00E374CA"/>
    <w:rsid w:val="00E3750D"/>
    <w:rsid w:val="00E3759F"/>
    <w:rsid w:val="00E375C5"/>
    <w:rsid w:val="00E375FD"/>
    <w:rsid w:val="00E37611"/>
    <w:rsid w:val="00E376D2"/>
    <w:rsid w:val="00E3792F"/>
    <w:rsid w:val="00E37931"/>
    <w:rsid w:val="00E37B10"/>
    <w:rsid w:val="00E37BA2"/>
    <w:rsid w:val="00E37CE7"/>
    <w:rsid w:val="00E37D1C"/>
    <w:rsid w:val="00E37D20"/>
    <w:rsid w:val="00E37FE9"/>
    <w:rsid w:val="00E400EC"/>
    <w:rsid w:val="00E401E2"/>
    <w:rsid w:val="00E401E7"/>
    <w:rsid w:val="00E4027B"/>
    <w:rsid w:val="00E403A4"/>
    <w:rsid w:val="00E404B9"/>
    <w:rsid w:val="00E405A8"/>
    <w:rsid w:val="00E405C3"/>
    <w:rsid w:val="00E405C4"/>
    <w:rsid w:val="00E40876"/>
    <w:rsid w:val="00E40A5D"/>
    <w:rsid w:val="00E40AD6"/>
    <w:rsid w:val="00E40AD7"/>
    <w:rsid w:val="00E40C24"/>
    <w:rsid w:val="00E40D90"/>
    <w:rsid w:val="00E40EC8"/>
    <w:rsid w:val="00E40F03"/>
    <w:rsid w:val="00E4105E"/>
    <w:rsid w:val="00E4129F"/>
    <w:rsid w:val="00E41368"/>
    <w:rsid w:val="00E41539"/>
    <w:rsid w:val="00E41592"/>
    <w:rsid w:val="00E417C1"/>
    <w:rsid w:val="00E418A6"/>
    <w:rsid w:val="00E4191B"/>
    <w:rsid w:val="00E4198C"/>
    <w:rsid w:val="00E41A1A"/>
    <w:rsid w:val="00E41A30"/>
    <w:rsid w:val="00E41BDF"/>
    <w:rsid w:val="00E41C12"/>
    <w:rsid w:val="00E41C9E"/>
    <w:rsid w:val="00E41D0C"/>
    <w:rsid w:val="00E41E1C"/>
    <w:rsid w:val="00E41E6A"/>
    <w:rsid w:val="00E420BC"/>
    <w:rsid w:val="00E420DD"/>
    <w:rsid w:val="00E420E2"/>
    <w:rsid w:val="00E420FC"/>
    <w:rsid w:val="00E42119"/>
    <w:rsid w:val="00E422DD"/>
    <w:rsid w:val="00E42391"/>
    <w:rsid w:val="00E423FF"/>
    <w:rsid w:val="00E42551"/>
    <w:rsid w:val="00E426F5"/>
    <w:rsid w:val="00E427A7"/>
    <w:rsid w:val="00E42868"/>
    <w:rsid w:val="00E42AF9"/>
    <w:rsid w:val="00E42B2B"/>
    <w:rsid w:val="00E42BBC"/>
    <w:rsid w:val="00E42D6A"/>
    <w:rsid w:val="00E42E32"/>
    <w:rsid w:val="00E42EF6"/>
    <w:rsid w:val="00E42F80"/>
    <w:rsid w:val="00E42FC1"/>
    <w:rsid w:val="00E430E0"/>
    <w:rsid w:val="00E432A5"/>
    <w:rsid w:val="00E433D4"/>
    <w:rsid w:val="00E435F7"/>
    <w:rsid w:val="00E4369C"/>
    <w:rsid w:val="00E43760"/>
    <w:rsid w:val="00E43871"/>
    <w:rsid w:val="00E4396C"/>
    <w:rsid w:val="00E43B37"/>
    <w:rsid w:val="00E43B46"/>
    <w:rsid w:val="00E43C27"/>
    <w:rsid w:val="00E43C55"/>
    <w:rsid w:val="00E43CA6"/>
    <w:rsid w:val="00E43CC7"/>
    <w:rsid w:val="00E43E50"/>
    <w:rsid w:val="00E43F83"/>
    <w:rsid w:val="00E43FC3"/>
    <w:rsid w:val="00E44044"/>
    <w:rsid w:val="00E44057"/>
    <w:rsid w:val="00E44060"/>
    <w:rsid w:val="00E44157"/>
    <w:rsid w:val="00E441A5"/>
    <w:rsid w:val="00E441A7"/>
    <w:rsid w:val="00E44229"/>
    <w:rsid w:val="00E4425E"/>
    <w:rsid w:val="00E4427F"/>
    <w:rsid w:val="00E44284"/>
    <w:rsid w:val="00E442C8"/>
    <w:rsid w:val="00E444AA"/>
    <w:rsid w:val="00E444E3"/>
    <w:rsid w:val="00E444FF"/>
    <w:rsid w:val="00E44506"/>
    <w:rsid w:val="00E445DC"/>
    <w:rsid w:val="00E445E3"/>
    <w:rsid w:val="00E44611"/>
    <w:rsid w:val="00E44704"/>
    <w:rsid w:val="00E4470A"/>
    <w:rsid w:val="00E4492F"/>
    <w:rsid w:val="00E449E5"/>
    <w:rsid w:val="00E44AD0"/>
    <w:rsid w:val="00E44BD4"/>
    <w:rsid w:val="00E44C06"/>
    <w:rsid w:val="00E44C0B"/>
    <w:rsid w:val="00E44C17"/>
    <w:rsid w:val="00E44D03"/>
    <w:rsid w:val="00E45001"/>
    <w:rsid w:val="00E4501E"/>
    <w:rsid w:val="00E451CE"/>
    <w:rsid w:val="00E4530D"/>
    <w:rsid w:val="00E45367"/>
    <w:rsid w:val="00E453C9"/>
    <w:rsid w:val="00E45481"/>
    <w:rsid w:val="00E45606"/>
    <w:rsid w:val="00E4569F"/>
    <w:rsid w:val="00E45856"/>
    <w:rsid w:val="00E45898"/>
    <w:rsid w:val="00E45A4C"/>
    <w:rsid w:val="00E45AC2"/>
    <w:rsid w:val="00E45B0D"/>
    <w:rsid w:val="00E45B2B"/>
    <w:rsid w:val="00E45BE3"/>
    <w:rsid w:val="00E45BF9"/>
    <w:rsid w:val="00E45C0F"/>
    <w:rsid w:val="00E45E20"/>
    <w:rsid w:val="00E45E85"/>
    <w:rsid w:val="00E45F03"/>
    <w:rsid w:val="00E45F4A"/>
    <w:rsid w:val="00E45F7A"/>
    <w:rsid w:val="00E46463"/>
    <w:rsid w:val="00E464D6"/>
    <w:rsid w:val="00E46639"/>
    <w:rsid w:val="00E4691E"/>
    <w:rsid w:val="00E46B4F"/>
    <w:rsid w:val="00E46BA1"/>
    <w:rsid w:val="00E46C63"/>
    <w:rsid w:val="00E46D2E"/>
    <w:rsid w:val="00E46DEF"/>
    <w:rsid w:val="00E46DF7"/>
    <w:rsid w:val="00E46E6C"/>
    <w:rsid w:val="00E46F3C"/>
    <w:rsid w:val="00E47049"/>
    <w:rsid w:val="00E471EB"/>
    <w:rsid w:val="00E472B5"/>
    <w:rsid w:val="00E47532"/>
    <w:rsid w:val="00E475AB"/>
    <w:rsid w:val="00E47715"/>
    <w:rsid w:val="00E477C4"/>
    <w:rsid w:val="00E4780A"/>
    <w:rsid w:val="00E47829"/>
    <w:rsid w:val="00E4798A"/>
    <w:rsid w:val="00E47A66"/>
    <w:rsid w:val="00E47CF9"/>
    <w:rsid w:val="00E47DFD"/>
    <w:rsid w:val="00E47E02"/>
    <w:rsid w:val="00E50003"/>
    <w:rsid w:val="00E50109"/>
    <w:rsid w:val="00E50123"/>
    <w:rsid w:val="00E50170"/>
    <w:rsid w:val="00E50236"/>
    <w:rsid w:val="00E50290"/>
    <w:rsid w:val="00E503B6"/>
    <w:rsid w:val="00E50406"/>
    <w:rsid w:val="00E505BC"/>
    <w:rsid w:val="00E508BB"/>
    <w:rsid w:val="00E50929"/>
    <w:rsid w:val="00E50C28"/>
    <w:rsid w:val="00E50D29"/>
    <w:rsid w:val="00E50E7C"/>
    <w:rsid w:val="00E5101D"/>
    <w:rsid w:val="00E5105A"/>
    <w:rsid w:val="00E510CF"/>
    <w:rsid w:val="00E511D6"/>
    <w:rsid w:val="00E5121C"/>
    <w:rsid w:val="00E5127F"/>
    <w:rsid w:val="00E5151D"/>
    <w:rsid w:val="00E51545"/>
    <w:rsid w:val="00E515BF"/>
    <w:rsid w:val="00E5163B"/>
    <w:rsid w:val="00E51661"/>
    <w:rsid w:val="00E51728"/>
    <w:rsid w:val="00E5190D"/>
    <w:rsid w:val="00E51A56"/>
    <w:rsid w:val="00E51B41"/>
    <w:rsid w:val="00E51D9E"/>
    <w:rsid w:val="00E51E21"/>
    <w:rsid w:val="00E51E64"/>
    <w:rsid w:val="00E51EF6"/>
    <w:rsid w:val="00E51F28"/>
    <w:rsid w:val="00E51F9F"/>
    <w:rsid w:val="00E52010"/>
    <w:rsid w:val="00E52086"/>
    <w:rsid w:val="00E520E6"/>
    <w:rsid w:val="00E52212"/>
    <w:rsid w:val="00E52231"/>
    <w:rsid w:val="00E52351"/>
    <w:rsid w:val="00E523A3"/>
    <w:rsid w:val="00E523FD"/>
    <w:rsid w:val="00E52459"/>
    <w:rsid w:val="00E5247E"/>
    <w:rsid w:val="00E52600"/>
    <w:rsid w:val="00E52624"/>
    <w:rsid w:val="00E52672"/>
    <w:rsid w:val="00E52997"/>
    <w:rsid w:val="00E52B0C"/>
    <w:rsid w:val="00E52BFF"/>
    <w:rsid w:val="00E52C42"/>
    <w:rsid w:val="00E52CA1"/>
    <w:rsid w:val="00E52E06"/>
    <w:rsid w:val="00E52E58"/>
    <w:rsid w:val="00E52EA1"/>
    <w:rsid w:val="00E53022"/>
    <w:rsid w:val="00E530FB"/>
    <w:rsid w:val="00E531FD"/>
    <w:rsid w:val="00E53362"/>
    <w:rsid w:val="00E53717"/>
    <w:rsid w:val="00E53771"/>
    <w:rsid w:val="00E537D1"/>
    <w:rsid w:val="00E537F2"/>
    <w:rsid w:val="00E53925"/>
    <w:rsid w:val="00E539BE"/>
    <w:rsid w:val="00E53C7C"/>
    <w:rsid w:val="00E53E76"/>
    <w:rsid w:val="00E53F1B"/>
    <w:rsid w:val="00E53F70"/>
    <w:rsid w:val="00E53F90"/>
    <w:rsid w:val="00E53FB2"/>
    <w:rsid w:val="00E54038"/>
    <w:rsid w:val="00E540B1"/>
    <w:rsid w:val="00E54181"/>
    <w:rsid w:val="00E54314"/>
    <w:rsid w:val="00E543DB"/>
    <w:rsid w:val="00E547D6"/>
    <w:rsid w:val="00E54916"/>
    <w:rsid w:val="00E54A4E"/>
    <w:rsid w:val="00E54BBE"/>
    <w:rsid w:val="00E54CA0"/>
    <w:rsid w:val="00E54D0B"/>
    <w:rsid w:val="00E54D98"/>
    <w:rsid w:val="00E54DAB"/>
    <w:rsid w:val="00E54FA5"/>
    <w:rsid w:val="00E55005"/>
    <w:rsid w:val="00E55337"/>
    <w:rsid w:val="00E5538D"/>
    <w:rsid w:val="00E55392"/>
    <w:rsid w:val="00E557BD"/>
    <w:rsid w:val="00E5587B"/>
    <w:rsid w:val="00E558FC"/>
    <w:rsid w:val="00E55969"/>
    <w:rsid w:val="00E55B2C"/>
    <w:rsid w:val="00E560AC"/>
    <w:rsid w:val="00E56114"/>
    <w:rsid w:val="00E5622E"/>
    <w:rsid w:val="00E562E2"/>
    <w:rsid w:val="00E56300"/>
    <w:rsid w:val="00E56314"/>
    <w:rsid w:val="00E56329"/>
    <w:rsid w:val="00E5635F"/>
    <w:rsid w:val="00E56446"/>
    <w:rsid w:val="00E5644B"/>
    <w:rsid w:val="00E56458"/>
    <w:rsid w:val="00E56504"/>
    <w:rsid w:val="00E565DF"/>
    <w:rsid w:val="00E567E6"/>
    <w:rsid w:val="00E5693A"/>
    <w:rsid w:val="00E56971"/>
    <w:rsid w:val="00E56A1C"/>
    <w:rsid w:val="00E56AE7"/>
    <w:rsid w:val="00E56DB8"/>
    <w:rsid w:val="00E56F9D"/>
    <w:rsid w:val="00E5703C"/>
    <w:rsid w:val="00E570DD"/>
    <w:rsid w:val="00E571DF"/>
    <w:rsid w:val="00E57220"/>
    <w:rsid w:val="00E57252"/>
    <w:rsid w:val="00E5736F"/>
    <w:rsid w:val="00E573D3"/>
    <w:rsid w:val="00E5762C"/>
    <w:rsid w:val="00E57697"/>
    <w:rsid w:val="00E577B5"/>
    <w:rsid w:val="00E57821"/>
    <w:rsid w:val="00E578B8"/>
    <w:rsid w:val="00E5792D"/>
    <w:rsid w:val="00E579A0"/>
    <w:rsid w:val="00E579F3"/>
    <w:rsid w:val="00E57A69"/>
    <w:rsid w:val="00E57B1C"/>
    <w:rsid w:val="00E57B83"/>
    <w:rsid w:val="00E57DA2"/>
    <w:rsid w:val="00E57EA5"/>
    <w:rsid w:val="00E57EE9"/>
    <w:rsid w:val="00E57F3B"/>
    <w:rsid w:val="00E57F42"/>
    <w:rsid w:val="00E6008D"/>
    <w:rsid w:val="00E60186"/>
    <w:rsid w:val="00E60324"/>
    <w:rsid w:val="00E6049C"/>
    <w:rsid w:val="00E60766"/>
    <w:rsid w:val="00E60774"/>
    <w:rsid w:val="00E607AB"/>
    <w:rsid w:val="00E60830"/>
    <w:rsid w:val="00E60AF1"/>
    <w:rsid w:val="00E60BEE"/>
    <w:rsid w:val="00E60CD3"/>
    <w:rsid w:val="00E60DC3"/>
    <w:rsid w:val="00E60EF9"/>
    <w:rsid w:val="00E60FE5"/>
    <w:rsid w:val="00E6118B"/>
    <w:rsid w:val="00E61272"/>
    <w:rsid w:val="00E61362"/>
    <w:rsid w:val="00E61484"/>
    <w:rsid w:val="00E614E0"/>
    <w:rsid w:val="00E61621"/>
    <w:rsid w:val="00E616C5"/>
    <w:rsid w:val="00E61733"/>
    <w:rsid w:val="00E61944"/>
    <w:rsid w:val="00E61989"/>
    <w:rsid w:val="00E61A39"/>
    <w:rsid w:val="00E61B27"/>
    <w:rsid w:val="00E61EAE"/>
    <w:rsid w:val="00E61F2E"/>
    <w:rsid w:val="00E61FB0"/>
    <w:rsid w:val="00E6217F"/>
    <w:rsid w:val="00E62191"/>
    <w:rsid w:val="00E621E7"/>
    <w:rsid w:val="00E62212"/>
    <w:rsid w:val="00E62262"/>
    <w:rsid w:val="00E622D8"/>
    <w:rsid w:val="00E62648"/>
    <w:rsid w:val="00E62651"/>
    <w:rsid w:val="00E62726"/>
    <w:rsid w:val="00E62754"/>
    <w:rsid w:val="00E628E4"/>
    <w:rsid w:val="00E62965"/>
    <w:rsid w:val="00E62A24"/>
    <w:rsid w:val="00E62DBF"/>
    <w:rsid w:val="00E62DF6"/>
    <w:rsid w:val="00E63021"/>
    <w:rsid w:val="00E63158"/>
    <w:rsid w:val="00E6326A"/>
    <w:rsid w:val="00E63283"/>
    <w:rsid w:val="00E632A0"/>
    <w:rsid w:val="00E632C7"/>
    <w:rsid w:val="00E6343E"/>
    <w:rsid w:val="00E6355A"/>
    <w:rsid w:val="00E63590"/>
    <w:rsid w:val="00E63766"/>
    <w:rsid w:val="00E63781"/>
    <w:rsid w:val="00E63804"/>
    <w:rsid w:val="00E638E8"/>
    <w:rsid w:val="00E63941"/>
    <w:rsid w:val="00E639EA"/>
    <w:rsid w:val="00E63ADF"/>
    <w:rsid w:val="00E63C44"/>
    <w:rsid w:val="00E63D0F"/>
    <w:rsid w:val="00E63E6D"/>
    <w:rsid w:val="00E63EEF"/>
    <w:rsid w:val="00E63F6F"/>
    <w:rsid w:val="00E6402E"/>
    <w:rsid w:val="00E6407C"/>
    <w:rsid w:val="00E6416A"/>
    <w:rsid w:val="00E641C0"/>
    <w:rsid w:val="00E64229"/>
    <w:rsid w:val="00E642DC"/>
    <w:rsid w:val="00E64491"/>
    <w:rsid w:val="00E644DB"/>
    <w:rsid w:val="00E64702"/>
    <w:rsid w:val="00E648F8"/>
    <w:rsid w:val="00E64939"/>
    <w:rsid w:val="00E64B5A"/>
    <w:rsid w:val="00E64CE0"/>
    <w:rsid w:val="00E64DAE"/>
    <w:rsid w:val="00E64DC1"/>
    <w:rsid w:val="00E64F2D"/>
    <w:rsid w:val="00E64FE1"/>
    <w:rsid w:val="00E652B9"/>
    <w:rsid w:val="00E6539C"/>
    <w:rsid w:val="00E653BB"/>
    <w:rsid w:val="00E654E4"/>
    <w:rsid w:val="00E65584"/>
    <w:rsid w:val="00E65593"/>
    <w:rsid w:val="00E655C0"/>
    <w:rsid w:val="00E65607"/>
    <w:rsid w:val="00E656E1"/>
    <w:rsid w:val="00E6574D"/>
    <w:rsid w:val="00E65812"/>
    <w:rsid w:val="00E659A9"/>
    <w:rsid w:val="00E65A32"/>
    <w:rsid w:val="00E65ACA"/>
    <w:rsid w:val="00E65B38"/>
    <w:rsid w:val="00E65B88"/>
    <w:rsid w:val="00E65D15"/>
    <w:rsid w:val="00E66100"/>
    <w:rsid w:val="00E661B5"/>
    <w:rsid w:val="00E662AF"/>
    <w:rsid w:val="00E66375"/>
    <w:rsid w:val="00E665BC"/>
    <w:rsid w:val="00E66703"/>
    <w:rsid w:val="00E6689B"/>
    <w:rsid w:val="00E669F8"/>
    <w:rsid w:val="00E66BFA"/>
    <w:rsid w:val="00E66D3D"/>
    <w:rsid w:val="00E66D81"/>
    <w:rsid w:val="00E66EB6"/>
    <w:rsid w:val="00E66F74"/>
    <w:rsid w:val="00E67035"/>
    <w:rsid w:val="00E671BB"/>
    <w:rsid w:val="00E6730B"/>
    <w:rsid w:val="00E67380"/>
    <w:rsid w:val="00E673B8"/>
    <w:rsid w:val="00E6742B"/>
    <w:rsid w:val="00E67492"/>
    <w:rsid w:val="00E674F6"/>
    <w:rsid w:val="00E67526"/>
    <w:rsid w:val="00E67634"/>
    <w:rsid w:val="00E677CB"/>
    <w:rsid w:val="00E678BE"/>
    <w:rsid w:val="00E678C7"/>
    <w:rsid w:val="00E67A68"/>
    <w:rsid w:val="00E67A6D"/>
    <w:rsid w:val="00E67B5D"/>
    <w:rsid w:val="00E67CF3"/>
    <w:rsid w:val="00E67D13"/>
    <w:rsid w:val="00E67DFC"/>
    <w:rsid w:val="00E67E09"/>
    <w:rsid w:val="00E7017C"/>
    <w:rsid w:val="00E702AA"/>
    <w:rsid w:val="00E70316"/>
    <w:rsid w:val="00E7050F"/>
    <w:rsid w:val="00E70753"/>
    <w:rsid w:val="00E70808"/>
    <w:rsid w:val="00E708AF"/>
    <w:rsid w:val="00E70B35"/>
    <w:rsid w:val="00E70BB5"/>
    <w:rsid w:val="00E70D4C"/>
    <w:rsid w:val="00E70EF2"/>
    <w:rsid w:val="00E70FE1"/>
    <w:rsid w:val="00E710A9"/>
    <w:rsid w:val="00E710CD"/>
    <w:rsid w:val="00E71111"/>
    <w:rsid w:val="00E711D7"/>
    <w:rsid w:val="00E7129C"/>
    <w:rsid w:val="00E71317"/>
    <w:rsid w:val="00E71600"/>
    <w:rsid w:val="00E716E8"/>
    <w:rsid w:val="00E718AE"/>
    <w:rsid w:val="00E718F9"/>
    <w:rsid w:val="00E71A13"/>
    <w:rsid w:val="00E71A4B"/>
    <w:rsid w:val="00E71AA7"/>
    <w:rsid w:val="00E71B76"/>
    <w:rsid w:val="00E71C02"/>
    <w:rsid w:val="00E71C74"/>
    <w:rsid w:val="00E71DA6"/>
    <w:rsid w:val="00E71F4A"/>
    <w:rsid w:val="00E71F69"/>
    <w:rsid w:val="00E7204F"/>
    <w:rsid w:val="00E7206D"/>
    <w:rsid w:val="00E7240F"/>
    <w:rsid w:val="00E725BB"/>
    <w:rsid w:val="00E725DE"/>
    <w:rsid w:val="00E72667"/>
    <w:rsid w:val="00E727A0"/>
    <w:rsid w:val="00E728C7"/>
    <w:rsid w:val="00E72936"/>
    <w:rsid w:val="00E72988"/>
    <w:rsid w:val="00E729B4"/>
    <w:rsid w:val="00E729CB"/>
    <w:rsid w:val="00E729FF"/>
    <w:rsid w:val="00E72AAA"/>
    <w:rsid w:val="00E72C2E"/>
    <w:rsid w:val="00E72D60"/>
    <w:rsid w:val="00E72D97"/>
    <w:rsid w:val="00E72EBF"/>
    <w:rsid w:val="00E7308F"/>
    <w:rsid w:val="00E73157"/>
    <w:rsid w:val="00E7318D"/>
    <w:rsid w:val="00E731D8"/>
    <w:rsid w:val="00E7341F"/>
    <w:rsid w:val="00E73503"/>
    <w:rsid w:val="00E73512"/>
    <w:rsid w:val="00E73582"/>
    <w:rsid w:val="00E73586"/>
    <w:rsid w:val="00E735A1"/>
    <w:rsid w:val="00E735C9"/>
    <w:rsid w:val="00E737AA"/>
    <w:rsid w:val="00E739C1"/>
    <w:rsid w:val="00E73BC3"/>
    <w:rsid w:val="00E73CE1"/>
    <w:rsid w:val="00E74031"/>
    <w:rsid w:val="00E74418"/>
    <w:rsid w:val="00E745BD"/>
    <w:rsid w:val="00E7475D"/>
    <w:rsid w:val="00E747E9"/>
    <w:rsid w:val="00E74A35"/>
    <w:rsid w:val="00E74A36"/>
    <w:rsid w:val="00E74B97"/>
    <w:rsid w:val="00E74C95"/>
    <w:rsid w:val="00E74CC8"/>
    <w:rsid w:val="00E74FB3"/>
    <w:rsid w:val="00E750DF"/>
    <w:rsid w:val="00E75143"/>
    <w:rsid w:val="00E753ED"/>
    <w:rsid w:val="00E75453"/>
    <w:rsid w:val="00E75488"/>
    <w:rsid w:val="00E754BA"/>
    <w:rsid w:val="00E756CD"/>
    <w:rsid w:val="00E75806"/>
    <w:rsid w:val="00E7591B"/>
    <w:rsid w:val="00E75A08"/>
    <w:rsid w:val="00E75B5B"/>
    <w:rsid w:val="00E75B61"/>
    <w:rsid w:val="00E75BA3"/>
    <w:rsid w:val="00E75BD2"/>
    <w:rsid w:val="00E75BD8"/>
    <w:rsid w:val="00E75C32"/>
    <w:rsid w:val="00E75D97"/>
    <w:rsid w:val="00E7604D"/>
    <w:rsid w:val="00E761A5"/>
    <w:rsid w:val="00E761C6"/>
    <w:rsid w:val="00E762E3"/>
    <w:rsid w:val="00E762EA"/>
    <w:rsid w:val="00E7638D"/>
    <w:rsid w:val="00E7683F"/>
    <w:rsid w:val="00E76A75"/>
    <w:rsid w:val="00E76AC0"/>
    <w:rsid w:val="00E76AEE"/>
    <w:rsid w:val="00E76C54"/>
    <w:rsid w:val="00E76CB3"/>
    <w:rsid w:val="00E76E70"/>
    <w:rsid w:val="00E76EEC"/>
    <w:rsid w:val="00E76F07"/>
    <w:rsid w:val="00E76F49"/>
    <w:rsid w:val="00E77001"/>
    <w:rsid w:val="00E770FC"/>
    <w:rsid w:val="00E7713C"/>
    <w:rsid w:val="00E77197"/>
    <w:rsid w:val="00E771DE"/>
    <w:rsid w:val="00E772AC"/>
    <w:rsid w:val="00E772E6"/>
    <w:rsid w:val="00E772EE"/>
    <w:rsid w:val="00E77309"/>
    <w:rsid w:val="00E77383"/>
    <w:rsid w:val="00E773A5"/>
    <w:rsid w:val="00E773F2"/>
    <w:rsid w:val="00E77449"/>
    <w:rsid w:val="00E77625"/>
    <w:rsid w:val="00E777BF"/>
    <w:rsid w:val="00E777CD"/>
    <w:rsid w:val="00E77848"/>
    <w:rsid w:val="00E778E7"/>
    <w:rsid w:val="00E77906"/>
    <w:rsid w:val="00E7794E"/>
    <w:rsid w:val="00E779E5"/>
    <w:rsid w:val="00E77B56"/>
    <w:rsid w:val="00E77D34"/>
    <w:rsid w:val="00E77D91"/>
    <w:rsid w:val="00E77D9C"/>
    <w:rsid w:val="00E77EC0"/>
    <w:rsid w:val="00E80083"/>
    <w:rsid w:val="00E80125"/>
    <w:rsid w:val="00E80177"/>
    <w:rsid w:val="00E80183"/>
    <w:rsid w:val="00E8020D"/>
    <w:rsid w:val="00E8027B"/>
    <w:rsid w:val="00E8028B"/>
    <w:rsid w:val="00E802FE"/>
    <w:rsid w:val="00E8030D"/>
    <w:rsid w:val="00E803E0"/>
    <w:rsid w:val="00E80438"/>
    <w:rsid w:val="00E80615"/>
    <w:rsid w:val="00E8062F"/>
    <w:rsid w:val="00E8065B"/>
    <w:rsid w:val="00E80727"/>
    <w:rsid w:val="00E8076E"/>
    <w:rsid w:val="00E80784"/>
    <w:rsid w:val="00E807C5"/>
    <w:rsid w:val="00E80CCC"/>
    <w:rsid w:val="00E80D13"/>
    <w:rsid w:val="00E80D9A"/>
    <w:rsid w:val="00E80E22"/>
    <w:rsid w:val="00E81452"/>
    <w:rsid w:val="00E815E1"/>
    <w:rsid w:val="00E817C2"/>
    <w:rsid w:val="00E8190E"/>
    <w:rsid w:val="00E8193A"/>
    <w:rsid w:val="00E81AEE"/>
    <w:rsid w:val="00E81B16"/>
    <w:rsid w:val="00E81D97"/>
    <w:rsid w:val="00E81DAB"/>
    <w:rsid w:val="00E81ED3"/>
    <w:rsid w:val="00E821AD"/>
    <w:rsid w:val="00E82226"/>
    <w:rsid w:val="00E823A4"/>
    <w:rsid w:val="00E823A5"/>
    <w:rsid w:val="00E8253F"/>
    <w:rsid w:val="00E82682"/>
    <w:rsid w:val="00E826CF"/>
    <w:rsid w:val="00E8272B"/>
    <w:rsid w:val="00E8276A"/>
    <w:rsid w:val="00E827BE"/>
    <w:rsid w:val="00E82AAC"/>
    <w:rsid w:val="00E82ABC"/>
    <w:rsid w:val="00E82D7B"/>
    <w:rsid w:val="00E82DE2"/>
    <w:rsid w:val="00E82FB2"/>
    <w:rsid w:val="00E8308C"/>
    <w:rsid w:val="00E83110"/>
    <w:rsid w:val="00E8314F"/>
    <w:rsid w:val="00E83185"/>
    <w:rsid w:val="00E831B7"/>
    <w:rsid w:val="00E832CE"/>
    <w:rsid w:val="00E83590"/>
    <w:rsid w:val="00E836CB"/>
    <w:rsid w:val="00E83861"/>
    <w:rsid w:val="00E83939"/>
    <w:rsid w:val="00E83990"/>
    <w:rsid w:val="00E83AA5"/>
    <w:rsid w:val="00E83B1F"/>
    <w:rsid w:val="00E83CB2"/>
    <w:rsid w:val="00E83CE6"/>
    <w:rsid w:val="00E83D9B"/>
    <w:rsid w:val="00E83EA8"/>
    <w:rsid w:val="00E83EE3"/>
    <w:rsid w:val="00E84037"/>
    <w:rsid w:val="00E8403A"/>
    <w:rsid w:val="00E84073"/>
    <w:rsid w:val="00E84079"/>
    <w:rsid w:val="00E8415E"/>
    <w:rsid w:val="00E842AC"/>
    <w:rsid w:val="00E842B1"/>
    <w:rsid w:val="00E84398"/>
    <w:rsid w:val="00E844D1"/>
    <w:rsid w:val="00E84647"/>
    <w:rsid w:val="00E84689"/>
    <w:rsid w:val="00E846D2"/>
    <w:rsid w:val="00E84994"/>
    <w:rsid w:val="00E84A70"/>
    <w:rsid w:val="00E84BD4"/>
    <w:rsid w:val="00E84BDF"/>
    <w:rsid w:val="00E84C13"/>
    <w:rsid w:val="00E84C31"/>
    <w:rsid w:val="00E84CAB"/>
    <w:rsid w:val="00E84EF0"/>
    <w:rsid w:val="00E85046"/>
    <w:rsid w:val="00E850D2"/>
    <w:rsid w:val="00E851E5"/>
    <w:rsid w:val="00E851EC"/>
    <w:rsid w:val="00E85707"/>
    <w:rsid w:val="00E8589D"/>
    <w:rsid w:val="00E858E8"/>
    <w:rsid w:val="00E85969"/>
    <w:rsid w:val="00E85A1A"/>
    <w:rsid w:val="00E85C3B"/>
    <w:rsid w:val="00E85EF0"/>
    <w:rsid w:val="00E85F0D"/>
    <w:rsid w:val="00E85FBC"/>
    <w:rsid w:val="00E86029"/>
    <w:rsid w:val="00E8605D"/>
    <w:rsid w:val="00E86122"/>
    <w:rsid w:val="00E86292"/>
    <w:rsid w:val="00E86406"/>
    <w:rsid w:val="00E864E8"/>
    <w:rsid w:val="00E8654A"/>
    <w:rsid w:val="00E865CB"/>
    <w:rsid w:val="00E86604"/>
    <w:rsid w:val="00E86692"/>
    <w:rsid w:val="00E866FC"/>
    <w:rsid w:val="00E8671F"/>
    <w:rsid w:val="00E867DB"/>
    <w:rsid w:val="00E86808"/>
    <w:rsid w:val="00E8694B"/>
    <w:rsid w:val="00E8695F"/>
    <w:rsid w:val="00E86989"/>
    <w:rsid w:val="00E86A48"/>
    <w:rsid w:val="00E86B5B"/>
    <w:rsid w:val="00E86C23"/>
    <w:rsid w:val="00E86CA3"/>
    <w:rsid w:val="00E86D64"/>
    <w:rsid w:val="00E86D87"/>
    <w:rsid w:val="00E86EC4"/>
    <w:rsid w:val="00E871B7"/>
    <w:rsid w:val="00E87351"/>
    <w:rsid w:val="00E87392"/>
    <w:rsid w:val="00E87438"/>
    <w:rsid w:val="00E874AB"/>
    <w:rsid w:val="00E876C9"/>
    <w:rsid w:val="00E87717"/>
    <w:rsid w:val="00E87729"/>
    <w:rsid w:val="00E87E13"/>
    <w:rsid w:val="00E87E6C"/>
    <w:rsid w:val="00E87EC8"/>
    <w:rsid w:val="00E87EDD"/>
    <w:rsid w:val="00E87F38"/>
    <w:rsid w:val="00E87F5C"/>
    <w:rsid w:val="00E87F77"/>
    <w:rsid w:val="00E90053"/>
    <w:rsid w:val="00E900DA"/>
    <w:rsid w:val="00E900ED"/>
    <w:rsid w:val="00E90286"/>
    <w:rsid w:val="00E902B0"/>
    <w:rsid w:val="00E902E8"/>
    <w:rsid w:val="00E9036D"/>
    <w:rsid w:val="00E90460"/>
    <w:rsid w:val="00E9059C"/>
    <w:rsid w:val="00E90709"/>
    <w:rsid w:val="00E90711"/>
    <w:rsid w:val="00E90800"/>
    <w:rsid w:val="00E90A43"/>
    <w:rsid w:val="00E90A8E"/>
    <w:rsid w:val="00E90ABB"/>
    <w:rsid w:val="00E90B8A"/>
    <w:rsid w:val="00E90C3A"/>
    <w:rsid w:val="00E90CD2"/>
    <w:rsid w:val="00E90E72"/>
    <w:rsid w:val="00E90FAE"/>
    <w:rsid w:val="00E910E8"/>
    <w:rsid w:val="00E91114"/>
    <w:rsid w:val="00E911A1"/>
    <w:rsid w:val="00E91366"/>
    <w:rsid w:val="00E91481"/>
    <w:rsid w:val="00E91570"/>
    <w:rsid w:val="00E915F2"/>
    <w:rsid w:val="00E91752"/>
    <w:rsid w:val="00E91783"/>
    <w:rsid w:val="00E91A2E"/>
    <w:rsid w:val="00E91AE9"/>
    <w:rsid w:val="00E91B2A"/>
    <w:rsid w:val="00E91BBD"/>
    <w:rsid w:val="00E91CDC"/>
    <w:rsid w:val="00E91D29"/>
    <w:rsid w:val="00E91F3D"/>
    <w:rsid w:val="00E91F79"/>
    <w:rsid w:val="00E91FD4"/>
    <w:rsid w:val="00E922A2"/>
    <w:rsid w:val="00E92494"/>
    <w:rsid w:val="00E924AE"/>
    <w:rsid w:val="00E9269F"/>
    <w:rsid w:val="00E926D5"/>
    <w:rsid w:val="00E926DE"/>
    <w:rsid w:val="00E9296B"/>
    <w:rsid w:val="00E92B68"/>
    <w:rsid w:val="00E92D60"/>
    <w:rsid w:val="00E92D97"/>
    <w:rsid w:val="00E92EF4"/>
    <w:rsid w:val="00E92F2A"/>
    <w:rsid w:val="00E92F85"/>
    <w:rsid w:val="00E93124"/>
    <w:rsid w:val="00E931A7"/>
    <w:rsid w:val="00E9323C"/>
    <w:rsid w:val="00E933A2"/>
    <w:rsid w:val="00E934CF"/>
    <w:rsid w:val="00E935D5"/>
    <w:rsid w:val="00E93670"/>
    <w:rsid w:val="00E93848"/>
    <w:rsid w:val="00E939E8"/>
    <w:rsid w:val="00E93A76"/>
    <w:rsid w:val="00E93C9D"/>
    <w:rsid w:val="00E93E65"/>
    <w:rsid w:val="00E93F39"/>
    <w:rsid w:val="00E94139"/>
    <w:rsid w:val="00E9417D"/>
    <w:rsid w:val="00E94206"/>
    <w:rsid w:val="00E94295"/>
    <w:rsid w:val="00E9436E"/>
    <w:rsid w:val="00E9479D"/>
    <w:rsid w:val="00E94E17"/>
    <w:rsid w:val="00E94E3A"/>
    <w:rsid w:val="00E94F8F"/>
    <w:rsid w:val="00E94FA2"/>
    <w:rsid w:val="00E9531A"/>
    <w:rsid w:val="00E95356"/>
    <w:rsid w:val="00E953DE"/>
    <w:rsid w:val="00E9549B"/>
    <w:rsid w:val="00E95548"/>
    <w:rsid w:val="00E955D3"/>
    <w:rsid w:val="00E95603"/>
    <w:rsid w:val="00E9565E"/>
    <w:rsid w:val="00E956D0"/>
    <w:rsid w:val="00E95725"/>
    <w:rsid w:val="00E9583C"/>
    <w:rsid w:val="00E95857"/>
    <w:rsid w:val="00E95890"/>
    <w:rsid w:val="00E958AD"/>
    <w:rsid w:val="00E95AB6"/>
    <w:rsid w:val="00E95D63"/>
    <w:rsid w:val="00E95D91"/>
    <w:rsid w:val="00E95EBC"/>
    <w:rsid w:val="00E95EF8"/>
    <w:rsid w:val="00E95F21"/>
    <w:rsid w:val="00E95F4A"/>
    <w:rsid w:val="00E960E6"/>
    <w:rsid w:val="00E96194"/>
    <w:rsid w:val="00E961C9"/>
    <w:rsid w:val="00E96467"/>
    <w:rsid w:val="00E96477"/>
    <w:rsid w:val="00E96539"/>
    <w:rsid w:val="00E9669F"/>
    <w:rsid w:val="00E96950"/>
    <w:rsid w:val="00E969BD"/>
    <w:rsid w:val="00E96A58"/>
    <w:rsid w:val="00E96A67"/>
    <w:rsid w:val="00E96AD5"/>
    <w:rsid w:val="00E96C0A"/>
    <w:rsid w:val="00E96EA8"/>
    <w:rsid w:val="00E96FB9"/>
    <w:rsid w:val="00E970FB"/>
    <w:rsid w:val="00E97247"/>
    <w:rsid w:val="00E97405"/>
    <w:rsid w:val="00E97425"/>
    <w:rsid w:val="00E9742B"/>
    <w:rsid w:val="00E975BD"/>
    <w:rsid w:val="00E9771F"/>
    <w:rsid w:val="00E9775E"/>
    <w:rsid w:val="00E97867"/>
    <w:rsid w:val="00E97AE9"/>
    <w:rsid w:val="00E97C19"/>
    <w:rsid w:val="00E97C56"/>
    <w:rsid w:val="00E97C68"/>
    <w:rsid w:val="00E97C6F"/>
    <w:rsid w:val="00E97D00"/>
    <w:rsid w:val="00E97EDA"/>
    <w:rsid w:val="00E97F56"/>
    <w:rsid w:val="00E97F78"/>
    <w:rsid w:val="00E97F9F"/>
    <w:rsid w:val="00E97FA0"/>
    <w:rsid w:val="00EA004D"/>
    <w:rsid w:val="00EA0108"/>
    <w:rsid w:val="00EA01C0"/>
    <w:rsid w:val="00EA02EF"/>
    <w:rsid w:val="00EA034F"/>
    <w:rsid w:val="00EA03C8"/>
    <w:rsid w:val="00EA03F2"/>
    <w:rsid w:val="00EA044B"/>
    <w:rsid w:val="00EA0453"/>
    <w:rsid w:val="00EA064B"/>
    <w:rsid w:val="00EA073C"/>
    <w:rsid w:val="00EA07F2"/>
    <w:rsid w:val="00EA08C0"/>
    <w:rsid w:val="00EA08F0"/>
    <w:rsid w:val="00EA091B"/>
    <w:rsid w:val="00EA0958"/>
    <w:rsid w:val="00EA09E1"/>
    <w:rsid w:val="00EA0A43"/>
    <w:rsid w:val="00EA0C3C"/>
    <w:rsid w:val="00EA0CB2"/>
    <w:rsid w:val="00EA0D7C"/>
    <w:rsid w:val="00EA0DCF"/>
    <w:rsid w:val="00EA0E12"/>
    <w:rsid w:val="00EA10F6"/>
    <w:rsid w:val="00EA1116"/>
    <w:rsid w:val="00EA1183"/>
    <w:rsid w:val="00EA13F2"/>
    <w:rsid w:val="00EA1477"/>
    <w:rsid w:val="00EA1556"/>
    <w:rsid w:val="00EA1579"/>
    <w:rsid w:val="00EA1593"/>
    <w:rsid w:val="00EA15B2"/>
    <w:rsid w:val="00EA1755"/>
    <w:rsid w:val="00EA175C"/>
    <w:rsid w:val="00EA181D"/>
    <w:rsid w:val="00EA190B"/>
    <w:rsid w:val="00EA1AE6"/>
    <w:rsid w:val="00EA1BBC"/>
    <w:rsid w:val="00EA1D0C"/>
    <w:rsid w:val="00EA1F63"/>
    <w:rsid w:val="00EA207D"/>
    <w:rsid w:val="00EA21D8"/>
    <w:rsid w:val="00EA225D"/>
    <w:rsid w:val="00EA236D"/>
    <w:rsid w:val="00EA2398"/>
    <w:rsid w:val="00EA23AC"/>
    <w:rsid w:val="00EA23E7"/>
    <w:rsid w:val="00EA23FC"/>
    <w:rsid w:val="00EA266C"/>
    <w:rsid w:val="00EA2678"/>
    <w:rsid w:val="00EA26BB"/>
    <w:rsid w:val="00EA29E1"/>
    <w:rsid w:val="00EA2A0D"/>
    <w:rsid w:val="00EA2A95"/>
    <w:rsid w:val="00EA2C3E"/>
    <w:rsid w:val="00EA2DF5"/>
    <w:rsid w:val="00EA2FE4"/>
    <w:rsid w:val="00EA300D"/>
    <w:rsid w:val="00EA3070"/>
    <w:rsid w:val="00EA30B7"/>
    <w:rsid w:val="00EA31FD"/>
    <w:rsid w:val="00EA34E2"/>
    <w:rsid w:val="00EA35C4"/>
    <w:rsid w:val="00EA360A"/>
    <w:rsid w:val="00EA38F1"/>
    <w:rsid w:val="00EA398F"/>
    <w:rsid w:val="00EA3C51"/>
    <w:rsid w:val="00EA3CFE"/>
    <w:rsid w:val="00EA3EFB"/>
    <w:rsid w:val="00EA3F01"/>
    <w:rsid w:val="00EA3F42"/>
    <w:rsid w:val="00EA3F43"/>
    <w:rsid w:val="00EA4083"/>
    <w:rsid w:val="00EA4173"/>
    <w:rsid w:val="00EA42B4"/>
    <w:rsid w:val="00EA42BD"/>
    <w:rsid w:val="00EA4306"/>
    <w:rsid w:val="00EA4307"/>
    <w:rsid w:val="00EA4419"/>
    <w:rsid w:val="00EA44AB"/>
    <w:rsid w:val="00EA4599"/>
    <w:rsid w:val="00EA47B4"/>
    <w:rsid w:val="00EA4A41"/>
    <w:rsid w:val="00EA4B78"/>
    <w:rsid w:val="00EA4B9C"/>
    <w:rsid w:val="00EA4BCB"/>
    <w:rsid w:val="00EA4CEA"/>
    <w:rsid w:val="00EA4D90"/>
    <w:rsid w:val="00EA4EB3"/>
    <w:rsid w:val="00EA4EC9"/>
    <w:rsid w:val="00EA4F3F"/>
    <w:rsid w:val="00EA511F"/>
    <w:rsid w:val="00EA51DE"/>
    <w:rsid w:val="00EA51EC"/>
    <w:rsid w:val="00EA5420"/>
    <w:rsid w:val="00EA5454"/>
    <w:rsid w:val="00EA547A"/>
    <w:rsid w:val="00EA54FC"/>
    <w:rsid w:val="00EA5680"/>
    <w:rsid w:val="00EA5697"/>
    <w:rsid w:val="00EA56C2"/>
    <w:rsid w:val="00EA57FB"/>
    <w:rsid w:val="00EA5803"/>
    <w:rsid w:val="00EA598C"/>
    <w:rsid w:val="00EA5D25"/>
    <w:rsid w:val="00EA5DD9"/>
    <w:rsid w:val="00EA5E1F"/>
    <w:rsid w:val="00EA5EA8"/>
    <w:rsid w:val="00EA61F8"/>
    <w:rsid w:val="00EA6259"/>
    <w:rsid w:val="00EA6401"/>
    <w:rsid w:val="00EA665B"/>
    <w:rsid w:val="00EA66C5"/>
    <w:rsid w:val="00EA68DE"/>
    <w:rsid w:val="00EA69AD"/>
    <w:rsid w:val="00EA6BAB"/>
    <w:rsid w:val="00EA6BE4"/>
    <w:rsid w:val="00EA6C24"/>
    <w:rsid w:val="00EA6D2E"/>
    <w:rsid w:val="00EA6D4A"/>
    <w:rsid w:val="00EA6E5D"/>
    <w:rsid w:val="00EA6F03"/>
    <w:rsid w:val="00EA7068"/>
    <w:rsid w:val="00EA70B0"/>
    <w:rsid w:val="00EA7272"/>
    <w:rsid w:val="00EA746B"/>
    <w:rsid w:val="00EA74D2"/>
    <w:rsid w:val="00EA7516"/>
    <w:rsid w:val="00EA753B"/>
    <w:rsid w:val="00EA79B6"/>
    <w:rsid w:val="00EA7AD3"/>
    <w:rsid w:val="00EA7B07"/>
    <w:rsid w:val="00EA7C3D"/>
    <w:rsid w:val="00EA7C6A"/>
    <w:rsid w:val="00EA7D06"/>
    <w:rsid w:val="00EA7E03"/>
    <w:rsid w:val="00EA7E7E"/>
    <w:rsid w:val="00EA7E9B"/>
    <w:rsid w:val="00EB0064"/>
    <w:rsid w:val="00EB01F5"/>
    <w:rsid w:val="00EB0298"/>
    <w:rsid w:val="00EB0480"/>
    <w:rsid w:val="00EB04F9"/>
    <w:rsid w:val="00EB06A6"/>
    <w:rsid w:val="00EB0846"/>
    <w:rsid w:val="00EB08A1"/>
    <w:rsid w:val="00EB0BD2"/>
    <w:rsid w:val="00EB0CB5"/>
    <w:rsid w:val="00EB0DF6"/>
    <w:rsid w:val="00EB0E91"/>
    <w:rsid w:val="00EB0E9E"/>
    <w:rsid w:val="00EB101E"/>
    <w:rsid w:val="00EB1023"/>
    <w:rsid w:val="00EB10FA"/>
    <w:rsid w:val="00EB1339"/>
    <w:rsid w:val="00EB13F4"/>
    <w:rsid w:val="00EB1413"/>
    <w:rsid w:val="00EB16BB"/>
    <w:rsid w:val="00EB19AF"/>
    <w:rsid w:val="00EB19C0"/>
    <w:rsid w:val="00EB1A69"/>
    <w:rsid w:val="00EB1BA7"/>
    <w:rsid w:val="00EB1BAE"/>
    <w:rsid w:val="00EB1F9D"/>
    <w:rsid w:val="00EB1FFD"/>
    <w:rsid w:val="00EB2319"/>
    <w:rsid w:val="00EB25DD"/>
    <w:rsid w:val="00EB2618"/>
    <w:rsid w:val="00EB27CD"/>
    <w:rsid w:val="00EB2804"/>
    <w:rsid w:val="00EB2948"/>
    <w:rsid w:val="00EB29F8"/>
    <w:rsid w:val="00EB2A65"/>
    <w:rsid w:val="00EB2E09"/>
    <w:rsid w:val="00EB2E4C"/>
    <w:rsid w:val="00EB32B0"/>
    <w:rsid w:val="00EB346E"/>
    <w:rsid w:val="00EB3651"/>
    <w:rsid w:val="00EB37F0"/>
    <w:rsid w:val="00EB3870"/>
    <w:rsid w:val="00EB3961"/>
    <w:rsid w:val="00EB3CDB"/>
    <w:rsid w:val="00EB3D88"/>
    <w:rsid w:val="00EB41F2"/>
    <w:rsid w:val="00EB4260"/>
    <w:rsid w:val="00EB4709"/>
    <w:rsid w:val="00EB472D"/>
    <w:rsid w:val="00EB4789"/>
    <w:rsid w:val="00EB4912"/>
    <w:rsid w:val="00EB492A"/>
    <w:rsid w:val="00EB4AA1"/>
    <w:rsid w:val="00EB4B0B"/>
    <w:rsid w:val="00EB4C26"/>
    <w:rsid w:val="00EB4CF0"/>
    <w:rsid w:val="00EB4DB8"/>
    <w:rsid w:val="00EB5120"/>
    <w:rsid w:val="00EB5152"/>
    <w:rsid w:val="00EB53FF"/>
    <w:rsid w:val="00EB5514"/>
    <w:rsid w:val="00EB5548"/>
    <w:rsid w:val="00EB559B"/>
    <w:rsid w:val="00EB55ED"/>
    <w:rsid w:val="00EB56BE"/>
    <w:rsid w:val="00EB5746"/>
    <w:rsid w:val="00EB582C"/>
    <w:rsid w:val="00EB58B1"/>
    <w:rsid w:val="00EB59B3"/>
    <w:rsid w:val="00EB5A60"/>
    <w:rsid w:val="00EB5CAE"/>
    <w:rsid w:val="00EB5CB8"/>
    <w:rsid w:val="00EB5F4D"/>
    <w:rsid w:val="00EB61E5"/>
    <w:rsid w:val="00EB63CE"/>
    <w:rsid w:val="00EB65BB"/>
    <w:rsid w:val="00EB6630"/>
    <w:rsid w:val="00EB66B7"/>
    <w:rsid w:val="00EB67D0"/>
    <w:rsid w:val="00EB6878"/>
    <w:rsid w:val="00EB69D9"/>
    <w:rsid w:val="00EB6A06"/>
    <w:rsid w:val="00EB6B73"/>
    <w:rsid w:val="00EB6BD6"/>
    <w:rsid w:val="00EB6CA1"/>
    <w:rsid w:val="00EB6E50"/>
    <w:rsid w:val="00EB6E7A"/>
    <w:rsid w:val="00EB6E96"/>
    <w:rsid w:val="00EB6EFB"/>
    <w:rsid w:val="00EB6F03"/>
    <w:rsid w:val="00EB6F4E"/>
    <w:rsid w:val="00EB6FC1"/>
    <w:rsid w:val="00EB7014"/>
    <w:rsid w:val="00EB7082"/>
    <w:rsid w:val="00EB70AE"/>
    <w:rsid w:val="00EB713D"/>
    <w:rsid w:val="00EB7186"/>
    <w:rsid w:val="00EB71F0"/>
    <w:rsid w:val="00EB720D"/>
    <w:rsid w:val="00EB736D"/>
    <w:rsid w:val="00EB741D"/>
    <w:rsid w:val="00EB74AF"/>
    <w:rsid w:val="00EB7504"/>
    <w:rsid w:val="00EB7634"/>
    <w:rsid w:val="00EB770C"/>
    <w:rsid w:val="00EB774A"/>
    <w:rsid w:val="00EB77FA"/>
    <w:rsid w:val="00EB78C1"/>
    <w:rsid w:val="00EB78C5"/>
    <w:rsid w:val="00EB78CB"/>
    <w:rsid w:val="00EB7B00"/>
    <w:rsid w:val="00EB7BBB"/>
    <w:rsid w:val="00EB7D2C"/>
    <w:rsid w:val="00EB7D65"/>
    <w:rsid w:val="00EC0008"/>
    <w:rsid w:val="00EC0035"/>
    <w:rsid w:val="00EC0456"/>
    <w:rsid w:val="00EC045F"/>
    <w:rsid w:val="00EC0525"/>
    <w:rsid w:val="00EC074C"/>
    <w:rsid w:val="00EC075A"/>
    <w:rsid w:val="00EC084A"/>
    <w:rsid w:val="00EC088B"/>
    <w:rsid w:val="00EC0B5E"/>
    <w:rsid w:val="00EC0C24"/>
    <w:rsid w:val="00EC0E34"/>
    <w:rsid w:val="00EC0F6F"/>
    <w:rsid w:val="00EC124E"/>
    <w:rsid w:val="00EC137D"/>
    <w:rsid w:val="00EC1391"/>
    <w:rsid w:val="00EC1421"/>
    <w:rsid w:val="00EC1437"/>
    <w:rsid w:val="00EC14D2"/>
    <w:rsid w:val="00EC152A"/>
    <w:rsid w:val="00EC1555"/>
    <w:rsid w:val="00EC15AA"/>
    <w:rsid w:val="00EC1701"/>
    <w:rsid w:val="00EC18C2"/>
    <w:rsid w:val="00EC1A2C"/>
    <w:rsid w:val="00EC1AE6"/>
    <w:rsid w:val="00EC1BAE"/>
    <w:rsid w:val="00EC1E0E"/>
    <w:rsid w:val="00EC1EC1"/>
    <w:rsid w:val="00EC1F5F"/>
    <w:rsid w:val="00EC20A8"/>
    <w:rsid w:val="00EC22E1"/>
    <w:rsid w:val="00EC2306"/>
    <w:rsid w:val="00EC236D"/>
    <w:rsid w:val="00EC2372"/>
    <w:rsid w:val="00EC25EF"/>
    <w:rsid w:val="00EC2603"/>
    <w:rsid w:val="00EC261F"/>
    <w:rsid w:val="00EC2640"/>
    <w:rsid w:val="00EC274D"/>
    <w:rsid w:val="00EC27EC"/>
    <w:rsid w:val="00EC28C1"/>
    <w:rsid w:val="00EC29A1"/>
    <w:rsid w:val="00EC2C57"/>
    <w:rsid w:val="00EC2ECE"/>
    <w:rsid w:val="00EC2FC3"/>
    <w:rsid w:val="00EC3121"/>
    <w:rsid w:val="00EC3128"/>
    <w:rsid w:val="00EC32DB"/>
    <w:rsid w:val="00EC3367"/>
    <w:rsid w:val="00EC33CB"/>
    <w:rsid w:val="00EC3432"/>
    <w:rsid w:val="00EC3480"/>
    <w:rsid w:val="00EC35DA"/>
    <w:rsid w:val="00EC374A"/>
    <w:rsid w:val="00EC37D3"/>
    <w:rsid w:val="00EC3839"/>
    <w:rsid w:val="00EC3A90"/>
    <w:rsid w:val="00EC3A95"/>
    <w:rsid w:val="00EC3AE6"/>
    <w:rsid w:val="00EC3BC0"/>
    <w:rsid w:val="00EC3DC4"/>
    <w:rsid w:val="00EC3E52"/>
    <w:rsid w:val="00EC3E6B"/>
    <w:rsid w:val="00EC3E9C"/>
    <w:rsid w:val="00EC3F2C"/>
    <w:rsid w:val="00EC3F74"/>
    <w:rsid w:val="00EC3FFB"/>
    <w:rsid w:val="00EC40A4"/>
    <w:rsid w:val="00EC41EE"/>
    <w:rsid w:val="00EC41EF"/>
    <w:rsid w:val="00EC4286"/>
    <w:rsid w:val="00EC4574"/>
    <w:rsid w:val="00EC45D0"/>
    <w:rsid w:val="00EC46A5"/>
    <w:rsid w:val="00EC46A9"/>
    <w:rsid w:val="00EC48DA"/>
    <w:rsid w:val="00EC4B1D"/>
    <w:rsid w:val="00EC4B20"/>
    <w:rsid w:val="00EC4BB7"/>
    <w:rsid w:val="00EC4C01"/>
    <w:rsid w:val="00EC4C6B"/>
    <w:rsid w:val="00EC4D2E"/>
    <w:rsid w:val="00EC4DA7"/>
    <w:rsid w:val="00EC4DBE"/>
    <w:rsid w:val="00EC4F7F"/>
    <w:rsid w:val="00EC5007"/>
    <w:rsid w:val="00EC501B"/>
    <w:rsid w:val="00EC507D"/>
    <w:rsid w:val="00EC5115"/>
    <w:rsid w:val="00EC51C9"/>
    <w:rsid w:val="00EC52B2"/>
    <w:rsid w:val="00EC551C"/>
    <w:rsid w:val="00EC5592"/>
    <w:rsid w:val="00EC55B7"/>
    <w:rsid w:val="00EC5708"/>
    <w:rsid w:val="00EC570B"/>
    <w:rsid w:val="00EC5754"/>
    <w:rsid w:val="00EC5822"/>
    <w:rsid w:val="00EC5837"/>
    <w:rsid w:val="00EC59F5"/>
    <w:rsid w:val="00EC5B9C"/>
    <w:rsid w:val="00EC5C6E"/>
    <w:rsid w:val="00EC5CDC"/>
    <w:rsid w:val="00EC5CE1"/>
    <w:rsid w:val="00EC5E9E"/>
    <w:rsid w:val="00EC5F30"/>
    <w:rsid w:val="00EC5FEA"/>
    <w:rsid w:val="00EC623E"/>
    <w:rsid w:val="00EC63F7"/>
    <w:rsid w:val="00EC6431"/>
    <w:rsid w:val="00EC6733"/>
    <w:rsid w:val="00EC6758"/>
    <w:rsid w:val="00EC67A4"/>
    <w:rsid w:val="00EC6871"/>
    <w:rsid w:val="00EC68E3"/>
    <w:rsid w:val="00EC69E4"/>
    <w:rsid w:val="00EC6A7D"/>
    <w:rsid w:val="00EC6B16"/>
    <w:rsid w:val="00EC6D0A"/>
    <w:rsid w:val="00EC6E3A"/>
    <w:rsid w:val="00EC6EE3"/>
    <w:rsid w:val="00EC6F65"/>
    <w:rsid w:val="00EC6F82"/>
    <w:rsid w:val="00EC7092"/>
    <w:rsid w:val="00EC711A"/>
    <w:rsid w:val="00EC717C"/>
    <w:rsid w:val="00EC7284"/>
    <w:rsid w:val="00EC7326"/>
    <w:rsid w:val="00EC748C"/>
    <w:rsid w:val="00EC75A3"/>
    <w:rsid w:val="00EC7762"/>
    <w:rsid w:val="00EC779C"/>
    <w:rsid w:val="00EC77F6"/>
    <w:rsid w:val="00EC7907"/>
    <w:rsid w:val="00EC7AFD"/>
    <w:rsid w:val="00EC7B0B"/>
    <w:rsid w:val="00EC7C51"/>
    <w:rsid w:val="00EC7C93"/>
    <w:rsid w:val="00EC7DE7"/>
    <w:rsid w:val="00ED0062"/>
    <w:rsid w:val="00ED01BD"/>
    <w:rsid w:val="00ED024C"/>
    <w:rsid w:val="00ED0328"/>
    <w:rsid w:val="00ED0345"/>
    <w:rsid w:val="00ED0362"/>
    <w:rsid w:val="00ED06A5"/>
    <w:rsid w:val="00ED06C5"/>
    <w:rsid w:val="00ED06D9"/>
    <w:rsid w:val="00ED06DF"/>
    <w:rsid w:val="00ED07EF"/>
    <w:rsid w:val="00ED099E"/>
    <w:rsid w:val="00ED0AB2"/>
    <w:rsid w:val="00ED0C8F"/>
    <w:rsid w:val="00ED0CC5"/>
    <w:rsid w:val="00ED0CDB"/>
    <w:rsid w:val="00ED0DC6"/>
    <w:rsid w:val="00ED0F46"/>
    <w:rsid w:val="00ED1200"/>
    <w:rsid w:val="00ED1439"/>
    <w:rsid w:val="00ED146D"/>
    <w:rsid w:val="00ED16AD"/>
    <w:rsid w:val="00ED17C3"/>
    <w:rsid w:val="00ED1860"/>
    <w:rsid w:val="00ED1893"/>
    <w:rsid w:val="00ED190B"/>
    <w:rsid w:val="00ED19D1"/>
    <w:rsid w:val="00ED1AB1"/>
    <w:rsid w:val="00ED1B54"/>
    <w:rsid w:val="00ED1BDB"/>
    <w:rsid w:val="00ED1C6F"/>
    <w:rsid w:val="00ED1F75"/>
    <w:rsid w:val="00ED2097"/>
    <w:rsid w:val="00ED20BC"/>
    <w:rsid w:val="00ED2169"/>
    <w:rsid w:val="00ED23E8"/>
    <w:rsid w:val="00ED249C"/>
    <w:rsid w:val="00ED2500"/>
    <w:rsid w:val="00ED25AA"/>
    <w:rsid w:val="00ED25E6"/>
    <w:rsid w:val="00ED2707"/>
    <w:rsid w:val="00ED2765"/>
    <w:rsid w:val="00ED2769"/>
    <w:rsid w:val="00ED2ABF"/>
    <w:rsid w:val="00ED2CAD"/>
    <w:rsid w:val="00ED2D1D"/>
    <w:rsid w:val="00ED2ED3"/>
    <w:rsid w:val="00ED2EDB"/>
    <w:rsid w:val="00ED304E"/>
    <w:rsid w:val="00ED319E"/>
    <w:rsid w:val="00ED3223"/>
    <w:rsid w:val="00ED348C"/>
    <w:rsid w:val="00ED3517"/>
    <w:rsid w:val="00ED3545"/>
    <w:rsid w:val="00ED35DA"/>
    <w:rsid w:val="00ED37AD"/>
    <w:rsid w:val="00ED3841"/>
    <w:rsid w:val="00ED394C"/>
    <w:rsid w:val="00ED3A79"/>
    <w:rsid w:val="00ED3AF0"/>
    <w:rsid w:val="00ED3AFB"/>
    <w:rsid w:val="00ED3CC4"/>
    <w:rsid w:val="00ED3DAB"/>
    <w:rsid w:val="00ED3E53"/>
    <w:rsid w:val="00ED3E6B"/>
    <w:rsid w:val="00ED3FE3"/>
    <w:rsid w:val="00ED4121"/>
    <w:rsid w:val="00ED41C8"/>
    <w:rsid w:val="00ED41E9"/>
    <w:rsid w:val="00ED457A"/>
    <w:rsid w:val="00ED45E8"/>
    <w:rsid w:val="00ED4BF3"/>
    <w:rsid w:val="00ED4E68"/>
    <w:rsid w:val="00ED4F69"/>
    <w:rsid w:val="00ED502D"/>
    <w:rsid w:val="00ED50C7"/>
    <w:rsid w:val="00ED514C"/>
    <w:rsid w:val="00ED5365"/>
    <w:rsid w:val="00ED53FB"/>
    <w:rsid w:val="00ED5521"/>
    <w:rsid w:val="00ED5544"/>
    <w:rsid w:val="00ED55E7"/>
    <w:rsid w:val="00ED565E"/>
    <w:rsid w:val="00ED58B6"/>
    <w:rsid w:val="00ED591B"/>
    <w:rsid w:val="00ED5986"/>
    <w:rsid w:val="00ED59A4"/>
    <w:rsid w:val="00ED5A20"/>
    <w:rsid w:val="00ED5BBA"/>
    <w:rsid w:val="00ED5BCF"/>
    <w:rsid w:val="00ED5DA4"/>
    <w:rsid w:val="00ED5E17"/>
    <w:rsid w:val="00ED5F80"/>
    <w:rsid w:val="00ED6005"/>
    <w:rsid w:val="00ED6034"/>
    <w:rsid w:val="00ED604A"/>
    <w:rsid w:val="00ED6238"/>
    <w:rsid w:val="00ED6518"/>
    <w:rsid w:val="00ED6738"/>
    <w:rsid w:val="00ED68BB"/>
    <w:rsid w:val="00ED6C33"/>
    <w:rsid w:val="00ED6C89"/>
    <w:rsid w:val="00ED6E53"/>
    <w:rsid w:val="00ED6F52"/>
    <w:rsid w:val="00ED6FA0"/>
    <w:rsid w:val="00ED7081"/>
    <w:rsid w:val="00ED73C7"/>
    <w:rsid w:val="00ED7427"/>
    <w:rsid w:val="00ED7504"/>
    <w:rsid w:val="00ED7644"/>
    <w:rsid w:val="00ED76E4"/>
    <w:rsid w:val="00ED771B"/>
    <w:rsid w:val="00ED77B1"/>
    <w:rsid w:val="00ED7880"/>
    <w:rsid w:val="00ED78F3"/>
    <w:rsid w:val="00ED7933"/>
    <w:rsid w:val="00ED7B98"/>
    <w:rsid w:val="00ED7D23"/>
    <w:rsid w:val="00ED7E5C"/>
    <w:rsid w:val="00ED7FB8"/>
    <w:rsid w:val="00ED7FD4"/>
    <w:rsid w:val="00EE0018"/>
    <w:rsid w:val="00EE0362"/>
    <w:rsid w:val="00EE04D7"/>
    <w:rsid w:val="00EE06C8"/>
    <w:rsid w:val="00EE0851"/>
    <w:rsid w:val="00EE08C2"/>
    <w:rsid w:val="00EE0A0A"/>
    <w:rsid w:val="00EE0D8E"/>
    <w:rsid w:val="00EE1178"/>
    <w:rsid w:val="00EE118A"/>
    <w:rsid w:val="00EE11ED"/>
    <w:rsid w:val="00EE1207"/>
    <w:rsid w:val="00EE1447"/>
    <w:rsid w:val="00EE14BF"/>
    <w:rsid w:val="00EE15BD"/>
    <w:rsid w:val="00EE1867"/>
    <w:rsid w:val="00EE18ED"/>
    <w:rsid w:val="00EE19BD"/>
    <w:rsid w:val="00EE19D2"/>
    <w:rsid w:val="00EE1A8B"/>
    <w:rsid w:val="00EE1BF1"/>
    <w:rsid w:val="00EE1DBC"/>
    <w:rsid w:val="00EE1E5B"/>
    <w:rsid w:val="00EE1E8E"/>
    <w:rsid w:val="00EE201F"/>
    <w:rsid w:val="00EE2204"/>
    <w:rsid w:val="00EE2562"/>
    <w:rsid w:val="00EE27AA"/>
    <w:rsid w:val="00EE28E1"/>
    <w:rsid w:val="00EE290B"/>
    <w:rsid w:val="00EE2A06"/>
    <w:rsid w:val="00EE2EC8"/>
    <w:rsid w:val="00EE2F19"/>
    <w:rsid w:val="00EE2F35"/>
    <w:rsid w:val="00EE3031"/>
    <w:rsid w:val="00EE319E"/>
    <w:rsid w:val="00EE343A"/>
    <w:rsid w:val="00EE359E"/>
    <w:rsid w:val="00EE35BE"/>
    <w:rsid w:val="00EE3726"/>
    <w:rsid w:val="00EE3825"/>
    <w:rsid w:val="00EE384E"/>
    <w:rsid w:val="00EE395E"/>
    <w:rsid w:val="00EE3A5A"/>
    <w:rsid w:val="00EE3A5B"/>
    <w:rsid w:val="00EE3A85"/>
    <w:rsid w:val="00EE3A90"/>
    <w:rsid w:val="00EE3B23"/>
    <w:rsid w:val="00EE3BE3"/>
    <w:rsid w:val="00EE3CCB"/>
    <w:rsid w:val="00EE3CE5"/>
    <w:rsid w:val="00EE3D95"/>
    <w:rsid w:val="00EE3DC6"/>
    <w:rsid w:val="00EE4124"/>
    <w:rsid w:val="00EE42A9"/>
    <w:rsid w:val="00EE44DE"/>
    <w:rsid w:val="00EE451B"/>
    <w:rsid w:val="00EE4564"/>
    <w:rsid w:val="00EE4680"/>
    <w:rsid w:val="00EE4864"/>
    <w:rsid w:val="00EE49A2"/>
    <w:rsid w:val="00EE4BD9"/>
    <w:rsid w:val="00EE4C34"/>
    <w:rsid w:val="00EE4C48"/>
    <w:rsid w:val="00EE4C81"/>
    <w:rsid w:val="00EE4CDF"/>
    <w:rsid w:val="00EE4D2B"/>
    <w:rsid w:val="00EE4DA6"/>
    <w:rsid w:val="00EE4DC7"/>
    <w:rsid w:val="00EE4FA9"/>
    <w:rsid w:val="00EE52A9"/>
    <w:rsid w:val="00EE5318"/>
    <w:rsid w:val="00EE545E"/>
    <w:rsid w:val="00EE5479"/>
    <w:rsid w:val="00EE565C"/>
    <w:rsid w:val="00EE5941"/>
    <w:rsid w:val="00EE5A47"/>
    <w:rsid w:val="00EE5AA3"/>
    <w:rsid w:val="00EE5B3C"/>
    <w:rsid w:val="00EE5BEB"/>
    <w:rsid w:val="00EE5C37"/>
    <w:rsid w:val="00EE5D65"/>
    <w:rsid w:val="00EE5E4F"/>
    <w:rsid w:val="00EE5EFE"/>
    <w:rsid w:val="00EE6096"/>
    <w:rsid w:val="00EE61F8"/>
    <w:rsid w:val="00EE620D"/>
    <w:rsid w:val="00EE62F4"/>
    <w:rsid w:val="00EE630F"/>
    <w:rsid w:val="00EE63AD"/>
    <w:rsid w:val="00EE65F8"/>
    <w:rsid w:val="00EE67EA"/>
    <w:rsid w:val="00EE6902"/>
    <w:rsid w:val="00EE6ABD"/>
    <w:rsid w:val="00EE6ADE"/>
    <w:rsid w:val="00EE6BBB"/>
    <w:rsid w:val="00EE6D8D"/>
    <w:rsid w:val="00EE718D"/>
    <w:rsid w:val="00EE71AA"/>
    <w:rsid w:val="00EE730D"/>
    <w:rsid w:val="00EE74C4"/>
    <w:rsid w:val="00EE74CB"/>
    <w:rsid w:val="00EE7622"/>
    <w:rsid w:val="00EE76E9"/>
    <w:rsid w:val="00EE7744"/>
    <w:rsid w:val="00EE7975"/>
    <w:rsid w:val="00EE7AD0"/>
    <w:rsid w:val="00EE7B8C"/>
    <w:rsid w:val="00EE7E87"/>
    <w:rsid w:val="00EE7FB7"/>
    <w:rsid w:val="00EF023D"/>
    <w:rsid w:val="00EF0281"/>
    <w:rsid w:val="00EF02AB"/>
    <w:rsid w:val="00EF03E1"/>
    <w:rsid w:val="00EF03EE"/>
    <w:rsid w:val="00EF0480"/>
    <w:rsid w:val="00EF0581"/>
    <w:rsid w:val="00EF061D"/>
    <w:rsid w:val="00EF06D7"/>
    <w:rsid w:val="00EF0780"/>
    <w:rsid w:val="00EF08D8"/>
    <w:rsid w:val="00EF0991"/>
    <w:rsid w:val="00EF09D7"/>
    <w:rsid w:val="00EF0BAD"/>
    <w:rsid w:val="00EF0C02"/>
    <w:rsid w:val="00EF0C5E"/>
    <w:rsid w:val="00EF0DD5"/>
    <w:rsid w:val="00EF0F29"/>
    <w:rsid w:val="00EF0F2F"/>
    <w:rsid w:val="00EF104A"/>
    <w:rsid w:val="00EF1297"/>
    <w:rsid w:val="00EF1408"/>
    <w:rsid w:val="00EF145E"/>
    <w:rsid w:val="00EF1701"/>
    <w:rsid w:val="00EF1742"/>
    <w:rsid w:val="00EF1785"/>
    <w:rsid w:val="00EF185A"/>
    <w:rsid w:val="00EF1871"/>
    <w:rsid w:val="00EF18D7"/>
    <w:rsid w:val="00EF199E"/>
    <w:rsid w:val="00EF1B49"/>
    <w:rsid w:val="00EF1C5B"/>
    <w:rsid w:val="00EF1C92"/>
    <w:rsid w:val="00EF1D31"/>
    <w:rsid w:val="00EF1D3E"/>
    <w:rsid w:val="00EF1D51"/>
    <w:rsid w:val="00EF1D79"/>
    <w:rsid w:val="00EF1DBA"/>
    <w:rsid w:val="00EF1EA0"/>
    <w:rsid w:val="00EF1F10"/>
    <w:rsid w:val="00EF1FA7"/>
    <w:rsid w:val="00EF20C7"/>
    <w:rsid w:val="00EF222D"/>
    <w:rsid w:val="00EF2280"/>
    <w:rsid w:val="00EF2372"/>
    <w:rsid w:val="00EF267C"/>
    <w:rsid w:val="00EF2877"/>
    <w:rsid w:val="00EF2A87"/>
    <w:rsid w:val="00EF2B27"/>
    <w:rsid w:val="00EF2B79"/>
    <w:rsid w:val="00EF2BBB"/>
    <w:rsid w:val="00EF2CC7"/>
    <w:rsid w:val="00EF2D4D"/>
    <w:rsid w:val="00EF2F23"/>
    <w:rsid w:val="00EF306D"/>
    <w:rsid w:val="00EF353E"/>
    <w:rsid w:val="00EF3699"/>
    <w:rsid w:val="00EF38D5"/>
    <w:rsid w:val="00EF3943"/>
    <w:rsid w:val="00EF3B17"/>
    <w:rsid w:val="00EF3C31"/>
    <w:rsid w:val="00EF3C43"/>
    <w:rsid w:val="00EF3D48"/>
    <w:rsid w:val="00EF3E5C"/>
    <w:rsid w:val="00EF3FEA"/>
    <w:rsid w:val="00EF444C"/>
    <w:rsid w:val="00EF4715"/>
    <w:rsid w:val="00EF4805"/>
    <w:rsid w:val="00EF4848"/>
    <w:rsid w:val="00EF4884"/>
    <w:rsid w:val="00EF48E1"/>
    <w:rsid w:val="00EF49CC"/>
    <w:rsid w:val="00EF49F3"/>
    <w:rsid w:val="00EF4A29"/>
    <w:rsid w:val="00EF4AD8"/>
    <w:rsid w:val="00EF4B1E"/>
    <w:rsid w:val="00EF4B63"/>
    <w:rsid w:val="00EF4B86"/>
    <w:rsid w:val="00EF4CE2"/>
    <w:rsid w:val="00EF4D1F"/>
    <w:rsid w:val="00EF4E3C"/>
    <w:rsid w:val="00EF4E81"/>
    <w:rsid w:val="00EF5018"/>
    <w:rsid w:val="00EF510C"/>
    <w:rsid w:val="00EF51B6"/>
    <w:rsid w:val="00EF533B"/>
    <w:rsid w:val="00EF5435"/>
    <w:rsid w:val="00EF54EE"/>
    <w:rsid w:val="00EF5794"/>
    <w:rsid w:val="00EF59D9"/>
    <w:rsid w:val="00EF5F35"/>
    <w:rsid w:val="00EF5F9A"/>
    <w:rsid w:val="00EF61C0"/>
    <w:rsid w:val="00EF62B4"/>
    <w:rsid w:val="00EF6419"/>
    <w:rsid w:val="00EF6540"/>
    <w:rsid w:val="00EF654B"/>
    <w:rsid w:val="00EF677F"/>
    <w:rsid w:val="00EF683A"/>
    <w:rsid w:val="00EF6842"/>
    <w:rsid w:val="00EF68DB"/>
    <w:rsid w:val="00EF690D"/>
    <w:rsid w:val="00EF6976"/>
    <w:rsid w:val="00EF6B1A"/>
    <w:rsid w:val="00EF6B5F"/>
    <w:rsid w:val="00EF6BA5"/>
    <w:rsid w:val="00EF6D97"/>
    <w:rsid w:val="00EF6DFC"/>
    <w:rsid w:val="00EF6EF4"/>
    <w:rsid w:val="00EF7140"/>
    <w:rsid w:val="00EF722E"/>
    <w:rsid w:val="00EF7270"/>
    <w:rsid w:val="00EF74DF"/>
    <w:rsid w:val="00EF7823"/>
    <w:rsid w:val="00EF7AF7"/>
    <w:rsid w:val="00EF7BB6"/>
    <w:rsid w:val="00F00180"/>
    <w:rsid w:val="00F00379"/>
    <w:rsid w:val="00F003D6"/>
    <w:rsid w:val="00F00561"/>
    <w:rsid w:val="00F005E6"/>
    <w:rsid w:val="00F0073C"/>
    <w:rsid w:val="00F0074D"/>
    <w:rsid w:val="00F007C4"/>
    <w:rsid w:val="00F0082D"/>
    <w:rsid w:val="00F008F2"/>
    <w:rsid w:val="00F0096B"/>
    <w:rsid w:val="00F00AFF"/>
    <w:rsid w:val="00F00B88"/>
    <w:rsid w:val="00F00C74"/>
    <w:rsid w:val="00F00D30"/>
    <w:rsid w:val="00F00E85"/>
    <w:rsid w:val="00F00E91"/>
    <w:rsid w:val="00F00FE4"/>
    <w:rsid w:val="00F0103C"/>
    <w:rsid w:val="00F01070"/>
    <w:rsid w:val="00F01263"/>
    <w:rsid w:val="00F012E3"/>
    <w:rsid w:val="00F013B2"/>
    <w:rsid w:val="00F01479"/>
    <w:rsid w:val="00F015AB"/>
    <w:rsid w:val="00F015EE"/>
    <w:rsid w:val="00F01679"/>
    <w:rsid w:val="00F01733"/>
    <w:rsid w:val="00F01783"/>
    <w:rsid w:val="00F019E0"/>
    <w:rsid w:val="00F01A26"/>
    <w:rsid w:val="00F01AD7"/>
    <w:rsid w:val="00F01C9C"/>
    <w:rsid w:val="00F01D7B"/>
    <w:rsid w:val="00F01DDB"/>
    <w:rsid w:val="00F01F24"/>
    <w:rsid w:val="00F01F34"/>
    <w:rsid w:val="00F01F5F"/>
    <w:rsid w:val="00F01FCC"/>
    <w:rsid w:val="00F01FF1"/>
    <w:rsid w:val="00F0203A"/>
    <w:rsid w:val="00F020F6"/>
    <w:rsid w:val="00F024C1"/>
    <w:rsid w:val="00F02584"/>
    <w:rsid w:val="00F0264B"/>
    <w:rsid w:val="00F02787"/>
    <w:rsid w:val="00F029C9"/>
    <w:rsid w:val="00F029E6"/>
    <w:rsid w:val="00F02B75"/>
    <w:rsid w:val="00F02CFB"/>
    <w:rsid w:val="00F02DFF"/>
    <w:rsid w:val="00F02E1A"/>
    <w:rsid w:val="00F02E45"/>
    <w:rsid w:val="00F02EE8"/>
    <w:rsid w:val="00F0308F"/>
    <w:rsid w:val="00F030E6"/>
    <w:rsid w:val="00F0323D"/>
    <w:rsid w:val="00F03306"/>
    <w:rsid w:val="00F03356"/>
    <w:rsid w:val="00F03431"/>
    <w:rsid w:val="00F03672"/>
    <w:rsid w:val="00F036C9"/>
    <w:rsid w:val="00F03795"/>
    <w:rsid w:val="00F037EC"/>
    <w:rsid w:val="00F03964"/>
    <w:rsid w:val="00F0398E"/>
    <w:rsid w:val="00F03A5B"/>
    <w:rsid w:val="00F03A8B"/>
    <w:rsid w:val="00F03C9E"/>
    <w:rsid w:val="00F03D59"/>
    <w:rsid w:val="00F03DB3"/>
    <w:rsid w:val="00F03F21"/>
    <w:rsid w:val="00F03FDA"/>
    <w:rsid w:val="00F04039"/>
    <w:rsid w:val="00F04064"/>
    <w:rsid w:val="00F040A2"/>
    <w:rsid w:val="00F040D0"/>
    <w:rsid w:val="00F041C5"/>
    <w:rsid w:val="00F04227"/>
    <w:rsid w:val="00F042F2"/>
    <w:rsid w:val="00F045E0"/>
    <w:rsid w:val="00F04708"/>
    <w:rsid w:val="00F04714"/>
    <w:rsid w:val="00F04720"/>
    <w:rsid w:val="00F0487D"/>
    <w:rsid w:val="00F048AC"/>
    <w:rsid w:val="00F04996"/>
    <w:rsid w:val="00F049B4"/>
    <w:rsid w:val="00F04C06"/>
    <w:rsid w:val="00F04D53"/>
    <w:rsid w:val="00F04D55"/>
    <w:rsid w:val="00F04D9A"/>
    <w:rsid w:val="00F04EE5"/>
    <w:rsid w:val="00F04EF4"/>
    <w:rsid w:val="00F05143"/>
    <w:rsid w:val="00F05148"/>
    <w:rsid w:val="00F0517B"/>
    <w:rsid w:val="00F053AB"/>
    <w:rsid w:val="00F05765"/>
    <w:rsid w:val="00F05778"/>
    <w:rsid w:val="00F05897"/>
    <w:rsid w:val="00F058BC"/>
    <w:rsid w:val="00F0597B"/>
    <w:rsid w:val="00F05ADA"/>
    <w:rsid w:val="00F05BBE"/>
    <w:rsid w:val="00F05F7C"/>
    <w:rsid w:val="00F060A6"/>
    <w:rsid w:val="00F06138"/>
    <w:rsid w:val="00F0614C"/>
    <w:rsid w:val="00F061F7"/>
    <w:rsid w:val="00F062C2"/>
    <w:rsid w:val="00F06357"/>
    <w:rsid w:val="00F063C2"/>
    <w:rsid w:val="00F0649D"/>
    <w:rsid w:val="00F064C3"/>
    <w:rsid w:val="00F0664D"/>
    <w:rsid w:val="00F06907"/>
    <w:rsid w:val="00F06986"/>
    <w:rsid w:val="00F06A47"/>
    <w:rsid w:val="00F06A7D"/>
    <w:rsid w:val="00F06ACB"/>
    <w:rsid w:val="00F06AD4"/>
    <w:rsid w:val="00F06BA1"/>
    <w:rsid w:val="00F06BC1"/>
    <w:rsid w:val="00F06C0A"/>
    <w:rsid w:val="00F06CC3"/>
    <w:rsid w:val="00F06D68"/>
    <w:rsid w:val="00F06F63"/>
    <w:rsid w:val="00F07015"/>
    <w:rsid w:val="00F07058"/>
    <w:rsid w:val="00F071D9"/>
    <w:rsid w:val="00F071F8"/>
    <w:rsid w:val="00F07394"/>
    <w:rsid w:val="00F07438"/>
    <w:rsid w:val="00F075D2"/>
    <w:rsid w:val="00F075D4"/>
    <w:rsid w:val="00F075EF"/>
    <w:rsid w:val="00F0767D"/>
    <w:rsid w:val="00F076AA"/>
    <w:rsid w:val="00F076BF"/>
    <w:rsid w:val="00F0793A"/>
    <w:rsid w:val="00F079A4"/>
    <w:rsid w:val="00F07A9D"/>
    <w:rsid w:val="00F07C90"/>
    <w:rsid w:val="00F07CA0"/>
    <w:rsid w:val="00F07CB7"/>
    <w:rsid w:val="00F07D71"/>
    <w:rsid w:val="00F07D8C"/>
    <w:rsid w:val="00F1016B"/>
    <w:rsid w:val="00F10334"/>
    <w:rsid w:val="00F103A8"/>
    <w:rsid w:val="00F10429"/>
    <w:rsid w:val="00F104C2"/>
    <w:rsid w:val="00F104F7"/>
    <w:rsid w:val="00F10552"/>
    <w:rsid w:val="00F1075B"/>
    <w:rsid w:val="00F111BB"/>
    <w:rsid w:val="00F112EB"/>
    <w:rsid w:val="00F1143C"/>
    <w:rsid w:val="00F11486"/>
    <w:rsid w:val="00F1152B"/>
    <w:rsid w:val="00F11773"/>
    <w:rsid w:val="00F118BD"/>
    <w:rsid w:val="00F11922"/>
    <w:rsid w:val="00F119D4"/>
    <w:rsid w:val="00F11B87"/>
    <w:rsid w:val="00F11CF4"/>
    <w:rsid w:val="00F11D6C"/>
    <w:rsid w:val="00F11DA9"/>
    <w:rsid w:val="00F11E8F"/>
    <w:rsid w:val="00F11F49"/>
    <w:rsid w:val="00F1206E"/>
    <w:rsid w:val="00F120AA"/>
    <w:rsid w:val="00F121DC"/>
    <w:rsid w:val="00F12239"/>
    <w:rsid w:val="00F1226E"/>
    <w:rsid w:val="00F12317"/>
    <w:rsid w:val="00F12318"/>
    <w:rsid w:val="00F1246D"/>
    <w:rsid w:val="00F127FA"/>
    <w:rsid w:val="00F12B9F"/>
    <w:rsid w:val="00F12BFA"/>
    <w:rsid w:val="00F12D57"/>
    <w:rsid w:val="00F13015"/>
    <w:rsid w:val="00F130F4"/>
    <w:rsid w:val="00F13393"/>
    <w:rsid w:val="00F133F8"/>
    <w:rsid w:val="00F13455"/>
    <w:rsid w:val="00F13886"/>
    <w:rsid w:val="00F138E0"/>
    <w:rsid w:val="00F13959"/>
    <w:rsid w:val="00F13AEF"/>
    <w:rsid w:val="00F13B04"/>
    <w:rsid w:val="00F13B0F"/>
    <w:rsid w:val="00F13B38"/>
    <w:rsid w:val="00F14029"/>
    <w:rsid w:val="00F140EE"/>
    <w:rsid w:val="00F142B5"/>
    <w:rsid w:val="00F14341"/>
    <w:rsid w:val="00F144CE"/>
    <w:rsid w:val="00F14857"/>
    <w:rsid w:val="00F148B4"/>
    <w:rsid w:val="00F14AAF"/>
    <w:rsid w:val="00F14BA9"/>
    <w:rsid w:val="00F14D4C"/>
    <w:rsid w:val="00F14D5D"/>
    <w:rsid w:val="00F14DD1"/>
    <w:rsid w:val="00F14F1E"/>
    <w:rsid w:val="00F14F9D"/>
    <w:rsid w:val="00F15027"/>
    <w:rsid w:val="00F1508E"/>
    <w:rsid w:val="00F150DE"/>
    <w:rsid w:val="00F15111"/>
    <w:rsid w:val="00F15191"/>
    <w:rsid w:val="00F1520F"/>
    <w:rsid w:val="00F15256"/>
    <w:rsid w:val="00F1540D"/>
    <w:rsid w:val="00F155AC"/>
    <w:rsid w:val="00F155CB"/>
    <w:rsid w:val="00F1560B"/>
    <w:rsid w:val="00F1561B"/>
    <w:rsid w:val="00F1570B"/>
    <w:rsid w:val="00F1582A"/>
    <w:rsid w:val="00F158EF"/>
    <w:rsid w:val="00F1598D"/>
    <w:rsid w:val="00F15AAF"/>
    <w:rsid w:val="00F15AEA"/>
    <w:rsid w:val="00F15BA0"/>
    <w:rsid w:val="00F15C5D"/>
    <w:rsid w:val="00F15C68"/>
    <w:rsid w:val="00F15C73"/>
    <w:rsid w:val="00F15DFA"/>
    <w:rsid w:val="00F15E4C"/>
    <w:rsid w:val="00F15E63"/>
    <w:rsid w:val="00F15F67"/>
    <w:rsid w:val="00F15F81"/>
    <w:rsid w:val="00F16142"/>
    <w:rsid w:val="00F1632E"/>
    <w:rsid w:val="00F163A8"/>
    <w:rsid w:val="00F1661A"/>
    <w:rsid w:val="00F16700"/>
    <w:rsid w:val="00F16760"/>
    <w:rsid w:val="00F167B0"/>
    <w:rsid w:val="00F167F1"/>
    <w:rsid w:val="00F16811"/>
    <w:rsid w:val="00F169E6"/>
    <w:rsid w:val="00F16A29"/>
    <w:rsid w:val="00F16AA8"/>
    <w:rsid w:val="00F16BFE"/>
    <w:rsid w:val="00F16C63"/>
    <w:rsid w:val="00F16D13"/>
    <w:rsid w:val="00F16D41"/>
    <w:rsid w:val="00F1713A"/>
    <w:rsid w:val="00F17169"/>
    <w:rsid w:val="00F1731C"/>
    <w:rsid w:val="00F17388"/>
    <w:rsid w:val="00F1769B"/>
    <w:rsid w:val="00F178C5"/>
    <w:rsid w:val="00F17969"/>
    <w:rsid w:val="00F17A2D"/>
    <w:rsid w:val="00F17AAD"/>
    <w:rsid w:val="00F17B20"/>
    <w:rsid w:val="00F17BB9"/>
    <w:rsid w:val="00F17C24"/>
    <w:rsid w:val="00F17D5A"/>
    <w:rsid w:val="00F17DCC"/>
    <w:rsid w:val="00F17FE0"/>
    <w:rsid w:val="00F2028F"/>
    <w:rsid w:val="00F2034E"/>
    <w:rsid w:val="00F204BF"/>
    <w:rsid w:val="00F2052F"/>
    <w:rsid w:val="00F20582"/>
    <w:rsid w:val="00F2087B"/>
    <w:rsid w:val="00F20932"/>
    <w:rsid w:val="00F2095F"/>
    <w:rsid w:val="00F20AB1"/>
    <w:rsid w:val="00F20B64"/>
    <w:rsid w:val="00F20C4E"/>
    <w:rsid w:val="00F20D5D"/>
    <w:rsid w:val="00F20DE6"/>
    <w:rsid w:val="00F20E15"/>
    <w:rsid w:val="00F20E25"/>
    <w:rsid w:val="00F20E40"/>
    <w:rsid w:val="00F20F8A"/>
    <w:rsid w:val="00F20F92"/>
    <w:rsid w:val="00F20FA4"/>
    <w:rsid w:val="00F210FA"/>
    <w:rsid w:val="00F21245"/>
    <w:rsid w:val="00F21308"/>
    <w:rsid w:val="00F21344"/>
    <w:rsid w:val="00F2166C"/>
    <w:rsid w:val="00F21721"/>
    <w:rsid w:val="00F21889"/>
    <w:rsid w:val="00F21A52"/>
    <w:rsid w:val="00F21BD2"/>
    <w:rsid w:val="00F21F25"/>
    <w:rsid w:val="00F220C8"/>
    <w:rsid w:val="00F2224F"/>
    <w:rsid w:val="00F226F7"/>
    <w:rsid w:val="00F22780"/>
    <w:rsid w:val="00F22866"/>
    <w:rsid w:val="00F228B3"/>
    <w:rsid w:val="00F22AF6"/>
    <w:rsid w:val="00F22C22"/>
    <w:rsid w:val="00F22D69"/>
    <w:rsid w:val="00F22DA3"/>
    <w:rsid w:val="00F22E90"/>
    <w:rsid w:val="00F22F08"/>
    <w:rsid w:val="00F22F94"/>
    <w:rsid w:val="00F23088"/>
    <w:rsid w:val="00F231B3"/>
    <w:rsid w:val="00F231EF"/>
    <w:rsid w:val="00F23213"/>
    <w:rsid w:val="00F23265"/>
    <w:rsid w:val="00F23285"/>
    <w:rsid w:val="00F233BD"/>
    <w:rsid w:val="00F233FC"/>
    <w:rsid w:val="00F235C5"/>
    <w:rsid w:val="00F23612"/>
    <w:rsid w:val="00F23873"/>
    <w:rsid w:val="00F23A04"/>
    <w:rsid w:val="00F23B2D"/>
    <w:rsid w:val="00F23C9B"/>
    <w:rsid w:val="00F23CE4"/>
    <w:rsid w:val="00F23E23"/>
    <w:rsid w:val="00F23EF0"/>
    <w:rsid w:val="00F23F27"/>
    <w:rsid w:val="00F2418C"/>
    <w:rsid w:val="00F241DA"/>
    <w:rsid w:val="00F242AA"/>
    <w:rsid w:val="00F24443"/>
    <w:rsid w:val="00F24492"/>
    <w:rsid w:val="00F245EE"/>
    <w:rsid w:val="00F246B9"/>
    <w:rsid w:val="00F2478C"/>
    <w:rsid w:val="00F247D0"/>
    <w:rsid w:val="00F247E8"/>
    <w:rsid w:val="00F2495F"/>
    <w:rsid w:val="00F24B23"/>
    <w:rsid w:val="00F24B52"/>
    <w:rsid w:val="00F24C1F"/>
    <w:rsid w:val="00F24C81"/>
    <w:rsid w:val="00F24FDB"/>
    <w:rsid w:val="00F2500E"/>
    <w:rsid w:val="00F25376"/>
    <w:rsid w:val="00F254EE"/>
    <w:rsid w:val="00F255AD"/>
    <w:rsid w:val="00F2560A"/>
    <w:rsid w:val="00F25692"/>
    <w:rsid w:val="00F25732"/>
    <w:rsid w:val="00F25783"/>
    <w:rsid w:val="00F2594F"/>
    <w:rsid w:val="00F259CC"/>
    <w:rsid w:val="00F25A9A"/>
    <w:rsid w:val="00F25BC6"/>
    <w:rsid w:val="00F25C1A"/>
    <w:rsid w:val="00F25D4C"/>
    <w:rsid w:val="00F25D4F"/>
    <w:rsid w:val="00F25E20"/>
    <w:rsid w:val="00F25E51"/>
    <w:rsid w:val="00F25EFA"/>
    <w:rsid w:val="00F25F5F"/>
    <w:rsid w:val="00F25F8F"/>
    <w:rsid w:val="00F2606C"/>
    <w:rsid w:val="00F2607A"/>
    <w:rsid w:val="00F260BB"/>
    <w:rsid w:val="00F2610C"/>
    <w:rsid w:val="00F2627C"/>
    <w:rsid w:val="00F262DB"/>
    <w:rsid w:val="00F26468"/>
    <w:rsid w:val="00F26899"/>
    <w:rsid w:val="00F269E8"/>
    <w:rsid w:val="00F26DD0"/>
    <w:rsid w:val="00F26E05"/>
    <w:rsid w:val="00F26E1F"/>
    <w:rsid w:val="00F2702A"/>
    <w:rsid w:val="00F27067"/>
    <w:rsid w:val="00F27149"/>
    <w:rsid w:val="00F27198"/>
    <w:rsid w:val="00F2743E"/>
    <w:rsid w:val="00F27446"/>
    <w:rsid w:val="00F2754C"/>
    <w:rsid w:val="00F275C4"/>
    <w:rsid w:val="00F276EE"/>
    <w:rsid w:val="00F27743"/>
    <w:rsid w:val="00F277DA"/>
    <w:rsid w:val="00F279DC"/>
    <w:rsid w:val="00F27AAB"/>
    <w:rsid w:val="00F27BA7"/>
    <w:rsid w:val="00F27C1C"/>
    <w:rsid w:val="00F27C60"/>
    <w:rsid w:val="00F27CAB"/>
    <w:rsid w:val="00F27CC8"/>
    <w:rsid w:val="00F27E93"/>
    <w:rsid w:val="00F27EA7"/>
    <w:rsid w:val="00F27F63"/>
    <w:rsid w:val="00F30226"/>
    <w:rsid w:val="00F30329"/>
    <w:rsid w:val="00F304A4"/>
    <w:rsid w:val="00F30675"/>
    <w:rsid w:val="00F307F1"/>
    <w:rsid w:val="00F30882"/>
    <w:rsid w:val="00F30AA3"/>
    <w:rsid w:val="00F30AAB"/>
    <w:rsid w:val="00F30D52"/>
    <w:rsid w:val="00F30DFC"/>
    <w:rsid w:val="00F30E5F"/>
    <w:rsid w:val="00F30EE3"/>
    <w:rsid w:val="00F31098"/>
    <w:rsid w:val="00F31133"/>
    <w:rsid w:val="00F31424"/>
    <w:rsid w:val="00F3142D"/>
    <w:rsid w:val="00F31435"/>
    <w:rsid w:val="00F31653"/>
    <w:rsid w:val="00F31708"/>
    <w:rsid w:val="00F317D6"/>
    <w:rsid w:val="00F31898"/>
    <w:rsid w:val="00F31AE2"/>
    <w:rsid w:val="00F31AE4"/>
    <w:rsid w:val="00F31B5F"/>
    <w:rsid w:val="00F31B67"/>
    <w:rsid w:val="00F31BA8"/>
    <w:rsid w:val="00F31D3A"/>
    <w:rsid w:val="00F31F12"/>
    <w:rsid w:val="00F32372"/>
    <w:rsid w:val="00F3245B"/>
    <w:rsid w:val="00F32815"/>
    <w:rsid w:val="00F32821"/>
    <w:rsid w:val="00F32832"/>
    <w:rsid w:val="00F32953"/>
    <w:rsid w:val="00F32CFD"/>
    <w:rsid w:val="00F32E24"/>
    <w:rsid w:val="00F32FA2"/>
    <w:rsid w:val="00F32FFA"/>
    <w:rsid w:val="00F33312"/>
    <w:rsid w:val="00F33361"/>
    <w:rsid w:val="00F334C2"/>
    <w:rsid w:val="00F33515"/>
    <w:rsid w:val="00F33522"/>
    <w:rsid w:val="00F33598"/>
    <w:rsid w:val="00F33658"/>
    <w:rsid w:val="00F338A8"/>
    <w:rsid w:val="00F33A56"/>
    <w:rsid w:val="00F33AE8"/>
    <w:rsid w:val="00F33B88"/>
    <w:rsid w:val="00F33C39"/>
    <w:rsid w:val="00F33CA7"/>
    <w:rsid w:val="00F33DB8"/>
    <w:rsid w:val="00F33F59"/>
    <w:rsid w:val="00F33F8B"/>
    <w:rsid w:val="00F33FA4"/>
    <w:rsid w:val="00F34021"/>
    <w:rsid w:val="00F34085"/>
    <w:rsid w:val="00F340BB"/>
    <w:rsid w:val="00F341A8"/>
    <w:rsid w:val="00F341B4"/>
    <w:rsid w:val="00F343EA"/>
    <w:rsid w:val="00F3444F"/>
    <w:rsid w:val="00F34498"/>
    <w:rsid w:val="00F34634"/>
    <w:rsid w:val="00F34655"/>
    <w:rsid w:val="00F346BD"/>
    <w:rsid w:val="00F347D4"/>
    <w:rsid w:val="00F3497F"/>
    <w:rsid w:val="00F34A68"/>
    <w:rsid w:val="00F34A70"/>
    <w:rsid w:val="00F34B00"/>
    <w:rsid w:val="00F34B12"/>
    <w:rsid w:val="00F34D2B"/>
    <w:rsid w:val="00F34D85"/>
    <w:rsid w:val="00F34DC7"/>
    <w:rsid w:val="00F35343"/>
    <w:rsid w:val="00F353CF"/>
    <w:rsid w:val="00F35466"/>
    <w:rsid w:val="00F3550E"/>
    <w:rsid w:val="00F356A2"/>
    <w:rsid w:val="00F35A4C"/>
    <w:rsid w:val="00F35BCF"/>
    <w:rsid w:val="00F35BDA"/>
    <w:rsid w:val="00F35CBF"/>
    <w:rsid w:val="00F35CE4"/>
    <w:rsid w:val="00F3616B"/>
    <w:rsid w:val="00F361FC"/>
    <w:rsid w:val="00F36327"/>
    <w:rsid w:val="00F363A9"/>
    <w:rsid w:val="00F36492"/>
    <w:rsid w:val="00F36609"/>
    <w:rsid w:val="00F366DA"/>
    <w:rsid w:val="00F36AEF"/>
    <w:rsid w:val="00F36B92"/>
    <w:rsid w:val="00F36BBF"/>
    <w:rsid w:val="00F36C98"/>
    <w:rsid w:val="00F36D02"/>
    <w:rsid w:val="00F372AB"/>
    <w:rsid w:val="00F37364"/>
    <w:rsid w:val="00F37475"/>
    <w:rsid w:val="00F375D3"/>
    <w:rsid w:val="00F37694"/>
    <w:rsid w:val="00F3769E"/>
    <w:rsid w:val="00F379D7"/>
    <w:rsid w:val="00F37B23"/>
    <w:rsid w:val="00F37B30"/>
    <w:rsid w:val="00F37BAD"/>
    <w:rsid w:val="00F37F16"/>
    <w:rsid w:val="00F37FCD"/>
    <w:rsid w:val="00F401CB"/>
    <w:rsid w:val="00F401F1"/>
    <w:rsid w:val="00F403F5"/>
    <w:rsid w:val="00F40568"/>
    <w:rsid w:val="00F40664"/>
    <w:rsid w:val="00F406BD"/>
    <w:rsid w:val="00F406DD"/>
    <w:rsid w:val="00F4075D"/>
    <w:rsid w:val="00F408B9"/>
    <w:rsid w:val="00F40A07"/>
    <w:rsid w:val="00F40C30"/>
    <w:rsid w:val="00F40DBD"/>
    <w:rsid w:val="00F40EBC"/>
    <w:rsid w:val="00F40F82"/>
    <w:rsid w:val="00F410B3"/>
    <w:rsid w:val="00F410F7"/>
    <w:rsid w:val="00F41187"/>
    <w:rsid w:val="00F41295"/>
    <w:rsid w:val="00F412D4"/>
    <w:rsid w:val="00F412EF"/>
    <w:rsid w:val="00F41358"/>
    <w:rsid w:val="00F413E2"/>
    <w:rsid w:val="00F4142F"/>
    <w:rsid w:val="00F414D8"/>
    <w:rsid w:val="00F414FD"/>
    <w:rsid w:val="00F41607"/>
    <w:rsid w:val="00F41610"/>
    <w:rsid w:val="00F416D4"/>
    <w:rsid w:val="00F41895"/>
    <w:rsid w:val="00F418BB"/>
    <w:rsid w:val="00F41A4C"/>
    <w:rsid w:val="00F41ADD"/>
    <w:rsid w:val="00F41BDE"/>
    <w:rsid w:val="00F41C51"/>
    <w:rsid w:val="00F41C7D"/>
    <w:rsid w:val="00F42506"/>
    <w:rsid w:val="00F427BB"/>
    <w:rsid w:val="00F427CC"/>
    <w:rsid w:val="00F428F1"/>
    <w:rsid w:val="00F4296B"/>
    <w:rsid w:val="00F42A81"/>
    <w:rsid w:val="00F42AB4"/>
    <w:rsid w:val="00F42B77"/>
    <w:rsid w:val="00F42B82"/>
    <w:rsid w:val="00F42BEE"/>
    <w:rsid w:val="00F42E05"/>
    <w:rsid w:val="00F42E56"/>
    <w:rsid w:val="00F42E6D"/>
    <w:rsid w:val="00F42E6F"/>
    <w:rsid w:val="00F42F13"/>
    <w:rsid w:val="00F4311B"/>
    <w:rsid w:val="00F43295"/>
    <w:rsid w:val="00F43358"/>
    <w:rsid w:val="00F4339D"/>
    <w:rsid w:val="00F433CF"/>
    <w:rsid w:val="00F433E0"/>
    <w:rsid w:val="00F4346A"/>
    <w:rsid w:val="00F4353E"/>
    <w:rsid w:val="00F435B2"/>
    <w:rsid w:val="00F43711"/>
    <w:rsid w:val="00F43972"/>
    <w:rsid w:val="00F43AA9"/>
    <w:rsid w:val="00F43CD6"/>
    <w:rsid w:val="00F43D7E"/>
    <w:rsid w:val="00F43EC7"/>
    <w:rsid w:val="00F43F15"/>
    <w:rsid w:val="00F43F4B"/>
    <w:rsid w:val="00F44032"/>
    <w:rsid w:val="00F440D4"/>
    <w:rsid w:val="00F44245"/>
    <w:rsid w:val="00F442AD"/>
    <w:rsid w:val="00F4454F"/>
    <w:rsid w:val="00F44576"/>
    <w:rsid w:val="00F44872"/>
    <w:rsid w:val="00F44877"/>
    <w:rsid w:val="00F44898"/>
    <w:rsid w:val="00F448AB"/>
    <w:rsid w:val="00F4491D"/>
    <w:rsid w:val="00F449C8"/>
    <w:rsid w:val="00F44A0F"/>
    <w:rsid w:val="00F44A78"/>
    <w:rsid w:val="00F44A99"/>
    <w:rsid w:val="00F44A9E"/>
    <w:rsid w:val="00F44B54"/>
    <w:rsid w:val="00F44D41"/>
    <w:rsid w:val="00F44F46"/>
    <w:rsid w:val="00F44FD9"/>
    <w:rsid w:val="00F4502B"/>
    <w:rsid w:val="00F452CF"/>
    <w:rsid w:val="00F45339"/>
    <w:rsid w:val="00F454D7"/>
    <w:rsid w:val="00F45529"/>
    <w:rsid w:val="00F45710"/>
    <w:rsid w:val="00F457CD"/>
    <w:rsid w:val="00F45A2B"/>
    <w:rsid w:val="00F45AAE"/>
    <w:rsid w:val="00F45B22"/>
    <w:rsid w:val="00F45C80"/>
    <w:rsid w:val="00F45CC6"/>
    <w:rsid w:val="00F45E00"/>
    <w:rsid w:val="00F45EF0"/>
    <w:rsid w:val="00F46181"/>
    <w:rsid w:val="00F46493"/>
    <w:rsid w:val="00F464CE"/>
    <w:rsid w:val="00F46514"/>
    <w:rsid w:val="00F4662F"/>
    <w:rsid w:val="00F46637"/>
    <w:rsid w:val="00F4685F"/>
    <w:rsid w:val="00F468AC"/>
    <w:rsid w:val="00F468CD"/>
    <w:rsid w:val="00F46974"/>
    <w:rsid w:val="00F46983"/>
    <w:rsid w:val="00F469AE"/>
    <w:rsid w:val="00F46B0B"/>
    <w:rsid w:val="00F46CC4"/>
    <w:rsid w:val="00F46DD5"/>
    <w:rsid w:val="00F46DDA"/>
    <w:rsid w:val="00F46E82"/>
    <w:rsid w:val="00F46EC3"/>
    <w:rsid w:val="00F46F5B"/>
    <w:rsid w:val="00F46F6A"/>
    <w:rsid w:val="00F46FCC"/>
    <w:rsid w:val="00F470B1"/>
    <w:rsid w:val="00F470DB"/>
    <w:rsid w:val="00F4718E"/>
    <w:rsid w:val="00F471E7"/>
    <w:rsid w:val="00F472B9"/>
    <w:rsid w:val="00F473E1"/>
    <w:rsid w:val="00F4740D"/>
    <w:rsid w:val="00F47484"/>
    <w:rsid w:val="00F474BE"/>
    <w:rsid w:val="00F47504"/>
    <w:rsid w:val="00F4750E"/>
    <w:rsid w:val="00F47636"/>
    <w:rsid w:val="00F47637"/>
    <w:rsid w:val="00F476BA"/>
    <w:rsid w:val="00F47813"/>
    <w:rsid w:val="00F479DF"/>
    <w:rsid w:val="00F47A7A"/>
    <w:rsid w:val="00F47AD3"/>
    <w:rsid w:val="00F47B5F"/>
    <w:rsid w:val="00F47BBE"/>
    <w:rsid w:val="00F47C2E"/>
    <w:rsid w:val="00F47C8C"/>
    <w:rsid w:val="00F47CCD"/>
    <w:rsid w:val="00F47DCA"/>
    <w:rsid w:val="00F47F88"/>
    <w:rsid w:val="00F50067"/>
    <w:rsid w:val="00F500E5"/>
    <w:rsid w:val="00F50146"/>
    <w:rsid w:val="00F5018A"/>
    <w:rsid w:val="00F501D5"/>
    <w:rsid w:val="00F50239"/>
    <w:rsid w:val="00F50283"/>
    <w:rsid w:val="00F503C2"/>
    <w:rsid w:val="00F5040B"/>
    <w:rsid w:val="00F5046B"/>
    <w:rsid w:val="00F5049E"/>
    <w:rsid w:val="00F50535"/>
    <w:rsid w:val="00F505C0"/>
    <w:rsid w:val="00F505D2"/>
    <w:rsid w:val="00F5090B"/>
    <w:rsid w:val="00F50A00"/>
    <w:rsid w:val="00F50ADF"/>
    <w:rsid w:val="00F50CDB"/>
    <w:rsid w:val="00F50D57"/>
    <w:rsid w:val="00F50D6D"/>
    <w:rsid w:val="00F50DDD"/>
    <w:rsid w:val="00F50EF8"/>
    <w:rsid w:val="00F514D8"/>
    <w:rsid w:val="00F51514"/>
    <w:rsid w:val="00F51527"/>
    <w:rsid w:val="00F51757"/>
    <w:rsid w:val="00F51819"/>
    <w:rsid w:val="00F51928"/>
    <w:rsid w:val="00F51980"/>
    <w:rsid w:val="00F5198F"/>
    <w:rsid w:val="00F51AB6"/>
    <w:rsid w:val="00F51B16"/>
    <w:rsid w:val="00F51D7F"/>
    <w:rsid w:val="00F51E50"/>
    <w:rsid w:val="00F51F08"/>
    <w:rsid w:val="00F51F1B"/>
    <w:rsid w:val="00F51F49"/>
    <w:rsid w:val="00F52039"/>
    <w:rsid w:val="00F52117"/>
    <w:rsid w:val="00F5216C"/>
    <w:rsid w:val="00F521AC"/>
    <w:rsid w:val="00F52309"/>
    <w:rsid w:val="00F52343"/>
    <w:rsid w:val="00F52475"/>
    <w:rsid w:val="00F52478"/>
    <w:rsid w:val="00F52708"/>
    <w:rsid w:val="00F52710"/>
    <w:rsid w:val="00F5295F"/>
    <w:rsid w:val="00F52A8E"/>
    <w:rsid w:val="00F52A98"/>
    <w:rsid w:val="00F52A9E"/>
    <w:rsid w:val="00F52AB9"/>
    <w:rsid w:val="00F52B53"/>
    <w:rsid w:val="00F52BC6"/>
    <w:rsid w:val="00F52C37"/>
    <w:rsid w:val="00F52C69"/>
    <w:rsid w:val="00F530C7"/>
    <w:rsid w:val="00F53131"/>
    <w:rsid w:val="00F5328F"/>
    <w:rsid w:val="00F5339C"/>
    <w:rsid w:val="00F53456"/>
    <w:rsid w:val="00F536FA"/>
    <w:rsid w:val="00F5377C"/>
    <w:rsid w:val="00F5392F"/>
    <w:rsid w:val="00F53955"/>
    <w:rsid w:val="00F53EAA"/>
    <w:rsid w:val="00F53EF8"/>
    <w:rsid w:val="00F53F97"/>
    <w:rsid w:val="00F5412E"/>
    <w:rsid w:val="00F541BF"/>
    <w:rsid w:val="00F5423E"/>
    <w:rsid w:val="00F5429E"/>
    <w:rsid w:val="00F542DF"/>
    <w:rsid w:val="00F5432B"/>
    <w:rsid w:val="00F5444F"/>
    <w:rsid w:val="00F54484"/>
    <w:rsid w:val="00F545AE"/>
    <w:rsid w:val="00F54641"/>
    <w:rsid w:val="00F54698"/>
    <w:rsid w:val="00F5474D"/>
    <w:rsid w:val="00F547CB"/>
    <w:rsid w:val="00F548BC"/>
    <w:rsid w:val="00F548D6"/>
    <w:rsid w:val="00F549C3"/>
    <w:rsid w:val="00F54AC3"/>
    <w:rsid w:val="00F54B7E"/>
    <w:rsid w:val="00F54C66"/>
    <w:rsid w:val="00F54C76"/>
    <w:rsid w:val="00F54CB2"/>
    <w:rsid w:val="00F54E14"/>
    <w:rsid w:val="00F54F12"/>
    <w:rsid w:val="00F55085"/>
    <w:rsid w:val="00F5515C"/>
    <w:rsid w:val="00F55161"/>
    <w:rsid w:val="00F554B6"/>
    <w:rsid w:val="00F55619"/>
    <w:rsid w:val="00F556BD"/>
    <w:rsid w:val="00F558CE"/>
    <w:rsid w:val="00F558FE"/>
    <w:rsid w:val="00F5593E"/>
    <w:rsid w:val="00F559E1"/>
    <w:rsid w:val="00F55A31"/>
    <w:rsid w:val="00F55A98"/>
    <w:rsid w:val="00F55B14"/>
    <w:rsid w:val="00F55C93"/>
    <w:rsid w:val="00F55CB1"/>
    <w:rsid w:val="00F55DA2"/>
    <w:rsid w:val="00F55FE5"/>
    <w:rsid w:val="00F5614B"/>
    <w:rsid w:val="00F5618E"/>
    <w:rsid w:val="00F562FB"/>
    <w:rsid w:val="00F56309"/>
    <w:rsid w:val="00F56451"/>
    <w:rsid w:val="00F564BC"/>
    <w:rsid w:val="00F564E8"/>
    <w:rsid w:val="00F56666"/>
    <w:rsid w:val="00F5678E"/>
    <w:rsid w:val="00F56834"/>
    <w:rsid w:val="00F568E8"/>
    <w:rsid w:val="00F56C45"/>
    <w:rsid w:val="00F56D02"/>
    <w:rsid w:val="00F56D63"/>
    <w:rsid w:val="00F56DB7"/>
    <w:rsid w:val="00F56DF7"/>
    <w:rsid w:val="00F56F1B"/>
    <w:rsid w:val="00F57123"/>
    <w:rsid w:val="00F57467"/>
    <w:rsid w:val="00F574D0"/>
    <w:rsid w:val="00F57566"/>
    <w:rsid w:val="00F576B5"/>
    <w:rsid w:val="00F576D5"/>
    <w:rsid w:val="00F57743"/>
    <w:rsid w:val="00F57873"/>
    <w:rsid w:val="00F57911"/>
    <w:rsid w:val="00F57AB3"/>
    <w:rsid w:val="00F57B0C"/>
    <w:rsid w:val="00F57B16"/>
    <w:rsid w:val="00F57BED"/>
    <w:rsid w:val="00F57D46"/>
    <w:rsid w:val="00F57F58"/>
    <w:rsid w:val="00F60009"/>
    <w:rsid w:val="00F6011F"/>
    <w:rsid w:val="00F60141"/>
    <w:rsid w:val="00F60142"/>
    <w:rsid w:val="00F60198"/>
    <w:rsid w:val="00F6020C"/>
    <w:rsid w:val="00F602CB"/>
    <w:rsid w:val="00F6036C"/>
    <w:rsid w:val="00F60385"/>
    <w:rsid w:val="00F6043D"/>
    <w:rsid w:val="00F6045C"/>
    <w:rsid w:val="00F60530"/>
    <w:rsid w:val="00F60AAF"/>
    <w:rsid w:val="00F60AB9"/>
    <w:rsid w:val="00F60C74"/>
    <w:rsid w:val="00F60D5C"/>
    <w:rsid w:val="00F60DA4"/>
    <w:rsid w:val="00F60DCE"/>
    <w:rsid w:val="00F60F28"/>
    <w:rsid w:val="00F60F75"/>
    <w:rsid w:val="00F60FAE"/>
    <w:rsid w:val="00F61030"/>
    <w:rsid w:val="00F610BB"/>
    <w:rsid w:val="00F61161"/>
    <w:rsid w:val="00F611D4"/>
    <w:rsid w:val="00F6123C"/>
    <w:rsid w:val="00F61516"/>
    <w:rsid w:val="00F617D4"/>
    <w:rsid w:val="00F617D7"/>
    <w:rsid w:val="00F61919"/>
    <w:rsid w:val="00F61A2F"/>
    <w:rsid w:val="00F61C03"/>
    <w:rsid w:val="00F61C33"/>
    <w:rsid w:val="00F61C55"/>
    <w:rsid w:val="00F61D01"/>
    <w:rsid w:val="00F6202E"/>
    <w:rsid w:val="00F620CE"/>
    <w:rsid w:val="00F62151"/>
    <w:rsid w:val="00F62173"/>
    <w:rsid w:val="00F62295"/>
    <w:rsid w:val="00F62636"/>
    <w:rsid w:val="00F62641"/>
    <w:rsid w:val="00F62689"/>
    <w:rsid w:val="00F6269A"/>
    <w:rsid w:val="00F626E8"/>
    <w:rsid w:val="00F6280A"/>
    <w:rsid w:val="00F62848"/>
    <w:rsid w:val="00F6294F"/>
    <w:rsid w:val="00F62A91"/>
    <w:rsid w:val="00F62B09"/>
    <w:rsid w:val="00F62C6D"/>
    <w:rsid w:val="00F62CA5"/>
    <w:rsid w:val="00F62D9F"/>
    <w:rsid w:val="00F62DD6"/>
    <w:rsid w:val="00F62E73"/>
    <w:rsid w:val="00F63021"/>
    <w:rsid w:val="00F63042"/>
    <w:rsid w:val="00F630DD"/>
    <w:rsid w:val="00F63143"/>
    <w:rsid w:val="00F63208"/>
    <w:rsid w:val="00F63376"/>
    <w:rsid w:val="00F63412"/>
    <w:rsid w:val="00F634A3"/>
    <w:rsid w:val="00F6354F"/>
    <w:rsid w:val="00F636A7"/>
    <w:rsid w:val="00F636C7"/>
    <w:rsid w:val="00F636EC"/>
    <w:rsid w:val="00F63738"/>
    <w:rsid w:val="00F63790"/>
    <w:rsid w:val="00F637B3"/>
    <w:rsid w:val="00F63812"/>
    <w:rsid w:val="00F63A93"/>
    <w:rsid w:val="00F63B4A"/>
    <w:rsid w:val="00F63B4D"/>
    <w:rsid w:val="00F63B6C"/>
    <w:rsid w:val="00F63C2D"/>
    <w:rsid w:val="00F63D32"/>
    <w:rsid w:val="00F63D4D"/>
    <w:rsid w:val="00F63DB5"/>
    <w:rsid w:val="00F63EC2"/>
    <w:rsid w:val="00F63F07"/>
    <w:rsid w:val="00F63F86"/>
    <w:rsid w:val="00F643C4"/>
    <w:rsid w:val="00F64489"/>
    <w:rsid w:val="00F64535"/>
    <w:rsid w:val="00F6465A"/>
    <w:rsid w:val="00F6474B"/>
    <w:rsid w:val="00F64770"/>
    <w:rsid w:val="00F647F8"/>
    <w:rsid w:val="00F6488F"/>
    <w:rsid w:val="00F64910"/>
    <w:rsid w:val="00F649DF"/>
    <w:rsid w:val="00F64B37"/>
    <w:rsid w:val="00F64B80"/>
    <w:rsid w:val="00F64B8F"/>
    <w:rsid w:val="00F64C09"/>
    <w:rsid w:val="00F64CA3"/>
    <w:rsid w:val="00F64E47"/>
    <w:rsid w:val="00F64EA0"/>
    <w:rsid w:val="00F64FF8"/>
    <w:rsid w:val="00F65205"/>
    <w:rsid w:val="00F652FA"/>
    <w:rsid w:val="00F6563B"/>
    <w:rsid w:val="00F65791"/>
    <w:rsid w:val="00F658D9"/>
    <w:rsid w:val="00F65966"/>
    <w:rsid w:val="00F65A69"/>
    <w:rsid w:val="00F65AB1"/>
    <w:rsid w:val="00F65BDC"/>
    <w:rsid w:val="00F65C20"/>
    <w:rsid w:val="00F65CC4"/>
    <w:rsid w:val="00F65D20"/>
    <w:rsid w:val="00F65D4E"/>
    <w:rsid w:val="00F65D74"/>
    <w:rsid w:val="00F65ED0"/>
    <w:rsid w:val="00F65F42"/>
    <w:rsid w:val="00F65F56"/>
    <w:rsid w:val="00F66025"/>
    <w:rsid w:val="00F66072"/>
    <w:rsid w:val="00F660F8"/>
    <w:rsid w:val="00F66156"/>
    <w:rsid w:val="00F66163"/>
    <w:rsid w:val="00F6627F"/>
    <w:rsid w:val="00F66305"/>
    <w:rsid w:val="00F66349"/>
    <w:rsid w:val="00F6636C"/>
    <w:rsid w:val="00F66455"/>
    <w:rsid w:val="00F665C6"/>
    <w:rsid w:val="00F66854"/>
    <w:rsid w:val="00F668E3"/>
    <w:rsid w:val="00F6691B"/>
    <w:rsid w:val="00F669CD"/>
    <w:rsid w:val="00F66A95"/>
    <w:rsid w:val="00F66DA8"/>
    <w:rsid w:val="00F66EF3"/>
    <w:rsid w:val="00F67152"/>
    <w:rsid w:val="00F6723E"/>
    <w:rsid w:val="00F67268"/>
    <w:rsid w:val="00F6729B"/>
    <w:rsid w:val="00F67427"/>
    <w:rsid w:val="00F674D2"/>
    <w:rsid w:val="00F675D7"/>
    <w:rsid w:val="00F6781B"/>
    <w:rsid w:val="00F6787E"/>
    <w:rsid w:val="00F678A9"/>
    <w:rsid w:val="00F67A03"/>
    <w:rsid w:val="00F67B14"/>
    <w:rsid w:val="00F67C3D"/>
    <w:rsid w:val="00F67DEC"/>
    <w:rsid w:val="00F7003F"/>
    <w:rsid w:val="00F7009F"/>
    <w:rsid w:val="00F701BE"/>
    <w:rsid w:val="00F7021A"/>
    <w:rsid w:val="00F702FB"/>
    <w:rsid w:val="00F70366"/>
    <w:rsid w:val="00F703E5"/>
    <w:rsid w:val="00F7050E"/>
    <w:rsid w:val="00F70532"/>
    <w:rsid w:val="00F7056A"/>
    <w:rsid w:val="00F705B9"/>
    <w:rsid w:val="00F7063A"/>
    <w:rsid w:val="00F70835"/>
    <w:rsid w:val="00F7092D"/>
    <w:rsid w:val="00F7092F"/>
    <w:rsid w:val="00F70997"/>
    <w:rsid w:val="00F70A64"/>
    <w:rsid w:val="00F70A9B"/>
    <w:rsid w:val="00F70B90"/>
    <w:rsid w:val="00F70BD8"/>
    <w:rsid w:val="00F70C36"/>
    <w:rsid w:val="00F70D84"/>
    <w:rsid w:val="00F70DDC"/>
    <w:rsid w:val="00F70EA8"/>
    <w:rsid w:val="00F70EAA"/>
    <w:rsid w:val="00F70FEE"/>
    <w:rsid w:val="00F71063"/>
    <w:rsid w:val="00F710B4"/>
    <w:rsid w:val="00F7113C"/>
    <w:rsid w:val="00F7128A"/>
    <w:rsid w:val="00F712CE"/>
    <w:rsid w:val="00F7131D"/>
    <w:rsid w:val="00F7131E"/>
    <w:rsid w:val="00F716B0"/>
    <w:rsid w:val="00F717AD"/>
    <w:rsid w:val="00F718E5"/>
    <w:rsid w:val="00F718EB"/>
    <w:rsid w:val="00F719A8"/>
    <w:rsid w:val="00F71BBE"/>
    <w:rsid w:val="00F71C64"/>
    <w:rsid w:val="00F71D31"/>
    <w:rsid w:val="00F71DF3"/>
    <w:rsid w:val="00F71F5A"/>
    <w:rsid w:val="00F71FF4"/>
    <w:rsid w:val="00F72174"/>
    <w:rsid w:val="00F72244"/>
    <w:rsid w:val="00F72357"/>
    <w:rsid w:val="00F72690"/>
    <w:rsid w:val="00F726E6"/>
    <w:rsid w:val="00F7285F"/>
    <w:rsid w:val="00F728B7"/>
    <w:rsid w:val="00F728F1"/>
    <w:rsid w:val="00F729A6"/>
    <w:rsid w:val="00F729CF"/>
    <w:rsid w:val="00F729E6"/>
    <w:rsid w:val="00F72A9C"/>
    <w:rsid w:val="00F72C26"/>
    <w:rsid w:val="00F72CDC"/>
    <w:rsid w:val="00F72D58"/>
    <w:rsid w:val="00F72EDE"/>
    <w:rsid w:val="00F72FAE"/>
    <w:rsid w:val="00F72FD1"/>
    <w:rsid w:val="00F7314D"/>
    <w:rsid w:val="00F73174"/>
    <w:rsid w:val="00F731F5"/>
    <w:rsid w:val="00F73377"/>
    <w:rsid w:val="00F734A9"/>
    <w:rsid w:val="00F737D1"/>
    <w:rsid w:val="00F737DB"/>
    <w:rsid w:val="00F73AB0"/>
    <w:rsid w:val="00F73B12"/>
    <w:rsid w:val="00F73BCE"/>
    <w:rsid w:val="00F73C56"/>
    <w:rsid w:val="00F73F89"/>
    <w:rsid w:val="00F74244"/>
    <w:rsid w:val="00F74263"/>
    <w:rsid w:val="00F74401"/>
    <w:rsid w:val="00F7447B"/>
    <w:rsid w:val="00F746BD"/>
    <w:rsid w:val="00F746F2"/>
    <w:rsid w:val="00F7475D"/>
    <w:rsid w:val="00F747AD"/>
    <w:rsid w:val="00F74B70"/>
    <w:rsid w:val="00F74BB0"/>
    <w:rsid w:val="00F74C33"/>
    <w:rsid w:val="00F74D3B"/>
    <w:rsid w:val="00F74E4D"/>
    <w:rsid w:val="00F74F5A"/>
    <w:rsid w:val="00F74FAC"/>
    <w:rsid w:val="00F75044"/>
    <w:rsid w:val="00F75136"/>
    <w:rsid w:val="00F753B1"/>
    <w:rsid w:val="00F757B4"/>
    <w:rsid w:val="00F759F7"/>
    <w:rsid w:val="00F75A2F"/>
    <w:rsid w:val="00F75E91"/>
    <w:rsid w:val="00F75FD4"/>
    <w:rsid w:val="00F760FF"/>
    <w:rsid w:val="00F76102"/>
    <w:rsid w:val="00F7613A"/>
    <w:rsid w:val="00F7617B"/>
    <w:rsid w:val="00F7619C"/>
    <w:rsid w:val="00F764D4"/>
    <w:rsid w:val="00F7654D"/>
    <w:rsid w:val="00F76566"/>
    <w:rsid w:val="00F76701"/>
    <w:rsid w:val="00F76769"/>
    <w:rsid w:val="00F7677A"/>
    <w:rsid w:val="00F768B7"/>
    <w:rsid w:val="00F768D5"/>
    <w:rsid w:val="00F76915"/>
    <w:rsid w:val="00F7695D"/>
    <w:rsid w:val="00F76AE0"/>
    <w:rsid w:val="00F76AE7"/>
    <w:rsid w:val="00F76BC7"/>
    <w:rsid w:val="00F76CCE"/>
    <w:rsid w:val="00F76D86"/>
    <w:rsid w:val="00F76EBD"/>
    <w:rsid w:val="00F76EF9"/>
    <w:rsid w:val="00F77069"/>
    <w:rsid w:val="00F77409"/>
    <w:rsid w:val="00F776D0"/>
    <w:rsid w:val="00F777D7"/>
    <w:rsid w:val="00F7786C"/>
    <w:rsid w:val="00F77BD5"/>
    <w:rsid w:val="00F77E12"/>
    <w:rsid w:val="00F77E8D"/>
    <w:rsid w:val="00F77F40"/>
    <w:rsid w:val="00F801AD"/>
    <w:rsid w:val="00F802EF"/>
    <w:rsid w:val="00F80338"/>
    <w:rsid w:val="00F804B2"/>
    <w:rsid w:val="00F805A0"/>
    <w:rsid w:val="00F805C3"/>
    <w:rsid w:val="00F805FE"/>
    <w:rsid w:val="00F80627"/>
    <w:rsid w:val="00F8076C"/>
    <w:rsid w:val="00F80A43"/>
    <w:rsid w:val="00F80AEF"/>
    <w:rsid w:val="00F80D07"/>
    <w:rsid w:val="00F80DCC"/>
    <w:rsid w:val="00F80ECE"/>
    <w:rsid w:val="00F810CC"/>
    <w:rsid w:val="00F810E7"/>
    <w:rsid w:val="00F81280"/>
    <w:rsid w:val="00F8134A"/>
    <w:rsid w:val="00F81569"/>
    <w:rsid w:val="00F81786"/>
    <w:rsid w:val="00F817DC"/>
    <w:rsid w:val="00F81A76"/>
    <w:rsid w:val="00F81B25"/>
    <w:rsid w:val="00F81B54"/>
    <w:rsid w:val="00F81B69"/>
    <w:rsid w:val="00F81B83"/>
    <w:rsid w:val="00F81BD8"/>
    <w:rsid w:val="00F81C7A"/>
    <w:rsid w:val="00F81D05"/>
    <w:rsid w:val="00F81D98"/>
    <w:rsid w:val="00F81FF7"/>
    <w:rsid w:val="00F8226E"/>
    <w:rsid w:val="00F8227C"/>
    <w:rsid w:val="00F822B6"/>
    <w:rsid w:val="00F822CA"/>
    <w:rsid w:val="00F823B8"/>
    <w:rsid w:val="00F823D0"/>
    <w:rsid w:val="00F82456"/>
    <w:rsid w:val="00F82746"/>
    <w:rsid w:val="00F82775"/>
    <w:rsid w:val="00F8288F"/>
    <w:rsid w:val="00F82B5E"/>
    <w:rsid w:val="00F82CB0"/>
    <w:rsid w:val="00F82D4E"/>
    <w:rsid w:val="00F82ED2"/>
    <w:rsid w:val="00F82FB9"/>
    <w:rsid w:val="00F82FE4"/>
    <w:rsid w:val="00F83212"/>
    <w:rsid w:val="00F83415"/>
    <w:rsid w:val="00F834F1"/>
    <w:rsid w:val="00F836BE"/>
    <w:rsid w:val="00F836F9"/>
    <w:rsid w:val="00F83860"/>
    <w:rsid w:val="00F83CD8"/>
    <w:rsid w:val="00F83E90"/>
    <w:rsid w:val="00F83F2E"/>
    <w:rsid w:val="00F84007"/>
    <w:rsid w:val="00F84306"/>
    <w:rsid w:val="00F84522"/>
    <w:rsid w:val="00F845D7"/>
    <w:rsid w:val="00F845FB"/>
    <w:rsid w:val="00F84820"/>
    <w:rsid w:val="00F8498B"/>
    <w:rsid w:val="00F84A6D"/>
    <w:rsid w:val="00F84B08"/>
    <w:rsid w:val="00F84B6B"/>
    <w:rsid w:val="00F84CB7"/>
    <w:rsid w:val="00F84D3B"/>
    <w:rsid w:val="00F84DDA"/>
    <w:rsid w:val="00F84FFB"/>
    <w:rsid w:val="00F8501B"/>
    <w:rsid w:val="00F85096"/>
    <w:rsid w:val="00F85347"/>
    <w:rsid w:val="00F8585D"/>
    <w:rsid w:val="00F85997"/>
    <w:rsid w:val="00F85A3F"/>
    <w:rsid w:val="00F85BC8"/>
    <w:rsid w:val="00F85D1A"/>
    <w:rsid w:val="00F85E31"/>
    <w:rsid w:val="00F85F2A"/>
    <w:rsid w:val="00F85FC7"/>
    <w:rsid w:val="00F86033"/>
    <w:rsid w:val="00F860E4"/>
    <w:rsid w:val="00F8611F"/>
    <w:rsid w:val="00F8617F"/>
    <w:rsid w:val="00F86190"/>
    <w:rsid w:val="00F8629D"/>
    <w:rsid w:val="00F8638F"/>
    <w:rsid w:val="00F86453"/>
    <w:rsid w:val="00F86498"/>
    <w:rsid w:val="00F8649E"/>
    <w:rsid w:val="00F864B7"/>
    <w:rsid w:val="00F86730"/>
    <w:rsid w:val="00F8695D"/>
    <w:rsid w:val="00F86A0E"/>
    <w:rsid w:val="00F86E49"/>
    <w:rsid w:val="00F870EF"/>
    <w:rsid w:val="00F8729D"/>
    <w:rsid w:val="00F872DB"/>
    <w:rsid w:val="00F8746F"/>
    <w:rsid w:val="00F8747A"/>
    <w:rsid w:val="00F8753F"/>
    <w:rsid w:val="00F87611"/>
    <w:rsid w:val="00F876F3"/>
    <w:rsid w:val="00F87768"/>
    <w:rsid w:val="00F877CD"/>
    <w:rsid w:val="00F87880"/>
    <w:rsid w:val="00F879E2"/>
    <w:rsid w:val="00F87A6F"/>
    <w:rsid w:val="00F87B78"/>
    <w:rsid w:val="00F87EC8"/>
    <w:rsid w:val="00F87ECA"/>
    <w:rsid w:val="00F90059"/>
    <w:rsid w:val="00F90075"/>
    <w:rsid w:val="00F900AB"/>
    <w:rsid w:val="00F902A1"/>
    <w:rsid w:val="00F903AF"/>
    <w:rsid w:val="00F904D5"/>
    <w:rsid w:val="00F904E2"/>
    <w:rsid w:val="00F905AE"/>
    <w:rsid w:val="00F9094F"/>
    <w:rsid w:val="00F909CB"/>
    <w:rsid w:val="00F90A87"/>
    <w:rsid w:val="00F90B25"/>
    <w:rsid w:val="00F90BF6"/>
    <w:rsid w:val="00F90C88"/>
    <w:rsid w:val="00F90C93"/>
    <w:rsid w:val="00F90DC5"/>
    <w:rsid w:val="00F90F61"/>
    <w:rsid w:val="00F90FBB"/>
    <w:rsid w:val="00F9111B"/>
    <w:rsid w:val="00F913F0"/>
    <w:rsid w:val="00F9186E"/>
    <w:rsid w:val="00F918ED"/>
    <w:rsid w:val="00F91934"/>
    <w:rsid w:val="00F9195A"/>
    <w:rsid w:val="00F919E1"/>
    <w:rsid w:val="00F919F2"/>
    <w:rsid w:val="00F91A86"/>
    <w:rsid w:val="00F91B27"/>
    <w:rsid w:val="00F91B31"/>
    <w:rsid w:val="00F91E25"/>
    <w:rsid w:val="00F91FA7"/>
    <w:rsid w:val="00F9212A"/>
    <w:rsid w:val="00F92261"/>
    <w:rsid w:val="00F92279"/>
    <w:rsid w:val="00F922A4"/>
    <w:rsid w:val="00F922A5"/>
    <w:rsid w:val="00F9233F"/>
    <w:rsid w:val="00F9248E"/>
    <w:rsid w:val="00F92553"/>
    <w:rsid w:val="00F925CD"/>
    <w:rsid w:val="00F926C1"/>
    <w:rsid w:val="00F926DD"/>
    <w:rsid w:val="00F927C7"/>
    <w:rsid w:val="00F92894"/>
    <w:rsid w:val="00F928D0"/>
    <w:rsid w:val="00F92949"/>
    <w:rsid w:val="00F92959"/>
    <w:rsid w:val="00F9298D"/>
    <w:rsid w:val="00F929F7"/>
    <w:rsid w:val="00F92A1B"/>
    <w:rsid w:val="00F92A3C"/>
    <w:rsid w:val="00F92AA3"/>
    <w:rsid w:val="00F92AC0"/>
    <w:rsid w:val="00F92BF9"/>
    <w:rsid w:val="00F92E31"/>
    <w:rsid w:val="00F92FF3"/>
    <w:rsid w:val="00F930CD"/>
    <w:rsid w:val="00F930F8"/>
    <w:rsid w:val="00F93134"/>
    <w:rsid w:val="00F931B1"/>
    <w:rsid w:val="00F9328D"/>
    <w:rsid w:val="00F935A7"/>
    <w:rsid w:val="00F937FC"/>
    <w:rsid w:val="00F938D7"/>
    <w:rsid w:val="00F938E7"/>
    <w:rsid w:val="00F9392A"/>
    <w:rsid w:val="00F939A3"/>
    <w:rsid w:val="00F939EC"/>
    <w:rsid w:val="00F93A78"/>
    <w:rsid w:val="00F93BB9"/>
    <w:rsid w:val="00F93BBF"/>
    <w:rsid w:val="00F93BE8"/>
    <w:rsid w:val="00F93DFF"/>
    <w:rsid w:val="00F93F11"/>
    <w:rsid w:val="00F93F6F"/>
    <w:rsid w:val="00F94095"/>
    <w:rsid w:val="00F943B0"/>
    <w:rsid w:val="00F944BC"/>
    <w:rsid w:val="00F94522"/>
    <w:rsid w:val="00F946A9"/>
    <w:rsid w:val="00F947B5"/>
    <w:rsid w:val="00F9488C"/>
    <w:rsid w:val="00F948E0"/>
    <w:rsid w:val="00F94922"/>
    <w:rsid w:val="00F949E7"/>
    <w:rsid w:val="00F94CCD"/>
    <w:rsid w:val="00F94D8B"/>
    <w:rsid w:val="00F94E35"/>
    <w:rsid w:val="00F94F0F"/>
    <w:rsid w:val="00F94FF2"/>
    <w:rsid w:val="00F95005"/>
    <w:rsid w:val="00F95016"/>
    <w:rsid w:val="00F95045"/>
    <w:rsid w:val="00F950E8"/>
    <w:rsid w:val="00F9523F"/>
    <w:rsid w:val="00F95243"/>
    <w:rsid w:val="00F952D8"/>
    <w:rsid w:val="00F952ED"/>
    <w:rsid w:val="00F953BA"/>
    <w:rsid w:val="00F9540B"/>
    <w:rsid w:val="00F95501"/>
    <w:rsid w:val="00F955C2"/>
    <w:rsid w:val="00F95A0B"/>
    <w:rsid w:val="00F95C35"/>
    <w:rsid w:val="00F95C55"/>
    <w:rsid w:val="00F95E09"/>
    <w:rsid w:val="00F95EFC"/>
    <w:rsid w:val="00F95EFF"/>
    <w:rsid w:val="00F95FA2"/>
    <w:rsid w:val="00F960BF"/>
    <w:rsid w:val="00F96131"/>
    <w:rsid w:val="00F96138"/>
    <w:rsid w:val="00F9619C"/>
    <w:rsid w:val="00F96244"/>
    <w:rsid w:val="00F96265"/>
    <w:rsid w:val="00F9636C"/>
    <w:rsid w:val="00F964BA"/>
    <w:rsid w:val="00F9651B"/>
    <w:rsid w:val="00F96766"/>
    <w:rsid w:val="00F967DD"/>
    <w:rsid w:val="00F968E9"/>
    <w:rsid w:val="00F96A1E"/>
    <w:rsid w:val="00F96A40"/>
    <w:rsid w:val="00F96A41"/>
    <w:rsid w:val="00F96C7F"/>
    <w:rsid w:val="00F96E12"/>
    <w:rsid w:val="00F96EBB"/>
    <w:rsid w:val="00F96F30"/>
    <w:rsid w:val="00F970B7"/>
    <w:rsid w:val="00F9711A"/>
    <w:rsid w:val="00F9712E"/>
    <w:rsid w:val="00F971AE"/>
    <w:rsid w:val="00F971C2"/>
    <w:rsid w:val="00F97296"/>
    <w:rsid w:val="00F97446"/>
    <w:rsid w:val="00F974EC"/>
    <w:rsid w:val="00F9766B"/>
    <w:rsid w:val="00F9770F"/>
    <w:rsid w:val="00F9781E"/>
    <w:rsid w:val="00F97899"/>
    <w:rsid w:val="00F9796F"/>
    <w:rsid w:val="00F97A82"/>
    <w:rsid w:val="00F97C49"/>
    <w:rsid w:val="00F97CB5"/>
    <w:rsid w:val="00F97E4F"/>
    <w:rsid w:val="00F97E7A"/>
    <w:rsid w:val="00F97EE5"/>
    <w:rsid w:val="00F97F06"/>
    <w:rsid w:val="00FA00DF"/>
    <w:rsid w:val="00FA0123"/>
    <w:rsid w:val="00FA018C"/>
    <w:rsid w:val="00FA0265"/>
    <w:rsid w:val="00FA031E"/>
    <w:rsid w:val="00FA03D2"/>
    <w:rsid w:val="00FA053E"/>
    <w:rsid w:val="00FA0561"/>
    <w:rsid w:val="00FA0A43"/>
    <w:rsid w:val="00FA0AB8"/>
    <w:rsid w:val="00FA0BA7"/>
    <w:rsid w:val="00FA0E63"/>
    <w:rsid w:val="00FA0EE7"/>
    <w:rsid w:val="00FA1129"/>
    <w:rsid w:val="00FA130B"/>
    <w:rsid w:val="00FA1368"/>
    <w:rsid w:val="00FA1539"/>
    <w:rsid w:val="00FA197C"/>
    <w:rsid w:val="00FA19E5"/>
    <w:rsid w:val="00FA1A87"/>
    <w:rsid w:val="00FA1C5D"/>
    <w:rsid w:val="00FA1D1F"/>
    <w:rsid w:val="00FA1DB5"/>
    <w:rsid w:val="00FA1EC3"/>
    <w:rsid w:val="00FA1F2A"/>
    <w:rsid w:val="00FA215B"/>
    <w:rsid w:val="00FA21BB"/>
    <w:rsid w:val="00FA21E6"/>
    <w:rsid w:val="00FA2407"/>
    <w:rsid w:val="00FA2491"/>
    <w:rsid w:val="00FA24CE"/>
    <w:rsid w:val="00FA2545"/>
    <w:rsid w:val="00FA2725"/>
    <w:rsid w:val="00FA27F5"/>
    <w:rsid w:val="00FA3100"/>
    <w:rsid w:val="00FA32E4"/>
    <w:rsid w:val="00FA339E"/>
    <w:rsid w:val="00FA3418"/>
    <w:rsid w:val="00FA341E"/>
    <w:rsid w:val="00FA34A0"/>
    <w:rsid w:val="00FA35BB"/>
    <w:rsid w:val="00FA365B"/>
    <w:rsid w:val="00FA3850"/>
    <w:rsid w:val="00FA38FD"/>
    <w:rsid w:val="00FA3913"/>
    <w:rsid w:val="00FA3943"/>
    <w:rsid w:val="00FA3C52"/>
    <w:rsid w:val="00FA3C7C"/>
    <w:rsid w:val="00FA3CF6"/>
    <w:rsid w:val="00FA3F6E"/>
    <w:rsid w:val="00FA41FF"/>
    <w:rsid w:val="00FA428E"/>
    <w:rsid w:val="00FA42BE"/>
    <w:rsid w:val="00FA4377"/>
    <w:rsid w:val="00FA4385"/>
    <w:rsid w:val="00FA4445"/>
    <w:rsid w:val="00FA4478"/>
    <w:rsid w:val="00FA4643"/>
    <w:rsid w:val="00FA465D"/>
    <w:rsid w:val="00FA4770"/>
    <w:rsid w:val="00FA47F0"/>
    <w:rsid w:val="00FA4886"/>
    <w:rsid w:val="00FA491A"/>
    <w:rsid w:val="00FA4962"/>
    <w:rsid w:val="00FA4B96"/>
    <w:rsid w:val="00FA4BB8"/>
    <w:rsid w:val="00FA4BC0"/>
    <w:rsid w:val="00FA4CC5"/>
    <w:rsid w:val="00FA4DC5"/>
    <w:rsid w:val="00FA4E5D"/>
    <w:rsid w:val="00FA502C"/>
    <w:rsid w:val="00FA5049"/>
    <w:rsid w:val="00FA5162"/>
    <w:rsid w:val="00FA53AC"/>
    <w:rsid w:val="00FA53DB"/>
    <w:rsid w:val="00FA5528"/>
    <w:rsid w:val="00FA5568"/>
    <w:rsid w:val="00FA559C"/>
    <w:rsid w:val="00FA55F6"/>
    <w:rsid w:val="00FA585D"/>
    <w:rsid w:val="00FA588C"/>
    <w:rsid w:val="00FA5901"/>
    <w:rsid w:val="00FA59F6"/>
    <w:rsid w:val="00FA5B6B"/>
    <w:rsid w:val="00FA5E40"/>
    <w:rsid w:val="00FA5E6A"/>
    <w:rsid w:val="00FA6260"/>
    <w:rsid w:val="00FA62EF"/>
    <w:rsid w:val="00FA6450"/>
    <w:rsid w:val="00FA6561"/>
    <w:rsid w:val="00FA6564"/>
    <w:rsid w:val="00FA662D"/>
    <w:rsid w:val="00FA66BB"/>
    <w:rsid w:val="00FA67AA"/>
    <w:rsid w:val="00FA69F5"/>
    <w:rsid w:val="00FA6A0E"/>
    <w:rsid w:val="00FA6B47"/>
    <w:rsid w:val="00FA6CA1"/>
    <w:rsid w:val="00FA6EE0"/>
    <w:rsid w:val="00FA6F3A"/>
    <w:rsid w:val="00FA7446"/>
    <w:rsid w:val="00FA7477"/>
    <w:rsid w:val="00FA7673"/>
    <w:rsid w:val="00FA76C4"/>
    <w:rsid w:val="00FA7863"/>
    <w:rsid w:val="00FA7866"/>
    <w:rsid w:val="00FA78C8"/>
    <w:rsid w:val="00FA7940"/>
    <w:rsid w:val="00FA7989"/>
    <w:rsid w:val="00FA7A4F"/>
    <w:rsid w:val="00FA7FC8"/>
    <w:rsid w:val="00FA7FDB"/>
    <w:rsid w:val="00FB0216"/>
    <w:rsid w:val="00FB04F8"/>
    <w:rsid w:val="00FB054E"/>
    <w:rsid w:val="00FB05BA"/>
    <w:rsid w:val="00FB0761"/>
    <w:rsid w:val="00FB0804"/>
    <w:rsid w:val="00FB0887"/>
    <w:rsid w:val="00FB0A03"/>
    <w:rsid w:val="00FB0AC1"/>
    <w:rsid w:val="00FB0D6B"/>
    <w:rsid w:val="00FB0D98"/>
    <w:rsid w:val="00FB0DA1"/>
    <w:rsid w:val="00FB0DE2"/>
    <w:rsid w:val="00FB0E39"/>
    <w:rsid w:val="00FB1005"/>
    <w:rsid w:val="00FB1014"/>
    <w:rsid w:val="00FB1145"/>
    <w:rsid w:val="00FB1162"/>
    <w:rsid w:val="00FB1443"/>
    <w:rsid w:val="00FB153C"/>
    <w:rsid w:val="00FB1672"/>
    <w:rsid w:val="00FB167C"/>
    <w:rsid w:val="00FB1727"/>
    <w:rsid w:val="00FB177A"/>
    <w:rsid w:val="00FB17A2"/>
    <w:rsid w:val="00FB18D1"/>
    <w:rsid w:val="00FB18ED"/>
    <w:rsid w:val="00FB1929"/>
    <w:rsid w:val="00FB19B3"/>
    <w:rsid w:val="00FB1B8E"/>
    <w:rsid w:val="00FB1C12"/>
    <w:rsid w:val="00FB1D4D"/>
    <w:rsid w:val="00FB1D90"/>
    <w:rsid w:val="00FB1D92"/>
    <w:rsid w:val="00FB1DC0"/>
    <w:rsid w:val="00FB1EF2"/>
    <w:rsid w:val="00FB1FAB"/>
    <w:rsid w:val="00FB1FDE"/>
    <w:rsid w:val="00FB2206"/>
    <w:rsid w:val="00FB2281"/>
    <w:rsid w:val="00FB22AD"/>
    <w:rsid w:val="00FB23A3"/>
    <w:rsid w:val="00FB2414"/>
    <w:rsid w:val="00FB25CA"/>
    <w:rsid w:val="00FB268F"/>
    <w:rsid w:val="00FB2760"/>
    <w:rsid w:val="00FB2853"/>
    <w:rsid w:val="00FB28FD"/>
    <w:rsid w:val="00FB2A72"/>
    <w:rsid w:val="00FB2B74"/>
    <w:rsid w:val="00FB2C7D"/>
    <w:rsid w:val="00FB2D36"/>
    <w:rsid w:val="00FB2E75"/>
    <w:rsid w:val="00FB2ECD"/>
    <w:rsid w:val="00FB3344"/>
    <w:rsid w:val="00FB3389"/>
    <w:rsid w:val="00FB34A2"/>
    <w:rsid w:val="00FB356B"/>
    <w:rsid w:val="00FB3581"/>
    <w:rsid w:val="00FB3609"/>
    <w:rsid w:val="00FB361A"/>
    <w:rsid w:val="00FB3963"/>
    <w:rsid w:val="00FB3982"/>
    <w:rsid w:val="00FB39F7"/>
    <w:rsid w:val="00FB3C8F"/>
    <w:rsid w:val="00FB3D42"/>
    <w:rsid w:val="00FB3D9F"/>
    <w:rsid w:val="00FB3E33"/>
    <w:rsid w:val="00FB3EAE"/>
    <w:rsid w:val="00FB3ED1"/>
    <w:rsid w:val="00FB3FFE"/>
    <w:rsid w:val="00FB413E"/>
    <w:rsid w:val="00FB441F"/>
    <w:rsid w:val="00FB4699"/>
    <w:rsid w:val="00FB4756"/>
    <w:rsid w:val="00FB47A8"/>
    <w:rsid w:val="00FB4BA5"/>
    <w:rsid w:val="00FB4D21"/>
    <w:rsid w:val="00FB4DA4"/>
    <w:rsid w:val="00FB4E17"/>
    <w:rsid w:val="00FB4E8A"/>
    <w:rsid w:val="00FB4EB4"/>
    <w:rsid w:val="00FB4EC4"/>
    <w:rsid w:val="00FB4EC6"/>
    <w:rsid w:val="00FB4EF6"/>
    <w:rsid w:val="00FB4F35"/>
    <w:rsid w:val="00FB4FF8"/>
    <w:rsid w:val="00FB5084"/>
    <w:rsid w:val="00FB5224"/>
    <w:rsid w:val="00FB5251"/>
    <w:rsid w:val="00FB5353"/>
    <w:rsid w:val="00FB536E"/>
    <w:rsid w:val="00FB5473"/>
    <w:rsid w:val="00FB547E"/>
    <w:rsid w:val="00FB54DC"/>
    <w:rsid w:val="00FB5862"/>
    <w:rsid w:val="00FB59DE"/>
    <w:rsid w:val="00FB5B8D"/>
    <w:rsid w:val="00FB5C30"/>
    <w:rsid w:val="00FB5C97"/>
    <w:rsid w:val="00FB5E24"/>
    <w:rsid w:val="00FB5FC8"/>
    <w:rsid w:val="00FB5FE3"/>
    <w:rsid w:val="00FB605A"/>
    <w:rsid w:val="00FB60AF"/>
    <w:rsid w:val="00FB611C"/>
    <w:rsid w:val="00FB61E6"/>
    <w:rsid w:val="00FB62D1"/>
    <w:rsid w:val="00FB62E5"/>
    <w:rsid w:val="00FB63EF"/>
    <w:rsid w:val="00FB65C5"/>
    <w:rsid w:val="00FB665A"/>
    <w:rsid w:val="00FB696B"/>
    <w:rsid w:val="00FB6B80"/>
    <w:rsid w:val="00FB6C75"/>
    <w:rsid w:val="00FB6CF0"/>
    <w:rsid w:val="00FB6CF3"/>
    <w:rsid w:val="00FB6DEB"/>
    <w:rsid w:val="00FB6E33"/>
    <w:rsid w:val="00FB6F32"/>
    <w:rsid w:val="00FB700D"/>
    <w:rsid w:val="00FB7056"/>
    <w:rsid w:val="00FB7177"/>
    <w:rsid w:val="00FB7220"/>
    <w:rsid w:val="00FB72A2"/>
    <w:rsid w:val="00FB741F"/>
    <w:rsid w:val="00FB74C2"/>
    <w:rsid w:val="00FB762B"/>
    <w:rsid w:val="00FB7740"/>
    <w:rsid w:val="00FB7B16"/>
    <w:rsid w:val="00FB7D5B"/>
    <w:rsid w:val="00FB7FF8"/>
    <w:rsid w:val="00FC0032"/>
    <w:rsid w:val="00FC0103"/>
    <w:rsid w:val="00FC011E"/>
    <w:rsid w:val="00FC0156"/>
    <w:rsid w:val="00FC03E4"/>
    <w:rsid w:val="00FC0472"/>
    <w:rsid w:val="00FC062C"/>
    <w:rsid w:val="00FC0664"/>
    <w:rsid w:val="00FC0743"/>
    <w:rsid w:val="00FC079C"/>
    <w:rsid w:val="00FC07A6"/>
    <w:rsid w:val="00FC085F"/>
    <w:rsid w:val="00FC08A0"/>
    <w:rsid w:val="00FC0931"/>
    <w:rsid w:val="00FC0936"/>
    <w:rsid w:val="00FC0A76"/>
    <w:rsid w:val="00FC0BE6"/>
    <w:rsid w:val="00FC0DC5"/>
    <w:rsid w:val="00FC0E6A"/>
    <w:rsid w:val="00FC0E81"/>
    <w:rsid w:val="00FC1043"/>
    <w:rsid w:val="00FC10FA"/>
    <w:rsid w:val="00FC1154"/>
    <w:rsid w:val="00FC11B7"/>
    <w:rsid w:val="00FC11D9"/>
    <w:rsid w:val="00FC1228"/>
    <w:rsid w:val="00FC1262"/>
    <w:rsid w:val="00FC13F2"/>
    <w:rsid w:val="00FC1592"/>
    <w:rsid w:val="00FC15C9"/>
    <w:rsid w:val="00FC177A"/>
    <w:rsid w:val="00FC1B40"/>
    <w:rsid w:val="00FC1CC5"/>
    <w:rsid w:val="00FC1D20"/>
    <w:rsid w:val="00FC1DAD"/>
    <w:rsid w:val="00FC2032"/>
    <w:rsid w:val="00FC24FF"/>
    <w:rsid w:val="00FC25C5"/>
    <w:rsid w:val="00FC2631"/>
    <w:rsid w:val="00FC2724"/>
    <w:rsid w:val="00FC2776"/>
    <w:rsid w:val="00FC27AC"/>
    <w:rsid w:val="00FC282C"/>
    <w:rsid w:val="00FC2973"/>
    <w:rsid w:val="00FC2B00"/>
    <w:rsid w:val="00FC2B0E"/>
    <w:rsid w:val="00FC2BA2"/>
    <w:rsid w:val="00FC2EFF"/>
    <w:rsid w:val="00FC2FE7"/>
    <w:rsid w:val="00FC301A"/>
    <w:rsid w:val="00FC314B"/>
    <w:rsid w:val="00FC3184"/>
    <w:rsid w:val="00FC31AF"/>
    <w:rsid w:val="00FC32EC"/>
    <w:rsid w:val="00FC331E"/>
    <w:rsid w:val="00FC353A"/>
    <w:rsid w:val="00FC35F8"/>
    <w:rsid w:val="00FC3605"/>
    <w:rsid w:val="00FC363E"/>
    <w:rsid w:val="00FC383F"/>
    <w:rsid w:val="00FC3895"/>
    <w:rsid w:val="00FC3926"/>
    <w:rsid w:val="00FC3A2E"/>
    <w:rsid w:val="00FC3B10"/>
    <w:rsid w:val="00FC3E56"/>
    <w:rsid w:val="00FC3F67"/>
    <w:rsid w:val="00FC4012"/>
    <w:rsid w:val="00FC40C9"/>
    <w:rsid w:val="00FC4592"/>
    <w:rsid w:val="00FC46C4"/>
    <w:rsid w:val="00FC4734"/>
    <w:rsid w:val="00FC48AB"/>
    <w:rsid w:val="00FC491B"/>
    <w:rsid w:val="00FC4AF3"/>
    <w:rsid w:val="00FC4B26"/>
    <w:rsid w:val="00FC4B8C"/>
    <w:rsid w:val="00FC4C5C"/>
    <w:rsid w:val="00FC50A6"/>
    <w:rsid w:val="00FC50F7"/>
    <w:rsid w:val="00FC518D"/>
    <w:rsid w:val="00FC5201"/>
    <w:rsid w:val="00FC5338"/>
    <w:rsid w:val="00FC53A6"/>
    <w:rsid w:val="00FC5486"/>
    <w:rsid w:val="00FC54F5"/>
    <w:rsid w:val="00FC5515"/>
    <w:rsid w:val="00FC5772"/>
    <w:rsid w:val="00FC57E0"/>
    <w:rsid w:val="00FC5879"/>
    <w:rsid w:val="00FC5892"/>
    <w:rsid w:val="00FC5CDD"/>
    <w:rsid w:val="00FC5CE2"/>
    <w:rsid w:val="00FC5D36"/>
    <w:rsid w:val="00FC601F"/>
    <w:rsid w:val="00FC60F5"/>
    <w:rsid w:val="00FC649A"/>
    <w:rsid w:val="00FC64CF"/>
    <w:rsid w:val="00FC65DF"/>
    <w:rsid w:val="00FC6681"/>
    <w:rsid w:val="00FC6707"/>
    <w:rsid w:val="00FC6718"/>
    <w:rsid w:val="00FC677B"/>
    <w:rsid w:val="00FC6832"/>
    <w:rsid w:val="00FC6890"/>
    <w:rsid w:val="00FC69B8"/>
    <w:rsid w:val="00FC6A46"/>
    <w:rsid w:val="00FC6ADA"/>
    <w:rsid w:val="00FC6B9D"/>
    <w:rsid w:val="00FC6DA3"/>
    <w:rsid w:val="00FC7026"/>
    <w:rsid w:val="00FC708F"/>
    <w:rsid w:val="00FC7118"/>
    <w:rsid w:val="00FC7274"/>
    <w:rsid w:val="00FC73CA"/>
    <w:rsid w:val="00FC7448"/>
    <w:rsid w:val="00FC74DE"/>
    <w:rsid w:val="00FC7768"/>
    <w:rsid w:val="00FC797D"/>
    <w:rsid w:val="00FC79F5"/>
    <w:rsid w:val="00FC7AA0"/>
    <w:rsid w:val="00FC7B05"/>
    <w:rsid w:val="00FC7DD2"/>
    <w:rsid w:val="00FC7E5E"/>
    <w:rsid w:val="00FD0300"/>
    <w:rsid w:val="00FD0352"/>
    <w:rsid w:val="00FD041C"/>
    <w:rsid w:val="00FD051A"/>
    <w:rsid w:val="00FD0528"/>
    <w:rsid w:val="00FD05A6"/>
    <w:rsid w:val="00FD0674"/>
    <w:rsid w:val="00FD0742"/>
    <w:rsid w:val="00FD076C"/>
    <w:rsid w:val="00FD07CB"/>
    <w:rsid w:val="00FD0BC0"/>
    <w:rsid w:val="00FD0BE8"/>
    <w:rsid w:val="00FD0D29"/>
    <w:rsid w:val="00FD0E4B"/>
    <w:rsid w:val="00FD0F74"/>
    <w:rsid w:val="00FD0FE0"/>
    <w:rsid w:val="00FD104F"/>
    <w:rsid w:val="00FD11C2"/>
    <w:rsid w:val="00FD12EA"/>
    <w:rsid w:val="00FD132E"/>
    <w:rsid w:val="00FD1366"/>
    <w:rsid w:val="00FD1566"/>
    <w:rsid w:val="00FD1600"/>
    <w:rsid w:val="00FD1648"/>
    <w:rsid w:val="00FD1799"/>
    <w:rsid w:val="00FD1978"/>
    <w:rsid w:val="00FD1A61"/>
    <w:rsid w:val="00FD1B55"/>
    <w:rsid w:val="00FD1BBF"/>
    <w:rsid w:val="00FD1C1E"/>
    <w:rsid w:val="00FD1E1B"/>
    <w:rsid w:val="00FD1E3D"/>
    <w:rsid w:val="00FD1F50"/>
    <w:rsid w:val="00FD20BB"/>
    <w:rsid w:val="00FD21CA"/>
    <w:rsid w:val="00FD221E"/>
    <w:rsid w:val="00FD228D"/>
    <w:rsid w:val="00FD22A1"/>
    <w:rsid w:val="00FD2348"/>
    <w:rsid w:val="00FD2363"/>
    <w:rsid w:val="00FD2557"/>
    <w:rsid w:val="00FD25EE"/>
    <w:rsid w:val="00FD2615"/>
    <w:rsid w:val="00FD2947"/>
    <w:rsid w:val="00FD29AF"/>
    <w:rsid w:val="00FD2AA4"/>
    <w:rsid w:val="00FD2B57"/>
    <w:rsid w:val="00FD2C6E"/>
    <w:rsid w:val="00FD2CD4"/>
    <w:rsid w:val="00FD2CE1"/>
    <w:rsid w:val="00FD2E22"/>
    <w:rsid w:val="00FD2F57"/>
    <w:rsid w:val="00FD31EB"/>
    <w:rsid w:val="00FD327B"/>
    <w:rsid w:val="00FD32EE"/>
    <w:rsid w:val="00FD339B"/>
    <w:rsid w:val="00FD33AE"/>
    <w:rsid w:val="00FD3465"/>
    <w:rsid w:val="00FD348D"/>
    <w:rsid w:val="00FD34A3"/>
    <w:rsid w:val="00FD35A8"/>
    <w:rsid w:val="00FD35CC"/>
    <w:rsid w:val="00FD362E"/>
    <w:rsid w:val="00FD375A"/>
    <w:rsid w:val="00FD3C8E"/>
    <w:rsid w:val="00FD3CA6"/>
    <w:rsid w:val="00FD3D32"/>
    <w:rsid w:val="00FD3FB0"/>
    <w:rsid w:val="00FD3FB1"/>
    <w:rsid w:val="00FD4010"/>
    <w:rsid w:val="00FD4225"/>
    <w:rsid w:val="00FD42F3"/>
    <w:rsid w:val="00FD4366"/>
    <w:rsid w:val="00FD45F3"/>
    <w:rsid w:val="00FD4684"/>
    <w:rsid w:val="00FD46FD"/>
    <w:rsid w:val="00FD49CB"/>
    <w:rsid w:val="00FD4C51"/>
    <w:rsid w:val="00FD4C5F"/>
    <w:rsid w:val="00FD4DC4"/>
    <w:rsid w:val="00FD50DA"/>
    <w:rsid w:val="00FD50DB"/>
    <w:rsid w:val="00FD52B3"/>
    <w:rsid w:val="00FD54B9"/>
    <w:rsid w:val="00FD56E8"/>
    <w:rsid w:val="00FD5A3A"/>
    <w:rsid w:val="00FD5A94"/>
    <w:rsid w:val="00FD5BB2"/>
    <w:rsid w:val="00FD5C0E"/>
    <w:rsid w:val="00FD5D5A"/>
    <w:rsid w:val="00FD5F5D"/>
    <w:rsid w:val="00FD6106"/>
    <w:rsid w:val="00FD611C"/>
    <w:rsid w:val="00FD613B"/>
    <w:rsid w:val="00FD616A"/>
    <w:rsid w:val="00FD61A3"/>
    <w:rsid w:val="00FD6209"/>
    <w:rsid w:val="00FD64BA"/>
    <w:rsid w:val="00FD64F4"/>
    <w:rsid w:val="00FD659B"/>
    <w:rsid w:val="00FD65D3"/>
    <w:rsid w:val="00FD668B"/>
    <w:rsid w:val="00FD66AD"/>
    <w:rsid w:val="00FD66D1"/>
    <w:rsid w:val="00FD6710"/>
    <w:rsid w:val="00FD68A9"/>
    <w:rsid w:val="00FD6A09"/>
    <w:rsid w:val="00FD6C67"/>
    <w:rsid w:val="00FD6EE2"/>
    <w:rsid w:val="00FD71BD"/>
    <w:rsid w:val="00FD7310"/>
    <w:rsid w:val="00FD73D9"/>
    <w:rsid w:val="00FD7472"/>
    <w:rsid w:val="00FD7618"/>
    <w:rsid w:val="00FD7718"/>
    <w:rsid w:val="00FD7931"/>
    <w:rsid w:val="00FD7A99"/>
    <w:rsid w:val="00FD7C4F"/>
    <w:rsid w:val="00FD7F16"/>
    <w:rsid w:val="00FD7F42"/>
    <w:rsid w:val="00FE00CF"/>
    <w:rsid w:val="00FE0308"/>
    <w:rsid w:val="00FE03D8"/>
    <w:rsid w:val="00FE0499"/>
    <w:rsid w:val="00FE052F"/>
    <w:rsid w:val="00FE0616"/>
    <w:rsid w:val="00FE078B"/>
    <w:rsid w:val="00FE07A3"/>
    <w:rsid w:val="00FE0817"/>
    <w:rsid w:val="00FE0872"/>
    <w:rsid w:val="00FE0923"/>
    <w:rsid w:val="00FE0962"/>
    <w:rsid w:val="00FE0AAB"/>
    <w:rsid w:val="00FE101E"/>
    <w:rsid w:val="00FE11DC"/>
    <w:rsid w:val="00FE11EC"/>
    <w:rsid w:val="00FE11FD"/>
    <w:rsid w:val="00FE1424"/>
    <w:rsid w:val="00FE1791"/>
    <w:rsid w:val="00FE17DE"/>
    <w:rsid w:val="00FE18C1"/>
    <w:rsid w:val="00FE1A78"/>
    <w:rsid w:val="00FE1ADF"/>
    <w:rsid w:val="00FE1DDC"/>
    <w:rsid w:val="00FE2031"/>
    <w:rsid w:val="00FE2033"/>
    <w:rsid w:val="00FE2064"/>
    <w:rsid w:val="00FE2179"/>
    <w:rsid w:val="00FE2207"/>
    <w:rsid w:val="00FE2282"/>
    <w:rsid w:val="00FE22A8"/>
    <w:rsid w:val="00FE22A9"/>
    <w:rsid w:val="00FE2309"/>
    <w:rsid w:val="00FE2351"/>
    <w:rsid w:val="00FE27FB"/>
    <w:rsid w:val="00FE2854"/>
    <w:rsid w:val="00FE2A66"/>
    <w:rsid w:val="00FE2AD7"/>
    <w:rsid w:val="00FE2AF9"/>
    <w:rsid w:val="00FE2B30"/>
    <w:rsid w:val="00FE2BC6"/>
    <w:rsid w:val="00FE2C5D"/>
    <w:rsid w:val="00FE2F76"/>
    <w:rsid w:val="00FE3042"/>
    <w:rsid w:val="00FE3268"/>
    <w:rsid w:val="00FE333B"/>
    <w:rsid w:val="00FE3497"/>
    <w:rsid w:val="00FE34B0"/>
    <w:rsid w:val="00FE369F"/>
    <w:rsid w:val="00FE371C"/>
    <w:rsid w:val="00FE373F"/>
    <w:rsid w:val="00FE3887"/>
    <w:rsid w:val="00FE389E"/>
    <w:rsid w:val="00FE3AC8"/>
    <w:rsid w:val="00FE3B38"/>
    <w:rsid w:val="00FE3C0B"/>
    <w:rsid w:val="00FE3C26"/>
    <w:rsid w:val="00FE3CF4"/>
    <w:rsid w:val="00FE409D"/>
    <w:rsid w:val="00FE41A0"/>
    <w:rsid w:val="00FE41F4"/>
    <w:rsid w:val="00FE423C"/>
    <w:rsid w:val="00FE428B"/>
    <w:rsid w:val="00FE42FD"/>
    <w:rsid w:val="00FE4355"/>
    <w:rsid w:val="00FE438E"/>
    <w:rsid w:val="00FE439E"/>
    <w:rsid w:val="00FE43D8"/>
    <w:rsid w:val="00FE4421"/>
    <w:rsid w:val="00FE447B"/>
    <w:rsid w:val="00FE44E8"/>
    <w:rsid w:val="00FE4593"/>
    <w:rsid w:val="00FE45A3"/>
    <w:rsid w:val="00FE461A"/>
    <w:rsid w:val="00FE4642"/>
    <w:rsid w:val="00FE465D"/>
    <w:rsid w:val="00FE469D"/>
    <w:rsid w:val="00FE46B8"/>
    <w:rsid w:val="00FE483B"/>
    <w:rsid w:val="00FE4897"/>
    <w:rsid w:val="00FE4912"/>
    <w:rsid w:val="00FE4A86"/>
    <w:rsid w:val="00FE4BB7"/>
    <w:rsid w:val="00FE4D2C"/>
    <w:rsid w:val="00FE4DB5"/>
    <w:rsid w:val="00FE4E7D"/>
    <w:rsid w:val="00FE4F97"/>
    <w:rsid w:val="00FE5242"/>
    <w:rsid w:val="00FE530A"/>
    <w:rsid w:val="00FE54E1"/>
    <w:rsid w:val="00FE55E6"/>
    <w:rsid w:val="00FE55ED"/>
    <w:rsid w:val="00FE560B"/>
    <w:rsid w:val="00FE5742"/>
    <w:rsid w:val="00FE5760"/>
    <w:rsid w:val="00FE58D5"/>
    <w:rsid w:val="00FE59B1"/>
    <w:rsid w:val="00FE59D3"/>
    <w:rsid w:val="00FE5C0B"/>
    <w:rsid w:val="00FE5C12"/>
    <w:rsid w:val="00FE5CE4"/>
    <w:rsid w:val="00FE5DBE"/>
    <w:rsid w:val="00FE5E3E"/>
    <w:rsid w:val="00FE5EAC"/>
    <w:rsid w:val="00FE5F7C"/>
    <w:rsid w:val="00FE6018"/>
    <w:rsid w:val="00FE6213"/>
    <w:rsid w:val="00FE633C"/>
    <w:rsid w:val="00FE6348"/>
    <w:rsid w:val="00FE66C8"/>
    <w:rsid w:val="00FE66ED"/>
    <w:rsid w:val="00FE679A"/>
    <w:rsid w:val="00FE67EF"/>
    <w:rsid w:val="00FE6969"/>
    <w:rsid w:val="00FE69D6"/>
    <w:rsid w:val="00FE6A43"/>
    <w:rsid w:val="00FE6ABF"/>
    <w:rsid w:val="00FE6AEC"/>
    <w:rsid w:val="00FE6B7A"/>
    <w:rsid w:val="00FE6B88"/>
    <w:rsid w:val="00FE6C46"/>
    <w:rsid w:val="00FE6C67"/>
    <w:rsid w:val="00FE6CB0"/>
    <w:rsid w:val="00FE6E88"/>
    <w:rsid w:val="00FE6F6C"/>
    <w:rsid w:val="00FE6F9B"/>
    <w:rsid w:val="00FE713C"/>
    <w:rsid w:val="00FE714B"/>
    <w:rsid w:val="00FE716F"/>
    <w:rsid w:val="00FE723A"/>
    <w:rsid w:val="00FE728C"/>
    <w:rsid w:val="00FE7290"/>
    <w:rsid w:val="00FE73FA"/>
    <w:rsid w:val="00FE7570"/>
    <w:rsid w:val="00FE766A"/>
    <w:rsid w:val="00FE77AD"/>
    <w:rsid w:val="00FE785F"/>
    <w:rsid w:val="00FE78E5"/>
    <w:rsid w:val="00FE7D40"/>
    <w:rsid w:val="00FE7D9E"/>
    <w:rsid w:val="00FE7DDC"/>
    <w:rsid w:val="00FE7E8B"/>
    <w:rsid w:val="00FE7E99"/>
    <w:rsid w:val="00FE7F03"/>
    <w:rsid w:val="00FF0096"/>
    <w:rsid w:val="00FF0125"/>
    <w:rsid w:val="00FF0156"/>
    <w:rsid w:val="00FF01CD"/>
    <w:rsid w:val="00FF01F6"/>
    <w:rsid w:val="00FF02E3"/>
    <w:rsid w:val="00FF051F"/>
    <w:rsid w:val="00FF0677"/>
    <w:rsid w:val="00FF074B"/>
    <w:rsid w:val="00FF0916"/>
    <w:rsid w:val="00FF092A"/>
    <w:rsid w:val="00FF098E"/>
    <w:rsid w:val="00FF0992"/>
    <w:rsid w:val="00FF09F7"/>
    <w:rsid w:val="00FF0B1B"/>
    <w:rsid w:val="00FF0B9B"/>
    <w:rsid w:val="00FF0D88"/>
    <w:rsid w:val="00FF0EDD"/>
    <w:rsid w:val="00FF1029"/>
    <w:rsid w:val="00FF10B1"/>
    <w:rsid w:val="00FF11C8"/>
    <w:rsid w:val="00FF1263"/>
    <w:rsid w:val="00FF1270"/>
    <w:rsid w:val="00FF12AE"/>
    <w:rsid w:val="00FF14C2"/>
    <w:rsid w:val="00FF14E9"/>
    <w:rsid w:val="00FF1585"/>
    <w:rsid w:val="00FF1769"/>
    <w:rsid w:val="00FF1820"/>
    <w:rsid w:val="00FF1A30"/>
    <w:rsid w:val="00FF1A97"/>
    <w:rsid w:val="00FF1C21"/>
    <w:rsid w:val="00FF1CE0"/>
    <w:rsid w:val="00FF1DFF"/>
    <w:rsid w:val="00FF1EBB"/>
    <w:rsid w:val="00FF1F71"/>
    <w:rsid w:val="00FF1FED"/>
    <w:rsid w:val="00FF2048"/>
    <w:rsid w:val="00FF20EA"/>
    <w:rsid w:val="00FF21AA"/>
    <w:rsid w:val="00FF22DF"/>
    <w:rsid w:val="00FF2300"/>
    <w:rsid w:val="00FF25DB"/>
    <w:rsid w:val="00FF2673"/>
    <w:rsid w:val="00FF26CC"/>
    <w:rsid w:val="00FF26DA"/>
    <w:rsid w:val="00FF27D6"/>
    <w:rsid w:val="00FF2907"/>
    <w:rsid w:val="00FF29DF"/>
    <w:rsid w:val="00FF2A09"/>
    <w:rsid w:val="00FF2B64"/>
    <w:rsid w:val="00FF2F03"/>
    <w:rsid w:val="00FF2FE4"/>
    <w:rsid w:val="00FF303A"/>
    <w:rsid w:val="00FF30E9"/>
    <w:rsid w:val="00FF3119"/>
    <w:rsid w:val="00FF329E"/>
    <w:rsid w:val="00FF33D3"/>
    <w:rsid w:val="00FF33FE"/>
    <w:rsid w:val="00FF3519"/>
    <w:rsid w:val="00FF3575"/>
    <w:rsid w:val="00FF35EB"/>
    <w:rsid w:val="00FF39C8"/>
    <w:rsid w:val="00FF3A52"/>
    <w:rsid w:val="00FF3AC4"/>
    <w:rsid w:val="00FF3AFD"/>
    <w:rsid w:val="00FF3B93"/>
    <w:rsid w:val="00FF3BE7"/>
    <w:rsid w:val="00FF3BEB"/>
    <w:rsid w:val="00FF3C3E"/>
    <w:rsid w:val="00FF4069"/>
    <w:rsid w:val="00FF410C"/>
    <w:rsid w:val="00FF4325"/>
    <w:rsid w:val="00FF445B"/>
    <w:rsid w:val="00FF455B"/>
    <w:rsid w:val="00FF458B"/>
    <w:rsid w:val="00FF4639"/>
    <w:rsid w:val="00FF482C"/>
    <w:rsid w:val="00FF48BB"/>
    <w:rsid w:val="00FF4975"/>
    <w:rsid w:val="00FF4B87"/>
    <w:rsid w:val="00FF4C5D"/>
    <w:rsid w:val="00FF4ECA"/>
    <w:rsid w:val="00FF4FD3"/>
    <w:rsid w:val="00FF4FEA"/>
    <w:rsid w:val="00FF5037"/>
    <w:rsid w:val="00FF5084"/>
    <w:rsid w:val="00FF50CE"/>
    <w:rsid w:val="00FF51A6"/>
    <w:rsid w:val="00FF52E7"/>
    <w:rsid w:val="00FF53E1"/>
    <w:rsid w:val="00FF556B"/>
    <w:rsid w:val="00FF5644"/>
    <w:rsid w:val="00FF578B"/>
    <w:rsid w:val="00FF580A"/>
    <w:rsid w:val="00FF580D"/>
    <w:rsid w:val="00FF58D7"/>
    <w:rsid w:val="00FF5986"/>
    <w:rsid w:val="00FF5A4F"/>
    <w:rsid w:val="00FF5A6E"/>
    <w:rsid w:val="00FF5B53"/>
    <w:rsid w:val="00FF5D78"/>
    <w:rsid w:val="00FF5DCC"/>
    <w:rsid w:val="00FF5FD0"/>
    <w:rsid w:val="00FF602B"/>
    <w:rsid w:val="00FF6116"/>
    <w:rsid w:val="00FF634D"/>
    <w:rsid w:val="00FF642B"/>
    <w:rsid w:val="00FF6532"/>
    <w:rsid w:val="00FF6725"/>
    <w:rsid w:val="00FF674C"/>
    <w:rsid w:val="00FF67FD"/>
    <w:rsid w:val="00FF6C7D"/>
    <w:rsid w:val="00FF6D77"/>
    <w:rsid w:val="00FF6E61"/>
    <w:rsid w:val="00FF6F80"/>
    <w:rsid w:val="00FF716C"/>
    <w:rsid w:val="00FF7182"/>
    <w:rsid w:val="00FF718B"/>
    <w:rsid w:val="00FF7295"/>
    <w:rsid w:val="00FF7356"/>
    <w:rsid w:val="00FF748F"/>
    <w:rsid w:val="00FF75DB"/>
    <w:rsid w:val="00FF7727"/>
    <w:rsid w:val="00FF77CC"/>
    <w:rsid w:val="00FF7874"/>
    <w:rsid w:val="00FF7CCE"/>
    <w:rsid w:val="00FF7D84"/>
    <w:rsid w:val="00FF7E35"/>
    <w:rsid w:val="00FF7E5C"/>
    <w:rsid w:val="0287D9ED"/>
    <w:rsid w:val="043618E3"/>
    <w:rsid w:val="0ABAEBB6"/>
    <w:rsid w:val="0F11352B"/>
    <w:rsid w:val="0F95B9F9"/>
    <w:rsid w:val="1871430A"/>
    <w:rsid w:val="19CC1D4A"/>
    <w:rsid w:val="1B3C4372"/>
    <w:rsid w:val="1CE267A7"/>
    <w:rsid w:val="1FB719B4"/>
    <w:rsid w:val="28C645A2"/>
    <w:rsid w:val="2E7BFA36"/>
    <w:rsid w:val="32E7F1FE"/>
    <w:rsid w:val="372FE91B"/>
    <w:rsid w:val="386E4D8B"/>
    <w:rsid w:val="39ECF05D"/>
    <w:rsid w:val="3A1D4E6E"/>
    <w:rsid w:val="3DAE4CA9"/>
    <w:rsid w:val="403E73BA"/>
    <w:rsid w:val="416211BA"/>
    <w:rsid w:val="492C7A3F"/>
    <w:rsid w:val="49D68276"/>
    <w:rsid w:val="4B413B09"/>
    <w:rsid w:val="4FCF9AB8"/>
    <w:rsid w:val="507A057F"/>
    <w:rsid w:val="5E3C41F8"/>
    <w:rsid w:val="6C2EB54D"/>
    <w:rsid w:val="71F0BC59"/>
    <w:rsid w:val="73D04A56"/>
    <w:rsid w:val="775E7E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391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064"/>
    <w:pPr>
      <w:spacing w:before="240" w:after="240" w:line="240" w:lineRule="auto"/>
    </w:pPr>
    <w:rPr>
      <w:rFonts w:eastAsia="Times New Roman" w:cs="Times New Roman"/>
      <w:color w:val="000000" w:themeColor="text1"/>
      <w:szCs w:val="20"/>
      <w:lang w:eastAsia="en-AU"/>
    </w:rPr>
  </w:style>
  <w:style w:type="paragraph" w:styleId="Heading1">
    <w:name w:val="heading 1"/>
    <w:basedOn w:val="HeadingBase"/>
    <w:next w:val="Normal"/>
    <w:link w:val="Heading1Char"/>
    <w:uiPriority w:val="9"/>
    <w:qFormat/>
    <w:rsid w:val="00EB0064"/>
    <w:pPr>
      <w:spacing w:before="600" w:line="216" w:lineRule="auto"/>
      <w:outlineLvl w:val="0"/>
    </w:pPr>
    <w:rPr>
      <w:b/>
      <w:bCs w:val="0"/>
      <w:color w:val="3B455C" w:themeColor="accent1"/>
      <w:sz w:val="56"/>
    </w:rPr>
  </w:style>
  <w:style w:type="paragraph" w:styleId="Heading2">
    <w:name w:val="heading 2"/>
    <w:basedOn w:val="HeadingBase"/>
    <w:next w:val="Normal"/>
    <w:link w:val="Heading2Char"/>
    <w:qFormat/>
    <w:rsid w:val="00EB0064"/>
    <w:pPr>
      <w:spacing w:before="360" w:line="216" w:lineRule="auto"/>
      <w:outlineLvl w:val="1"/>
    </w:pPr>
    <w:rPr>
      <w:bCs w:val="0"/>
      <w:iCs/>
      <w:color w:val="616652" w:themeColor="accent2"/>
      <w:sz w:val="44"/>
      <w:szCs w:val="28"/>
    </w:rPr>
  </w:style>
  <w:style w:type="paragraph" w:styleId="Heading3">
    <w:name w:val="heading 3"/>
    <w:basedOn w:val="HeadingBase"/>
    <w:next w:val="Normal"/>
    <w:link w:val="Heading3Char"/>
    <w:qFormat/>
    <w:rsid w:val="00EB0064"/>
    <w:pPr>
      <w:spacing w:before="320" w:line="216" w:lineRule="auto"/>
      <w:outlineLvl w:val="2"/>
    </w:pPr>
    <w:rPr>
      <w:bCs w:val="0"/>
      <w:color w:val="3B455C" w:themeColor="accent1"/>
      <w:sz w:val="36"/>
      <w:szCs w:val="26"/>
    </w:rPr>
  </w:style>
  <w:style w:type="paragraph" w:styleId="Heading4">
    <w:name w:val="heading 4"/>
    <w:basedOn w:val="HeadingBase"/>
    <w:next w:val="Normal"/>
    <w:link w:val="Heading4Char"/>
    <w:qFormat/>
    <w:rsid w:val="00EB0064"/>
    <w:pPr>
      <w:spacing w:before="280" w:line="276" w:lineRule="auto"/>
      <w:outlineLvl w:val="3"/>
    </w:pPr>
    <w:rPr>
      <w:rFonts w:ascii="Calibri Light" w:hAnsi="Calibri Light"/>
      <w:b/>
      <w:bCs w:val="0"/>
      <w:sz w:val="28"/>
      <w:szCs w:val="26"/>
    </w:rPr>
  </w:style>
  <w:style w:type="paragraph" w:styleId="Heading5">
    <w:name w:val="heading 5"/>
    <w:basedOn w:val="HeadingBase"/>
    <w:next w:val="Normal"/>
    <w:link w:val="Heading5Char"/>
    <w:rsid w:val="00EB0064"/>
    <w:pPr>
      <w:spacing w:before="240" w:after="0" w:line="276" w:lineRule="auto"/>
      <w:outlineLvl w:val="4"/>
    </w:pPr>
    <w:rPr>
      <w:bCs w:val="0"/>
      <w:iCs/>
      <w:color w:val="3B455C" w:themeColor="accent1"/>
      <w:sz w:val="25"/>
    </w:rPr>
  </w:style>
  <w:style w:type="paragraph" w:styleId="Heading6">
    <w:name w:val="heading 6"/>
    <w:basedOn w:val="HeadingBase"/>
    <w:next w:val="Normal"/>
    <w:link w:val="Heading6Char"/>
    <w:rsid w:val="00EB0064"/>
    <w:pPr>
      <w:spacing w:before="240" w:after="0" w:line="276" w:lineRule="auto"/>
      <w:outlineLvl w:val="5"/>
    </w:pPr>
    <w:rPr>
      <w:rFonts w:ascii="Calibri Light" w:hAnsi="Calibri Light"/>
      <w:b/>
      <w:bCs w:val="0"/>
      <w:color w:val="616652" w:themeColor="accent2"/>
      <w:sz w:val="23"/>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0064"/>
    <w:rPr>
      <w:rFonts w:asciiTheme="majorHAnsi" w:eastAsia="Times New Roman" w:hAnsiTheme="majorHAnsi" w:cs="Arial"/>
      <w:b/>
      <w:color w:val="3B455C" w:themeColor="accent1"/>
      <w:kern w:val="32"/>
      <w:sz w:val="56"/>
      <w:szCs w:val="36"/>
      <w:lang w:eastAsia="en-AU"/>
    </w:rPr>
  </w:style>
  <w:style w:type="character" w:customStyle="1" w:styleId="Heading2Char">
    <w:name w:val="Heading 2 Char"/>
    <w:basedOn w:val="DefaultParagraphFont"/>
    <w:link w:val="Heading2"/>
    <w:rsid w:val="00EB0064"/>
    <w:rPr>
      <w:rFonts w:asciiTheme="majorHAnsi" w:eastAsia="Times New Roman" w:hAnsiTheme="majorHAnsi" w:cs="Arial"/>
      <w:iCs/>
      <w:color w:val="616652" w:themeColor="accent2"/>
      <w:kern w:val="32"/>
      <w:sz w:val="44"/>
      <w:szCs w:val="28"/>
      <w:lang w:eastAsia="en-AU"/>
    </w:rPr>
  </w:style>
  <w:style w:type="character" w:customStyle="1" w:styleId="Heading3Char">
    <w:name w:val="Heading 3 Char"/>
    <w:basedOn w:val="DefaultParagraphFont"/>
    <w:link w:val="Heading3"/>
    <w:rsid w:val="00EB0064"/>
    <w:rPr>
      <w:rFonts w:asciiTheme="majorHAnsi" w:eastAsia="Times New Roman" w:hAnsiTheme="majorHAnsi" w:cs="Arial"/>
      <w:color w:val="3B455C" w:themeColor="accent1"/>
      <w:kern w:val="32"/>
      <w:sz w:val="36"/>
      <w:szCs w:val="26"/>
      <w:lang w:eastAsia="en-AU"/>
    </w:rPr>
  </w:style>
  <w:style w:type="character" w:customStyle="1" w:styleId="Heading4Char">
    <w:name w:val="Heading 4 Char"/>
    <w:basedOn w:val="DefaultParagraphFont"/>
    <w:link w:val="Heading4"/>
    <w:rsid w:val="00EB0064"/>
    <w:rPr>
      <w:rFonts w:ascii="Calibri Light" w:eastAsia="Times New Roman" w:hAnsi="Calibri Light" w:cs="Arial"/>
      <w:b/>
      <w:color w:val="000000" w:themeColor="text1"/>
      <w:kern w:val="32"/>
      <w:sz w:val="28"/>
      <w:szCs w:val="26"/>
      <w:lang w:eastAsia="en-AU"/>
    </w:rPr>
  </w:style>
  <w:style w:type="character" w:customStyle="1" w:styleId="Heading5Char">
    <w:name w:val="Heading 5 Char"/>
    <w:basedOn w:val="DefaultParagraphFont"/>
    <w:link w:val="Heading5"/>
    <w:rsid w:val="00EB0064"/>
    <w:rPr>
      <w:rFonts w:asciiTheme="majorHAnsi" w:eastAsia="Times New Roman" w:hAnsiTheme="majorHAnsi" w:cs="Arial"/>
      <w:iCs/>
      <w:color w:val="3B455C" w:themeColor="accent1"/>
      <w:kern w:val="32"/>
      <w:sz w:val="25"/>
      <w:szCs w:val="36"/>
      <w:lang w:eastAsia="en-AU"/>
    </w:rPr>
  </w:style>
  <w:style w:type="character" w:customStyle="1" w:styleId="Heading6Char">
    <w:name w:val="Heading 6 Char"/>
    <w:basedOn w:val="DefaultParagraphFont"/>
    <w:link w:val="Heading6"/>
    <w:rsid w:val="00EB0064"/>
    <w:rPr>
      <w:rFonts w:ascii="Calibri Light" w:eastAsia="Times New Roman" w:hAnsi="Calibri Light" w:cs="Arial"/>
      <w:b/>
      <w:color w:val="616652" w:themeColor="accent2"/>
      <w:kern w:val="32"/>
      <w:sz w:val="23"/>
      <w:lang w:eastAsia="en-AU"/>
    </w:rPr>
  </w:style>
  <w:style w:type="paragraph" w:customStyle="1" w:styleId="ChartGraphic">
    <w:name w:val="Chart Graphic"/>
    <w:basedOn w:val="Normal"/>
    <w:next w:val="Normal"/>
    <w:rsid w:val="00EB0064"/>
    <w:pPr>
      <w:keepNext/>
      <w:spacing w:before="0" w:after="0"/>
      <w:jc w:val="center"/>
    </w:pPr>
    <w:rPr>
      <w:color w:val="3B455C" w:themeColor="accent1"/>
      <w:sz w:val="20"/>
    </w:rPr>
  </w:style>
  <w:style w:type="paragraph" w:customStyle="1" w:styleId="AlphaParagraph">
    <w:name w:val="Alpha Paragraph"/>
    <w:basedOn w:val="Normal"/>
    <w:qFormat/>
    <w:rsid w:val="00EB0064"/>
    <w:pPr>
      <w:numPr>
        <w:ilvl w:val="1"/>
        <w:numId w:val="5"/>
      </w:numPr>
      <w:spacing w:before="0"/>
    </w:pPr>
  </w:style>
  <w:style w:type="character" w:customStyle="1" w:styleId="DashChar">
    <w:name w:val="Dash Char"/>
    <w:basedOn w:val="DefaultParagraphFont"/>
    <w:link w:val="Dash"/>
    <w:locked/>
    <w:rsid w:val="00EB0064"/>
    <w:rPr>
      <w:rFonts w:eastAsia="Times New Roman" w:cs="Times New Roman"/>
      <w:color w:val="000000" w:themeColor="text1"/>
      <w:szCs w:val="20"/>
      <w:lang w:eastAsia="en-AU"/>
    </w:rPr>
  </w:style>
  <w:style w:type="character" w:customStyle="1" w:styleId="DoubleDotChar">
    <w:name w:val="Double Dot Char"/>
    <w:basedOn w:val="DefaultParagraphFont"/>
    <w:link w:val="DoubleDot"/>
    <w:locked/>
    <w:rsid w:val="00EB0064"/>
    <w:rPr>
      <w:rFonts w:eastAsia="Times New Roman" w:cs="Times New Roman"/>
      <w:color w:val="000000" w:themeColor="text1"/>
      <w:szCs w:val="20"/>
      <w:lang w:eastAsia="en-AU"/>
    </w:rPr>
  </w:style>
  <w:style w:type="character" w:customStyle="1" w:styleId="BulletChar">
    <w:name w:val="Bullet Char"/>
    <w:aliases w:val="b Char,b + line Char Char,b Char Char,b1 Char,b + line Char,Body Char,level 1 Char,Bullet + line Char,Number Char,Recommendation Char,Bulleted Para Char,List Paragraph2 Char,Bullets Char,L Char,List Paragraph1 Char,List Paragraph Char"/>
    <w:basedOn w:val="DefaultParagraphFont"/>
    <w:link w:val="Bullet"/>
    <w:locked/>
    <w:rsid w:val="00EB0064"/>
    <w:rPr>
      <w:rFonts w:eastAsia="Times New Roman" w:cs="Times New Roman"/>
      <w:color w:val="000000" w:themeColor="text1"/>
      <w:szCs w:val="20"/>
      <w:lang w:eastAsia="en-AU"/>
    </w:rPr>
  </w:style>
  <w:style w:type="paragraph" w:customStyle="1" w:styleId="BoxHeading">
    <w:name w:val="Box Heading"/>
    <w:basedOn w:val="Normal"/>
    <w:next w:val="Normal"/>
    <w:rsid w:val="00EB0064"/>
    <w:pPr>
      <w:keepNext/>
      <w:spacing w:before="120"/>
    </w:pPr>
    <w:rPr>
      <w:b/>
      <w:sz w:val="26"/>
      <w:szCs w:val="26"/>
    </w:rPr>
  </w:style>
  <w:style w:type="paragraph" w:customStyle="1" w:styleId="BoxText">
    <w:name w:val="Box Text"/>
    <w:basedOn w:val="Normal"/>
    <w:link w:val="BoxTextChar"/>
    <w:qFormat/>
    <w:rsid w:val="00EB0064"/>
    <w:pPr>
      <w:spacing w:before="120" w:after="120"/>
    </w:pPr>
    <w:rPr>
      <w:sz w:val="20"/>
    </w:rPr>
  </w:style>
  <w:style w:type="paragraph" w:customStyle="1" w:styleId="Bullet">
    <w:name w:val="Bullet"/>
    <w:aliases w:val="b,b + line,b1,Body,level 1,Bullet + line,BodyNum,bulleted,Bullet Char1,Bullet Char1 Char Char Char Char,b1 Char Char Char,Bullet Char1 Char Char Char Char Char,Bullet Char1 Char Char Char,CG-Bullet"/>
    <w:basedOn w:val="Normal"/>
    <w:link w:val="BulletChar"/>
    <w:qFormat/>
    <w:rsid w:val="00EB0064"/>
    <w:pPr>
      <w:numPr>
        <w:numId w:val="15"/>
      </w:numPr>
      <w:spacing w:before="120" w:after="60"/>
    </w:pPr>
  </w:style>
  <w:style w:type="paragraph" w:customStyle="1" w:styleId="ChartandTableFootnoteAlpha">
    <w:name w:val="Chart and Table Footnote Alpha"/>
    <w:rsid w:val="00EB0064"/>
    <w:pPr>
      <w:numPr>
        <w:numId w:val="6"/>
      </w:numPr>
      <w:spacing w:before="40" w:after="40" w:line="240" w:lineRule="auto"/>
      <w:contextualSpacing/>
      <w:jc w:val="both"/>
    </w:pPr>
    <w:rPr>
      <w:rFonts w:ascii="Calibri" w:eastAsia="Times New Roman" w:hAnsi="Calibri" w:cs="Times New Roman"/>
      <w:color w:val="000000"/>
      <w:sz w:val="18"/>
      <w:szCs w:val="16"/>
      <w:lang w:eastAsia="en-AU"/>
    </w:rPr>
  </w:style>
  <w:style w:type="paragraph" w:customStyle="1" w:styleId="ChartMainHeadingnonumbering">
    <w:name w:val="Chart Main Heading (no numbering)"/>
    <w:basedOn w:val="ChartMainHeading"/>
    <w:qFormat/>
    <w:rsid w:val="00EB0064"/>
    <w:pPr>
      <w:numPr>
        <w:ilvl w:val="0"/>
        <w:numId w:val="0"/>
      </w:numPr>
    </w:pPr>
  </w:style>
  <w:style w:type="paragraph" w:customStyle="1" w:styleId="ChartorTableNoteandSource">
    <w:name w:val="Chart or Table Note and Source"/>
    <w:basedOn w:val="Normal"/>
    <w:next w:val="Normal"/>
    <w:qFormat/>
    <w:rsid w:val="00EB0064"/>
    <w:pPr>
      <w:spacing w:before="40" w:after="40" w:line="216" w:lineRule="auto"/>
      <w:ind w:left="746" w:hanging="746"/>
    </w:pPr>
    <w:rPr>
      <w:rFonts w:ascii="Calibri" w:hAnsi="Calibri"/>
      <w:color w:val="000000"/>
      <w:sz w:val="18"/>
    </w:rPr>
  </w:style>
  <w:style w:type="paragraph" w:customStyle="1" w:styleId="ChartSecondHeading">
    <w:name w:val="Chart Second Heading"/>
    <w:basedOn w:val="TableSecondHeading"/>
    <w:next w:val="ChartGraphic"/>
    <w:rsid w:val="00EB0064"/>
    <w:rPr>
      <w:bCs/>
    </w:rPr>
  </w:style>
  <w:style w:type="paragraph" w:customStyle="1" w:styleId="ReportDate">
    <w:name w:val="Report Date"/>
    <w:basedOn w:val="Normal"/>
    <w:link w:val="ReportDateChar"/>
    <w:rsid w:val="00EB0064"/>
    <w:pPr>
      <w:keepNext/>
      <w:spacing w:before="0" w:after="360"/>
    </w:pPr>
    <w:rPr>
      <w:color w:val="FFFFFF" w:themeColor="background1"/>
      <w:sz w:val="32"/>
    </w:rPr>
  </w:style>
  <w:style w:type="paragraph" w:customStyle="1" w:styleId="Dash">
    <w:name w:val="Dash"/>
    <w:basedOn w:val="Normal"/>
    <w:link w:val="DashChar"/>
    <w:qFormat/>
    <w:rsid w:val="00EB0064"/>
    <w:pPr>
      <w:numPr>
        <w:ilvl w:val="1"/>
        <w:numId w:val="15"/>
      </w:numPr>
      <w:spacing w:before="120" w:after="60"/>
    </w:pPr>
  </w:style>
  <w:style w:type="paragraph" w:customStyle="1" w:styleId="DoubleDot">
    <w:name w:val="Double Dot"/>
    <w:basedOn w:val="Normal"/>
    <w:link w:val="DoubleDotChar"/>
    <w:qFormat/>
    <w:rsid w:val="00EB0064"/>
    <w:pPr>
      <w:numPr>
        <w:ilvl w:val="2"/>
        <w:numId w:val="15"/>
      </w:numPr>
      <w:spacing w:before="120" w:after="60"/>
    </w:pPr>
  </w:style>
  <w:style w:type="paragraph" w:customStyle="1" w:styleId="TableMainHeadingnonumbering">
    <w:name w:val="Table Main Heading (no numbering)"/>
    <w:basedOn w:val="TableMainHeading"/>
    <w:qFormat/>
    <w:rsid w:val="00EB0064"/>
    <w:pPr>
      <w:numPr>
        <w:ilvl w:val="0"/>
        <w:numId w:val="0"/>
      </w:numPr>
    </w:pPr>
  </w:style>
  <w:style w:type="paragraph" w:customStyle="1" w:styleId="FooterEven">
    <w:name w:val="Footer Even"/>
    <w:basedOn w:val="Footer"/>
    <w:rsid w:val="00EB0064"/>
    <w:pPr>
      <w:keepNext/>
      <w:tabs>
        <w:tab w:val="clear" w:pos="4513"/>
        <w:tab w:val="clear" w:pos="9026"/>
        <w:tab w:val="right" w:pos="9072"/>
      </w:tabs>
      <w:jc w:val="left"/>
    </w:pPr>
    <w:rPr>
      <w:noProof/>
      <w:color w:val="auto"/>
    </w:rPr>
  </w:style>
  <w:style w:type="paragraph" w:customStyle="1" w:styleId="FooterOdd">
    <w:name w:val="Footer Odd"/>
    <w:basedOn w:val="Footer"/>
    <w:rsid w:val="00EB0064"/>
    <w:pPr>
      <w:keepNext/>
      <w:tabs>
        <w:tab w:val="clear" w:pos="4513"/>
        <w:tab w:val="clear" w:pos="9026"/>
        <w:tab w:val="right" w:pos="10206"/>
      </w:tabs>
      <w:ind w:left="720" w:hanging="720"/>
      <w:jc w:val="right"/>
    </w:pPr>
    <w:rPr>
      <w:color w:val="auto"/>
    </w:rPr>
  </w:style>
  <w:style w:type="character" w:styleId="Hyperlink">
    <w:name w:val="Hyperlink"/>
    <w:basedOn w:val="DefaultParagraphFont"/>
    <w:uiPriority w:val="99"/>
    <w:rsid w:val="00EB0064"/>
    <w:rPr>
      <w:color w:val="3A6FAF"/>
      <w:u w:val="none"/>
    </w:rPr>
  </w:style>
  <w:style w:type="paragraph" w:customStyle="1" w:styleId="OutlineNumbered1">
    <w:name w:val="Outline Numbered 1"/>
    <w:basedOn w:val="Normal"/>
    <w:link w:val="OutlineNumbered1Char"/>
    <w:rsid w:val="00EB0064"/>
    <w:pPr>
      <w:numPr>
        <w:numId w:val="18"/>
      </w:numPr>
    </w:pPr>
  </w:style>
  <w:style w:type="paragraph" w:customStyle="1" w:styleId="OutlineNumbered211">
    <w:name w:val="Outline Numbered 2 (1.1)"/>
    <w:basedOn w:val="Normal"/>
    <w:rsid w:val="00EB0064"/>
    <w:pPr>
      <w:numPr>
        <w:ilvl w:val="1"/>
        <w:numId w:val="18"/>
      </w:numPr>
    </w:pPr>
  </w:style>
  <w:style w:type="paragraph" w:customStyle="1" w:styleId="OutlineNumbered3111">
    <w:name w:val="Outline Numbered 3 (1.1.1)"/>
    <w:basedOn w:val="BoxtextNumbered3111"/>
    <w:rsid w:val="00EB0064"/>
    <w:pPr>
      <w:ind w:left="284" w:hanging="284"/>
    </w:pPr>
    <w:rPr>
      <w:sz w:val="22"/>
      <w:szCs w:val="22"/>
    </w:rPr>
  </w:style>
  <w:style w:type="paragraph" w:customStyle="1" w:styleId="SingleParagraph">
    <w:name w:val="Single Paragraph"/>
    <w:basedOn w:val="Normal"/>
    <w:link w:val="SingleParagraphChar"/>
    <w:rsid w:val="00EB0064"/>
    <w:pPr>
      <w:spacing w:before="0" w:after="0"/>
    </w:pPr>
  </w:style>
  <w:style w:type="paragraph" w:customStyle="1" w:styleId="TableSecondHeading">
    <w:name w:val="Table Second Heading"/>
    <w:basedOn w:val="Normal"/>
    <w:next w:val="Normal"/>
    <w:rsid w:val="00EB0064"/>
    <w:pPr>
      <w:keepNext/>
      <w:spacing w:before="60" w:after="60"/>
    </w:pPr>
    <w:rPr>
      <w:b/>
      <w:color w:val="616652" w:themeColor="accent2"/>
      <w:sz w:val="23"/>
    </w:rPr>
  </w:style>
  <w:style w:type="paragraph" w:customStyle="1" w:styleId="TableColumnHeadingCentred">
    <w:name w:val="Table Column Heading Centred"/>
    <w:basedOn w:val="TableTextLeft"/>
    <w:rsid w:val="00EB0064"/>
    <w:pPr>
      <w:jc w:val="center"/>
    </w:pPr>
    <w:rPr>
      <w:b/>
      <w:sz w:val="20"/>
    </w:rPr>
  </w:style>
  <w:style w:type="paragraph" w:customStyle="1" w:styleId="TableColumnHeadingLeft">
    <w:name w:val="Table Column Heading Left"/>
    <w:basedOn w:val="TableTextLeft"/>
    <w:rsid w:val="00EB0064"/>
    <w:rPr>
      <w:b/>
      <w:sz w:val="20"/>
    </w:rPr>
  </w:style>
  <w:style w:type="paragraph" w:customStyle="1" w:styleId="TableColumnHeadingRight">
    <w:name w:val="Table Column Heading Right"/>
    <w:basedOn w:val="TableTextLeft"/>
    <w:rsid w:val="00EB0064"/>
    <w:pPr>
      <w:jc w:val="right"/>
    </w:pPr>
    <w:rPr>
      <w:b/>
      <w:sz w:val="20"/>
    </w:rPr>
  </w:style>
  <w:style w:type="table" w:styleId="TableGrid">
    <w:name w:val="Table Grid"/>
    <w:basedOn w:val="TableNormal"/>
    <w:uiPriority w:val="59"/>
    <w:rsid w:val="00EB0064"/>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3B455C" w:themeColor="accent1"/>
        <w:sz w:val="20"/>
      </w:rPr>
      <w:tblPr/>
      <w:tcPr>
        <w:shd w:val="clear" w:color="auto" w:fill="F2E3C7" w:themeFill="background2"/>
      </w:tcPr>
    </w:tblStylePr>
  </w:style>
  <w:style w:type="paragraph" w:customStyle="1" w:styleId="TableTextCentered">
    <w:name w:val="Table Text Centered"/>
    <w:basedOn w:val="TableTextRight"/>
    <w:rsid w:val="00EB0064"/>
    <w:pPr>
      <w:jc w:val="center"/>
    </w:pPr>
    <w:rPr>
      <w:color w:val="auto"/>
    </w:rPr>
  </w:style>
  <w:style w:type="paragraph" w:customStyle="1" w:styleId="TableTextLeft">
    <w:name w:val="Table Text Left"/>
    <w:basedOn w:val="TableTextRight"/>
    <w:link w:val="TableTextLeftChar"/>
    <w:rsid w:val="00EB0064"/>
    <w:pPr>
      <w:jc w:val="left"/>
    </w:pPr>
    <w:rPr>
      <w:color w:val="auto"/>
    </w:rPr>
  </w:style>
  <w:style w:type="paragraph" w:customStyle="1" w:styleId="TableTextRight">
    <w:name w:val="Table Text Right"/>
    <w:basedOn w:val="Normal"/>
    <w:rsid w:val="00EB0064"/>
    <w:pPr>
      <w:spacing w:before="40" w:after="40"/>
      <w:jc w:val="right"/>
    </w:pPr>
    <w:rPr>
      <w:sz w:val="18"/>
    </w:rPr>
  </w:style>
  <w:style w:type="paragraph" w:styleId="TOC1">
    <w:name w:val="toc 1"/>
    <w:basedOn w:val="Normal"/>
    <w:next w:val="Normal"/>
    <w:uiPriority w:val="39"/>
    <w:rsid w:val="00EB0064"/>
    <w:pPr>
      <w:keepNext/>
      <w:tabs>
        <w:tab w:val="right" w:leader="dot" w:pos="9072"/>
      </w:tabs>
      <w:spacing w:before="180" w:after="0"/>
      <w:ind w:right="-2"/>
    </w:pPr>
    <w:rPr>
      <w:b/>
      <w:noProof/>
      <w:sz w:val="24"/>
      <w:szCs w:val="22"/>
    </w:rPr>
  </w:style>
  <w:style w:type="paragraph" w:styleId="TOC2">
    <w:name w:val="toc 2"/>
    <w:basedOn w:val="Normal"/>
    <w:next w:val="Normal"/>
    <w:uiPriority w:val="39"/>
    <w:rsid w:val="00EB0064"/>
    <w:pPr>
      <w:keepNext/>
      <w:tabs>
        <w:tab w:val="right" w:leader="dot" w:pos="9072"/>
      </w:tabs>
      <w:spacing w:before="40" w:after="20"/>
      <w:ind w:right="-2"/>
    </w:pPr>
    <w:rPr>
      <w:noProof/>
      <w:color w:val="595959" w:themeColor="text2"/>
    </w:rPr>
  </w:style>
  <w:style w:type="paragraph" w:styleId="TOC3">
    <w:name w:val="toc 3"/>
    <w:basedOn w:val="Normal"/>
    <w:next w:val="Normal"/>
    <w:uiPriority w:val="39"/>
    <w:rsid w:val="00EB0064"/>
    <w:pPr>
      <w:tabs>
        <w:tab w:val="right" w:leader="dot" w:pos="9072"/>
      </w:tabs>
      <w:spacing w:before="20" w:after="0"/>
      <w:ind w:left="284" w:right="-2"/>
    </w:pPr>
    <w:rPr>
      <w:rFonts w:cs="Calibri"/>
      <w:noProof/>
    </w:rPr>
  </w:style>
  <w:style w:type="numbering" w:customStyle="1" w:styleId="OutlineList">
    <w:name w:val="OutlineList"/>
    <w:uiPriority w:val="99"/>
    <w:rsid w:val="00EB0064"/>
    <w:pPr>
      <w:numPr>
        <w:numId w:val="4"/>
      </w:numPr>
    </w:pPr>
  </w:style>
  <w:style w:type="numbering" w:customStyle="1" w:styleId="BulletedList">
    <w:name w:val="Bulleted List"/>
    <w:uiPriority w:val="99"/>
    <w:rsid w:val="00EB0064"/>
    <w:pPr>
      <w:numPr>
        <w:numId w:val="1"/>
      </w:numPr>
    </w:pPr>
  </w:style>
  <w:style w:type="numbering" w:customStyle="1" w:styleId="BoxBulletedList">
    <w:name w:val="Box Bulleted List"/>
    <w:uiPriority w:val="99"/>
    <w:rsid w:val="00EB0064"/>
    <w:pPr>
      <w:numPr>
        <w:numId w:val="2"/>
      </w:numPr>
    </w:pPr>
  </w:style>
  <w:style w:type="numbering" w:customStyle="1" w:styleId="OneLevelList">
    <w:name w:val="OneLevelList"/>
    <w:uiPriority w:val="99"/>
    <w:rsid w:val="00EB0064"/>
    <w:pPr>
      <w:numPr>
        <w:numId w:val="3"/>
      </w:numPr>
    </w:pPr>
  </w:style>
  <w:style w:type="numbering" w:customStyle="1" w:styleId="ChartandTableFootnoteAlphaList">
    <w:name w:val="ChartandTableFootnoteAlphaList"/>
    <w:uiPriority w:val="99"/>
    <w:rsid w:val="00EB0064"/>
    <w:pPr>
      <w:numPr>
        <w:numId w:val="6"/>
      </w:numPr>
    </w:pPr>
  </w:style>
  <w:style w:type="paragraph" w:customStyle="1" w:styleId="Heading1Numbered">
    <w:name w:val="Heading 1 Numbered"/>
    <w:basedOn w:val="Heading1"/>
    <w:next w:val="Normal"/>
    <w:qFormat/>
    <w:rsid w:val="00EB0064"/>
    <w:pPr>
      <w:numPr>
        <w:numId w:val="17"/>
      </w:numPr>
    </w:pPr>
  </w:style>
  <w:style w:type="character" w:customStyle="1" w:styleId="SingleParagraphChar">
    <w:name w:val="Single Paragraph Char"/>
    <w:basedOn w:val="DefaultParagraphFont"/>
    <w:link w:val="SingleParagraph"/>
    <w:rsid w:val="00EB0064"/>
    <w:rPr>
      <w:rFonts w:eastAsia="Times New Roman" w:cs="Times New Roman"/>
      <w:color w:val="000000" w:themeColor="text1"/>
      <w:szCs w:val="20"/>
      <w:lang w:eastAsia="en-AU"/>
    </w:rPr>
  </w:style>
  <w:style w:type="paragraph" w:customStyle="1" w:styleId="Heading2Numbered">
    <w:name w:val="Heading 2 Numbered"/>
    <w:basedOn w:val="Heading2"/>
    <w:next w:val="Normal"/>
    <w:qFormat/>
    <w:rsid w:val="00EB0064"/>
    <w:pPr>
      <w:numPr>
        <w:ilvl w:val="1"/>
        <w:numId w:val="17"/>
      </w:numPr>
    </w:pPr>
  </w:style>
  <w:style w:type="paragraph" w:customStyle="1" w:styleId="Heading3Numbered">
    <w:name w:val="Heading 3 Numbered"/>
    <w:basedOn w:val="Heading3"/>
    <w:qFormat/>
    <w:rsid w:val="00EB0064"/>
    <w:pPr>
      <w:numPr>
        <w:ilvl w:val="2"/>
        <w:numId w:val="17"/>
      </w:numPr>
    </w:pPr>
  </w:style>
  <w:style w:type="paragraph" w:styleId="Title">
    <w:name w:val="Title"/>
    <w:basedOn w:val="Normal"/>
    <w:next w:val="Normal"/>
    <w:link w:val="TitleChar"/>
    <w:uiPriority w:val="10"/>
    <w:rsid w:val="00EB0064"/>
    <w:pPr>
      <w:spacing w:before="0" w:after="300" w:line="192" w:lineRule="auto"/>
      <w:contextualSpacing/>
    </w:pPr>
    <w:rPr>
      <w:rFonts w:asciiTheme="majorHAnsi" w:eastAsiaTheme="majorEastAsia" w:hAnsiTheme="majorHAnsi" w:cstheme="majorBidi"/>
      <w:b/>
      <w:color w:val="FFFFFF" w:themeColor="background1"/>
      <w:spacing w:val="5"/>
      <w:kern w:val="28"/>
      <w:sz w:val="80"/>
      <w:szCs w:val="52"/>
    </w:rPr>
  </w:style>
  <w:style w:type="character" w:customStyle="1" w:styleId="TitleChar">
    <w:name w:val="Title Char"/>
    <w:basedOn w:val="DefaultParagraphFont"/>
    <w:link w:val="Title"/>
    <w:uiPriority w:val="10"/>
    <w:rsid w:val="00EB0064"/>
    <w:rPr>
      <w:rFonts w:asciiTheme="majorHAnsi" w:eastAsiaTheme="majorEastAsia" w:hAnsiTheme="majorHAnsi" w:cstheme="majorBidi"/>
      <w:b/>
      <w:color w:val="FFFFFF" w:themeColor="background1"/>
      <w:spacing w:val="5"/>
      <w:kern w:val="28"/>
      <w:sz w:val="80"/>
      <w:szCs w:val="52"/>
      <w:lang w:eastAsia="en-AU"/>
    </w:rPr>
  </w:style>
  <w:style w:type="paragraph" w:styleId="Subtitle">
    <w:name w:val="Subtitle"/>
    <w:basedOn w:val="Normal"/>
    <w:next w:val="Normal"/>
    <w:link w:val="SubtitleChar"/>
    <w:uiPriority w:val="11"/>
    <w:rsid w:val="00EB0064"/>
    <w:pPr>
      <w:numPr>
        <w:ilvl w:val="1"/>
      </w:numPr>
      <w:spacing w:after="360"/>
    </w:pPr>
    <w:rPr>
      <w:rFonts w:asciiTheme="majorHAnsi" w:eastAsiaTheme="majorEastAsia" w:hAnsiTheme="majorHAnsi" w:cstheme="majorBidi"/>
      <w:iCs/>
      <w:color w:val="BAD4E8" w:themeColor="accent5"/>
      <w:sz w:val="60"/>
      <w:szCs w:val="44"/>
    </w:rPr>
  </w:style>
  <w:style w:type="character" w:customStyle="1" w:styleId="SubtitleChar">
    <w:name w:val="Subtitle Char"/>
    <w:basedOn w:val="DefaultParagraphFont"/>
    <w:link w:val="Subtitle"/>
    <w:uiPriority w:val="11"/>
    <w:rsid w:val="00EB0064"/>
    <w:rPr>
      <w:rFonts w:asciiTheme="majorHAnsi" w:eastAsiaTheme="majorEastAsia" w:hAnsiTheme="majorHAnsi" w:cstheme="majorBidi"/>
      <w:iCs/>
      <w:color w:val="BAD4E8" w:themeColor="accent5"/>
      <w:sz w:val="60"/>
      <w:szCs w:val="44"/>
      <w:lang w:eastAsia="en-AU"/>
    </w:rPr>
  </w:style>
  <w:style w:type="character" w:styleId="SubtleEmphasis">
    <w:name w:val="Subtle Emphasis"/>
    <w:basedOn w:val="DefaultParagraphFont"/>
    <w:uiPriority w:val="19"/>
    <w:rsid w:val="00EB0064"/>
    <w:rPr>
      <w:i/>
      <w:iCs/>
      <w:color w:val="808080" w:themeColor="text1" w:themeTint="7F"/>
    </w:rPr>
  </w:style>
  <w:style w:type="paragraph" w:styleId="Footer">
    <w:name w:val="footer"/>
    <w:basedOn w:val="Normal"/>
    <w:link w:val="FooterChar"/>
    <w:unhideWhenUsed/>
    <w:rsid w:val="00EB0064"/>
    <w:pPr>
      <w:tabs>
        <w:tab w:val="center" w:pos="4513"/>
        <w:tab w:val="right" w:pos="9026"/>
      </w:tabs>
      <w:spacing w:before="0" w:after="0"/>
      <w:jc w:val="center"/>
    </w:pPr>
    <w:rPr>
      <w:sz w:val="20"/>
    </w:rPr>
  </w:style>
  <w:style w:type="character" w:customStyle="1" w:styleId="FooterChar">
    <w:name w:val="Footer Char"/>
    <w:basedOn w:val="DefaultParagraphFont"/>
    <w:link w:val="Footer"/>
    <w:rsid w:val="00EB0064"/>
    <w:rPr>
      <w:rFonts w:eastAsia="Times New Roman" w:cs="Times New Roman"/>
      <w:color w:val="000000" w:themeColor="text1"/>
      <w:sz w:val="20"/>
      <w:szCs w:val="20"/>
      <w:lang w:eastAsia="en-AU"/>
    </w:rPr>
  </w:style>
  <w:style w:type="paragraph" w:styleId="Header">
    <w:name w:val="header"/>
    <w:basedOn w:val="Normal"/>
    <w:link w:val="HeaderChar"/>
    <w:uiPriority w:val="99"/>
    <w:unhideWhenUsed/>
    <w:rsid w:val="00EB0064"/>
    <w:pPr>
      <w:keepNext/>
      <w:spacing w:before="0" w:after="0"/>
      <w:jc w:val="right"/>
    </w:pPr>
    <w:rPr>
      <w:color w:val="auto"/>
      <w:sz w:val="20"/>
    </w:rPr>
  </w:style>
  <w:style w:type="character" w:customStyle="1" w:styleId="HeaderChar">
    <w:name w:val="Header Char"/>
    <w:basedOn w:val="DefaultParagraphFont"/>
    <w:link w:val="Header"/>
    <w:uiPriority w:val="99"/>
    <w:rsid w:val="00EB0064"/>
    <w:rPr>
      <w:rFonts w:eastAsia="Times New Roman" w:cs="Times New Roman"/>
      <w:sz w:val="20"/>
      <w:szCs w:val="20"/>
      <w:lang w:eastAsia="en-AU"/>
    </w:rPr>
  </w:style>
  <w:style w:type="character" w:styleId="PlaceholderText">
    <w:name w:val="Placeholder Text"/>
    <w:basedOn w:val="DefaultParagraphFont"/>
    <w:uiPriority w:val="99"/>
    <w:semiHidden/>
    <w:rsid w:val="00EB0064"/>
    <w:rPr>
      <w:color w:val="808080"/>
    </w:rPr>
  </w:style>
  <w:style w:type="paragraph" w:customStyle="1" w:styleId="AppendixHeading">
    <w:name w:val="Appendix Heading"/>
    <w:basedOn w:val="Heading1"/>
    <w:next w:val="Normal"/>
    <w:rsid w:val="00EB0064"/>
  </w:style>
  <w:style w:type="paragraph" w:customStyle="1" w:styleId="HeadingBase">
    <w:name w:val="Heading Base"/>
    <w:rsid w:val="00EB0064"/>
    <w:pPr>
      <w:keepNext/>
      <w:spacing w:after="120" w:line="240" w:lineRule="auto"/>
    </w:pPr>
    <w:rPr>
      <w:rFonts w:asciiTheme="majorHAnsi" w:eastAsia="Times New Roman" w:hAnsiTheme="majorHAnsi" w:cs="Arial"/>
      <w:bCs/>
      <w:color w:val="000000" w:themeColor="text1"/>
      <w:kern w:val="32"/>
      <w:sz w:val="48"/>
      <w:szCs w:val="36"/>
      <w:lang w:eastAsia="en-AU"/>
    </w:rPr>
  </w:style>
  <w:style w:type="character" w:customStyle="1" w:styleId="ReportDateChar">
    <w:name w:val="Report Date Char"/>
    <w:basedOn w:val="DefaultParagraphFont"/>
    <w:link w:val="ReportDate"/>
    <w:rsid w:val="00EB0064"/>
    <w:rPr>
      <w:rFonts w:eastAsia="Times New Roman" w:cs="Times New Roman"/>
      <w:color w:val="FFFFFF" w:themeColor="background1"/>
      <w:sz w:val="32"/>
      <w:szCs w:val="20"/>
      <w:lang w:eastAsia="en-AU"/>
    </w:rPr>
  </w:style>
  <w:style w:type="paragraph" w:customStyle="1" w:styleId="NotesHeading">
    <w:name w:val="Notes Heading"/>
    <w:basedOn w:val="Normal"/>
    <w:rsid w:val="00EB0064"/>
    <w:pPr>
      <w:keepNext/>
      <w:spacing w:after="360"/>
      <w:jc w:val="center"/>
    </w:pPr>
    <w:rPr>
      <w:rFonts w:ascii="Century Gothic" w:hAnsi="Century Gothic"/>
      <w:smallCaps/>
      <w:color w:val="595959" w:themeColor="text2"/>
      <w:sz w:val="36"/>
      <w:szCs w:val="36"/>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列"/>
    <w:basedOn w:val="Normal"/>
    <w:uiPriority w:val="34"/>
    <w:rsid w:val="00EB0064"/>
    <w:pPr>
      <w:ind w:left="720"/>
      <w:contextualSpacing/>
    </w:pPr>
  </w:style>
  <w:style w:type="paragraph" w:customStyle="1" w:styleId="TableTextIndented">
    <w:name w:val="Table Text Indented"/>
    <w:basedOn w:val="TableTextLeft"/>
    <w:rsid w:val="00EB0064"/>
    <w:pPr>
      <w:ind w:left="284"/>
    </w:pPr>
  </w:style>
  <w:style w:type="paragraph" w:customStyle="1" w:styleId="TableHeadingContinued">
    <w:name w:val="Table Heading Continued"/>
    <w:basedOn w:val="TableMainHeading"/>
    <w:next w:val="TableGraphic"/>
    <w:rsid w:val="00EB0064"/>
  </w:style>
  <w:style w:type="paragraph" w:customStyle="1" w:styleId="TableGraphic">
    <w:name w:val="Table Graphic"/>
    <w:basedOn w:val="HeadingBase"/>
    <w:next w:val="Normal"/>
    <w:rsid w:val="00EB0064"/>
    <w:pPr>
      <w:spacing w:after="0"/>
    </w:pPr>
  </w:style>
  <w:style w:type="paragraph" w:customStyle="1" w:styleId="HeaderEven">
    <w:name w:val="Header Even"/>
    <w:basedOn w:val="Header"/>
    <w:qFormat/>
    <w:rsid w:val="00EB0064"/>
    <w:pPr>
      <w:jc w:val="left"/>
    </w:pPr>
  </w:style>
  <w:style w:type="paragraph" w:customStyle="1" w:styleId="HeaderOdd">
    <w:name w:val="Header Odd"/>
    <w:basedOn w:val="Header"/>
    <w:qFormat/>
    <w:rsid w:val="00EB0064"/>
  </w:style>
  <w:style w:type="paragraph" w:styleId="FootnoteText">
    <w:name w:val="footnote text"/>
    <w:basedOn w:val="Normal"/>
    <w:link w:val="FootnoteTextChar"/>
    <w:uiPriority w:val="99"/>
    <w:rsid w:val="00EB0064"/>
    <w:pPr>
      <w:spacing w:before="0" w:after="0"/>
      <w:ind w:left="397" w:hanging="397"/>
    </w:pPr>
    <w:rPr>
      <w:sz w:val="20"/>
    </w:rPr>
  </w:style>
  <w:style w:type="character" w:customStyle="1" w:styleId="FootnoteTextChar">
    <w:name w:val="Footnote Text Char"/>
    <w:basedOn w:val="DefaultParagraphFont"/>
    <w:link w:val="FootnoteText"/>
    <w:uiPriority w:val="99"/>
    <w:rsid w:val="00EB0064"/>
    <w:rPr>
      <w:rFonts w:eastAsia="Times New Roman" w:cs="Times New Roman"/>
      <w:color w:val="000000" w:themeColor="text1"/>
      <w:sz w:val="20"/>
      <w:szCs w:val="20"/>
      <w:lang w:eastAsia="en-AU"/>
    </w:rPr>
  </w:style>
  <w:style w:type="character" w:styleId="FootnoteReference">
    <w:name w:val="footnote reference"/>
    <w:basedOn w:val="DefaultParagraphFont"/>
    <w:uiPriority w:val="99"/>
    <w:rsid w:val="00EB0064"/>
    <w:rPr>
      <w:sz w:val="18"/>
      <w:vertAlign w:val="superscript"/>
    </w:rPr>
  </w:style>
  <w:style w:type="paragraph" w:styleId="BalloonText">
    <w:name w:val="Balloon Text"/>
    <w:basedOn w:val="Normal"/>
    <w:link w:val="BalloonTextChar"/>
    <w:uiPriority w:val="99"/>
    <w:semiHidden/>
    <w:unhideWhenUsed/>
    <w:rsid w:val="00EB006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0064"/>
    <w:rPr>
      <w:rFonts w:ascii="Tahoma" w:eastAsia="Times New Roman" w:hAnsi="Tahoma" w:cs="Tahoma"/>
      <w:color w:val="000000" w:themeColor="text1"/>
      <w:sz w:val="16"/>
      <w:szCs w:val="16"/>
      <w:lang w:eastAsia="en-AU"/>
    </w:rPr>
  </w:style>
  <w:style w:type="character" w:customStyle="1" w:styleId="BoxTextChar">
    <w:name w:val="Box Text Char"/>
    <w:basedOn w:val="DefaultParagraphFont"/>
    <w:link w:val="BoxText"/>
    <w:locked/>
    <w:rsid w:val="00EB0064"/>
    <w:rPr>
      <w:rFonts w:eastAsia="Times New Roman" w:cs="Times New Roman"/>
      <w:color w:val="000000" w:themeColor="text1"/>
      <w:sz w:val="20"/>
      <w:szCs w:val="20"/>
      <w:lang w:eastAsia="en-AU"/>
    </w:rPr>
  </w:style>
  <w:style w:type="paragraph" w:customStyle="1" w:styleId="Boxbullet">
    <w:name w:val="Box bullet"/>
    <w:basedOn w:val="BoxText"/>
    <w:qFormat/>
    <w:rsid w:val="00EB0064"/>
    <w:pPr>
      <w:numPr>
        <w:numId w:val="7"/>
      </w:numPr>
    </w:pPr>
    <w:rPr>
      <w:lang w:eastAsia="en-US"/>
    </w:rPr>
  </w:style>
  <w:style w:type="paragraph" w:customStyle="1" w:styleId="Boxdash">
    <w:name w:val="Box dash"/>
    <w:basedOn w:val="Boxbullet"/>
    <w:rsid w:val="00EB0064"/>
    <w:pPr>
      <w:numPr>
        <w:ilvl w:val="1"/>
      </w:numPr>
      <w:tabs>
        <w:tab w:val="num" w:pos="1040"/>
      </w:tabs>
      <w:spacing w:before="60" w:after="60" w:line="276" w:lineRule="auto"/>
    </w:pPr>
    <w:rPr>
      <w:rFonts w:eastAsiaTheme="minorHAnsi"/>
      <w:color w:val="0D0D0D" w:themeColor="text1" w:themeTint="F2"/>
    </w:rPr>
  </w:style>
  <w:style w:type="paragraph" w:customStyle="1" w:styleId="Boxdoubledot">
    <w:name w:val="Box double dot"/>
    <w:basedOn w:val="Boxdash"/>
    <w:rsid w:val="00EB0064"/>
    <w:pPr>
      <w:numPr>
        <w:ilvl w:val="2"/>
      </w:numPr>
      <w:tabs>
        <w:tab w:val="left" w:pos="567"/>
        <w:tab w:val="num" w:pos="1560"/>
      </w:tabs>
    </w:pPr>
  </w:style>
  <w:style w:type="paragraph" w:customStyle="1" w:styleId="Instructions">
    <w:name w:val="Instructions"/>
    <w:basedOn w:val="Normal"/>
    <w:uiPriority w:val="1"/>
    <w:qFormat/>
    <w:rsid w:val="00EB0064"/>
    <w:pPr>
      <w:shd w:val="clear" w:color="auto" w:fill="FFFF00"/>
      <w:ind w:left="170" w:hanging="170"/>
    </w:pPr>
    <w:rPr>
      <w:sz w:val="20"/>
      <w:szCs w:val="24"/>
    </w:rPr>
  </w:style>
  <w:style w:type="character" w:styleId="CommentReference">
    <w:name w:val="annotation reference"/>
    <w:basedOn w:val="DefaultParagraphFont"/>
    <w:uiPriority w:val="99"/>
    <w:semiHidden/>
    <w:unhideWhenUsed/>
    <w:rsid w:val="00EB0064"/>
    <w:rPr>
      <w:sz w:val="16"/>
      <w:szCs w:val="16"/>
    </w:rPr>
  </w:style>
  <w:style w:type="paragraph" w:styleId="CommentText">
    <w:name w:val="annotation text"/>
    <w:basedOn w:val="Normal"/>
    <w:link w:val="CommentTextChar"/>
    <w:uiPriority w:val="99"/>
    <w:unhideWhenUsed/>
    <w:rsid w:val="00EB0064"/>
    <w:rPr>
      <w:rFonts w:ascii="Calibri" w:hAnsi="Calibri"/>
      <w:sz w:val="20"/>
    </w:rPr>
  </w:style>
  <w:style w:type="character" w:customStyle="1" w:styleId="CommentTextChar">
    <w:name w:val="Comment Text Char"/>
    <w:basedOn w:val="DefaultParagraphFont"/>
    <w:link w:val="CommentText"/>
    <w:uiPriority w:val="99"/>
    <w:rsid w:val="00EB0064"/>
    <w:rPr>
      <w:rFonts w:ascii="Calibri" w:eastAsia="Times New Roman" w:hAnsi="Calibri" w:cs="Times New Roman"/>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EB0064"/>
    <w:rPr>
      <w:b/>
      <w:bCs/>
    </w:rPr>
  </w:style>
  <w:style w:type="character" w:customStyle="1" w:styleId="CommentSubjectChar">
    <w:name w:val="Comment Subject Char"/>
    <w:basedOn w:val="CommentTextChar"/>
    <w:link w:val="CommentSubject"/>
    <w:uiPriority w:val="99"/>
    <w:semiHidden/>
    <w:rsid w:val="00EB0064"/>
    <w:rPr>
      <w:rFonts w:ascii="Calibri" w:eastAsia="Times New Roman" w:hAnsi="Calibri" w:cs="Times New Roman"/>
      <w:b/>
      <w:bCs/>
      <w:color w:val="000000" w:themeColor="text1"/>
      <w:sz w:val="20"/>
      <w:szCs w:val="20"/>
      <w:lang w:eastAsia="en-AU"/>
    </w:rPr>
  </w:style>
  <w:style w:type="table" w:customStyle="1" w:styleId="SidebySideChartTable">
    <w:name w:val="Side by Side Chart Table"/>
    <w:basedOn w:val="TableNormal"/>
    <w:uiPriority w:val="99"/>
    <w:rsid w:val="00EB0064"/>
    <w:pPr>
      <w:spacing w:after="0" w:line="240" w:lineRule="auto"/>
    </w:pPr>
    <w:tblPr>
      <w:tblCellMar>
        <w:left w:w="0" w:type="dxa"/>
        <w:right w:w="0" w:type="dxa"/>
      </w:tblCellMar>
    </w:tblPr>
    <w:trPr>
      <w:cantSplit/>
    </w:trPr>
    <w:tcPr>
      <w:shd w:val="clear" w:color="auto" w:fill="auto"/>
    </w:tcPr>
  </w:style>
  <w:style w:type="paragraph" w:styleId="NoSpacing">
    <w:name w:val="No Spacing"/>
    <w:uiPriority w:val="1"/>
    <w:rsid w:val="00EB0064"/>
    <w:pPr>
      <w:spacing w:after="0" w:line="240" w:lineRule="auto"/>
    </w:pPr>
    <w:rPr>
      <w:rFonts w:eastAsia="Times New Roman" w:cs="Times New Roman"/>
      <w:color w:val="000000" w:themeColor="text1"/>
      <w:szCs w:val="20"/>
      <w:lang w:eastAsia="en-AU"/>
    </w:rPr>
  </w:style>
  <w:style w:type="character" w:styleId="UnresolvedMention">
    <w:name w:val="Unresolved Mention"/>
    <w:basedOn w:val="DefaultParagraphFont"/>
    <w:uiPriority w:val="99"/>
    <w:semiHidden/>
    <w:unhideWhenUsed/>
    <w:rsid w:val="00EB0064"/>
    <w:rPr>
      <w:color w:val="605E5C"/>
      <w:shd w:val="clear" w:color="auto" w:fill="E1DFDD"/>
    </w:rPr>
  </w:style>
  <w:style w:type="character" w:styleId="Strong">
    <w:name w:val="Strong"/>
    <w:basedOn w:val="DefaultParagraphFont"/>
    <w:qFormat/>
    <w:rsid w:val="00EB0064"/>
    <w:rPr>
      <w:b/>
      <w:bCs/>
    </w:rPr>
  </w:style>
  <w:style w:type="character" w:styleId="Emphasis">
    <w:name w:val="Emphasis"/>
    <w:basedOn w:val="DefaultParagraphFont"/>
    <w:uiPriority w:val="20"/>
    <w:rsid w:val="00EB0064"/>
    <w:rPr>
      <w:i/>
      <w:iCs/>
    </w:rPr>
  </w:style>
  <w:style w:type="character" w:styleId="FollowedHyperlink">
    <w:name w:val="FollowedHyperlink"/>
    <w:basedOn w:val="DefaultParagraphFont"/>
    <w:uiPriority w:val="99"/>
    <w:semiHidden/>
    <w:unhideWhenUsed/>
    <w:rsid w:val="00EB0064"/>
    <w:rPr>
      <w:color w:val="844D9E" w:themeColor="followedHyperlink"/>
      <w:u w:val="single"/>
    </w:rPr>
  </w:style>
  <w:style w:type="paragraph" w:customStyle="1" w:styleId="BoxHeadingBox11">
    <w:name w:val="Box Heading Box 1.1"/>
    <w:basedOn w:val="BoxHeading"/>
    <w:next w:val="Normal"/>
    <w:qFormat/>
    <w:rsid w:val="00EB0064"/>
    <w:pPr>
      <w:numPr>
        <w:ilvl w:val="5"/>
        <w:numId w:val="17"/>
      </w:numPr>
    </w:pPr>
    <w:rPr>
      <w:bCs/>
      <w:color w:val="auto"/>
      <w:lang w:eastAsia="en-US"/>
    </w:rPr>
  </w:style>
  <w:style w:type="paragraph" w:customStyle="1" w:styleId="FigureMainheading">
    <w:name w:val="Figure Main heading"/>
    <w:basedOn w:val="ChartMainHeading"/>
    <w:qFormat/>
    <w:rsid w:val="00EB0064"/>
    <w:pPr>
      <w:numPr>
        <w:ilvl w:val="6"/>
      </w:numPr>
    </w:pPr>
  </w:style>
  <w:style w:type="paragraph" w:customStyle="1" w:styleId="BoxtextNumbered1">
    <w:name w:val="Box text Numbered 1"/>
    <w:next w:val="BoxText"/>
    <w:rsid w:val="00EB0064"/>
    <w:pPr>
      <w:numPr>
        <w:numId w:val="16"/>
      </w:numPr>
      <w:spacing w:before="60" w:after="60" w:line="276" w:lineRule="auto"/>
    </w:pPr>
    <w:rPr>
      <w:rFonts w:eastAsia="Times New Roman" w:cs="Times New Roman"/>
      <w:color w:val="000000" w:themeColor="text1"/>
      <w:sz w:val="20"/>
      <w:szCs w:val="20"/>
      <w:lang w:eastAsia="en-AU"/>
    </w:rPr>
  </w:style>
  <w:style w:type="paragraph" w:customStyle="1" w:styleId="BoxtextNumbered211">
    <w:name w:val="Box text Numbered 2 (1.1)"/>
    <w:next w:val="BoxText"/>
    <w:qFormat/>
    <w:rsid w:val="00EB0064"/>
    <w:pPr>
      <w:numPr>
        <w:ilvl w:val="1"/>
        <w:numId w:val="16"/>
      </w:numPr>
      <w:spacing w:before="60" w:after="60" w:line="276" w:lineRule="auto"/>
    </w:pPr>
    <w:rPr>
      <w:rFonts w:eastAsia="Times New Roman" w:cs="Times New Roman"/>
      <w:color w:val="000000" w:themeColor="text1"/>
      <w:sz w:val="20"/>
      <w:szCs w:val="20"/>
      <w:lang w:eastAsia="en-AU"/>
    </w:rPr>
  </w:style>
  <w:style w:type="paragraph" w:customStyle="1" w:styleId="BoxtextNumbered3111">
    <w:name w:val="Box text Numbered 3 (1.1.1)"/>
    <w:basedOn w:val="BoxtextNumbered211"/>
    <w:next w:val="BoxText"/>
    <w:qFormat/>
    <w:rsid w:val="00EB0064"/>
    <w:pPr>
      <w:numPr>
        <w:ilvl w:val="2"/>
      </w:numPr>
    </w:pPr>
  </w:style>
  <w:style w:type="paragraph" w:customStyle="1" w:styleId="ChartMainHeading">
    <w:name w:val="Chart Main Heading"/>
    <w:basedOn w:val="TableMainHeading"/>
    <w:next w:val="ChartGraphic"/>
    <w:qFormat/>
    <w:rsid w:val="00EB0064"/>
    <w:pPr>
      <w:numPr>
        <w:ilvl w:val="7"/>
      </w:numPr>
    </w:pPr>
  </w:style>
  <w:style w:type="paragraph" w:customStyle="1" w:styleId="TableMainHeading">
    <w:name w:val="Table Main Heading"/>
    <w:basedOn w:val="Heading3"/>
    <w:next w:val="Normal"/>
    <w:qFormat/>
    <w:rsid w:val="00541829"/>
    <w:pPr>
      <w:numPr>
        <w:ilvl w:val="8"/>
        <w:numId w:val="17"/>
      </w:numPr>
      <w:spacing w:before="240" w:after="60"/>
      <w:outlineLvl w:val="9"/>
    </w:pPr>
    <w:rPr>
      <w:b/>
      <w:color w:val="auto"/>
      <w:sz w:val="26"/>
    </w:rPr>
  </w:style>
  <w:style w:type="table" w:styleId="GridTable4-Accent4">
    <w:name w:val="Grid Table 4 Accent 4"/>
    <w:basedOn w:val="TableNormal"/>
    <w:uiPriority w:val="49"/>
    <w:rsid w:val="00B85FEA"/>
    <w:pPr>
      <w:spacing w:after="0" w:line="240" w:lineRule="auto"/>
    </w:pPr>
    <w:tblPr>
      <w:tblStyleRowBandSize w:val="1"/>
      <w:tblStyleColBandSize w:val="1"/>
      <w:tblBorders>
        <w:top w:val="single" w:sz="4" w:space="0" w:color="E5CFB9" w:themeColor="accent4" w:themeTint="99"/>
        <w:left w:val="single" w:sz="4" w:space="0" w:color="E5CFB9" w:themeColor="accent4" w:themeTint="99"/>
        <w:bottom w:val="single" w:sz="4" w:space="0" w:color="E5CFB9" w:themeColor="accent4" w:themeTint="99"/>
        <w:right w:val="single" w:sz="4" w:space="0" w:color="E5CFB9" w:themeColor="accent4" w:themeTint="99"/>
        <w:insideH w:val="single" w:sz="4" w:space="0" w:color="E5CFB9" w:themeColor="accent4" w:themeTint="99"/>
        <w:insideV w:val="single" w:sz="4" w:space="0" w:color="E5CFB9" w:themeColor="accent4" w:themeTint="99"/>
      </w:tblBorders>
    </w:tblPr>
    <w:tblStylePr w:type="firstRow">
      <w:rPr>
        <w:b/>
        <w:bCs/>
        <w:color w:val="FFFFFF" w:themeColor="background1"/>
      </w:rPr>
      <w:tblPr/>
      <w:tcPr>
        <w:tcBorders>
          <w:top w:val="single" w:sz="4" w:space="0" w:color="D4B08C" w:themeColor="accent4"/>
          <w:left w:val="single" w:sz="4" w:space="0" w:color="D4B08C" w:themeColor="accent4"/>
          <w:bottom w:val="single" w:sz="4" w:space="0" w:color="D4B08C" w:themeColor="accent4"/>
          <w:right w:val="single" w:sz="4" w:space="0" w:color="D4B08C" w:themeColor="accent4"/>
          <w:insideH w:val="nil"/>
          <w:insideV w:val="nil"/>
        </w:tcBorders>
        <w:shd w:val="clear" w:color="auto" w:fill="D4B08C" w:themeFill="accent4"/>
      </w:tcPr>
    </w:tblStylePr>
    <w:tblStylePr w:type="lastRow">
      <w:rPr>
        <w:b/>
        <w:bCs/>
      </w:rPr>
      <w:tblPr/>
      <w:tcPr>
        <w:tcBorders>
          <w:top w:val="double" w:sz="4" w:space="0" w:color="D4B08C" w:themeColor="accent4"/>
        </w:tcBorders>
      </w:tcPr>
    </w:tblStylePr>
    <w:tblStylePr w:type="firstCol">
      <w:rPr>
        <w:b/>
        <w:bCs/>
      </w:rPr>
    </w:tblStylePr>
    <w:tblStylePr w:type="lastCol">
      <w:rPr>
        <w:b/>
        <w:bCs/>
      </w:rPr>
    </w:tblStylePr>
    <w:tblStylePr w:type="band1Vert">
      <w:tblPr/>
      <w:tcPr>
        <w:shd w:val="clear" w:color="auto" w:fill="F6EFE7" w:themeFill="accent4" w:themeFillTint="33"/>
      </w:tcPr>
    </w:tblStylePr>
    <w:tblStylePr w:type="band1Horz">
      <w:tblPr/>
      <w:tcPr>
        <w:shd w:val="clear" w:color="auto" w:fill="F6EFE7" w:themeFill="accent4" w:themeFillTint="33"/>
      </w:tcPr>
    </w:tblStylePr>
  </w:style>
  <w:style w:type="paragraph" w:styleId="Revision">
    <w:name w:val="Revision"/>
    <w:hidden/>
    <w:uiPriority w:val="99"/>
    <w:semiHidden/>
    <w:rsid w:val="00B85FEA"/>
    <w:pPr>
      <w:spacing w:after="0" w:line="240" w:lineRule="auto"/>
    </w:pPr>
    <w:rPr>
      <w:rFonts w:eastAsia="Times New Roman" w:cs="Times New Roman"/>
      <w:color w:val="000000" w:themeColor="text1"/>
      <w:szCs w:val="20"/>
      <w:lang w:eastAsia="en-AU"/>
    </w:rPr>
  </w:style>
  <w:style w:type="table" w:customStyle="1" w:styleId="GridTable5Dark-Accent41">
    <w:name w:val="Grid Table 5 Dark - Accent 41"/>
    <w:basedOn w:val="TableNormal"/>
    <w:next w:val="GridTable5Dark-Accent4"/>
    <w:uiPriority w:val="50"/>
    <w:rsid w:val="00B85FEA"/>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6EFE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4B08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4B08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4B08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4B08C"/>
      </w:tcPr>
    </w:tblStylePr>
    <w:tblStylePr w:type="band1Vert">
      <w:tblPr/>
      <w:tcPr>
        <w:shd w:val="clear" w:color="auto" w:fill="EDDFD0"/>
      </w:tcPr>
    </w:tblStylePr>
    <w:tblStylePr w:type="band1Horz">
      <w:tblPr/>
      <w:tcPr>
        <w:shd w:val="clear" w:color="auto" w:fill="EDDFD0"/>
      </w:tcPr>
    </w:tblStylePr>
  </w:style>
  <w:style w:type="table" w:styleId="GridTable5Dark-Accent4">
    <w:name w:val="Grid Table 5 Dark Accent 4"/>
    <w:basedOn w:val="TableNormal"/>
    <w:uiPriority w:val="50"/>
    <w:rsid w:val="00B85F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F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4B08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4B08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4B08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4B08C" w:themeFill="accent4"/>
      </w:tcPr>
    </w:tblStylePr>
    <w:tblStylePr w:type="band1Vert">
      <w:tblPr/>
      <w:tcPr>
        <w:shd w:val="clear" w:color="auto" w:fill="EDDFD0" w:themeFill="accent4" w:themeFillTint="66"/>
      </w:tcPr>
    </w:tblStylePr>
    <w:tblStylePr w:type="band1Horz">
      <w:tblPr/>
      <w:tcPr>
        <w:shd w:val="clear" w:color="auto" w:fill="EDDFD0" w:themeFill="accent4" w:themeFillTint="66"/>
      </w:tcPr>
    </w:tblStylePr>
  </w:style>
  <w:style w:type="character" w:customStyle="1" w:styleId="TableTextLeftChar">
    <w:name w:val="Table Text Left Char"/>
    <w:basedOn w:val="DefaultParagraphFont"/>
    <w:link w:val="TableTextLeft"/>
    <w:rsid w:val="00B85FEA"/>
    <w:rPr>
      <w:rFonts w:eastAsia="Times New Roman" w:cs="Times New Roman"/>
      <w:sz w:val="18"/>
      <w:szCs w:val="20"/>
      <w:lang w:eastAsia="en-AU"/>
    </w:rPr>
  </w:style>
  <w:style w:type="character" w:customStyle="1" w:styleId="OutlineNumbered1Char">
    <w:name w:val="Outline Numbered 1 Char"/>
    <w:basedOn w:val="BulletChar"/>
    <w:link w:val="OutlineNumbered1"/>
    <w:rsid w:val="00B85FEA"/>
    <w:rPr>
      <w:rFonts w:eastAsia="Times New Roman" w:cs="Times New Roman"/>
      <w:color w:val="000000" w:themeColor="text1"/>
      <w:szCs w:val="20"/>
      <w:lang w:eastAsia="en-AU"/>
    </w:rPr>
  </w:style>
  <w:style w:type="paragraph" w:styleId="EndnoteText">
    <w:name w:val="endnote text"/>
    <w:basedOn w:val="Normal"/>
    <w:link w:val="EndnoteTextChar"/>
    <w:uiPriority w:val="99"/>
    <w:semiHidden/>
    <w:unhideWhenUsed/>
    <w:rsid w:val="007F2143"/>
    <w:pPr>
      <w:spacing w:before="0" w:after="0" w:line="259" w:lineRule="auto"/>
    </w:pPr>
    <w:rPr>
      <w:sz w:val="20"/>
    </w:rPr>
  </w:style>
  <w:style w:type="character" w:customStyle="1" w:styleId="EndnoteTextChar">
    <w:name w:val="Endnote Text Char"/>
    <w:basedOn w:val="DefaultParagraphFont"/>
    <w:link w:val="EndnoteText"/>
    <w:uiPriority w:val="99"/>
    <w:semiHidden/>
    <w:rsid w:val="007F2143"/>
    <w:rPr>
      <w:rFonts w:eastAsia="Times New Roman" w:cs="Times New Roman"/>
      <w:color w:val="000000" w:themeColor="text1"/>
      <w:sz w:val="20"/>
      <w:szCs w:val="20"/>
      <w:lang w:eastAsia="en-AU"/>
    </w:rPr>
  </w:style>
  <w:style w:type="character" w:styleId="EndnoteReference">
    <w:name w:val="endnote reference"/>
    <w:basedOn w:val="DefaultParagraphFont"/>
    <w:uiPriority w:val="99"/>
    <w:semiHidden/>
    <w:unhideWhenUsed/>
    <w:rsid w:val="007F2143"/>
    <w:rPr>
      <w:vertAlign w:val="superscript"/>
    </w:rPr>
  </w:style>
  <w:style w:type="table" w:styleId="PlainTable2">
    <w:name w:val="Plain Table 2"/>
    <w:basedOn w:val="TableNormal"/>
    <w:uiPriority w:val="42"/>
    <w:rsid w:val="007F214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7F214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TMLCite">
    <w:name w:val="HTML Cite"/>
    <w:basedOn w:val="DefaultParagraphFont"/>
    <w:uiPriority w:val="99"/>
    <w:semiHidden/>
    <w:unhideWhenUsed/>
    <w:rsid w:val="00791A68"/>
    <w:rPr>
      <w:i/>
      <w:iCs/>
    </w:rPr>
  </w:style>
  <w:style w:type="paragraph" w:styleId="NormalWeb">
    <w:name w:val="Normal (Web)"/>
    <w:basedOn w:val="Normal"/>
    <w:uiPriority w:val="99"/>
    <w:semiHidden/>
    <w:unhideWhenUsed/>
    <w:rsid w:val="008E4210"/>
    <w:rPr>
      <w:rFonts w:ascii="Times New Roman" w:hAnsi="Times New Roman"/>
      <w:sz w:val="24"/>
      <w:szCs w:val="24"/>
    </w:rPr>
  </w:style>
  <w:style w:type="paragraph" w:customStyle="1" w:styleId="FigureMainHeadingnonumbering">
    <w:name w:val="Figure Main Heading (no numbering)"/>
    <w:basedOn w:val="FigureMainheading"/>
    <w:qFormat/>
    <w:rsid w:val="00EB0064"/>
    <w:pPr>
      <w:numPr>
        <w:ilvl w:val="0"/>
        <w:numId w:val="0"/>
      </w:numPr>
    </w:pPr>
  </w:style>
  <w:style w:type="paragraph" w:customStyle="1" w:styleId="BoxHeading2">
    <w:name w:val="Box Heading 2"/>
    <w:basedOn w:val="Heading5"/>
    <w:qFormat/>
    <w:rsid w:val="00EB0064"/>
    <w:pPr>
      <w:outlineLvl w:val="9"/>
    </w:pPr>
  </w:style>
  <w:style w:type="numbering" w:customStyle="1" w:styleId="Style1">
    <w:name w:val="Style1"/>
    <w:uiPriority w:val="99"/>
    <w:rsid w:val="00956862"/>
    <w:pPr>
      <w:numPr>
        <w:numId w:val="31"/>
      </w:numPr>
    </w:pPr>
  </w:style>
  <w:style w:type="numbering" w:customStyle="1" w:styleId="Style2">
    <w:name w:val="Style2"/>
    <w:uiPriority w:val="99"/>
    <w:rsid w:val="00956862"/>
    <w:pPr>
      <w:numPr>
        <w:numId w:val="34"/>
      </w:numPr>
    </w:pPr>
  </w:style>
  <w:style w:type="numbering" w:customStyle="1" w:styleId="Style3">
    <w:name w:val="Style3"/>
    <w:uiPriority w:val="99"/>
    <w:rsid w:val="00956862"/>
    <w:pPr>
      <w:numPr>
        <w:numId w:val="36"/>
      </w:numPr>
    </w:pPr>
  </w:style>
  <w:style w:type="numbering" w:customStyle="1" w:styleId="Style4">
    <w:name w:val="Style4"/>
    <w:uiPriority w:val="99"/>
    <w:rsid w:val="00956862"/>
    <w:pPr>
      <w:numPr>
        <w:numId w:val="38"/>
      </w:numPr>
    </w:pPr>
  </w:style>
  <w:style w:type="paragraph" w:styleId="Quote">
    <w:name w:val="Quote"/>
    <w:basedOn w:val="Normal"/>
    <w:next w:val="Normal"/>
    <w:link w:val="QuoteChar"/>
    <w:uiPriority w:val="29"/>
    <w:rsid w:val="005B264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B2645"/>
    <w:rPr>
      <w:rFonts w:eastAsia="Times New Roman" w:cs="Times New Roman"/>
      <w:i/>
      <w:iCs/>
      <w:color w:val="404040" w:themeColor="text1" w:themeTint="BF"/>
      <w:szCs w:val="20"/>
      <w:lang w:eastAsia="en-AU"/>
    </w:rPr>
  </w:style>
  <w:style w:type="paragraph" w:styleId="IntenseQuote">
    <w:name w:val="Intense Quote"/>
    <w:basedOn w:val="Normal"/>
    <w:next w:val="Normal"/>
    <w:link w:val="IntenseQuoteChar"/>
    <w:uiPriority w:val="30"/>
    <w:rsid w:val="005B2645"/>
    <w:pPr>
      <w:pBdr>
        <w:top w:val="single" w:sz="4" w:space="10" w:color="3B455C" w:themeColor="accent1"/>
        <w:bottom w:val="single" w:sz="4" w:space="10" w:color="3B455C" w:themeColor="accent1"/>
      </w:pBdr>
      <w:spacing w:before="360" w:after="360"/>
      <w:ind w:left="864" w:right="864"/>
      <w:jc w:val="center"/>
    </w:pPr>
    <w:rPr>
      <w:i/>
      <w:iCs/>
      <w:color w:val="3B455C" w:themeColor="accent1"/>
    </w:rPr>
  </w:style>
  <w:style w:type="character" w:customStyle="1" w:styleId="IntenseQuoteChar">
    <w:name w:val="Intense Quote Char"/>
    <w:basedOn w:val="DefaultParagraphFont"/>
    <w:link w:val="IntenseQuote"/>
    <w:uiPriority w:val="30"/>
    <w:rsid w:val="005B2645"/>
    <w:rPr>
      <w:rFonts w:eastAsia="Times New Roman" w:cs="Times New Roman"/>
      <w:i/>
      <w:iCs/>
      <w:color w:val="3B455C" w:themeColor="accent1"/>
      <w:szCs w:val="20"/>
      <w:lang w:eastAsia="en-AU"/>
    </w:rPr>
  </w:style>
  <w:style w:type="paragraph" w:customStyle="1" w:styleId="BoxHeadingBox11continued">
    <w:name w:val="Box Heading Box 1.1 (continued)"/>
    <w:basedOn w:val="BoxHeadingBox11"/>
    <w:qFormat/>
    <w:rsid w:val="00EB0064"/>
  </w:style>
  <w:style w:type="paragraph" w:customStyle="1" w:styleId="TableMainHeadingnonumbering0">
    <w:name w:val="Table Main Heading (no numbering"/>
    <w:aliases w:val="continued)"/>
    <w:basedOn w:val="TableMainHeadingnonumbering"/>
    <w:qFormat/>
    <w:rsid w:val="00EB0064"/>
  </w:style>
  <w:style w:type="character" w:styleId="Mention">
    <w:name w:val="Mention"/>
    <w:basedOn w:val="DefaultParagraphFont"/>
    <w:uiPriority w:val="99"/>
    <w:unhideWhenUsed/>
    <w:rsid w:val="00C82CB2"/>
    <w:rPr>
      <w:color w:val="2B579A"/>
      <w:shd w:val="clear" w:color="auto" w:fill="E1DFDD"/>
    </w:rPr>
  </w:style>
  <w:style w:type="paragraph" w:styleId="Bibliography">
    <w:name w:val="Bibliography"/>
    <w:basedOn w:val="Normal"/>
    <w:next w:val="Normal"/>
    <w:uiPriority w:val="37"/>
    <w:unhideWhenUsed/>
    <w:rsid w:val="006228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210102">
      <w:bodyDiv w:val="1"/>
      <w:marLeft w:val="0"/>
      <w:marRight w:val="0"/>
      <w:marTop w:val="0"/>
      <w:marBottom w:val="0"/>
      <w:divBdr>
        <w:top w:val="none" w:sz="0" w:space="0" w:color="auto"/>
        <w:left w:val="none" w:sz="0" w:space="0" w:color="auto"/>
        <w:bottom w:val="none" w:sz="0" w:space="0" w:color="auto"/>
        <w:right w:val="none" w:sz="0" w:space="0" w:color="auto"/>
      </w:divBdr>
      <w:divsChild>
        <w:div w:id="437261559">
          <w:marLeft w:val="0"/>
          <w:marRight w:val="0"/>
          <w:marTop w:val="0"/>
          <w:marBottom w:val="0"/>
          <w:divBdr>
            <w:top w:val="none" w:sz="0" w:space="0" w:color="auto"/>
            <w:left w:val="none" w:sz="0" w:space="0" w:color="auto"/>
            <w:bottom w:val="none" w:sz="0" w:space="0" w:color="auto"/>
            <w:right w:val="none" w:sz="0" w:space="0" w:color="auto"/>
          </w:divBdr>
        </w:div>
        <w:div w:id="1410157013">
          <w:marLeft w:val="0"/>
          <w:marRight w:val="0"/>
          <w:marTop w:val="0"/>
          <w:marBottom w:val="0"/>
          <w:divBdr>
            <w:top w:val="none" w:sz="0" w:space="0" w:color="auto"/>
            <w:left w:val="none" w:sz="0" w:space="0" w:color="auto"/>
            <w:bottom w:val="none" w:sz="0" w:space="0" w:color="auto"/>
            <w:right w:val="none" w:sz="0" w:space="0" w:color="auto"/>
          </w:divBdr>
        </w:div>
      </w:divsChild>
    </w:div>
    <w:div w:id="364522657">
      <w:bodyDiv w:val="1"/>
      <w:marLeft w:val="0"/>
      <w:marRight w:val="0"/>
      <w:marTop w:val="0"/>
      <w:marBottom w:val="0"/>
      <w:divBdr>
        <w:top w:val="none" w:sz="0" w:space="0" w:color="auto"/>
        <w:left w:val="none" w:sz="0" w:space="0" w:color="auto"/>
        <w:bottom w:val="none" w:sz="0" w:space="0" w:color="auto"/>
        <w:right w:val="none" w:sz="0" w:space="0" w:color="auto"/>
      </w:divBdr>
      <w:divsChild>
        <w:div w:id="312293877">
          <w:marLeft w:val="0"/>
          <w:marRight w:val="0"/>
          <w:marTop w:val="0"/>
          <w:marBottom w:val="0"/>
          <w:divBdr>
            <w:top w:val="none" w:sz="0" w:space="0" w:color="auto"/>
            <w:left w:val="none" w:sz="0" w:space="0" w:color="auto"/>
            <w:bottom w:val="none" w:sz="0" w:space="0" w:color="auto"/>
            <w:right w:val="none" w:sz="0" w:space="0" w:color="auto"/>
          </w:divBdr>
        </w:div>
      </w:divsChild>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1928952029">
      <w:bodyDiv w:val="1"/>
      <w:marLeft w:val="0"/>
      <w:marRight w:val="0"/>
      <w:marTop w:val="0"/>
      <w:marBottom w:val="0"/>
      <w:divBdr>
        <w:top w:val="none" w:sz="0" w:space="0" w:color="auto"/>
        <w:left w:val="none" w:sz="0" w:space="0" w:color="auto"/>
        <w:bottom w:val="none" w:sz="0" w:space="0" w:color="auto"/>
        <w:right w:val="none" w:sz="0" w:space="0" w:color="auto"/>
      </w:divBdr>
      <w:divsChild>
        <w:div w:id="1221938721">
          <w:marLeft w:val="0"/>
          <w:marRight w:val="0"/>
          <w:marTop w:val="0"/>
          <w:marBottom w:val="0"/>
          <w:divBdr>
            <w:top w:val="none" w:sz="0" w:space="0" w:color="auto"/>
            <w:left w:val="none" w:sz="0" w:space="0" w:color="auto"/>
            <w:bottom w:val="none" w:sz="0" w:space="0" w:color="auto"/>
            <w:right w:val="none" w:sz="0" w:space="0" w:color="auto"/>
          </w:divBdr>
        </w:div>
        <w:div w:id="17178491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emf"/><Relationship Id="rId21" Type="http://schemas.openxmlformats.org/officeDocument/2006/relationships/header" Target="header5.xml"/><Relationship Id="rId42" Type="http://schemas.openxmlformats.org/officeDocument/2006/relationships/image" Target="media/image19.emf"/><Relationship Id="rId63" Type="http://schemas.openxmlformats.org/officeDocument/2006/relationships/image" Target="media/image40.emf"/><Relationship Id="rId84" Type="http://schemas.openxmlformats.org/officeDocument/2006/relationships/image" Target="media/image61.emf"/><Relationship Id="rId138" Type="http://schemas.openxmlformats.org/officeDocument/2006/relationships/image" Target="media/image107.emf"/><Relationship Id="rId159" Type="http://schemas.openxmlformats.org/officeDocument/2006/relationships/image" Target="media/image124.emf"/><Relationship Id="rId170" Type="http://schemas.openxmlformats.org/officeDocument/2006/relationships/footer" Target="footer24.xml"/><Relationship Id="rId107" Type="http://schemas.openxmlformats.org/officeDocument/2006/relationships/image" Target="media/image82.emf"/><Relationship Id="rId11" Type="http://schemas.openxmlformats.org/officeDocument/2006/relationships/hyperlink" Target="https://creativecommons.org/licenses/by/4.0/legalcode" TargetMode="External"/><Relationship Id="rId32" Type="http://schemas.openxmlformats.org/officeDocument/2006/relationships/image" Target="media/image11.png"/><Relationship Id="rId53" Type="http://schemas.openxmlformats.org/officeDocument/2006/relationships/image" Target="media/image30.emf"/><Relationship Id="rId74" Type="http://schemas.openxmlformats.org/officeDocument/2006/relationships/image" Target="media/image51.emf"/><Relationship Id="rId128" Type="http://schemas.openxmlformats.org/officeDocument/2006/relationships/image" Target="media/image101.emf"/><Relationship Id="rId149" Type="http://schemas.openxmlformats.org/officeDocument/2006/relationships/image" Target="media/image118.emf"/><Relationship Id="rId5" Type="http://schemas.openxmlformats.org/officeDocument/2006/relationships/footnotes" Target="footnotes.xml"/><Relationship Id="rId95" Type="http://schemas.openxmlformats.org/officeDocument/2006/relationships/footer" Target="footer6.xml"/><Relationship Id="rId160" Type="http://schemas.openxmlformats.org/officeDocument/2006/relationships/footer" Target="footer14.xml"/><Relationship Id="rId22" Type="http://schemas.openxmlformats.org/officeDocument/2006/relationships/footer" Target="footer1.xml"/><Relationship Id="rId43" Type="http://schemas.openxmlformats.org/officeDocument/2006/relationships/image" Target="media/image20.emf"/><Relationship Id="rId64" Type="http://schemas.openxmlformats.org/officeDocument/2006/relationships/image" Target="media/image41.emf"/><Relationship Id="rId118" Type="http://schemas.openxmlformats.org/officeDocument/2006/relationships/image" Target="media/image91.emf"/><Relationship Id="rId139" Type="http://schemas.openxmlformats.org/officeDocument/2006/relationships/image" Target="media/image108.emf"/><Relationship Id="rId85" Type="http://schemas.openxmlformats.org/officeDocument/2006/relationships/image" Target="media/image62.emf"/><Relationship Id="rId150" Type="http://schemas.openxmlformats.org/officeDocument/2006/relationships/image" Target="media/image119.emf"/><Relationship Id="rId171" Type="http://schemas.openxmlformats.org/officeDocument/2006/relationships/footer" Target="footer25.xml"/><Relationship Id="rId12" Type="http://schemas.openxmlformats.org/officeDocument/2006/relationships/image" Target="media/image3.wmf"/><Relationship Id="rId33" Type="http://schemas.openxmlformats.org/officeDocument/2006/relationships/image" Target="media/image12.png"/><Relationship Id="rId108" Type="http://schemas.openxmlformats.org/officeDocument/2006/relationships/image" Target="media/image83.emf"/><Relationship Id="rId129" Type="http://schemas.openxmlformats.org/officeDocument/2006/relationships/image" Target="media/image102.emf"/><Relationship Id="rId54" Type="http://schemas.openxmlformats.org/officeDocument/2006/relationships/image" Target="media/image31.emf"/><Relationship Id="rId75" Type="http://schemas.openxmlformats.org/officeDocument/2006/relationships/image" Target="media/image52.emf"/><Relationship Id="rId96" Type="http://schemas.openxmlformats.org/officeDocument/2006/relationships/footer" Target="footer7.xml"/><Relationship Id="rId140" Type="http://schemas.openxmlformats.org/officeDocument/2006/relationships/image" Target="media/image109.emf"/><Relationship Id="rId161" Type="http://schemas.openxmlformats.org/officeDocument/2006/relationships/footer" Target="footer15.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2.xml"/><Relationship Id="rId28" Type="http://schemas.openxmlformats.org/officeDocument/2006/relationships/image" Target="media/image7.emf"/><Relationship Id="rId49" Type="http://schemas.openxmlformats.org/officeDocument/2006/relationships/image" Target="media/image26.emf"/><Relationship Id="rId114" Type="http://schemas.openxmlformats.org/officeDocument/2006/relationships/footer" Target="footer9.xml"/><Relationship Id="rId119" Type="http://schemas.openxmlformats.org/officeDocument/2006/relationships/image" Target="media/image92.emf"/><Relationship Id="rId44" Type="http://schemas.openxmlformats.org/officeDocument/2006/relationships/image" Target="media/image21.emf"/><Relationship Id="rId60" Type="http://schemas.openxmlformats.org/officeDocument/2006/relationships/image" Target="media/image37.emf"/><Relationship Id="rId65" Type="http://schemas.openxmlformats.org/officeDocument/2006/relationships/image" Target="media/image42.emf"/><Relationship Id="rId81" Type="http://schemas.openxmlformats.org/officeDocument/2006/relationships/image" Target="media/image58.emf"/><Relationship Id="rId86" Type="http://schemas.openxmlformats.org/officeDocument/2006/relationships/image" Target="media/image63.emf"/><Relationship Id="rId130" Type="http://schemas.openxmlformats.org/officeDocument/2006/relationships/image" Target="media/image103.emf"/><Relationship Id="rId135" Type="http://schemas.openxmlformats.org/officeDocument/2006/relationships/footer" Target="footer10.xml"/><Relationship Id="rId151" Type="http://schemas.openxmlformats.org/officeDocument/2006/relationships/image" Target="media/image120.emf"/><Relationship Id="rId156" Type="http://schemas.openxmlformats.org/officeDocument/2006/relationships/footer" Target="footer12.xml"/><Relationship Id="rId172" Type="http://schemas.openxmlformats.org/officeDocument/2006/relationships/footer" Target="footer26.xml"/><Relationship Id="rId13" Type="http://schemas.openxmlformats.org/officeDocument/2006/relationships/hyperlink" Target="https://creativecommons.org/licenses/by/4.0/" TargetMode="External"/><Relationship Id="rId18" Type="http://schemas.openxmlformats.org/officeDocument/2006/relationships/header" Target="header3.xml"/><Relationship Id="rId39" Type="http://schemas.openxmlformats.org/officeDocument/2006/relationships/image" Target="media/image18.png"/><Relationship Id="rId109" Type="http://schemas.openxmlformats.org/officeDocument/2006/relationships/image" Target="media/image84.emf"/><Relationship Id="rId34" Type="http://schemas.openxmlformats.org/officeDocument/2006/relationships/image" Target="media/image13.png"/><Relationship Id="rId50" Type="http://schemas.openxmlformats.org/officeDocument/2006/relationships/image" Target="media/image27.emf"/><Relationship Id="rId55" Type="http://schemas.openxmlformats.org/officeDocument/2006/relationships/image" Target="media/image32.emf"/><Relationship Id="rId76" Type="http://schemas.openxmlformats.org/officeDocument/2006/relationships/image" Target="media/image53.emf"/><Relationship Id="rId97" Type="http://schemas.openxmlformats.org/officeDocument/2006/relationships/image" Target="media/image72.png"/><Relationship Id="rId104" Type="http://schemas.openxmlformats.org/officeDocument/2006/relationships/image" Target="media/image79.emf"/><Relationship Id="rId120" Type="http://schemas.openxmlformats.org/officeDocument/2006/relationships/image" Target="media/image93.emf"/><Relationship Id="rId125" Type="http://schemas.openxmlformats.org/officeDocument/2006/relationships/image" Target="media/image98.emf"/><Relationship Id="rId141" Type="http://schemas.openxmlformats.org/officeDocument/2006/relationships/image" Target="media/image110.emf"/><Relationship Id="rId146" Type="http://schemas.openxmlformats.org/officeDocument/2006/relationships/image" Target="media/image115.emf"/><Relationship Id="rId167" Type="http://schemas.openxmlformats.org/officeDocument/2006/relationships/footer" Target="footer21.xml"/><Relationship Id="rId7" Type="http://schemas.openxmlformats.org/officeDocument/2006/relationships/image" Target="media/image1.png"/><Relationship Id="rId71" Type="http://schemas.openxmlformats.org/officeDocument/2006/relationships/image" Target="media/image48.emf"/><Relationship Id="rId92" Type="http://schemas.openxmlformats.org/officeDocument/2006/relationships/image" Target="media/image69.emf"/><Relationship Id="rId162" Type="http://schemas.openxmlformats.org/officeDocument/2006/relationships/footer" Target="footer16.xml"/><Relationship Id="rId2" Type="http://schemas.openxmlformats.org/officeDocument/2006/relationships/styles" Target="styles.xml"/><Relationship Id="rId29" Type="http://schemas.openxmlformats.org/officeDocument/2006/relationships/image" Target="media/image8.emf"/><Relationship Id="rId24" Type="http://schemas.openxmlformats.org/officeDocument/2006/relationships/header" Target="header6.xml"/><Relationship Id="rId40" Type="http://schemas.openxmlformats.org/officeDocument/2006/relationships/footer" Target="footer4.xml"/><Relationship Id="rId45" Type="http://schemas.openxmlformats.org/officeDocument/2006/relationships/image" Target="media/image22.emf"/><Relationship Id="rId66" Type="http://schemas.openxmlformats.org/officeDocument/2006/relationships/image" Target="media/image43.emf"/><Relationship Id="rId87" Type="http://schemas.openxmlformats.org/officeDocument/2006/relationships/image" Target="media/image64.emf"/><Relationship Id="rId110" Type="http://schemas.openxmlformats.org/officeDocument/2006/relationships/image" Target="media/image85.emf"/><Relationship Id="rId115" Type="http://schemas.openxmlformats.org/officeDocument/2006/relationships/image" Target="media/image88.emf"/><Relationship Id="rId131" Type="http://schemas.openxmlformats.org/officeDocument/2006/relationships/image" Target="media/image104.emf"/><Relationship Id="rId136" Type="http://schemas.openxmlformats.org/officeDocument/2006/relationships/footer" Target="footer11.xml"/><Relationship Id="rId157" Type="http://schemas.openxmlformats.org/officeDocument/2006/relationships/footer" Target="footer13.xml"/><Relationship Id="rId61" Type="http://schemas.openxmlformats.org/officeDocument/2006/relationships/image" Target="media/image38.emf"/><Relationship Id="rId82" Type="http://schemas.openxmlformats.org/officeDocument/2006/relationships/image" Target="media/image59.emf"/><Relationship Id="rId152" Type="http://schemas.openxmlformats.org/officeDocument/2006/relationships/image" Target="media/image121.emf"/><Relationship Id="rId173" Type="http://schemas.openxmlformats.org/officeDocument/2006/relationships/footer" Target="footer27.xml"/><Relationship Id="rId19" Type="http://schemas.openxmlformats.org/officeDocument/2006/relationships/image" Target="media/image4.png"/><Relationship Id="rId14" Type="http://schemas.openxmlformats.org/officeDocument/2006/relationships/hyperlink" Target="http://www.pmc.gov.au/government/commonwealth-coat-arms" TargetMode="External"/><Relationship Id="rId30" Type="http://schemas.openxmlformats.org/officeDocument/2006/relationships/image" Target="media/image9.emf"/><Relationship Id="rId35" Type="http://schemas.openxmlformats.org/officeDocument/2006/relationships/image" Target="media/image14.png"/><Relationship Id="rId56" Type="http://schemas.openxmlformats.org/officeDocument/2006/relationships/image" Target="media/image33.emf"/><Relationship Id="rId77" Type="http://schemas.openxmlformats.org/officeDocument/2006/relationships/image" Target="media/image54.emf"/><Relationship Id="rId100" Type="http://schemas.openxmlformats.org/officeDocument/2006/relationships/image" Target="media/image75.emf"/><Relationship Id="rId105" Type="http://schemas.openxmlformats.org/officeDocument/2006/relationships/image" Target="media/image80.emf"/><Relationship Id="rId126" Type="http://schemas.openxmlformats.org/officeDocument/2006/relationships/image" Target="media/image99.emf"/><Relationship Id="rId147" Type="http://schemas.openxmlformats.org/officeDocument/2006/relationships/image" Target="media/image116.emf"/><Relationship Id="rId168" Type="http://schemas.openxmlformats.org/officeDocument/2006/relationships/footer" Target="footer22.xml"/><Relationship Id="rId8" Type="http://schemas.openxmlformats.org/officeDocument/2006/relationships/image" Target="media/image2.jpeg"/><Relationship Id="rId51" Type="http://schemas.openxmlformats.org/officeDocument/2006/relationships/image" Target="media/image28.emf"/><Relationship Id="rId72" Type="http://schemas.openxmlformats.org/officeDocument/2006/relationships/image" Target="media/image49.emf"/><Relationship Id="rId93" Type="http://schemas.openxmlformats.org/officeDocument/2006/relationships/image" Target="media/image70.emf"/><Relationship Id="rId98" Type="http://schemas.openxmlformats.org/officeDocument/2006/relationships/image" Target="media/image73.emf"/><Relationship Id="rId121" Type="http://schemas.openxmlformats.org/officeDocument/2006/relationships/image" Target="media/image94.emf"/><Relationship Id="rId142" Type="http://schemas.openxmlformats.org/officeDocument/2006/relationships/image" Target="media/image111.emf"/><Relationship Id="rId163" Type="http://schemas.openxmlformats.org/officeDocument/2006/relationships/footer" Target="footer17.xml"/><Relationship Id="rId3" Type="http://schemas.openxmlformats.org/officeDocument/2006/relationships/settings" Target="settings.xml"/><Relationship Id="rId25" Type="http://schemas.openxmlformats.org/officeDocument/2006/relationships/footer" Target="footer3.xml"/><Relationship Id="rId46" Type="http://schemas.openxmlformats.org/officeDocument/2006/relationships/image" Target="media/image23.emf"/><Relationship Id="rId67" Type="http://schemas.openxmlformats.org/officeDocument/2006/relationships/image" Target="media/image44.emf"/><Relationship Id="rId116" Type="http://schemas.openxmlformats.org/officeDocument/2006/relationships/image" Target="media/image89.emf"/><Relationship Id="rId137" Type="http://schemas.openxmlformats.org/officeDocument/2006/relationships/image" Target="media/image106.emf"/><Relationship Id="rId158" Type="http://schemas.openxmlformats.org/officeDocument/2006/relationships/image" Target="media/image123.emf"/><Relationship Id="rId20" Type="http://schemas.openxmlformats.org/officeDocument/2006/relationships/header" Target="header4.xml"/><Relationship Id="rId41" Type="http://schemas.openxmlformats.org/officeDocument/2006/relationships/footer" Target="footer5.xml"/><Relationship Id="rId62" Type="http://schemas.openxmlformats.org/officeDocument/2006/relationships/image" Target="media/image39.emf"/><Relationship Id="rId83" Type="http://schemas.openxmlformats.org/officeDocument/2006/relationships/image" Target="media/image60.emf"/><Relationship Id="rId88" Type="http://schemas.openxmlformats.org/officeDocument/2006/relationships/image" Target="media/image65.emf"/><Relationship Id="rId111" Type="http://schemas.openxmlformats.org/officeDocument/2006/relationships/image" Target="media/image86.emf"/><Relationship Id="rId132" Type="http://schemas.openxmlformats.org/officeDocument/2006/relationships/image" Target="media/image105.emf"/><Relationship Id="rId153" Type="http://schemas.openxmlformats.org/officeDocument/2006/relationships/image" Target="media/image122.emf"/><Relationship Id="rId174" Type="http://schemas.openxmlformats.org/officeDocument/2006/relationships/fontTable" Target="fontTable.xml"/><Relationship Id="rId15" Type="http://schemas.openxmlformats.org/officeDocument/2006/relationships/hyperlink" Target="mailto:enquiries@nhsac.gov.au" TargetMode="External"/><Relationship Id="rId36" Type="http://schemas.openxmlformats.org/officeDocument/2006/relationships/image" Target="media/image15.png"/><Relationship Id="rId57" Type="http://schemas.openxmlformats.org/officeDocument/2006/relationships/image" Target="media/image34.emf"/><Relationship Id="rId106" Type="http://schemas.openxmlformats.org/officeDocument/2006/relationships/image" Target="media/image81.emf"/><Relationship Id="rId127" Type="http://schemas.openxmlformats.org/officeDocument/2006/relationships/image" Target="media/image100.emf"/><Relationship Id="rId10" Type="http://schemas.openxmlformats.org/officeDocument/2006/relationships/hyperlink" Target="https://creativecommons.org/licenses/by/4.0/" TargetMode="External"/><Relationship Id="rId31" Type="http://schemas.openxmlformats.org/officeDocument/2006/relationships/image" Target="media/image10.emf"/><Relationship Id="rId52" Type="http://schemas.openxmlformats.org/officeDocument/2006/relationships/image" Target="media/image29.emf"/><Relationship Id="rId73" Type="http://schemas.openxmlformats.org/officeDocument/2006/relationships/image" Target="media/image50.emf"/><Relationship Id="rId78" Type="http://schemas.openxmlformats.org/officeDocument/2006/relationships/image" Target="media/image55.emf"/><Relationship Id="rId94" Type="http://schemas.openxmlformats.org/officeDocument/2006/relationships/image" Target="media/image71.emf"/><Relationship Id="rId99" Type="http://schemas.openxmlformats.org/officeDocument/2006/relationships/image" Target="media/image74.emf"/><Relationship Id="rId101" Type="http://schemas.openxmlformats.org/officeDocument/2006/relationships/image" Target="media/image76.emf"/><Relationship Id="rId122" Type="http://schemas.openxmlformats.org/officeDocument/2006/relationships/image" Target="media/image95.emf"/><Relationship Id="rId143" Type="http://schemas.openxmlformats.org/officeDocument/2006/relationships/image" Target="media/image112.emf"/><Relationship Id="rId148" Type="http://schemas.openxmlformats.org/officeDocument/2006/relationships/image" Target="media/image117.emf"/><Relationship Id="rId164" Type="http://schemas.openxmlformats.org/officeDocument/2006/relationships/footer" Target="footer18.xml"/><Relationship Id="rId169" Type="http://schemas.openxmlformats.org/officeDocument/2006/relationships/footer" Target="footer23.xml"/><Relationship Id="rId4" Type="http://schemas.openxmlformats.org/officeDocument/2006/relationships/webSettings" Target="webSettings.xml"/><Relationship Id="rId9" Type="http://schemas.openxmlformats.org/officeDocument/2006/relationships/header" Target="header1.xml"/><Relationship Id="rId26" Type="http://schemas.openxmlformats.org/officeDocument/2006/relationships/image" Target="media/image5.emf"/><Relationship Id="rId47" Type="http://schemas.openxmlformats.org/officeDocument/2006/relationships/image" Target="media/image24.emf"/><Relationship Id="rId68" Type="http://schemas.openxmlformats.org/officeDocument/2006/relationships/image" Target="media/image45.emf"/><Relationship Id="rId89" Type="http://schemas.openxmlformats.org/officeDocument/2006/relationships/image" Target="media/image66.emf"/><Relationship Id="rId112" Type="http://schemas.openxmlformats.org/officeDocument/2006/relationships/image" Target="media/image87.emf"/><Relationship Id="rId133" Type="http://schemas.openxmlformats.org/officeDocument/2006/relationships/header" Target="header7.xml"/><Relationship Id="rId154" Type="http://schemas.openxmlformats.org/officeDocument/2006/relationships/header" Target="header9.xml"/><Relationship Id="rId175" Type="http://schemas.openxmlformats.org/officeDocument/2006/relationships/theme" Target="theme/theme1.xml"/><Relationship Id="rId16" Type="http://schemas.openxmlformats.org/officeDocument/2006/relationships/hyperlink" Target="https://austreasury.sharepoint.com/sites/nhsacar1-function/chapters/www.nhsac.gov.au" TargetMode="External"/><Relationship Id="rId37" Type="http://schemas.openxmlformats.org/officeDocument/2006/relationships/image" Target="media/image16.png"/><Relationship Id="rId58" Type="http://schemas.openxmlformats.org/officeDocument/2006/relationships/image" Target="media/image35.emf"/><Relationship Id="rId79" Type="http://schemas.openxmlformats.org/officeDocument/2006/relationships/image" Target="media/image56.emf"/><Relationship Id="rId102" Type="http://schemas.openxmlformats.org/officeDocument/2006/relationships/image" Target="media/image77.emf"/><Relationship Id="rId123" Type="http://schemas.openxmlformats.org/officeDocument/2006/relationships/image" Target="media/image96.emf"/><Relationship Id="rId144" Type="http://schemas.openxmlformats.org/officeDocument/2006/relationships/image" Target="media/image113.emf"/><Relationship Id="rId90" Type="http://schemas.openxmlformats.org/officeDocument/2006/relationships/image" Target="media/image67.emf"/><Relationship Id="rId165" Type="http://schemas.openxmlformats.org/officeDocument/2006/relationships/footer" Target="footer19.xml"/><Relationship Id="rId27" Type="http://schemas.openxmlformats.org/officeDocument/2006/relationships/image" Target="media/image6.emf"/><Relationship Id="rId48" Type="http://schemas.openxmlformats.org/officeDocument/2006/relationships/image" Target="media/image25.emf"/><Relationship Id="rId69" Type="http://schemas.openxmlformats.org/officeDocument/2006/relationships/image" Target="media/image46.emf"/><Relationship Id="rId113" Type="http://schemas.openxmlformats.org/officeDocument/2006/relationships/footer" Target="footer8.xml"/><Relationship Id="rId134" Type="http://schemas.openxmlformats.org/officeDocument/2006/relationships/header" Target="header8.xml"/><Relationship Id="rId80" Type="http://schemas.openxmlformats.org/officeDocument/2006/relationships/image" Target="media/image57.emf"/><Relationship Id="rId155" Type="http://schemas.openxmlformats.org/officeDocument/2006/relationships/header" Target="header10.xml"/><Relationship Id="rId17" Type="http://schemas.openxmlformats.org/officeDocument/2006/relationships/header" Target="header2.xml"/><Relationship Id="rId38" Type="http://schemas.openxmlformats.org/officeDocument/2006/relationships/image" Target="media/image17.png"/><Relationship Id="rId59" Type="http://schemas.openxmlformats.org/officeDocument/2006/relationships/image" Target="media/image36.emf"/><Relationship Id="rId103" Type="http://schemas.openxmlformats.org/officeDocument/2006/relationships/image" Target="media/image78.emf"/><Relationship Id="rId124" Type="http://schemas.openxmlformats.org/officeDocument/2006/relationships/image" Target="media/image97.emf"/><Relationship Id="rId70" Type="http://schemas.openxmlformats.org/officeDocument/2006/relationships/image" Target="media/image47.emf"/><Relationship Id="rId91" Type="http://schemas.openxmlformats.org/officeDocument/2006/relationships/image" Target="media/image68.emf"/><Relationship Id="rId145" Type="http://schemas.openxmlformats.org/officeDocument/2006/relationships/image" Target="media/image114.emf"/><Relationship Id="rId166" Type="http://schemas.openxmlformats.org/officeDocument/2006/relationships/footer" Target="footer20.xml"/></Relationships>
</file>

<file path=word/theme/theme1.xml><?xml version="1.0" encoding="utf-8"?>
<a:theme xmlns:a="http://schemas.openxmlformats.org/drawingml/2006/main" name="TSYBrand">
  <a:themeElements>
    <a:clrScheme name="NHSAC">
      <a:dk1>
        <a:sysClr val="windowText" lastClr="000000"/>
      </a:dk1>
      <a:lt1>
        <a:sysClr val="window" lastClr="FFFFFF"/>
      </a:lt1>
      <a:dk2>
        <a:srgbClr val="595959"/>
      </a:dk2>
      <a:lt2>
        <a:srgbClr val="F2E3C7"/>
      </a:lt2>
      <a:accent1>
        <a:srgbClr val="3B455C"/>
      </a:accent1>
      <a:accent2>
        <a:srgbClr val="616652"/>
      </a:accent2>
      <a:accent3>
        <a:srgbClr val="596682"/>
      </a:accent3>
      <a:accent4>
        <a:srgbClr val="D4B08C"/>
      </a:accent4>
      <a:accent5>
        <a:srgbClr val="BAD4E8"/>
      </a:accent5>
      <a:accent6>
        <a:srgbClr val="F2E3C7"/>
      </a:accent6>
      <a:hlink>
        <a:srgbClr val="3A6FAF"/>
      </a:hlink>
      <a:folHlink>
        <a:srgbClr val="844D9E"/>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177</Pages>
  <Words>58828</Words>
  <Characters>335325</Characters>
  <Application>Microsoft Office Word</Application>
  <DocSecurity>0</DocSecurity>
  <Lines>2794</Lines>
  <Paragraphs>786</Paragraphs>
  <ScaleCrop>false</ScaleCrop>
  <HeadingPairs>
    <vt:vector size="2" baseType="variant">
      <vt:variant>
        <vt:lpstr>Title</vt:lpstr>
      </vt:variant>
      <vt:variant>
        <vt:i4>1</vt:i4>
      </vt:variant>
    </vt:vector>
  </HeadingPairs>
  <TitlesOfParts>
    <vt:vector size="1" baseType="lpstr">
      <vt:lpstr>State of the Housing System 2025</vt:lpstr>
    </vt:vector>
  </TitlesOfParts>
  <Company/>
  <LinksUpToDate>false</LinksUpToDate>
  <CharactersWithSpaces>393367</CharactersWithSpaces>
  <SharedDoc>false</SharedDoc>
  <HLinks>
    <vt:vector size="354" baseType="variant">
      <vt:variant>
        <vt:i4>1703991</vt:i4>
      </vt:variant>
      <vt:variant>
        <vt:i4>332</vt:i4>
      </vt:variant>
      <vt:variant>
        <vt:i4>0</vt:i4>
      </vt:variant>
      <vt:variant>
        <vt:i4>5</vt:i4>
      </vt:variant>
      <vt:variant>
        <vt:lpwstr/>
      </vt:variant>
      <vt:variant>
        <vt:lpwstr>_Toc196395924</vt:lpwstr>
      </vt:variant>
      <vt:variant>
        <vt:i4>1703991</vt:i4>
      </vt:variant>
      <vt:variant>
        <vt:i4>326</vt:i4>
      </vt:variant>
      <vt:variant>
        <vt:i4>0</vt:i4>
      </vt:variant>
      <vt:variant>
        <vt:i4>5</vt:i4>
      </vt:variant>
      <vt:variant>
        <vt:lpwstr/>
      </vt:variant>
      <vt:variant>
        <vt:lpwstr>_Toc196395923</vt:lpwstr>
      </vt:variant>
      <vt:variant>
        <vt:i4>1703991</vt:i4>
      </vt:variant>
      <vt:variant>
        <vt:i4>320</vt:i4>
      </vt:variant>
      <vt:variant>
        <vt:i4>0</vt:i4>
      </vt:variant>
      <vt:variant>
        <vt:i4>5</vt:i4>
      </vt:variant>
      <vt:variant>
        <vt:lpwstr/>
      </vt:variant>
      <vt:variant>
        <vt:lpwstr>_Toc196395922</vt:lpwstr>
      </vt:variant>
      <vt:variant>
        <vt:i4>1703991</vt:i4>
      </vt:variant>
      <vt:variant>
        <vt:i4>314</vt:i4>
      </vt:variant>
      <vt:variant>
        <vt:i4>0</vt:i4>
      </vt:variant>
      <vt:variant>
        <vt:i4>5</vt:i4>
      </vt:variant>
      <vt:variant>
        <vt:lpwstr/>
      </vt:variant>
      <vt:variant>
        <vt:lpwstr>_Toc196395921</vt:lpwstr>
      </vt:variant>
      <vt:variant>
        <vt:i4>1703991</vt:i4>
      </vt:variant>
      <vt:variant>
        <vt:i4>308</vt:i4>
      </vt:variant>
      <vt:variant>
        <vt:i4>0</vt:i4>
      </vt:variant>
      <vt:variant>
        <vt:i4>5</vt:i4>
      </vt:variant>
      <vt:variant>
        <vt:lpwstr/>
      </vt:variant>
      <vt:variant>
        <vt:lpwstr>_Toc196395920</vt:lpwstr>
      </vt:variant>
      <vt:variant>
        <vt:i4>1638455</vt:i4>
      </vt:variant>
      <vt:variant>
        <vt:i4>302</vt:i4>
      </vt:variant>
      <vt:variant>
        <vt:i4>0</vt:i4>
      </vt:variant>
      <vt:variant>
        <vt:i4>5</vt:i4>
      </vt:variant>
      <vt:variant>
        <vt:lpwstr/>
      </vt:variant>
      <vt:variant>
        <vt:lpwstr>_Toc196395919</vt:lpwstr>
      </vt:variant>
      <vt:variant>
        <vt:i4>1638455</vt:i4>
      </vt:variant>
      <vt:variant>
        <vt:i4>296</vt:i4>
      </vt:variant>
      <vt:variant>
        <vt:i4>0</vt:i4>
      </vt:variant>
      <vt:variant>
        <vt:i4>5</vt:i4>
      </vt:variant>
      <vt:variant>
        <vt:lpwstr/>
      </vt:variant>
      <vt:variant>
        <vt:lpwstr>_Toc196395918</vt:lpwstr>
      </vt:variant>
      <vt:variant>
        <vt:i4>1638455</vt:i4>
      </vt:variant>
      <vt:variant>
        <vt:i4>290</vt:i4>
      </vt:variant>
      <vt:variant>
        <vt:i4>0</vt:i4>
      </vt:variant>
      <vt:variant>
        <vt:i4>5</vt:i4>
      </vt:variant>
      <vt:variant>
        <vt:lpwstr/>
      </vt:variant>
      <vt:variant>
        <vt:lpwstr>_Toc196395917</vt:lpwstr>
      </vt:variant>
      <vt:variant>
        <vt:i4>1638455</vt:i4>
      </vt:variant>
      <vt:variant>
        <vt:i4>284</vt:i4>
      </vt:variant>
      <vt:variant>
        <vt:i4>0</vt:i4>
      </vt:variant>
      <vt:variant>
        <vt:i4>5</vt:i4>
      </vt:variant>
      <vt:variant>
        <vt:lpwstr/>
      </vt:variant>
      <vt:variant>
        <vt:lpwstr>_Toc196395916</vt:lpwstr>
      </vt:variant>
      <vt:variant>
        <vt:i4>1638455</vt:i4>
      </vt:variant>
      <vt:variant>
        <vt:i4>278</vt:i4>
      </vt:variant>
      <vt:variant>
        <vt:i4>0</vt:i4>
      </vt:variant>
      <vt:variant>
        <vt:i4>5</vt:i4>
      </vt:variant>
      <vt:variant>
        <vt:lpwstr/>
      </vt:variant>
      <vt:variant>
        <vt:lpwstr>_Toc196395915</vt:lpwstr>
      </vt:variant>
      <vt:variant>
        <vt:i4>1638455</vt:i4>
      </vt:variant>
      <vt:variant>
        <vt:i4>272</vt:i4>
      </vt:variant>
      <vt:variant>
        <vt:i4>0</vt:i4>
      </vt:variant>
      <vt:variant>
        <vt:i4>5</vt:i4>
      </vt:variant>
      <vt:variant>
        <vt:lpwstr/>
      </vt:variant>
      <vt:variant>
        <vt:lpwstr>_Toc196395914</vt:lpwstr>
      </vt:variant>
      <vt:variant>
        <vt:i4>1638455</vt:i4>
      </vt:variant>
      <vt:variant>
        <vt:i4>266</vt:i4>
      </vt:variant>
      <vt:variant>
        <vt:i4>0</vt:i4>
      </vt:variant>
      <vt:variant>
        <vt:i4>5</vt:i4>
      </vt:variant>
      <vt:variant>
        <vt:lpwstr/>
      </vt:variant>
      <vt:variant>
        <vt:lpwstr>_Toc196395913</vt:lpwstr>
      </vt:variant>
      <vt:variant>
        <vt:i4>1638455</vt:i4>
      </vt:variant>
      <vt:variant>
        <vt:i4>260</vt:i4>
      </vt:variant>
      <vt:variant>
        <vt:i4>0</vt:i4>
      </vt:variant>
      <vt:variant>
        <vt:i4>5</vt:i4>
      </vt:variant>
      <vt:variant>
        <vt:lpwstr/>
      </vt:variant>
      <vt:variant>
        <vt:lpwstr>_Toc196395912</vt:lpwstr>
      </vt:variant>
      <vt:variant>
        <vt:i4>1638455</vt:i4>
      </vt:variant>
      <vt:variant>
        <vt:i4>254</vt:i4>
      </vt:variant>
      <vt:variant>
        <vt:i4>0</vt:i4>
      </vt:variant>
      <vt:variant>
        <vt:i4>5</vt:i4>
      </vt:variant>
      <vt:variant>
        <vt:lpwstr/>
      </vt:variant>
      <vt:variant>
        <vt:lpwstr>_Toc196395911</vt:lpwstr>
      </vt:variant>
      <vt:variant>
        <vt:i4>1638455</vt:i4>
      </vt:variant>
      <vt:variant>
        <vt:i4>248</vt:i4>
      </vt:variant>
      <vt:variant>
        <vt:i4>0</vt:i4>
      </vt:variant>
      <vt:variant>
        <vt:i4>5</vt:i4>
      </vt:variant>
      <vt:variant>
        <vt:lpwstr/>
      </vt:variant>
      <vt:variant>
        <vt:lpwstr>_Toc196395910</vt:lpwstr>
      </vt:variant>
      <vt:variant>
        <vt:i4>1572919</vt:i4>
      </vt:variant>
      <vt:variant>
        <vt:i4>242</vt:i4>
      </vt:variant>
      <vt:variant>
        <vt:i4>0</vt:i4>
      </vt:variant>
      <vt:variant>
        <vt:i4>5</vt:i4>
      </vt:variant>
      <vt:variant>
        <vt:lpwstr/>
      </vt:variant>
      <vt:variant>
        <vt:lpwstr>_Toc196395909</vt:lpwstr>
      </vt:variant>
      <vt:variant>
        <vt:i4>1572919</vt:i4>
      </vt:variant>
      <vt:variant>
        <vt:i4>236</vt:i4>
      </vt:variant>
      <vt:variant>
        <vt:i4>0</vt:i4>
      </vt:variant>
      <vt:variant>
        <vt:i4>5</vt:i4>
      </vt:variant>
      <vt:variant>
        <vt:lpwstr/>
      </vt:variant>
      <vt:variant>
        <vt:lpwstr>_Toc196395908</vt:lpwstr>
      </vt:variant>
      <vt:variant>
        <vt:i4>1572919</vt:i4>
      </vt:variant>
      <vt:variant>
        <vt:i4>230</vt:i4>
      </vt:variant>
      <vt:variant>
        <vt:i4>0</vt:i4>
      </vt:variant>
      <vt:variant>
        <vt:i4>5</vt:i4>
      </vt:variant>
      <vt:variant>
        <vt:lpwstr/>
      </vt:variant>
      <vt:variant>
        <vt:lpwstr>_Toc196395907</vt:lpwstr>
      </vt:variant>
      <vt:variant>
        <vt:i4>1572919</vt:i4>
      </vt:variant>
      <vt:variant>
        <vt:i4>224</vt:i4>
      </vt:variant>
      <vt:variant>
        <vt:i4>0</vt:i4>
      </vt:variant>
      <vt:variant>
        <vt:i4>5</vt:i4>
      </vt:variant>
      <vt:variant>
        <vt:lpwstr/>
      </vt:variant>
      <vt:variant>
        <vt:lpwstr>_Toc196395906</vt:lpwstr>
      </vt:variant>
      <vt:variant>
        <vt:i4>1572919</vt:i4>
      </vt:variant>
      <vt:variant>
        <vt:i4>218</vt:i4>
      </vt:variant>
      <vt:variant>
        <vt:i4>0</vt:i4>
      </vt:variant>
      <vt:variant>
        <vt:i4>5</vt:i4>
      </vt:variant>
      <vt:variant>
        <vt:lpwstr/>
      </vt:variant>
      <vt:variant>
        <vt:lpwstr>_Toc196395905</vt:lpwstr>
      </vt:variant>
      <vt:variant>
        <vt:i4>1572919</vt:i4>
      </vt:variant>
      <vt:variant>
        <vt:i4>212</vt:i4>
      </vt:variant>
      <vt:variant>
        <vt:i4>0</vt:i4>
      </vt:variant>
      <vt:variant>
        <vt:i4>5</vt:i4>
      </vt:variant>
      <vt:variant>
        <vt:lpwstr/>
      </vt:variant>
      <vt:variant>
        <vt:lpwstr>_Toc196395904</vt:lpwstr>
      </vt:variant>
      <vt:variant>
        <vt:i4>1572919</vt:i4>
      </vt:variant>
      <vt:variant>
        <vt:i4>206</vt:i4>
      </vt:variant>
      <vt:variant>
        <vt:i4>0</vt:i4>
      </vt:variant>
      <vt:variant>
        <vt:i4>5</vt:i4>
      </vt:variant>
      <vt:variant>
        <vt:lpwstr/>
      </vt:variant>
      <vt:variant>
        <vt:lpwstr>_Toc196395903</vt:lpwstr>
      </vt:variant>
      <vt:variant>
        <vt:i4>1572919</vt:i4>
      </vt:variant>
      <vt:variant>
        <vt:i4>200</vt:i4>
      </vt:variant>
      <vt:variant>
        <vt:i4>0</vt:i4>
      </vt:variant>
      <vt:variant>
        <vt:i4>5</vt:i4>
      </vt:variant>
      <vt:variant>
        <vt:lpwstr/>
      </vt:variant>
      <vt:variant>
        <vt:lpwstr>_Toc196395902</vt:lpwstr>
      </vt:variant>
      <vt:variant>
        <vt:i4>1572919</vt:i4>
      </vt:variant>
      <vt:variant>
        <vt:i4>194</vt:i4>
      </vt:variant>
      <vt:variant>
        <vt:i4>0</vt:i4>
      </vt:variant>
      <vt:variant>
        <vt:i4>5</vt:i4>
      </vt:variant>
      <vt:variant>
        <vt:lpwstr/>
      </vt:variant>
      <vt:variant>
        <vt:lpwstr>_Toc196395901</vt:lpwstr>
      </vt:variant>
      <vt:variant>
        <vt:i4>1572919</vt:i4>
      </vt:variant>
      <vt:variant>
        <vt:i4>188</vt:i4>
      </vt:variant>
      <vt:variant>
        <vt:i4>0</vt:i4>
      </vt:variant>
      <vt:variant>
        <vt:i4>5</vt:i4>
      </vt:variant>
      <vt:variant>
        <vt:lpwstr/>
      </vt:variant>
      <vt:variant>
        <vt:lpwstr>_Toc196395900</vt:lpwstr>
      </vt:variant>
      <vt:variant>
        <vt:i4>1114166</vt:i4>
      </vt:variant>
      <vt:variant>
        <vt:i4>182</vt:i4>
      </vt:variant>
      <vt:variant>
        <vt:i4>0</vt:i4>
      </vt:variant>
      <vt:variant>
        <vt:i4>5</vt:i4>
      </vt:variant>
      <vt:variant>
        <vt:lpwstr/>
      </vt:variant>
      <vt:variant>
        <vt:lpwstr>_Toc196395899</vt:lpwstr>
      </vt:variant>
      <vt:variant>
        <vt:i4>1114166</vt:i4>
      </vt:variant>
      <vt:variant>
        <vt:i4>176</vt:i4>
      </vt:variant>
      <vt:variant>
        <vt:i4>0</vt:i4>
      </vt:variant>
      <vt:variant>
        <vt:i4>5</vt:i4>
      </vt:variant>
      <vt:variant>
        <vt:lpwstr/>
      </vt:variant>
      <vt:variant>
        <vt:lpwstr>_Toc196395898</vt:lpwstr>
      </vt:variant>
      <vt:variant>
        <vt:i4>1114166</vt:i4>
      </vt:variant>
      <vt:variant>
        <vt:i4>170</vt:i4>
      </vt:variant>
      <vt:variant>
        <vt:i4>0</vt:i4>
      </vt:variant>
      <vt:variant>
        <vt:i4>5</vt:i4>
      </vt:variant>
      <vt:variant>
        <vt:lpwstr/>
      </vt:variant>
      <vt:variant>
        <vt:lpwstr>_Toc196395897</vt:lpwstr>
      </vt:variant>
      <vt:variant>
        <vt:i4>1114166</vt:i4>
      </vt:variant>
      <vt:variant>
        <vt:i4>164</vt:i4>
      </vt:variant>
      <vt:variant>
        <vt:i4>0</vt:i4>
      </vt:variant>
      <vt:variant>
        <vt:i4>5</vt:i4>
      </vt:variant>
      <vt:variant>
        <vt:lpwstr/>
      </vt:variant>
      <vt:variant>
        <vt:lpwstr>_Toc196395896</vt:lpwstr>
      </vt:variant>
      <vt:variant>
        <vt:i4>1114166</vt:i4>
      </vt:variant>
      <vt:variant>
        <vt:i4>158</vt:i4>
      </vt:variant>
      <vt:variant>
        <vt:i4>0</vt:i4>
      </vt:variant>
      <vt:variant>
        <vt:i4>5</vt:i4>
      </vt:variant>
      <vt:variant>
        <vt:lpwstr/>
      </vt:variant>
      <vt:variant>
        <vt:lpwstr>_Toc196395895</vt:lpwstr>
      </vt:variant>
      <vt:variant>
        <vt:i4>1114166</vt:i4>
      </vt:variant>
      <vt:variant>
        <vt:i4>152</vt:i4>
      </vt:variant>
      <vt:variant>
        <vt:i4>0</vt:i4>
      </vt:variant>
      <vt:variant>
        <vt:i4>5</vt:i4>
      </vt:variant>
      <vt:variant>
        <vt:lpwstr/>
      </vt:variant>
      <vt:variant>
        <vt:lpwstr>_Toc196395894</vt:lpwstr>
      </vt:variant>
      <vt:variant>
        <vt:i4>1114166</vt:i4>
      </vt:variant>
      <vt:variant>
        <vt:i4>146</vt:i4>
      </vt:variant>
      <vt:variant>
        <vt:i4>0</vt:i4>
      </vt:variant>
      <vt:variant>
        <vt:i4>5</vt:i4>
      </vt:variant>
      <vt:variant>
        <vt:lpwstr/>
      </vt:variant>
      <vt:variant>
        <vt:lpwstr>_Toc196395893</vt:lpwstr>
      </vt:variant>
      <vt:variant>
        <vt:i4>1114166</vt:i4>
      </vt:variant>
      <vt:variant>
        <vt:i4>140</vt:i4>
      </vt:variant>
      <vt:variant>
        <vt:i4>0</vt:i4>
      </vt:variant>
      <vt:variant>
        <vt:i4>5</vt:i4>
      </vt:variant>
      <vt:variant>
        <vt:lpwstr/>
      </vt:variant>
      <vt:variant>
        <vt:lpwstr>_Toc196395892</vt:lpwstr>
      </vt:variant>
      <vt:variant>
        <vt:i4>1114166</vt:i4>
      </vt:variant>
      <vt:variant>
        <vt:i4>134</vt:i4>
      </vt:variant>
      <vt:variant>
        <vt:i4>0</vt:i4>
      </vt:variant>
      <vt:variant>
        <vt:i4>5</vt:i4>
      </vt:variant>
      <vt:variant>
        <vt:lpwstr/>
      </vt:variant>
      <vt:variant>
        <vt:lpwstr>_Toc196395891</vt:lpwstr>
      </vt:variant>
      <vt:variant>
        <vt:i4>1114166</vt:i4>
      </vt:variant>
      <vt:variant>
        <vt:i4>128</vt:i4>
      </vt:variant>
      <vt:variant>
        <vt:i4>0</vt:i4>
      </vt:variant>
      <vt:variant>
        <vt:i4>5</vt:i4>
      </vt:variant>
      <vt:variant>
        <vt:lpwstr/>
      </vt:variant>
      <vt:variant>
        <vt:lpwstr>_Toc196395890</vt:lpwstr>
      </vt:variant>
      <vt:variant>
        <vt:i4>1048630</vt:i4>
      </vt:variant>
      <vt:variant>
        <vt:i4>122</vt:i4>
      </vt:variant>
      <vt:variant>
        <vt:i4>0</vt:i4>
      </vt:variant>
      <vt:variant>
        <vt:i4>5</vt:i4>
      </vt:variant>
      <vt:variant>
        <vt:lpwstr/>
      </vt:variant>
      <vt:variant>
        <vt:lpwstr>_Toc196395889</vt:lpwstr>
      </vt:variant>
      <vt:variant>
        <vt:i4>1048630</vt:i4>
      </vt:variant>
      <vt:variant>
        <vt:i4>116</vt:i4>
      </vt:variant>
      <vt:variant>
        <vt:i4>0</vt:i4>
      </vt:variant>
      <vt:variant>
        <vt:i4>5</vt:i4>
      </vt:variant>
      <vt:variant>
        <vt:lpwstr/>
      </vt:variant>
      <vt:variant>
        <vt:lpwstr>_Toc196395888</vt:lpwstr>
      </vt:variant>
      <vt:variant>
        <vt:i4>1048630</vt:i4>
      </vt:variant>
      <vt:variant>
        <vt:i4>110</vt:i4>
      </vt:variant>
      <vt:variant>
        <vt:i4>0</vt:i4>
      </vt:variant>
      <vt:variant>
        <vt:i4>5</vt:i4>
      </vt:variant>
      <vt:variant>
        <vt:lpwstr/>
      </vt:variant>
      <vt:variant>
        <vt:lpwstr>_Toc196395887</vt:lpwstr>
      </vt:variant>
      <vt:variant>
        <vt:i4>1048630</vt:i4>
      </vt:variant>
      <vt:variant>
        <vt:i4>104</vt:i4>
      </vt:variant>
      <vt:variant>
        <vt:i4>0</vt:i4>
      </vt:variant>
      <vt:variant>
        <vt:i4>5</vt:i4>
      </vt:variant>
      <vt:variant>
        <vt:lpwstr/>
      </vt:variant>
      <vt:variant>
        <vt:lpwstr>_Toc196395886</vt:lpwstr>
      </vt:variant>
      <vt:variant>
        <vt:i4>1048630</vt:i4>
      </vt:variant>
      <vt:variant>
        <vt:i4>98</vt:i4>
      </vt:variant>
      <vt:variant>
        <vt:i4>0</vt:i4>
      </vt:variant>
      <vt:variant>
        <vt:i4>5</vt:i4>
      </vt:variant>
      <vt:variant>
        <vt:lpwstr/>
      </vt:variant>
      <vt:variant>
        <vt:lpwstr>_Toc196395885</vt:lpwstr>
      </vt:variant>
      <vt:variant>
        <vt:i4>1048630</vt:i4>
      </vt:variant>
      <vt:variant>
        <vt:i4>92</vt:i4>
      </vt:variant>
      <vt:variant>
        <vt:i4>0</vt:i4>
      </vt:variant>
      <vt:variant>
        <vt:i4>5</vt:i4>
      </vt:variant>
      <vt:variant>
        <vt:lpwstr/>
      </vt:variant>
      <vt:variant>
        <vt:lpwstr>_Toc196395884</vt:lpwstr>
      </vt:variant>
      <vt:variant>
        <vt:i4>1048630</vt:i4>
      </vt:variant>
      <vt:variant>
        <vt:i4>86</vt:i4>
      </vt:variant>
      <vt:variant>
        <vt:i4>0</vt:i4>
      </vt:variant>
      <vt:variant>
        <vt:i4>5</vt:i4>
      </vt:variant>
      <vt:variant>
        <vt:lpwstr/>
      </vt:variant>
      <vt:variant>
        <vt:lpwstr>_Toc196395883</vt:lpwstr>
      </vt:variant>
      <vt:variant>
        <vt:i4>1048630</vt:i4>
      </vt:variant>
      <vt:variant>
        <vt:i4>80</vt:i4>
      </vt:variant>
      <vt:variant>
        <vt:i4>0</vt:i4>
      </vt:variant>
      <vt:variant>
        <vt:i4>5</vt:i4>
      </vt:variant>
      <vt:variant>
        <vt:lpwstr/>
      </vt:variant>
      <vt:variant>
        <vt:lpwstr>_Toc196395882</vt:lpwstr>
      </vt:variant>
      <vt:variant>
        <vt:i4>1048630</vt:i4>
      </vt:variant>
      <vt:variant>
        <vt:i4>74</vt:i4>
      </vt:variant>
      <vt:variant>
        <vt:i4>0</vt:i4>
      </vt:variant>
      <vt:variant>
        <vt:i4>5</vt:i4>
      </vt:variant>
      <vt:variant>
        <vt:lpwstr/>
      </vt:variant>
      <vt:variant>
        <vt:lpwstr>_Toc196395881</vt:lpwstr>
      </vt:variant>
      <vt:variant>
        <vt:i4>1048630</vt:i4>
      </vt:variant>
      <vt:variant>
        <vt:i4>68</vt:i4>
      </vt:variant>
      <vt:variant>
        <vt:i4>0</vt:i4>
      </vt:variant>
      <vt:variant>
        <vt:i4>5</vt:i4>
      </vt:variant>
      <vt:variant>
        <vt:lpwstr/>
      </vt:variant>
      <vt:variant>
        <vt:lpwstr>_Toc196395880</vt:lpwstr>
      </vt:variant>
      <vt:variant>
        <vt:i4>2031670</vt:i4>
      </vt:variant>
      <vt:variant>
        <vt:i4>62</vt:i4>
      </vt:variant>
      <vt:variant>
        <vt:i4>0</vt:i4>
      </vt:variant>
      <vt:variant>
        <vt:i4>5</vt:i4>
      </vt:variant>
      <vt:variant>
        <vt:lpwstr/>
      </vt:variant>
      <vt:variant>
        <vt:lpwstr>_Toc196395879</vt:lpwstr>
      </vt:variant>
      <vt:variant>
        <vt:i4>2031670</vt:i4>
      </vt:variant>
      <vt:variant>
        <vt:i4>56</vt:i4>
      </vt:variant>
      <vt:variant>
        <vt:i4>0</vt:i4>
      </vt:variant>
      <vt:variant>
        <vt:i4>5</vt:i4>
      </vt:variant>
      <vt:variant>
        <vt:lpwstr/>
      </vt:variant>
      <vt:variant>
        <vt:lpwstr>_Toc196395878</vt:lpwstr>
      </vt:variant>
      <vt:variant>
        <vt:i4>2031670</vt:i4>
      </vt:variant>
      <vt:variant>
        <vt:i4>50</vt:i4>
      </vt:variant>
      <vt:variant>
        <vt:i4>0</vt:i4>
      </vt:variant>
      <vt:variant>
        <vt:i4>5</vt:i4>
      </vt:variant>
      <vt:variant>
        <vt:lpwstr/>
      </vt:variant>
      <vt:variant>
        <vt:lpwstr>_Toc196395877</vt:lpwstr>
      </vt:variant>
      <vt:variant>
        <vt:i4>2031670</vt:i4>
      </vt:variant>
      <vt:variant>
        <vt:i4>44</vt:i4>
      </vt:variant>
      <vt:variant>
        <vt:i4>0</vt:i4>
      </vt:variant>
      <vt:variant>
        <vt:i4>5</vt:i4>
      </vt:variant>
      <vt:variant>
        <vt:lpwstr/>
      </vt:variant>
      <vt:variant>
        <vt:lpwstr>_Toc196395876</vt:lpwstr>
      </vt:variant>
      <vt:variant>
        <vt:i4>2031670</vt:i4>
      </vt:variant>
      <vt:variant>
        <vt:i4>38</vt:i4>
      </vt:variant>
      <vt:variant>
        <vt:i4>0</vt:i4>
      </vt:variant>
      <vt:variant>
        <vt:i4>5</vt:i4>
      </vt:variant>
      <vt:variant>
        <vt:lpwstr/>
      </vt:variant>
      <vt:variant>
        <vt:lpwstr>_Toc196395875</vt:lpwstr>
      </vt:variant>
      <vt:variant>
        <vt:i4>2031670</vt:i4>
      </vt:variant>
      <vt:variant>
        <vt:i4>32</vt:i4>
      </vt:variant>
      <vt:variant>
        <vt:i4>0</vt:i4>
      </vt:variant>
      <vt:variant>
        <vt:i4>5</vt:i4>
      </vt:variant>
      <vt:variant>
        <vt:lpwstr/>
      </vt:variant>
      <vt:variant>
        <vt:lpwstr>_Toc196395874</vt:lpwstr>
      </vt:variant>
      <vt:variant>
        <vt:i4>2031670</vt:i4>
      </vt:variant>
      <vt:variant>
        <vt:i4>26</vt:i4>
      </vt:variant>
      <vt:variant>
        <vt:i4>0</vt:i4>
      </vt:variant>
      <vt:variant>
        <vt:i4>5</vt:i4>
      </vt:variant>
      <vt:variant>
        <vt:lpwstr/>
      </vt:variant>
      <vt:variant>
        <vt:lpwstr>_Toc196395873</vt:lpwstr>
      </vt:variant>
      <vt:variant>
        <vt:i4>2031670</vt:i4>
      </vt:variant>
      <vt:variant>
        <vt:i4>20</vt:i4>
      </vt:variant>
      <vt:variant>
        <vt:i4>0</vt:i4>
      </vt:variant>
      <vt:variant>
        <vt:i4>5</vt:i4>
      </vt:variant>
      <vt:variant>
        <vt:lpwstr/>
      </vt:variant>
      <vt:variant>
        <vt:lpwstr>_Toc196395872</vt:lpwstr>
      </vt:variant>
      <vt:variant>
        <vt:i4>393235</vt:i4>
      </vt:variant>
      <vt:variant>
        <vt:i4>15</vt:i4>
      </vt:variant>
      <vt:variant>
        <vt:i4>0</vt:i4>
      </vt:variant>
      <vt:variant>
        <vt:i4>5</vt:i4>
      </vt:variant>
      <vt:variant>
        <vt:lpwstr>https://austreasury.sharepoint.com/sites/nhsacar1-function/chapters/www.nhsac.gov.au</vt:lpwstr>
      </vt:variant>
      <vt:variant>
        <vt:lpwstr/>
      </vt:variant>
      <vt:variant>
        <vt:i4>720992</vt:i4>
      </vt:variant>
      <vt:variant>
        <vt:i4>12</vt:i4>
      </vt:variant>
      <vt:variant>
        <vt:i4>0</vt:i4>
      </vt:variant>
      <vt:variant>
        <vt:i4>5</vt:i4>
      </vt:variant>
      <vt:variant>
        <vt:lpwstr>mailto:enquiries@nhsac.gov.au</vt:lpwstr>
      </vt:variant>
      <vt:variant>
        <vt:lpwstr/>
      </vt:variant>
      <vt:variant>
        <vt:i4>2818104</vt:i4>
      </vt:variant>
      <vt:variant>
        <vt:i4>9</vt:i4>
      </vt:variant>
      <vt:variant>
        <vt:i4>0</vt:i4>
      </vt:variant>
      <vt:variant>
        <vt:i4>5</vt:i4>
      </vt:variant>
      <vt:variant>
        <vt:lpwstr>http://www.pmc.gov.au/government/commonwealth-coat-arms</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the Housing System 2025</dc:title>
  <dc:subject/>
  <dc:creator>National Housing Supply and Affordability Council</dc:creator>
  <cp:keywords/>
  <cp:lastModifiedBy/>
  <cp:revision>1</cp:revision>
  <dcterms:created xsi:type="dcterms:W3CDTF">2025-05-20T01:02:00Z</dcterms:created>
  <dcterms:modified xsi:type="dcterms:W3CDTF">2025-05-20T01:04:00Z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2025-05-20T01:04:16Z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bd6bbb12-e779-4483-9165-1bba9db4810b</vt:lpwstr>
  </property>
  <property fmtid="{D5CDD505-2E9C-101B-9397-08002B2CF9AE}" pid="8" name="MSIP_Label_4f932d64-9ab1-4d9b-81d2-a3a8b82dd47d_ContentBits">
    <vt:lpwstr>0</vt:lpwstr>
  </property>
</Properties>
</file>